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67281916"/>
      <w:r>
        <w:t xml:space="preserve">ENTSCHEIDUNG DER KOMMISSION </w:t>
      </w:r>
      <w:hyperlink r:id="rId6" w:history="1">
        <w:r>
          <w:rPr>
            <w:rStyle w:val="Hyperlink"/>
            <w:rFonts w:cs="Arial"/>
          </w:rPr>
          <w:t>2004/156/EG</w:t>
        </w:r>
      </w:hyperlink>
      <w:r>
        <w:t xml:space="preserve"> vom 29. Januar 2004 </w:t>
      </w:r>
      <w:r>
        <w:br/>
        <w:t>zur Festl</w:t>
      </w:r>
      <w:r>
        <w:t>e</w:t>
      </w:r>
      <w:r>
        <w:t>gung von Leitlinien für Überwachung und Berichterstattung betreffend Treibha</w:t>
      </w:r>
      <w:bookmarkStart w:id="1" w:name="_GoBack"/>
      <w:bookmarkEnd w:id="1"/>
      <w:r>
        <w:t>usga</w:t>
      </w:r>
      <w:r>
        <w:t>s</w:t>
      </w:r>
      <w:r>
        <w:t>emissionen gemäß der Richtlinie 2003/87/EG des Europäischen Parlaments und des Rates</w:t>
      </w:r>
      <w:bookmarkEnd w:id="0"/>
    </w:p>
    <w:p>
      <w:pPr>
        <w:pStyle w:val="GesAbsatz"/>
        <w:jc w:val="center"/>
        <w:rPr>
          <w:rFonts w:cs="Arial"/>
          <w:i/>
          <w:iCs/>
        </w:rPr>
      </w:pPr>
      <w:r>
        <w:rPr>
          <w:rFonts w:cs="Arial"/>
          <w:i/>
          <w:iCs/>
        </w:rPr>
        <w:t>(Bekannt gegeben unter Aktenzeichen K(2004) 130)</w:t>
      </w:r>
    </w:p>
    <w:p>
      <w:pPr>
        <w:pStyle w:val="GesAbsatz"/>
        <w:jc w:val="center"/>
        <w:rPr>
          <w:rFonts w:cs="Arial"/>
          <w:szCs w:val="17"/>
        </w:rPr>
      </w:pPr>
      <w:r>
        <w:rPr>
          <w:rFonts w:cs="Arial"/>
          <w:szCs w:val="17"/>
        </w:rPr>
        <w:t>(Text von Bedeutung für den EWR)</w:t>
      </w:r>
    </w:p>
    <w:p>
      <w:pPr>
        <w:pStyle w:val="GesAbsatz"/>
        <w:rPr>
          <w:b/>
          <w:i/>
          <w:color w:val="FF0000"/>
          <w:sz w:val="22"/>
          <w:szCs w:val="22"/>
        </w:rPr>
      </w:pPr>
      <w:r>
        <w:rPr>
          <w:b/>
          <w:i/>
          <w:color w:val="FF0000"/>
          <w:sz w:val="22"/>
          <w:szCs w:val="22"/>
        </w:rPr>
        <w:t>Aufgehoben durch Entscheidung 2007/589/EG - Monitoring-Leitlinien</w:t>
      </w:r>
    </w:p>
    <w:p>
      <w:pPr>
        <w:pStyle w:val="GesAbsatz"/>
        <w:jc w:val="center"/>
        <w:rPr>
          <w:noProof/>
        </w:rPr>
      </w:pPr>
      <w:r>
        <w:rPr>
          <w:rFonts w:cs="Arial"/>
          <w:b/>
          <w:bCs/>
          <w:sz w:val="22"/>
          <w:szCs w:val="17"/>
        </w:rPr>
        <w:t>Inhalt:</w:t>
      </w:r>
      <w:r>
        <w:rPr>
          <w:rFonts w:cs="Arial"/>
          <w:b/>
          <w:bCs/>
          <w:sz w:val="22"/>
          <w:szCs w:val="17"/>
        </w:rPr>
        <w:fldChar w:fldCharType="begin"/>
      </w:r>
      <w:r>
        <w:rPr>
          <w:rFonts w:cs="Arial"/>
          <w:b/>
          <w:bCs/>
          <w:sz w:val="22"/>
          <w:szCs w:val="17"/>
        </w:rPr>
        <w:instrText xml:space="preserve"> TOC \o "1-3" \h \z </w:instrText>
      </w:r>
      <w:r>
        <w:rPr>
          <w:rFonts w:cs="Arial"/>
          <w:b/>
          <w:bCs/>
          <w:sz w:val="22"/>
          <w:szCs w:val="17"/>
        </w:rPr>
        <w:fldChar w:fldCharType="separate"/>
      </w:r>
    </w:p>
    <w:p>
      <w:pPr>
        <w:pStyle w:val="Verzeichnis1"/>
        <w:tabs>
          <w:tab w:val="right" w:leader="dot" w:pos="9396"/>
        </w:tabs>
        <w:rPr>
          <w:b w:val="0"/>
          <w:bCs w:val="0"/>
          <w:caps w:val="0"/>
          <w:noProof/>
          <w:sz w:val="24"/>
        </w:rPr>
      </w:pPr>
      <w:hyperlink w:anchor="_Toc67281916" w:history="1">
        <w:r>
          <w:rPr>
            <w:rStyle w:val="Hyperlink"/>
            <w:noProof/>
            <w:szCs w:val="28"/>
          </w:rPr>
          <w:t>ENTSCHEIDUNG DER KOMMISSION vom 29. Januar 2004</w:t>
        </w:r>
        <w:r>
          <w:rPr>
            <w:noProof/>
            <w:webHidden/>
          </w:rPr>
          <w:tab/>
        </w:r>
        <w:r>
          <w:rPr>
            <w:noProof/>
            <w:webHidden/>
          </w:rPr>
          <w:fldChar w:fldCharType="begin"/>
        </w:r>
        <w:r>
          <w:rPr>
            <w:noProof/>
            <w:webHidden/>
          </w:rPr>
          <w:instrText xml:space="preserve"> PAGEREF _Toc67281916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396"/>
        </w:tabs>
        <w:rPr>
          <w:smallCaps w:val="0"/>
          <w:noProof/>
          <w:sz w:val="24"/>
        </w:rPr>
      </w:pPr>
      <w:hyperlink w:anchor="_Toc67281917" w:history="1">
        <w:r>
          <w:rPr>
            <w:rStyle w:val="Hyperlink"/>
            <w:noProof/>
          </w:rPr>
          <w:t>Artikel 1</w:t>
        </w:r>
        <w:r>
          <w:rPr>
            <w:noProof/>
            <w:webHidden/>
          </w:rPr>
          <w:tab/>
        </w:r>
        <w:r>
          <w:rPr>
            <w:noProof/>
            <w:webHidden/>
          </w:rPr>
          <w:fldChar w:fldCharType="begin"/>
        </w:r>
        <w:r>
          <w:rPr>
            <w:noProof/>
            <w:webHidden/>
          </w:rPr>
          <w:instrText xml:space="preserve"> PAGEREF _Toc67281917 \h </w:instrText>
        </w:r>
        <w:r>
          <w:rPr>
            <w:noProof/>
          </w:rPr>
        </w:r>
        <w:r>
          <w:rPr>
            <w:noProof/>
            <w:webHidden/>
          </w:rPr>
          <w:fldChar w:fldCharType="separate"/>
        </w:r>
        <w:r>
          <w:rPr>
            <w:noProof/>
            <w:webHidden/>
          </w:rPr>
          <w:t>2</w:t>
        </w:r>
        <w:r>
          <w:rPr>
            <w:noProof/>
            <w:webHidden/>
          </w:rPr>
          <w:fldChar w:fldCharType="end"/>
        </w:r>
      </w:hyperlink>
    </w:p>
    <w:p>
      <w:pPr>
        <w:pStyle w:val="Verzeichnis2"/>
        <w:tabs>
          <w:tab w:val="right" w:leader="dot" w:pos="9396"/>
        </w:tabs>
        <w:rPr>
          <w:smallCaps w:val="0"/>
          <w:noProof/>
          <w:sz w:val="24"/>
        </w:rPr>
      </w:pPr>
      <w:hyperlink w:anchor="_Toc67281918" w:history="1">
        <w:r>
          <w:rPr>
            <w:rStyle w:val="Hyperlink"/>
            <w:noProof/>
          </w:rPr>
          <w:t>Artikel 2</w:t>
        </w:r>
        <w:r>
          <w:rPr>
            <w:noProof/>
            <w:webHidden/>
          </w:rPr>
          <w:tab/>
        </w:r>
        <w:r>
          <w:rPr>
            <w:noProof/>
            <w:webHidden/>
          </w:rPr>
          <w:fldChar w:fldCharType="begin"/>
        </w:r>
        <w:r>
          <w:rPr>
            <w:noProof/>
            <w:webHidden/>
          </w:rPr>
          <w:instrText xml:space="preserve"> PAGEREF _Toc67281918 \h </w:instrText>
        </w:r>
        <w:r>
          <w:rPr>
            <w:noProof/>
          </w:rPr>
        </w:r>
        <w:r>
          <w:rPr>
            <w:noProof/>
            <w:webHidden/>
          </w:rPr>
          <w:fldChar w:fldCharType="separate"/>
        </w:r>
        <w:r>
          <w:rPr>
            <w:noProof/>
            <w:webHidden/>
          </w:rPr>
          <w:t>2</w:t>
        </w:r>
        <w:r>
          <w:rPr>
            <w:noProof/>
            <w:webHidden/>
          </w:rPr>
          <w:fldChar w:fldCharType="end"/>
        </w:r>
      </w:hyperlink>
    </w:p>
    <w:p>
      <w:pPr>
        <w:pStyle w:val="Verzeichnis3"/>
        <w:tabs>
          <w:tab w:val="right" w:leader="dot" w:pos="9396"/>
        </w:tabs>
        <w:rPr>
          <w:i w:val="0"/>
          <w:iCs w:val="0"/>
          <w:noProof/>
          <w:sz w:val="24"/>
        </w:rPr>
      </w:pPr>
      <w:hyperlink w:anchor="_Toc67281919" w:history="1">
        <w:r>
          <w:rPr>
            <w:rStyle w:val="Hyperlink"/>
            <w:noProof/>
          </w:rPr>
          <w:t xml:space="preserve">ANHANG I </w:t>
        </w:r>
        <w:r>
          <w:rPr>
            <w:rStyle w:val="Hyperlink"/>
            <w:bCs/>
            <w:noProof/>
          </w:rPr>
          <w:t>Allgemeine Leitlinien</w:t>
        </w:r>
        <w:r>
          <w:rPr>
            <w:noProof/>
            <w:webHidden/>
          </w:rPr>
          <w:tab/>
        </w:r>
        <w:r>
          <w:rPr>
            <w:noProof/>
            <w:webHidden/>
          </w:rPr>
          <w:fldChar w:fldCharType="begin"/>
        </w:r>
        <w:r>
          <w:rPr>
            <w:noProof/>
            <w:webHidden/>
          </w:rPr>
          <w:instrText xml:space="preserve"> PAGEREF _Toc67281919 \h </w:instrText>
        </w:r>
        <w:r>
          <w:rPr>
            <w:noProof/>
          </w:rPr>
        </w:r>
        <w:r>
          <w:rPr>
            <w:noProof/>
            <w:webHidden/>
          </w:rPr>
          <w:fldChar w:fldCharType="separate"/>
        </w:r>
        <w:r>
          <w:rPr>
            <w:noProof/>
            <w:webHidden/>
          </w:rPr>
          <w:t>3</w:t>
        </w:r>
        <w:r>
          <w:rPr>
            <w:noProof/>
            <w:webHidden/>
          </w:rPr>
          <w:fldChar w:fldCharType="end"/>
        </w:r>
      </w:hyperlink>
    </w:p>
    <w:p>
      <w:pPr>
        <w:pStyle w:val="Verzeichnis3"/>
        <w:tabs>
          <w:tab w:val="right" w:leader="dot" w:pos="9396"/>
        </w:tabs>
        <w:rPr>
          <w:i w:val="0"/>
          <w:iCs w:val="0"/>
          <w:noProof/>
          <w:sz w:val="24"/>
        </w:rPr>
      </w:pPr>
      <w:hyperlink w:anchor="_Toc67281920" w:history="1">
        <w:r>
          <w:rPr>
            <w:rStyle w:val="Hyperlink"/>
            <w:noProof/>
          </w:rPr>
          <w:t>ANHA</w:t>
        </w:r>
        <w:r>
          <w:rPr>
            <w:rStyle w:val="Hyperlink"/>
            <w:noProof/>
          </w:rPr>
          <w:t>N</w:t>
        </w:r>
        <w:r>
          <w:rPr>
            <w:rStyle w:val="Hyperlink"/>
            <w:noProof/>
          </w:rPr>
          <w:t>G II Leitlinien für Emissionen aus der Verbrennung im Zusammenhang mit den in Anhang I der Richtlinie aufgelisteten Tätigkeiten</w:t>
        </w:r>
        <w:r>
          <w:rPr>
            <w:noProof/>
            <w:webHidden/>
          </w:rPr>
          <w:tab/>
        </w:r>
        <w:r>
          <w:rPr>
            <w:noProof/>
            <w:webHidden/>
          </w:rPr>
          <w:fldChar w:fldCharType="begin"/>
        </w:r>
        <w:r>
          <w:rPr>
            <w:noProof/>
            <w:webHidden/>
          </w:rPr>
          <w:instrText xml:space="preserve"> PAGEREF _Toc67281920 \h </w:instrText>
        </w:r>
        <w:r>
          <w:rPr>
            <w:noProof/>
          </w:rPr>
        </w:r>
        <w:r>
          <w:rPr>
            <w:noProof/>
            <w:webHidden/>
          </w:rPr>
          <w:fldChar w:fldCharType="separate"/>
        </w:r>
        <w:r>
          <w:rPr>
            <w:noProof/>
            <w:webHidden/>
          </w:rPr>
          <w:t>38</w:t>
        </w:r>
        <w:r>
          <w:rPr>
            <w:noProof/>
            <w:webHidden/>
          </w:rPr>
          <w:fldChar w:fldCharType="end"/>
        </w:r>
      </w:hyperlink>
    </w:p>
    <w:p>
      <w:pPr>
        <w:pStyle w:val="Verzeichnis3"/>
        <w:tabs>
          <w:tab w:val="right" w:leader="dot" w:pos="9396"/>
        </w:tabs>
        <w:rPr>
          <w:i w:val="0"/>
          <w:iCs w:val="0"/>
          <w:noProof/>
          <w:sz w:val="24"/>
        </w:rPr>
      </w:pPr>
      <w:hyperlink w:anchor="_Toc67281921" w:history="1">
        <w:r>
          <w:rPr>
            <w:rStyle w:val="Hyperlink"/>
            <w:noProof/>
          </w:rPr>
          <w:t xml:space="preserve">ANHANG III </w:t>
        </w:r>
        <w:r>
          <w:rPr>
            <w:rStyle w:val="Hyperlink"/>
            <w:bCs/>
            <w:noProof/>
          </w:rPr>
          <w:t>Tätigkeitsspezifische Leitlinien für Mineralölraffinerien gemäß Anhang I der Richtlinie</w:t>
        </w:r>
        <w:r>
          <w:rPr>
            <w:noProof/>
            <w:webHidden/>
          </w:rPr>
          <w:tab/>
        </w:r>
        <w:r>
          <w:rPr>
            <w:noProof/>
            <w:webHidden/>
          </w:rPr>
          <w:fldChar w:fldCharType="begin"/>
        </w:r>
        <w:r>
          <w:rPr>
            <w:noProof/>
            <w:webHidden/>
          </w:rPr>
          <w:instrText xml:space="preserve"> PAGEREF _Toc67281921 \h </w:instrText>
        </w:r>
        <w:r>
          <w:rPr>
            <w:noProof/>
          </w:rPr>
        </w:r>
        <w:r>
          <w:rPr>
            <w:noProof/>
            <w:webHidden/>
          </w:rPr>
          <w:fldChar w:fldCharType="separate"/>
        </w:r>
        <w:r>
          <w:rPr>
            <w:noProof/>
            <w:webHidden/>
          </w:rPr>
          <w:t>44</w:t>
        </w:r>
        <w:r>
          <w:rPr>
            <w:noProof/>
            <w:webHidden/>
          </w:rPr>
          <w:fldChar w:fldCharType="end"/>
        </w:r>
      </w:hyperlink>
    </w:p>
    <w:p>
      <w:pPr>
        <w:pStyle w:val="Verzeichnis3"/>
        <w:tabs>
          <w:tab w:val="right" w:leader="dot" w:pos="9396"/>
        </w:tabs>
        <w:rPr>
          <w:i w:val="0"/>
          <w:iCs w:val="0"/>
          <w:noProof/>
          <w:sz w:val="24"/>
        </w:rPr>
      </w:pPr>
      <w:hyperlink w:anchor="_Toc67281922" w:history="1">
        <w:r>
          <w:rPr>
            <w:rStyle w:val="Hyperlink"/>
            <w:noProof/>
          </w:rPr>
          <w:t>ANHANG IV Tätigkeitsspezifische Leitlinien für Kokereien gemäß Anhang I der Richtlinie</w:t>
        </w:r>
        <w:r>
          <w:rPr>
            <w:noProof/>
            <w:webHidden/>
          </w:rPr>
          <w:tab/>
        </w:r>
        <w:r>
          <w:rPr>
            <w:noProof/>
            <w:webHidden/>
          </w:rPr>
          <w:fldChar w:fldCharType="begin"/>
        </w:r>
        <w:r>
          <w:rPr>
            <w:noProof/>
            <w:webHidden/>
          </w:rPr>
          <w:instrText xml:space="preserve"> PAGEREF _Toc67281922 \h </w:instrText>
        </w:r>
        <w:r>
          <w:rPr>
            <w:noProof/>
          </w:rPr>
        </w:r>
        <w:r>
          <w:rPr>
            <w:noProof/>
            <w:webHidden/>
          </w:rPr>
          <w:fldChar w:fldCharType="separate"/>
        </w:r>
        <w:r>
          <w:rPr>
            <w:noProof/>
            <w:webHidden/>
          </w:rPr>
          <w:t>48</w:t>
        </w:r>
        <w:r>
          <w:rPr>
            <w:noProof/>
            <w:webHidden/>
          </w:rPr>
          <w:fldChar w:fldCharType="end"/>
        </w:r>
      </w:hyperlink>
    </w:p>
    <w:p>
      <w:pPr>
        <w:pStyle w:val="Verzeichnis3"/>
        <w:tabs>
          <w:tab w:val="right" w:leader="dot" w:pos="9396"/>
        </w:tabs>
        <w:rPr>
          <w:i w:val="0"/>
          <w:iCs w:val="0"/>
          <w:noProof/>
          <w:sz w:val="24"/>
        </w:rPr>
      </w:pPr>
      <w:hyperlink w:anchor="_Toc67281923" w:history="1">
        <w:r>
          <w:rPr>
            <w:rStyle w:val="Hyperlink"/>
            <w:noProof/>
          </w:rPr>
          <w:t>ANHANG V Tätigkeitsspezifische Leitlinien für Röst- und Sinteranlagen für Metallerz gemäß Anhang I der Richtlinie</w:t>
        </w:r>
        <w:r>
          <w:rPr>
            <w:noProof/>
            <w:webHidden/>
          </w:rPr>
          <w:tab/>
        </w:r>
        <w:r>
          <w:rPr>
            <w:noProof/>
            <w:webHidden/>
          </w:rPr>
          <w:fldChar w:fldCharType="begin"/>
        </w:r>
        <w:r>
          <w:rPr>
            <w:noProof/>
            <w:webHidden/>
          </w:rPr>
          <w:instrText xml:space="preserve"> PAGEREF _Toc67281923 \h </w:instrText>
        </w:r>
        <w:r>
          <w:rPr>
            <w:noProof/>
          </w:rPr>
        </w:r>
        <w:r>
          <w:rPr>
            <w:noProof/>
            <w:webHidden/>
          </w:rPr>
          <w:fldChar w:fldCharType="separate"/>
        </w:r>
        <w:r>
          <w:rPr>
            <w:noProof/>
            <w:webHidden/>
          </w:rPr>
          <w:t>52</w:t>
        </w:r>
        <w:r>
          <w:rPr>
            <w:noProof/>
            <w:webHidden/>
          </w:rPr>
          <w:fldChar w:fldCharType="end"/>
        </w:r>
      </w:hyperlink>
    </w:p>
    <w:p>
      <w:pPr>
        <w:pStyle w:val="Verzeichnis3"/>
        <w:tabs>
          <w:tab w:val="right" w:leader="dot" w:pos="9396"/>
        </w:tabs>
        <w:rPr>
          <w:i w:val="0"/>
          <w:iCs w:val="0"/>
          <w:noProof/>
          <w:sz w:val="24"/>
        </w:rPr>
      </w:pPr>
      <w:hyperlink w:anchor="_Toc67281924" w:history="1">
        <w:r>
          <w:rPr>
            <w:rStyle w:val="Hyperlink"/>
            <w:noProof/>
          </w:rPr>
          <w:t xml:space="preserve">ANHANG VI </w:t>
        </w:r>
        <w:r>
          <w:rPr>
            <w:rStyle w:val="Hyperlink"/>
            <w:bCs/>
            <w:noProof/>
          </w:rPr>
          <w:t>Tätigkeitsspezifische Leitlinien für Anlagen für die Herstellung von Roheisen oder Stahl, einschließlich Stranggießen, gemäß Anhang I der Richtlinie</w:t>
        </w:r>
        <w:r>
          <w:rPr>
            <w:noProof/>
            <w:webHidden/>
          </w:rPr>
          <w:tab/>
        </w:r>
        <w:r>
          <w:rPr>
            <w:noProof/>
            <w:webHidden/>
          </w:rPr>
          <w:fldChar w:fldCharType="begin"/>
        </w:r>
        <w:r>
          <w:rPr>
            <w:noProof/>
            <w:webHidden/>
          </w:rPr>
          <w:instrText xml:space="preserve"> PAGEREF _Toc67281924 \h </w:instrText>
        </w:r>
        <w:r>
          <w:rPr>
            <w:noProof/>
          </w:rPr>
        </w:r>
        <w:r>
          <w:rPr>
            <w:noProof/>
            <w:webHidden/>
          </w:rPr>
          <w:fldChar w:fldCharType="separate"/>
        </w:r>
        <w:r>
          <w:rPr>
            <w:noProof/>
            <w:webHidden/>
          </w:rPr>
          <w:t>55</w:t>
        </w:r>
        <w:r>
          <w:rPr>
            <w:noProof/>
            <w:webHidden/>
          </w:rPr>
          <w:fldChar w:fldCharType="end"/>
        </w:r>
      </w:hyperlink>
    </w:p>
    <w:p>
      <w:pPr>
        <w:pStyle w:val="Verzeichnis3"/>
        <w:tabs>
          <w:tab w:val="right" w:leader="dot" w:pos="9396"/>
        </w:tabs>
        <w:rPr>
          <w:i w:val="0"/>
          <w:iCs w:val="0"/>
          <w:noProof/>
          <w:sz w:val="24"/>
        </w:rPr>
      </w:pPr>
      <w:hyperlink w:anchor="_Toc67281925" w:history="1">
        <w:r>
          <w:rPr>
            <w:rStyle w:val="Hyperlink"/>
            <w:noProof/>
          </w:rPr>
          <w:t>ANHANG VII Tätigkeitsspezifische Leitlinien für Anlagen zur Herstellung von Zementklinker gemäß Anhang I der Richtlinie</w:t>
        </w:r>
        <w:r>
          <w:rPr>
            <w:noProof/>
            <w:webHidden/>
          </w:rPr>
          <w:tab/>
        </w:r>
        <w:r>
          <w:rPr>
            <w:noProof/>
            <w:webHidden/>
          </w:rPr>
          <w:fldChar w:fldCharType="begin"/>
        </w:r>
        <w:r>
          <w:rPr>
            <w:noProof/>
            <w:webHidden/>
          </w:rPr>
          <w:instrText xml:space="preserve"> PAGEREF _Toc67281925 \h </w:instrText>
        </w:r>
        <w:r>
          <w:rPr>
            <w:noProof/>
          </w:rPr>
        </w:r>
        <w:r>
          <w:rPr>
            <w:noProof/>
            <w:webHidden/>
          </w:rPr>
          <w:fldChar w:fldCharType="separate"/>
        </w:r>
        <w:r>
          <w:rPr>
            <w:noProof/>
            <w:webHidden/>
          </w:rPr>
          <w:t>59</w:t>
        </w:r>
        <w:r>
          <w:rPr>
            <w:noProof/>
            <w:webHidden/>
          </w:rPr>
          <w:fldChar w:fldCharType="end"/>
        </w:r>
      </w:hyperlink>
    </w:p>
    <w:p>
      <w:pPr>
        <w:pStyle w:val="Verzeichnis3"/>
        <w:tabs>
          <w:tab w:val="right" w:leader="dot" w:pos="9396"/>
        </w:tabs>
        <w:rPr>
          <w:i w:val="0"/>
          <w:iCs w:val="0"/>
          <w:noProof/>
          <w:sz w:val="24"/>
        </w:rPr>
      </w:pPr>
      <w:hyperlink w:anchor="_Toc67281926" w:history="1">
        <w:r>
          <w:rPr>
            <w:rStyle w:val="Hyperlink"/>
            <w:noProof/>
          </w:rPr>
          <w:t xml:space="preserve">ANHANG VIII </w:t>
        </w:r>
        <w:r>
          <w:rPr>
            <w:rStyle w:val="Hyperlink"/>
            <w:bCs/>
            <w:noProof/>
          </w:rPr>
          <w:t>Tätigkeitsspezifische Leitlinien für Anlagen zur Herstellung von Kalk gemäß Anhang I der Richtlinie</w:t>
        </w:r>
        <w:r>
          <w:rPr>
            <w:noProof/>
            <w:webHidden/>
          </w:rPr>
          <w:tab/>
        </w:r>
        <w:r>
          <w:rPr>
            <w:noProof/>
            <w:webHidden/>
          </w:rPr>
          <w:fldChar w:fldCharType="begin"/>
        </w:r>
        <w:r>
          <w:rPr>
            <w:noProof/>
            <w:webHidden/>
          </w:rPr>
          <w:instrText xml:space="preserve"> PAGEREF _Toc67281926 \h </w:instrText>
        </w:r>
        <w:r>
          <w:rPr>
            <w:noProof/>
          </w:rPr>
        </w:r>
        <w:r>
          <w:rPr>
            <w:noProof/>
            <w:webHidden/>
          </w:rPr>
          <w:fldChar w:fldCharType="separate"/>
        </w:r>
        <w:r>
          <w:rPr>
            <w:noProof/>
            <w:webHidden/>
          </w:rPr>
          <w:t>63</w:t>
        </w:r>
        <w:r>
          <w:rPr>
            <w:noProof/>
            <w:webHidden/>
          </w:rPr>
          <w:fldChar w:fldCharType="end"/>
        </w:r>
      </w:hyperlink>
    </w:p>
    <w:p>
      <w:pPr>
        <w:pStyle w:val="Verzeichnis3"/>
        <w:tabs>
          <w:tab w:val="right" w:leader="dot" w:pos="9396"/>
        </w:tabs>
        <w:rPr>
          <w:i w:val="0"/>
          <w:iCs w:val="0"/>
          <w:noProof/>
          <w:sz w:val="24"/>
        </w:rPr>
      </w:pPr>
      <w:hyperlink w:anchor="_Toc67281927" w:history="1">
        <w:r>
          <w:rPr>
            <w:rStyle w:val="Hyperlink"/>
            <w:noProof/>
          </w:rPr>
          <w:t>ANHANG IX Tätigkeitsspezifische Leitlinien für Anlagen zur Herstellung von Glas gemäß Anhang I der Richtlinie</w:t>
        </w:r>
        <w:r>
          <w:rPr>
            <w:noProof/>
            <w:webHidden/>
          </w:rPr>
          <w:tab/>
        </w:r>
        <w:r>
          <w:rPr>
            <w:noProof/>
            <w:webHidden/>
          </w:rPr>
          <w:fldChar w:fldCharType="begin"/>
        </w:r>
        <w:r>
          <w:rPr>
            <w:noProof/>
            <w:webHidden/>
          </w:rPr>
          <w:instrText xml:space="preserve"> PAGEREF _Toc67281927 \h </w:instrText>
        </w:r>
        <w:r>
          <w:rPr>
            <w:noProof/>
          </w:rPr>
        </w:r>
        <w:r>
          <w:rPr>
            <w:noProof/>
            <w:webHidden/>
          </w:rPr>
          <w:fldChar w:fldCharType="separate"/>
        </w:r>
        <w:r>
          <w:rPr>
            <w:noProof/>
            <w:webHidden/>
          </w:rPr>
          <w:t>66</w:t>
        </w:r>
        <w:r>
          <w:rPr>
            <w:noProof/>
            <w:webHidden/>
          </w:rPr>
          <w:fldChar w:fldCharType="end"/>
        </w:r>
      </w:hyperlink>
    </w:p>
    <w:p>
      <w:pPr>
        <w:pStyle w:val="Verzeichnis3"/>
        <w:tabs>
          <w:tab w:val="right" w:leader="dot" w:pos="9396"/>
        </w:tabs>
        <w:rPr>
          <w:i w:val="0"/>
          <w:iCs w:val="0"/>
          <w:noProof/>
          <w:sz w:val="24"/>
        </w:rPr>
      </w:pPr>
      <w:hyperlink w:anchor="_Toc67281928" w:history="1">
        <w:r>
          <w:rPr>
            <w:rStyle w:val="Hyperlink"/>
            <w:noProof/>
          </w:rPr>
          <w:t xml:space="preserve">ANHANG X Tätigkeitsspezifische Leitlinien für Anlagen zur Herstellung von keramischen Erzeugnissen gemäß Anhang I </w:t>
        </w:r>
        <w:r>
          <w:rPr>
            <w:rStyle w:val="Hyperlink"/>
            <w:rFonts w:cs="Arial"/>
            <w:bCs/>
            <w:noProof/>
          </w:rPr>
          <w:t>der Richtlinie</w:t>
        </w:r>
        <w:r>
          <w:rPr>
            <w:noProof/>
            <w:webHidden/>
          </w:rPr>
          <w:tab/>
        </w:r>
        <w:r>
          <w:rPr>
            <w:noProof/>
            <w:webHidden/>
          </w:rPr>
          <w:fldChar w:fldCharType="begin"/>
        </w:r>
        <w:r>
          <w:rPr>
            <w:noProof/>
            <w:webHidden/>
          </w:rPr>
          <w:instrText xml:space="preserve"> PAGEREF _Toc67281928 \h </w:instrText>
        </w:r>
        <w:r>
          <w:rPr>
            <w:noProof/>
          </w:rPr>
        </w:r>
        <w:r>
          <w:rPr>
            <w:noProof/>
            <w:webHidden/>
          </w:rPr>
          <w:fldChar w:fldCharType="separate"/>
        </w:r>
        <w:r>
          <w:rPr>
            <w:noProof/>
            <w:webHidden/>
          </w:rPr>
          <w:t>70</w:t>
        </w:r>
        <w:r>
          <w:rPr>
            <w:noProof/>
            <w:webHidden/>
          </w:rPr>
          <w:fldChar w:fldCharType="end"/>
        </w:r>
      </w:hyperlink>
    </w:p>
    <w:p>
      <w:pPr>
        <w:pStyle w:val="Verzeichnis3"/>
        <w:tabs>
          <w:tab w:val="right" w:leader="dot" w:pos="9396"/>
        </w:tabs>
        <w:rPr>
          <w:i w:val="0"/>
          <w:iCs w:val="0"/>
          <w:noProof/>
          <w:sz w:val="24"/>
        </w:rPr>
      </w:pPr>
      <w:hyperlink w:anchor="_Toc67281929" w:history="1">
        <w:r>
          <w:rPr>
            <w:rStyle w:val="Hyperlink"/>
            <w:noProof/>
          </w:rPr>
          <w:t>ANHANG XI Tätigkeitsspezifische Leitlinien für Anlagen zur Herstellung von Zellstoff und Papier gemäß Anhang I der Richtlinie</w:t>
        </w:r>
        <w:r>
          <w:rPr>
            <w:noProof/>
            <w:webHidden/>
          </w:rPr>
          <w:tab/>
        </w:r>
        <w:r>
          <w:rPr>
            <w:noProof/>
            <w:webHidden/>
          </w:rPr>
          <w:fldChar w:fldCharType="begin"/>
        </w:r>
        <w:r>
          <w:rPr>
            <w:noProof/>
            <w:webHidden/>
          </w:rPr>
          <w:instrText xml:space="preserve"> PAGEREF _Toc67281929 \h </w:instrText>
        </w:r>
        <w:r>
          <w:rPr>
            <w:noProof/>
          </w:rPr>
        </w:r>
        <w:r>
          <w:rPr>
            <w:noProof/>
            <w:webHidden/>
          </w:rPr>
          <w:fldChar w:fldCharType="separate"/>
        </w:r>
        <w:r>
          <w:rPr>
            <w:noProof/>
            <w:webHidden/>
          </w:rPr>
          <w:t>74</w:t>
        </w:r>
        <w:r>
          <w:rPr>
            <w:noProof/>
            <w:webHidden/>
          </w:rPr>
          <w:fldChar w:fldCharType="end"/>
        </w:r>
      </w:hyperlink>
    </w:p>
    <w:p>
      <w:pPr>
        <w:pStyle w:val="GesAbsatz"/>
        <w:jc w:val="both"/>
        <w:rPr>
          <w:rFonts w:cs="Arial"/>
          <w:szCs w:val="17"/>
        </w:rPr>
      </w:pPr>
      <w:r>
        <w:rPr>
          <w:rFonts w:cs="Arial"/>
          <w:b/>
          <w:bCs/>
          <w:sz w:val="22"/>
          <w:szCs w:val="17"/>
        </w:rPr>
        <w:fldChar w:fldCharType="end"/>
      </w:r>
    </w:p>
    <w:p>
      <w:pPr>
        <w:pStyle w:val="GesAbsatz"/>
        <w:jc w:val="both"/>
        <w:rPr>
          <w:rFonts w:cs="Arial"/>
          <w:szCs w:val="17"/>
        </w:rPr>
      </w:pPr>
      <w:r>
        <w:rPr>
          <w:rFonts w:cs="Arial"/>
          <w:szCs w:val="17"/>
        </w:rPr>
        <w:t>DIE KOMMISSION DER EUROPÄISCHEN GEMEINSCHAFTEN -</w:t>
      </w:r>
    </w:p>
    <w:p>
      <w:pPr>
        <w:pStyle w:val="GesAbsatz"/>
        <w:jc w:val="both"/>
        <w:rPr>
          <w:rFonts w:cs="Arial"/>
        </w:rPr>
      </w:pPr>
      <w:r>
        <w:rPr>
          <w:rFonts w:cs="Arial"/>
        </w:rPr>
        <w:t>gestützt auf den Vertrag zur Grü</w:t>
      </w:r>
      <w:r>
        <w:rPr>
          <w:rFonts w:cs="Arial"/>
        </w:rPr>
        <w:t>n</w:t>
      </w:r>
      <w:r>
        <w:rPr>
          <w:rFonts w:cs="Arial"/>
        </w:rPr>
        <w:t>dung der Europäischen Gemeinschaft,</w:t>
      </w:r>
    </w:p>
    <w:p>
      <w:pPr>
        <w:pStyle w:val="GesAbsatz"/>
        <w:jc w:val="both"/>
        <w:rPr>
          <w:rFonts w:cs="Arial"/>
        </w:rPr>
      </w:pPr>
      <w:r>
        <w:rPr>
          <w:rFonts w:cs="Arial"/>
        </w:rPr>
        <w:t>gestützt auf die Richtlinie 2003/87/EG des Europäischen Parlaments und des Rates vom 13. Okt</w:t>
      </w:r>
      <w:r>
        <w:rPr>
          <w:rFonts w:cs="Arial"/>
        </w:rPr>
        <w:t>o</w:t>
      </w:r>
      <w:r>
        <w:rPr>
          <w:rFonts w:cs="Arial"/>
        </w:rPr>
        <w:t>ber 2003 über ein System für den Handel mit Treibhausgasemissionszertifikaten in der Gemeinschaft und zur Änd</w:t>
      </w:r>
      <w:r>
        <w:rPr>
          <w:rFonts w:cs="Arial"/>
        </w:rPr>
        <w:t>e</w:t>
      </w:r>
      <w:r>
        <w:rPr>
          <w:rFonts w:cs="Arial"/>
        </w:rPr>
        <w:t>rung der Richtlinie 96/61/EG des Rates</w:t>
      </w:r>
      <w:r>
        <w:rPr>
          <w:rStyle w:val="Funotenzeichen"/>
          <w:rFonts w:cs="Arial"/>
        </w:rPr>
        <w:footnoteReference w:id="1"/>
      </w:r>
      <w:r>
        <w:rPr>
          <w:rFonts w:cs="Arial"/>
        </w:rPr>
        <w:t>, insbesondere auf Artikel 14 Absatz 1, in Erwägung nac</w:t>
      </w:r>
      <w:r>
        <w:rPr>
          <w:rFonts w:cs="Arial"/>
        </w:rPr>
        <w:t>h</w:t>
      </w:r>
      <w:r>
        <w:rPr>
          <w:rFonts w:cs="Arial"/>
        </w:rPr>
        <w:t>stehender Gründe:</w:t>
      </w:r>
    </w:p>
    <w:p>
      <w:pPr>
        <w:pStyle w:val="GesAbsatz"/>
        <w:jc w:val="both"/>
        <w:rPr>
          <w:rFonts w:cs="Arial"/>
        </w:rPr>
      </w:pPr>
      <w:r>
        <w:rPr>
          <w:rFonts w:cs="Arial"/>
          <w:szCs w:val="17"/>
        </w:rPr>
        <w:t xml:space="preserve">(1) </w:t>
      </w:r>
      <w:r>
        <w:rPr>
          <w:rFonts w:cs="Arial"/>
        </w:rPr>
        <w:t>Eine umfassende, kohärente, transparente und genaue Überwachung von Treibhausgasemissionen und eine entsprechende Berichterstattung gemäß diesen Leitlinien sind Voraussetzung für den Betrieb des mit der Richtlinie 2003/87/EG geschaffenen Systems für den Handel mit Treibhausgasemissionszert</w:t>
      </w:r>
      <w:r>
        <w:rPr>
          <w:rFonts w:cs="Arial"/>
        </w:rPr>
        <w:t>i</w:t>
      </w:r>
      <w:r>
        <w:rPr>
          <w:rFonts w:cs="Arial"/>
        </w:rPr>
        <w:t>fikaten.</w:t>
      </w:r>
    </w:p>
    <w:p>
      <w:pPr>
        <w:pStyle w:val="GesAbsatz"/>
        <w:jc w:val="both"/>
        <w:rPr>
          <w:rFonts w:cs="Arial"/>
        </w:rPr>
      </w:pPr>
      <w:r>
        <w:rPr>
          <w:rFonts w:cs="Arial"/>
          <w:szCs w:val="17"/>
        </w:rPr>
        <w:t xml:space="preserve">(2) </w:t>
      </w:r>
      <w:r>
        <w:rPr>
          <w:rFonts w:cs="Arial"/>
        </w:rPr>
        <w:t>Die in dieser Entscheidung beschriebenen Leitlinien enthalten detaillierte Kriterien für die Überw</w:t>
      </w:r>
      <w:r>
        <w:rPr>
          <w:rFonts w:cs="Arial"/>
        </w:rPr>
        <w:t>a</w:t>
      </w:r>
      <w:r>
        <w:rPr>
          <w:rFonts w:cs="Arial"/>
        </w:rPr>
        <w:t>chung und Berichterstattung betreffend Treibhausgasemissionen, die infolge der in Anhang I der Richtl</w:t>
      </w:r>
      <w:r>
        <w:rPr>
          <w:rFonts w:cs="Arial"/>
        </w:rPr>
        <w:t>i</w:t>
      </w:r>
      <w:r>
        <w:rPr>
          <w:rFonts w:cs="Arial"/>
        </w:rPr>
        <w:t>nie 2003/87/EG aufgeführten Tätigkeiten entstehen und die im Zusammenhang mit diesen Tätigkeiten spez</w:t>
      </w:r>
      <w:r>
        <w:rPr>
          <w:rFonts w:cs="Arial"/>
        </w:rPr>
        <w:t>i</w:t>
      </w:r>
      <w:r>
        <w:rPr>
          <w:rFonts w:cs="Arial"/>
        </w:rPr>
        <w:t>fizierte Treibhausgase betreffen, wobei die in Anhang IV dieser Richtlinie dargelegten Prinzipien für die Überwachung und Berichterstattung als Grundlage dienen.</w:t>
      </w:r>
    </w:p>
    <w:p>
      <w:pPr>
        <w:pStyle w:val="GesAbsatz"/>
        <w:jc w:val="both"/>
        <w:rPr>
          <w:rFonts w:cs="Arial"/>
        </w:rPr>
      </w:pPr>
      <w:r>
        <w:rPr>
          <w:rFonts w:cs="Arial"/>
          <w:szCs w:val="17"/>
        </w:rPr>
        <w:t xml:space="preserve">(3) </w:t>
      </w:r>
      <w:r>
        <w:rPr>
          <w:rFonts w:cs="Arial"/>
        </w:rPr>
        <w:t>Gemäß Artikel 15 der Richtlinie 2003/87/EG stellen die Mitgliedstaaten sicher, dass die von den Betre</w:t>
      </w:r>
      <w:r>
        <w:rPr>
          <w:rFonts w:cs="Arial"/>
        </w:rPr>
        <w:t>i</w:t>
      </w:r>
      <w:r>
        <w:rPr>
          <w:rFonts w:cs="Arial"/>
        </w:rPr>
        <w:t>bern vorgelegten Berichte anhand der Kriterien von Anhang V geprüft werden.</w:t>
      </w:r>
    </w:p>
    <w:p>
      <w:pPr>
        <w:pStyle w:val="GesAbsatz"/>
        <w:jc w:val="both"/>
        <w:rPr>
          <w:rFonts w:cs="Arial"/>
        </w:rPr>
      </w:pPr>
      <w:r>
        <w:rPr>
          <w:rFonts w:cs="Arial"/>
          <w:szCs w:val="17"/>
        </w:rPr>
        <w:lastRenderedPageBreak/>
        <w:t xml:space="preserve">(4) </w:t>
      </w:r>
      <w:r>
        <w:rPr>
          <w:rFonts w:cs="Arial"/>
        </w:rPr>
        <w:t>Die Maßnahmen dieser Entscheidung stehen im Einklang mit der Stellungnahme des gemäß Artikel 8 des Beschlusses 93/389/EWG des Rates</w:t>
      </w:r>
      <w:r>
        <w:rPr>
          <w:rStyle w:val="Funotenzeichen"/>
          <w:rFonts w:cs="Arial"/>
        </w:rPr>
        <w:footnoteReference w:id="2"/>
      </w:r>
      <w:r>
        <w:rPr>
          <w:rFonts w:cs="Arial"/>
        </w:rPr>
        <w:t xml:space="preserve"> eingesetzten Ausschusses -</w:t>
      </w:r>
    </w:p>
    <w:p>
      <w:pPr>
        <w:pStyle w:val="GesAbsatz"/>
        <w:jc w:val="both"/>
        <w:rPr>
          <w:rFonts w:cs="Arial"/>
          <w:szCs w:val="17"/>
        </w:rPr>
      </w:pPr>
      <w:r>
        <w:rPr>
          <w:rFonts w:cs="Arial"/>
          <w:szCs w:val="17"/>
        </w:rPr>
        <w:t>HAT FOLGENDE ENTSCHEIDUNG ERLASSEN:</w:t>
      </w:r>
    </w:p>
    <w:p>
      <w:pPr>
        <w:pStyle w:val="berschrift2"/>
      </w:pPr>
      <w:bookmarkStart w:id="2" w:name="_Toc67281917"/>
      <w:r>
        <w:t>Artikel 1</w:t>
      </w:r>
      <w:bookmarkEnd w:id="2"/>
    </w:p>
    <w:p>
      <w:pPr>
        <w:pStyle w:val="GesAbsatz"/>
        <w:jc w:val="both"/>
        <w:rPr>
          <w:rFonts w:cs="Arial"/>
        </w:rPr>
      </w:pPr>
      <w:r>
        <w:rPr>
          <w:rFonts w:cs="Arial"/>
        </w:rPr>
        <w:t>Die Anhänge dieser Entscheidung enthalten die in Artikel 14 der Richtlinie 2003/87/EG genannten Leitl</w:t>
      </w:r>
      <w:r>
        <w:rPr>
          <w:rFonts w:cs="Arial"/>
        </w:rPr>
        <w:t>i</w:t>
      </w:r>
      <w:r>
        <w:rPr>
          <w:rFonts w:cs="Arial"/>
        </w:rPr>
        <w:t>nien für die Überwachung und Berichterstattung betreffend Treibhausgasemissionen aus den in Anhang I dieser Richtlinie aufgeführten Tätigkeiten. Diese Leitlinien basieren auf den in Anhang IV dieser Richtlinie beschri</w:t>
      </w:r>
      <w:r>
        <w:rPr>
          <w:rFonts w:cs="Arial"/>
        </w:rPr>
        <w:t>e</w:t>
      </w:r>
      <w:r>
        <w:rPr>
          <w:rFonts w:cs="Arial"/>
        </w:rPr>
        <w:t>benen Prinzipien.</w:t>
      </w:r>
    </w:p>
    <w:p>
      <w:pPr>
        <w:pStyle w:val="berschrift2"/>
      </w:pPr>
      <w:bookmarkStart w:id="3" w:name="_Toc67281918"/>
      <w:r>
        <w:t>Artikel 2</w:t>
      </w:r>
      <w:bookmarkEnd w:id="3"/>
    </w:p>
    <w:p>
      <w:pPr>
        <w:pStyle w:val="GesAbsatz"/>
        <w:jc w:val="both"/>
        <w:rPr>
          <w:rFonts w:cs="Arial"/>
        </w:rPr>
      </w:pPr>
      <w:r>
        <w:rPr>
          <w:rFonts w:cs="Arial"/>
        </w:rPr>
        <w:t>Diese Entscheidung ist an die Mitgliedstaaten gerichtet.</w:t>
      </w:r>
    </w:p>
    <w:p>
      <w:pPr>
        <w:pStyle w:val="berschrift3"/>
        <w:jc w:val="left"/>
        <w:rPr>
          <w:bCs/>
        </w:rPr>
      </w:pPr>
      <w:r>
        <w:br w:type="page"/>
      </w:r>
      <w:bookmarkStart w:id="4" w:name="_Toc67281919"/>
      <w:r>
        <w:lastRenderedPageBreak/>
        <w:t>ANHANG I</w:t>
      </w:r>
      <w:r>
        <w:br/>
      </w:r>
      <w:r>
        <w:rPr>
          <w:bCs/>
        </w:rPr>
        <w:t>Allgemeine Leitlinien</w:t>
      </w:r>
      <w:bookmarkEnd w:id="4"/>
    </w:p>
    <w:p>
      <w:pPr>
        <w:pStyle w:val="GesAbsatz"/>
        <w:jc w:val="both"/>
        <w:rPr>
          <w:rFonts w:cs="Arial"/>
          <w:b/>
          <w:szCs w:val="17"/>
        </w:rPr>
      </w:pPr>
      <w:r>
        <w:rPr>
          <w:rFonts w:cs="Arial"/>
          <w:b/>
          <w:szCs w:val="17"/>
        </w:rPr>
        <w:t>1. EINLEITUNG</w:t>
      </w:r>
    </w:p>
    <w:p>
      <w:pPr>
        <w:pStyle w:val="GesAbsatz"/>
        <w:jc w:val="both"/>
        <w:rPr>
          <w:rFonts w:cs="Arial"/>
          <w:szCs w:val="17"/>
        </w:rPr>
      </w:pPr>
      <w:r>
        <w:rPr>
          <w:rFonts w:cs="Arial"/>
          <w:szCs w:val="17"/>
        </w:rPr>
        <w:t>Dieser Anhang enthält die allgemeinen Leitlinien für die Überwachung und Berichterstattung betreffend Emissionen aus den in Anhang I der Richtlinie 2003/86/EG (im Folgenden „die Richtlinie“) aufgeführten T</w:t>
      </w:r>
      <w:r>
        <w:rPr>
          <w:rFonts w:cs="Arial"/>
          <w:szCs w:val="17"/>
        </w:rPr>
        <w:t>ä</w:t>
      </w:r>
      <w:r>
        <w:rPr>
          <w:rFonts w:cs="Arial"/>
          <w:szCs w:val="17"/>
        </w:rPr>
        <w:t>tigkeiten von für diese Tätigkeiten spezifizierten Treibhausgasen. Weitere Leitlinien in Bezug auf tätigkeit</w:t>
      </w:r>
      <w:r>
        <w:rPr>
          <w:rFonts w:cs="Arial"/>
          <w:szCs w:val="17"/>
        </w:rPr>
        <w:t>s</w:t>
      </w:r>
      <w:r>
        <w:rPr>
          <w:rFonts w:cs="Arial"/>
          <w:szCs w:val="17"/>
        </w:rPr>
        <w:t>spezifische Emissionen sind in den nachfolgenden Anhängen II bis XI definiert.</w:t>
      </w:r>
    </w:p>
    <w:p>
      <w:pPr>
        <w:pStyle w:val="GesAbsatz"/>
        <w:jc w:val="both"/>
        <w:rPr>
          <w:rFonts w:cs="Arial"/>
          <w:szCs w:val="17"/>
        </w:rPr>
      </w:pPr>
      <w:r>
        <w:rPr>
          <w:rFonts w:cs="Arial"/>
          <w:szCs w:val="17"/>
        </w:rPr>
        <w:t>Die Kommission wird den vorliegenden Anhang sowie die Anhänge II bis XI zum 31. Dezember 2006 auf der Grundlage der Erfahrungen mit der Anwendung dieser Anhänge und eventueller Änderungen der Rich</w:t>
      </w:r>
      <w:r>
        <w:rPr>
          <w:rFonts w:cs="Arial"/>
          <w:szCs w:val="17"/>
        </w:rPr>
        <w:t>t</w:t>
      </w:r>
      <w:r>
        <w:rPr>
          <w:rFonts w:cs="Arial"/>
          <w:szCs w:val="17"/>
        </w:rPr>
        <w:t>linie 2003/87/EG überprüfen. Dabei wird ein Inkrafttreten der überarbeiteten Anhänge zum 1. Jan</w:t>
      </w:r>
      <w:r>
        <w:rPr>
          <w:rFonts w:cs="Arial"/>
          <w:szCs w:val="17"/>
        </w:rPr>
        <w:t>u</w:t>
      </w:r>
      <w:r>
        <w:rPr>
          <w:rFonts w:cs="Arial"/>
          <w:szCs w:val="17"/>
        </w:rPr>
        <w:t>ar 2008 ins Auge gefasst.</w:t>
      </w:r>
    </w:p>
    <w:p>
      <w:pPr>
        <w:pStyle w:val="GesAbsatz"/>
        <w:jc w:val="both"/>
        <w:rPr>
          <w:rFonts w:cs="Arial"/>
          <w:b/>
          <w:szCs w:val="17"/>
        </w:rPr>
      </w:pPr>
      <w:r>
        <w:rPr>
          <w:rFonts w:cs="Arial"/>
          <w:b/>
          <w:szCs w:val="17"/>
        </w:rPr>
        <w:t>2. BEGRIFFSBESTIMMUNGEN</w:t>
      </w:r>
    </w:p>
    <w:p>
      <w:pPr>
        <w:pStyle w:val="GesAbsatz"/>
        <w:jc w:val="both"/>
        <w:rPr>
          <w:rFonts w:cs="Arial"/>
          <w:szCs w:val="17"/>
        </w:rPr>
      </w:pPr>
      <w:r>
        <w:rPr>
          <w:rFonts w:cs="Arial"/>
          <w:szCs w:val="17"/>
        </w:rPr>
        <w:t>Im Sinne dieses Anhangs und der Anhänge II bis XI bezeichnet der Ausdruck</w:t>
      </w:r>
    </w:p>
    <w:p>
      <w:pPr>
        <w:pStyle w:val="GesAbsatz"/>
        <w:ind w:left="426" w:hanging="426"/>
        <w:jc w:val="both"/>
        <w:rPr>
          <w:rFonts w:cs="Arial"/>
          <w:szCs w:val="17"/>
        </w:rPr>
      </w:pPr>
      <w:r>
        <w:rPr>
          <w:rFonts w:cs="Arial"/>
          <w:szCs w:val="17"/>
        </w:rPr>
        <w:t>a)</w:t>
      </w:r>
      <w:r>
        <w:rPr>
          <w:rFonts w:cs="Arial"/>
          <w:szCs w:val="17"/>
        </w:rPr>
        <w:tab/>
        <w:t>„Tätigkeiten“ die in Anhang I der Richtlinie aufgeführten Tätigkeiten;</w:t>
      </w:r>
    </w:p>
    <w:p>
      <w:pPr>
        <w:pStyle w:val="GesAbsatz"/>
        <w:ind w:left="426" w:hanging="426"/>
        <w:jc w:val="both"/>
        <w:rPr>
          <w:rFonts w:cs="Arial"/>
          <w:szCs w:val="17"/>
        </w:rPr>
      </w:pPr>
      <w:r>
        <w:rPr>
          <w:rFonts w:cs="Arial"/>
          <w:szCs w:val="17"/>
        </w:rPr>
        <w:t>b)</w:t>
      </w:r>
      <w:r>
        <w:rPr>
          <w:rFonts w:cs="Arial"/>
          <w:szCs w:val="17"/>
        </w:rPr>
        <w:tab/>
        <w:t>„tätigkeitsspezifisch“ Eigenheiten, die für eine der in einer bestimmten Anlage durchgeführten Tätigke</w:t>
      </w:r>
      <w:r>
        <w:rPr>
          <w:rFonts w:cs="Arial"/>
          <w:szCs w:val="17"/>
        </w:rPr>
        <w:t>i</w:t>
      </w:r>
      <w:r>
        <w:rPr>
          <w:rFonts w:cs="Arial"/>
          <w:szCs w:val="17"/>
        </w:rPr>
        <w:t>ten spezifisch sind;</w:t>
      </w:r>
    </w:p>
    <w:p>
      <w:pPr>
        <w:pStyle w:val="GesAbsatz"/>
        <w:ind w:left="426" w:hanging="426"/>
        <w:jc w:val="both"/>
        <w:rPr>
          <w:rFonts w:cs="Arial"/>
          <w:szCs w:val="17"/>
        </w:rPr>
      </w:pPr>
      <w:r>
        <w:rPr>
          <w:rFonts w:cs="Arial"/>
          <w:szCs w:val="17"/>
        </w:rPr>
        <w:t>c)</w:t>
      </w:r>
      <w:r>
        <w:rPr>
          <w:rFonts w:cs="Arial"/>
          <w:szCs w:val="17"/>
        </w:rPr>
        <w:tab/>
        <w:t>„Charge“ eine bestimmte Brennstoff- oder Materialmenge, die als Einzellieferung oder kontinuierlich über einen bestimmten Zeitraum hinweg weitergeleitet wird. Chargen sind repräsentativen Probena</w:t>
      </w:r>
      <w:r>
        <w:rPr>
          <w:rFonts w:cs="Arial"/>
          <w:szCs w:val="17"/>
        </w:rPr>
        <w:t>h</w:t>
      </w:r>
      <w:r>
        <w:rPr>
          <w:rFonts w:cs="Arial"/>
          <w:szCs w:val="17"/>
        </w:rPr>
        <w:t>men zu unterziehen und im Hinblick auf den durchschnittlichen Energie- und Kohlenstoffgehalt sowie andere relevante Aspekte der chemischen Zusammensetzung zu beschreiben;</w:t>
      </w:r>
    </w:p>
    <w:p>
      <w:pPr>
        <w:pStyle w:val="GesAbsatz"/>
        <w:ind w:left="426" w:hanging="426"/>
        <w:jc w:val="both"/>
        <w:rPr>
          <w:rFonts w:cs="Arial"/>
          <w:szCs w:val="17"/>
        </w:rPr>
      </w:pPr>
      <w:r>
        <w:rPr>
          <w:rFonts w:cs="Arial"/>
          <w:szCs w:val="17"/>
        </w:rPr>
        <w:t>d)</w:t>
      </w:r>
      <w:r>
        <w:rPr>
          <w:rFonts w:cs="Arial"/>
          <w:szCs w:val="17"/>
        </w:rPr>
        <w:tab/>
        <w:t>„Biomasse“ nicht fossile und biologisch abbaubare, organische Stoffe von Pflanzen, Tieren und Mikroo</w:t>
      </w:r>
      <w:r>
        <w:rPr>
          <w:rFonts w:cs="Arial"/>
          <w:szCs w:val="17"/>
        </w:rPr>
        <w:t>r</w:t>
      </w:r>
      <w:r>
        <w:rPr>
          <w:rFonts w:cs="Arial"/>
          <w:szCs w:val="17"/>
        </w:rPr>
        <w:t>ganismen. Dazu zählen auch Erzeugnisse, Nebenprodukte, Rückstände und Abfälle aus der Landwir</w:t>
      </w:r>
      <w:r>
        <w:rPr>
          <w:rFonts w:cs="Arial"/>
          <w:szCs w:val="17"/>
        </w:rPr>
        <w:t>t</w:t>
      </w:r>
      <w:r>
        <w:rPr>
          <w:rFonts w:cs="Arial"/>
          <w:szCs w:val="17"/>
        </w:rPr>
        <w:t>schaft, Forstwirtschaft und den damit verbundenen Industrien sowie der nicht fossile, biologisch abba</w:t>
      </w:r>
      <w:r>
        <w:rPr>
          <w:rFonts w:cs="Arial"/>
          <w:szCs w:val="17"/>
        </w:rPr>
        <w:t>u</w:t>
      </w:r>
      <w:r>
        <w:rPr>
          <w:rFonts w:cs="Arial"/>
          <w:szCs w:val="17"/>
        </w:rPr>
        <w:t>bare, organische Anteil industrieller und kommunaler Abfälle. „Biomasse“ bezeichnet ferner Gase und Flüssigkeiten, die aus der Zersetzung nicht fossiler und biologisch abbaubarer, organischer Stoffe en</w:t>
      </w:r>
      <w:r>
        <w:rPr>
          <w:rFonts w:cs="Arial"/>
          <w:szCs w:val="17"/>
        </w:rPr>
        <w:t>t</w:t>
      </w:r>
      <w:r>
        <w:rPr>
          <w:rFonts w:cs="Arial"/>
          <w:szCs w:val="17"/>
        </w:rPr>
        <w:t>stehen. Werden diese zur Energiegewinnung verbrannt, werden sie als Biomasse-Brennstoff bezeic</w:t>
      </w:r>
      <w:r>
        <w:rPr>
          <w:rFonts w:cs="Arial"/>
          <w:szCs w:val="17"/>
        </w:rPr>
        <w:t>h</w:t>
      </w:r>
      <w:r>
        <w:rPr>
          <w:rFonts w:cs="Arial"/>
          <w:szCs w:val="17"/>
        </w:rPr>
        <w:t>net;</w:t>
      </w:r>
    </w:p>
    <w:p>
      <w:pPr>
        <w:pStyle w:val="GesAbsatz"/>
        <w:ind w:left="426" w:hanging="426"/>
        <w:jc w:val="both"/>
        <w:rPr>
          <w:rFonts w:cs="Arial"/>
          <w:szCs w:val="17"/>
        </w:rPr>
      </w:pPr>
      <w:r>
        <w:rPr>
          <w:rFonts w:cs="Arial"/>
          <w:szCs w:val="17"/>
        </w:rPr>
        <w:t>e)</w:t>
      </w:r>
      <w:r>
        <w:rPr>
          <w:rFonts w:cs="Arial"/>
          <w:szCs w:val="17"/>
        </w:rPr>
        <w:tab/>
        <w:t>„Emissionen aus der Verbrennung“ Treibhausgasemissionen, die während der exothermen Reaktion eines Brennstoffs mit Sauerstoff entstehen;</w:t>
      </w:r>
    </w:p>
    <w:p>
      <w:pPr>
        <w:pStyle w:val="GesAbsatz"/>
        <w:ind w:left="426" w:hanging="426"/>
        <w:jc w:val="both"/>
        <w:rPr>
          <w:rFonts w:cs="Arial"/>
          <w:szCs w:val="17"/>
        </w:rPr>
      </w:pPr>
      <w:r>
        <w:rPr>
          <w:rFonts w:cs="Arial"/>
          <w:szCs w:val="17"/>
        </w:rPr>
        <w:t>f)</w:t>
      </w:r>
      <w:r>
        <w:rPr>
          <w:rFonts w:cs="Arial"/>
          <w:szCs w:val="17"/>
        </w:rPr>
        <w:tab/>
        <w:t>„zuständige Behörde“ die Einrichtung bzw. Einrichtungen, die in Übereinstimmung mit Artikel 18 der Richtlinie ernannt und mit der Umsetzung der Bestimmungen der vorliegenden Entscheidung betraut wurde(n);</w:t>
      </w:r>
    </w:p>
    <w:p>
      <w:pPr>
        <w:pStyle w:val="GesAbsatz"/>
        <w:ind w:left="426" w:hanging="426"/>
        <w:jc w:val="both"/>
        <w:rPr>
          <w:rFonts w:cs="Arial"/>
          <w:szCs w:val="17"/>
        </w:rPr>
      </w:pPr>
      <w:r>
        <w:rPr>
          <w:rFonts w:cs="Arial"/>
          <w:szCs w:val="17"/>
        </w:rPr>
        <w:t>g)</w:t>
      </w:r>
      <w:r>
        <w:rPr>
          <w:rFonts w:cs="Arial"/>
          <w:szCs w:val="17"/>
        </w:rPr>
        <w:tab/>
        <w:t>„Emissionen“ die Freisetzung von Treibhausgasen in die Atmosphäre aus Quellen in einer Anlage g</w:t>
      </w:r>
      <w:r>
        <w:rPr>
          <w:rFonts w:cs="Arial"/>
          <w:szCs w:val="17"/>
        </w:rPr>
        <w:t>e</w:t>
      </w:r>
      <w:r>
        <w:rPr>
          <w:rFonts w:cs="Arial"/>
          <w:szCs w:val="17"/>
        </w:rPr>
        <w:t>mäß der Richtlinie;</w:t>
      </w:r>
    </w:p>
    <w:p>
      <w:pPr>
        <w:pStyle w:val="GesAbsatz"/>
        <w:ind w:left="426" w:hanging="426"/>
        <w:jc w:val="both"/>
        <w:rPr>
          <w:rFonts w:cs="Arial"/>
          <w:szCs w:val="17"/>
        </w:rPr>
      </w:pPr>
      <w:r>
        <w:rPr>
          <w:rFonts w:cs="Arial"/>
          <w:szCs w:val="17"/>
        </w:rPr>
        <w:t>h)</w:t>
      </w:r>
      <w:r>
        <w:rPr>
          <w:rFonts w:cs="Arial"/>
          <w:szCs w:val="17"/>
        </w:rPr>
        <w:tab/>
        <w:t>„Treibhausgase“ die in Anhang II der Richtlinie aufgeführten Gase;</w:t>
      </w:r>
    </w:p>
    <w:p>
      <w:pPr>
        <w:pStyle w:val="GesAbsatz"/>
        <w:ind w:left="426" w:hanging="426"/>
        <w:jc w:val="both"/>
        <w:rPr>
          <w:rFonts w:cs="Arial"/>
          <w:szCs w:val="17"/>
        </w:rPr>
      </w:pPr>
      <w:r>
        <w:rPr>
          <w:rFonts w:cs="Arial"/>
          <w:szCs w:val="17"/>
        </w:rPr>
        <w:t>i)</w:t>
      </w:r>
      <w:r>
        <w:rPr>
          <w:rFonts w:cs="Arial"/>
          <w:szCs w:val="17"/>
        </w:rPr>
        <w:tab/>
        <w:t>„Genehmigung zur Emission von Treibhausgasen“ bzw. „Genehmigung“ eine Genehmigung im Si</w:t>
      </w:r>
      <w:r>
        <w:rPr>
          <w:rFonts w:cs="Arial"/>
          <w:szCs w:val="17"/>
        </w:rPr>
        <w:t>n</w:t>
      </w:r>
      <w:r>
        <w:rPr>
          <w:rFonts w:cs="Arial"/>
          <w:szCs w:val="17"/>
        </w:rPr>
        <w:t>ne von Artikel 4 der Richtlinie, die gemäß den Artikeln 5 und 6 der Richtlinie erteilt wird;</w:t>
      </w:r>
    </w:p>
    <w:p>
      <w:pPr>
        <w:pStyle w:val="GesAbsatz"/>
        <w:ind w:left="426" w:hanging="426"/>
        <w:jc w:val="both"/>
        <w:rPr>
          <w:rFonts w:cs="Arial"/>
          <w:szCs w:val="17"/>
        </w:rPr>
      </w:pPr>
      <w:r>
        <w:rPr>
          <w:rFonts w:cs="Arial"/>
          <w:szCs w:val="17"/>
        </w:rPr>
        <w:t>j)</w:t>
      </w:r>
      <w:r>
        <w:rPr>
          <w:rFonts w:cs="Arial"/>
          <w:szCs w:val="17"/>
        </w:rPr>
        <w:tab/>
        <w:t>„Anlage“ eine ortsfeste technische Einheit, in der eine oder mehrere der in Anhang I der Richtlinie g</w:t>
      </w:r>
      <w:r>
        <w:rPr>
          <w:rFonts w:cs="Arial"/>
          <w:szCs w:val="17"/>
        </w:rPr>
        <w:t>e</w:t>
      </w:r>
      <w:r>
        <w:rPr>
          <w:rFonts w:cs="Arial"/>
          <w:szCs w:val="17"/>
        </w:rPr>
        <w:t>nannten Tätigkeiten sowie andere unmittelbar damit verbundene Tätigkeiten durchgeführt werden, die mit den an diesem Standort durchgeführten Tätigkeiten in einem technischen Zusammenhang stehen und die im Sinne der Richtlinie Auswirkungen auf die Emissionen und die Umweltverschmutzung h</w:t>
      </w:r>
      <w:r>
        <w:rPr>
          <w:rFonts w:cs="Arial"/>
          <w:szCs w:val="17"/>
        </w:rPr>
        <w:t>a</w:t>
      </w:r>
      <w:r>
        <w:rPr>
          <w:rFonts w:cs="Arial"/>
          <w:szCs w:val="17"/>
        </w:rPr>
        <w:t>ben können;</w:t>
      </w:r>
    </w:p>
    <w:p>
      <w:pPr>
        <w:pStyle w:val="GesAbsatz"/>
        <w:ind w:left="426" w:hanging="426"/>
        <w:jc w:val="both"/>
        <w:rPr>
          <w:rFonts w:cs="Arial"/>
          <w:szCs w:val="17"/>
        </w:rPr>
      </w:pPr>
      <w:r>
        <w:rPr>
          <w:rFonts w:cs="Arial"/>
          <w:szCs w:val="17"/>
        </w:rPr>
        <w:t>k)</w:t>
      </w:r>
      <w:r>
        <w:rPr>
          <w:rFonts w:cs="Arial"/>
          <w:szCs w:val="17"/>
        </w:rPr>
        <w:tab/>
        <w:t>„Grad der Gewissheit“ das Maß, in dem sich die prüfende Instanz sicher ist, in ihrem Abschlussb</w:t>
      </w:r>
      <w:r>
        <w:rPr>
          <w:rFonts w:cs="Arial"/>
          <w:szCs w:val="17"/>
        </w:rPr>
        <w:t>e</w:t>
      </w:r>
      <w:r>
        <w:rPr>
          <w:rFonts w:cs="Arial"/>
          <w:szCs w:val="17"/>
        </w:rPr>
        <w:t>richt belegen bzw. widerlegen zu können, dass die über eine Anlage vorgelegten Informationen insgesamt gesehen keine wesentlich falschen Angaben enthalten;</w:t>
      </w:r>
    </w:p>
    <w:p>
      <w:pPr>
        <w:pStyle w:val="GesAbsatz"/>
        <w:ind w:left="426" w:hanging="426"/>
        <w:jc w:val="both"/>
        <w:rPr>
          <w:rFonts w:cs="Arial"/>
          <w:szCs w:val="17"/>
        </w:rPr>
      </w:pPr>
      <w:r>
        <w:rPr>
          <w:rFonts w:cs="Arial"/>
          <w:szCs w:val="17"/>
        </w:rPr>
        <w:t>l)</w:t>
      </w:r>
      <w:r>
        <w:rPr>
          <w:rFonts w:cs="Arial"/>
          <w:szCs w:val="17"/>
        </w:rPr>
        <w:tab/>
        <w:t>„Wesentlichkeit“ die professionelle Einschätzung der prüfenden Instanz, ob Auslassungen, Falschda</w:t>
      </w:r>
      <w:r>
        <w:rPr>
          <w:rFonts w:cs="Arial"/>
          <w:szCs w:val="17"/>
        </w:rPr>
        <w:t>r</w:t>
      </w:r>
      <w:r>
        <w:rPr>
          <w:rFonts w:cs="Arial"/>
          <w:szCs w:val="17"/>
        </w:rPr>
        <w:t>stellungen oder Fehler in den zu einer Anlage übermittelten Informationen für sich oder zusammen die Entscheidungen der Adressaten maßgeblich beeinflussen können. Als grober Anhaltspunkt gilt, dass die prüfende Instanz eine falsche Angabe bezüglich der Gesamtemissionen dann als wesentlich b</w:t>
      </w:r>
      <w:r>
        <w:rPr>
          <w:rFonts w:cs="Arial"/>
          <w:szCs w:val="17"/>
        </w:rPr>
        <w:t>e</w:t>
      </w:r>
      <w:r>
        <w:rPr>
          <w:rFonts w:cs="Arial"/>
          <w:szCs w:val="17"/>
        </w:rPr>
        <w:t xml:space="preserve">zeichnen </w:t>
      </w:r>
      <w:r>
        <w:rPr>
          <w:rFonts w:cs="Arial"/>
          <w:szCs w:val="17"/>
        </w:rPr>
        <w:lastRenderedPageBreak/>
        <w:t>wird, wenn durch diese die Zahl der Auslassungen, Falschdarstellungen oder Fehler in Bezug auf die Gesamtemissionen 5 % überschreitet;</w:t>
      </w:r>
    </w:p>
    <w:p>
      <w:pPr>
        <w:pStyle w:val="GesAbsatz"/>
        <w:ind w:left="426" w:hanging="426"/>
        <w:jc w:val="both"/>
        <w:rPr>
          <w:rFonts w:cs="Arial"/>
          <w:szCs w:val="17"/>
        </w:rPr>
      </w:pPr>
      <w:r>
        <w:rPr>
          <w:rFonts w:cs="Arial"/>
          <w:szCs w:val="17"/>
        </w:rPr>
        <w:t>m)</w:t>
      </w:r>
      <w:r>
        <w:rPr>
          <w:rFonts w:cs="Arial"/>
          <w:szCs w:val="17"/>
        </w:rPr>
        <w:tab/>
        <w:t>„Überwachungsmethode“ die für die Bestimmung der Emissionen verwendete Methode, wobei zw</w:t>
      </w:r>
      <w:r>
        <w:rPr>
          <w:rFonts w:cs="Arial"/>
          <w:szCs w:val="17"/>
        </w:rPr>
        <w:t>i</w:t>
      </w:r>
      <w:r>
        <w:rPr>
          <w:rFonts w:cs="Arial"/>
          <w:szCs w:val="17"/>
        </w:rPr>
        <w:t>schen einer Überwachung durch Berechnung oder einer Überwachung auf der Grundlage von Messu</w:t>
      </w:r>
      <w:r>
        <w:rPr>
          <w:rFonts w:cs="Arial"/>
          <w:szCs w:val="17"/>
        </w:rPr>
        <w:t>n</w:t>
      </w:r>
      <w:r>
        <w:rPr>
          <w:rFonts w:cs="Arial"/>
          <w:szCs w:val="17"/>
        </w:rPr>
        <w:t>gen zu wählen ist und eine Auswahl geeigneter „Ebenen“ getroffen werden muss;</w:t>
      </w:r>
    </w:p>
    <w:p>
      <w:pPr>
        <w:pStyle w:val="GesAbsatz"/>
        <w:ind w:left="426" w:hanging="426"/>
        <w:jc w:val="both"/>
        <w:rPr>
          <w:rFonts w:cs="Arial"/>
          <w:szCs w:val="17"/>
        </w:rPr>
      </w:pPr>
      <w:r>
        <w:rPr>
          <w:rFonts w:cs="Arial"/>
          <w:szCs w:val="17"/>
        </w:rPr>
        <w:t>n)</w:t>
      </w:r>
      <w:r>
        <w:rPr>
          <w:rFonts w:cs="Arial"/>
          <w:szCs w:val="17"/>
        </w:rPr>
        <w:tab/>
        <w:t>„Betreiber“ eine Person, die eine Anlage betreibt oder besitzt oder der - sofern in den nationalen Recht</w:t>
      </w:r>
      <w:r>
        <w:rPr>
          <w:rFonts w:cs="Arial"/>
          <w:szCs w:val="17"/>
        </w:rPr>
        <w:t>s</w:t>
      </w:r>
      <w:r>
        <w:rPr>
          <w:rFonts w:cs="Arial"/>
          <w:szCs w:val="17"/>
        </w:rPr>
        <w:t>vorschriften vorgesehen - die ausschlaggebende wirtschaftliche Verfügungsmacht über den technischen Betrieb einer Anlage übertragen worden ist, wie in der Richtlinie definiert;</w:t>
      </w:r>
    </w:p>
    <w:p>
      <w:pPr>
        <w:pStyle w:val="GesAbsatz"/>
        <w:ind w:left="426" w:hanging="426"/>
        <w:jc w:val="both"/>
        <w:rPr>
          <w:rFonts w:cs="Arial"/>
          <w:szCs w:val="17"/>
        </w:rPr>
      </w:pPr>
      <w:r>
        <w:rPr>
          <w:rFonts w:cs="Arial"/>
          <w:szCs w:val="17"/>
        </w:rPr>
        <w:t>o)</w:t>
      </w:r>
      <w:r>
        <w:rPr>
          <w:rFonts w:cs="Arial"/>
          <w:szCs w:val="17"/>
        </w:rPr>
        <w:tab/>
        <w:t>„Prozessemissionen“ Treibhausgasemissionen, bei denen es sich nicht um „Emissionen aus der Ve</w:t>
      </w:r>
      <w:r>
        <w:rPr>
          <w:rFonts w:cs="Arial"/>
          <w:szCs w:val="17"/>
        </w:rPr>
        <w:t>r</w:t>
      </w:r>
      <w:r>
        <w:rPr>
          <w:rFonts w:cs="Arial"/>
          <w:szCs w:val="17"/>
        </w:rPr>
        <w:t>brennung“ handelt und die durch eine beabsichtigte bzw. unbeabsichtigte Reaktion zwischen Stoffen oder durch deren Umwandlung entstehen, u. a. durch die chemische oder elektrolytische Reduktion vom Metallerzen, die thermische Zersetzung von Stoffen und die Produktion von Stoffen zur Verwe</w:t>
      </w:r>
      <w:r>
        <w:rPr>
          <w:rFonts w:cs="Arial"/>
          <w:szCs w:val="17"/>
        </w:rPr>
        <w:t>n</w:t>
      </w:r>
      <w:r>
        <w:rPr>
          <w:rFonts w:cs="Arial"/>
          <w:szCs w:val="17"/>
        </w:rPr>
        <w:t>dung als Produkt oder Ausgangsmaterial;</w:t>
      </w:r>
    </w:p>
    <w:p>
      <w:pPr>
        <w:pStyle w:val="GesAbsatz"/>
        <w:ind w:left="426" w:hanging="426"/>
        <w:jc w:val="both"/>
        <w:rPr>
          <w:rFonts w:cs="Arial"/>
          <w:szCs w:val="17"/>
        </w:rPr>
      </w:pPr>
      <w:r>
        <w:rPr>
          <w:rFonts w:cs="Arial"/>
          <w:szCs w:val="17"/>
        </w:rPr>
        <w:t>p)</w:t>
      </w:r>
      <w:r>
        <w:rPr>
          <w:rFonts w:cs="Arial"/>
          <w:szCs w:val="17"/>
        </w:rPr>
        <w:tab/>
        <w:t>„Berichtszeitraum“ den Zeitraum, in dem die Emissionen zu überwachen sind bzw. in dem über diese gemäß Artikel 14 Absatz 3 der Richtlinie Bericht zu erstatten ist. Dabei handelt es sich jeweils um ein Kalenderjahr;</w:t>
      </w:r>
    </w:p>
    <w:p>
      <w:pPr>
        <w:pStyle w:val="GesAbsatz"/>
        <w:ind w:left="426" w:hanging="426"/>
        <w:jc w:val="both"/>
        <w:rPr>
          <w:rFonts w:cs="Arial"/>
          <w:szCs w:val="17"/>
        </w:rPr>
      </w:pPr>
      <w:r>
        <w:rPr>
          <w:rFonts w:cs="Arial"/>
          <w:szCs w:val="17"/>
        </w:rPr>
        <w:t>q)</w:t>
      </w:r>
      <w:r>
        <w:rPr>
          <w:rFonts w:cs="Arial"/>
          <w:szCs w:val="17"/>
        </w:rPr>
        <w:tab/>
        <w:t>„Quelle“ einen bestimmten, feststellbaren Punkt oder Prozess in einer Anlage, durch den Treibhausg</w:t>
      </w:r>
      <w:r>
        <w:rPr>
          <w:rFonts w:cs="Arial"/>
          <w:szCs w:val="17"/>
        </w:rPr>
        <w:t>a</w:t>
      </w:r>
      <w:r>
        <w:rPr>
          <w:rFonts w:cs="Arial"/>
          <w:szCs w:val="17"/>
        </w:rPr>
        <w:t>se freigesetzt werden;</w:t>
      </w:r>
    </w:p>
    <w:p>
      <w:pPr>
        <w:pStyle w:val="GesAbsatz"/>
        <w:ind w:left="426" w:hanging="426"/>
        <w:jc w:val="both"/>
        <w:rPr>
          <w:rFonts w:cs="Arial"/>
          <w:szCs w:val="17"/>
        </w:rPr>
      </w:pPr>
      <w:r>
        <w:rPr>
          <w:rFonts w:cs="Arial"/>
          <w:szCs w:val="17"/>
        </w:rPr>
        <w:t>r)</w:t>
      </w:r>
      <w:r>
        <w:rPr>
          <w:rFonts w:cs="Arial"/>
          <w:szCs w:val="17"/>
        </w:rPr>
        <w:tab/>
        <w:t>„Ebenenkonzept“ eine spezifische Methode zur Ermittlung von Tätigkeitsdaten, Emissionsfaktoren und Oxidations- oder Umsetzungsfaktoren. Aus den verschiedenen Ebenenkonzepten, die hierarchisch au</w:t>
      </w:r>
      <w:r>
        <w:rPr>
          <w:rFonts w:cs="Arial"/>
          <w:szCs w:val="17"/>
        </w:rPr>
        <w:t>f</w:t>
      </w:r>
      <w:r>
        <w:rPr>
          <w:rFonts w:cs="Arial"/>
          <w:szCs w:val="17"/>
        </w:rPr>
        <w:t>einander aufbauen, kann in Einklang mit den vorliegenden Leitlinien eine geeignete Auswahl getroffen werden;</w:t>
      </w:r>
    </w:p>
    <w:p>
      <w:pPr>
        <w:pStyle w:val="GesAbsatz"/>
        <w:ind w:left="426" w:hanging="426"/>
        <w:jc w:val="both"/>
        <w:rPr>
          <w:rFonts w:cs="Arial"/>
          <w:szCs w:val="17"/>
        </w:rPr>
      </w:pPr>
      <w:r>
        <w:rPr>
          <w:rFonts w:cs="Arial"/>
          <w:szCs w:val="17"/>
        </w:rPr>
        <w:t>s)</w:t>
      </w:r>
      <w:r>
        <w:rPr>
          <w:rFonts w:cs="Arial"/>
          <w:szCs w:val="17"/>
        </w:rPr>
        <w:tab/>
        <w:t>„prüfende Instanz“ eine geeignete, unabhängige, akkreditierte Prüfungseinrichtung, die in Übereinsti</w:t>
      </w:r>
      <w:r>
        <w:rPr>
          <w:rFonts w:cs="Arial"/>
          <w:szCs w:val="17"/>
        </w:rPr>
        <w:t>m</w:t>
      </w:r>
      <w:r>
        <w:rPr>
          <w:rFonts w:cs="Arial"/>
          <w:szCs w:val="17"/>
        </w:rPr>
        <w:t>mung mit den Rechts- und Verwaltungsvorschriften, die gemäß Anhang V der Richtlinie von den Mi</w:t>
      </w:r>
      <w:r>
        <w:rPr>
          <w:rFonts w:cs="Arial"/>
          <w:szCs w:val="17"/>
        </w:rPr>
        <w:t>t</w:t>
      </w:r>
      <w:r>
        <w:rPr>
          <w:rFonts w:cs="Arial"/>
          <w:szCs w:val="17"/>
        </w:rPr>
        <w:t>gliedstaaten zu erarbeiten sind, für die Durchführung des Prüfungsverfahrens und die diesbezügliche Berichterstattung verantwortlich ist.</w:t>
      </w:r>
    </w:p>
    <w:p>
      <w:pPr>
        <w:pStyle w:val="GesAbsatz"/>
        <w:jc w:val="both"/>
        <w:rPr>
          <w:rFonts w:cs="Arial"/>
          <w:b/>
          <w:szCs w:val="17"/>
        </w:rPr>
      </w:pPr>
      <w:r>
        <w:rPr>
          <w:rFonts w:cs="Arial"/>
          <w:b/>
          <w:szCs w:val="17"/>
        </w:rPr>
        <w:t>3. GRUNDSÄTZE FÜR DIE ÜBERWACHUNG UND BERICHTERSTATTUNG</w:t>
      </w:r>
    </w:p>
    <w:p>
      <w:pPr>
        <w:pStyle w:val="GesAbsatz"/>
        <w:jc w:val="both"/>
        <w:rPr>
          <w:rFonts w:cs="Arial"/>
          <w:szCs w:val="17"/>
        </w:rPr>
      </w:pPr>
      <w:r>
        <w:rPr>
          <w:rFonts w:cs="Arial"/>
          <w:szCs w:val="17"/>
        </w:rPr>
        <w:t>Um eine genaue und nachprüfbare Überwachung und Berichterstattung bezüglich der Treibhausgasemissi</w:t>
      </w:r>
      <w:r>
        <w:rPr>
          <w:rFonts w:cs="Arial"/>
          <w:szCs w:val="17"/>
        </w:rPr>
        <w:t>o</w:t>
      </w:r>
      <w:r>
        <w:rPr>
          <w:rFonts w:cs="Arial"/>
          <w:szCs w:val="17"/>
        </w:rPr>
        <w:t>nen im Sinne der Richtlinie zu gewährleisten, sind in Bezug auf die Überwachung und Berichterstattung fo</w:t>
      </w:r>
      <w:r>
        <w:rPr>
          <w:rFonts w:cs="Arial"/>
          <w:szCs w:val="17"/>
        </w:rPr>
        <w:t>l</w:t>
      </w:r>
      <w:r>
        <w:rPr>
          <w:rFonts w:cs="Arial"/>
          <w:szCs w:val="17"/>
        </w:rPr>
        <w:t>gende Grundsätze zu beachten:</w:t>
      </w:r>
    </w:p>
    <w:p>
      <w:pPr>
        <w:pStyle w:val="GesAbsatz"/>
        <w:jc w:val="both"/>
        <w:rPr>
          <w:rFonts w:cs="Arial"/>
          <w:szCs w:val="17"/>
        </w:rPr>
      </w:pPr>
      <w:r>
        <w:rPr>
          <w:rFonts w:cs="Arial"/>
          <w:i/>
          <w:iCs/>
          <w:szCs w:val="17"/>
        </w:rPr>
        <w:t>Vollständigkeit</w:t>
      </w:r>
      <w:r>
        <w:rPr>
          <w:rFonts w:cs="Arial"/>
          <w:szCs w:val="17"/>
        </w:rPr>
        <w:t>. Bei der Überwachung einer Anlage sowie der diesbezüglichen Berichterstattung sind alle Emissionsquellen und alle Emissionen aus Prozessen und aus der Verbrennung zu erfassen, die im Zusa</w:t>
      </w:r>
      <w:r>
        <w:rPr>
          <w:rFonts w:cs="Arial"/>
          <w:szCs w:val="17"/>
        </w:rPr>
        <w:t>m</w:t>
      </w:r>
      <w:r>
        <w:rPr>
          <w:rFonts w:cs="Arial"/>
          <w:szCs w:val="17"/>
        </w:rPr>
        <w:t>menhang mit den in Anhang I der Richtlinie genannten Tätigkeiten entstehen. Dies gilt auch für alle Trei</w:t>
      </w:r>
      <w:r>
        <w:rPr>
          <w:rFonts w:cs="Arial"/>
          <w:szCs w:val="17"/>
        </w:rPr>
        <w:t>b</w:t>
      </w:r>
      <w:r>
        <w:rPr>
          <w:rFonts w:cs="Arial"/>
          <w:szCs w:val="17"/>
        </w:rPr>
        <w:t>hausgasemissionen, die für eben diese Tätigkeiten spezifiziert sind.</w:t>
      </w:r>
    </w:p>
    <w:p>
      <w:pPr>
        <w:pStyle w:val="GesAbsatz"/>
        <w:jc w:val="both"/>
        <w:rPr>
          <w:rFonts w:cs="Arial"/>
          <w:szCs w:val="17"/>
        </w:rPr>
      </w:pPr>
      <w:r>
        <w:rPr>
          <w:rFonts w:cs="Arial"/>
          <w:i/>
          <w:iCs/>
          <w:szCs w:val="17"/>
        </w:rPr>
        <w:t>Konsistenz</w:t>
      </w:r>
      <w:r>
        <w:rPr>
          <w:rFonts w:cs="Arial"/>
          <w:szCs w:val="17"/>
        </w:rPr>
        <w:t>. Die Vergleichbarkeit der überwachten und gemeldeten Emissionen in der Zeitreihe muss g</w:t>
      </w:r>
      <w:r>
        <w:rPr>
          <w:rFonts w:cs="Arial"/>
          <w:szCs w:val="17"/>
        </w:rPr>
        <w:t>e</w:t>
      </w:r>
      <w:r>
        <w:rPr>
          <w:rFonts w:cs="Arial"/>
          <w:szCs w:val="17"/>
        </w:rPr>
        <w:t>währleistet sein, indem stets dieselben Überwachungsmethoden und Datensätze verwendet werden. Die Überw</w:t>
      </w:r>
      <w:r>
        <w:rPr>
          <w:rFonts w:cs="Arial"/>
          <w:szCs w:val="17"/>
        </w:rPr>
        <w:t>a</w:t>
      </w:r>
      <w:r>
        <w:rPr>
          <w:rFonts w:cs="Arial"/>
          <w:szCs w:val="17"/>
        </w:rPr>
        <w:t>chungsmethoden können in Übereinstimmung mit den Vorgaben dieser Leitlinien geändert werden, sofern dadurch die Genauigkeit der gemeldeten Daten verbessert wird. Alle Änderungen in B</w:t>
      </w:r>
      <w:r>
        <w:rPr>
          <w:rFonts w:cs="Arial"/>
          <w:szCs w:val="17"/>
        </w:rPr>
        <w:t>e</w:t>
      </w:r>
      <w:r>
        <w:rPr>
          <w:rFonts w:cs="Arial"/>
          <w:szCs w:val="17"/>
        </w:rPr>
        <w:t>zug auf die Übe</w:t>
      </w:r>
      <w:r>
        <w:rPr>
          <w:rFonts w:cs="Arial"/>
          <w:szCs w:val="17"/>
        </w:rPr>
        <w:t>r</w:t>
      </w:r>
      <w:r>
        <w:rPr>
          <w:rFonts w:cs="Arial"/>
          <w:szCs w:val="17"/>
        </w:rPr>
        <w:t>wachungsmethoden müssen umfassend dokumentiert und von der zuständigen Behörde genehmigt werden.</w:t>
      </w:r>
    </w:p>
    <w:p>
      <w:pPr>
        <w:pStyle w:val="GesAbsatz"/>
        <w:jc w:val="both"/>
        <w:rPr>
          <w:rFonts w:cs="Arial"/>
          <w:szCs w:val="17"/>
        </w:rPr>
      </w:pPr>
      <w:r>
        <w:rPr>
          <w:rFonts w:cs="Arial"/>
          <w:i/>
          <w:iCs/>
          <w:szCs w:val="17"/>
        </w:rPr>
        <w:t>Transparenz</w:t>
      </w:r>
      <w:r>
        <w:rPr>
          <w:rFonts w:cs="Arial"/>
          <w:szCs w:val="17"/>
        </w:rPr>
        <w:t>. Alle Daten aus der Überwachung (einschließlich Annahmen, Bezugswerte, Tätigkeitsdaten, Emissionsfaktoren, Oxidationsfaktoren und Umsetzungsfaktoren) sind so zu ermitteln, zu erfassen, zusa</w:t>
      </w:r>
      <w:r>
        <w:rPr>
          <w:rFonts w:cs="Arial"/>
          <w:szCs w:val="17"/>
        </w:rPr>
        <w:t>m</w:t>
      </w:r>
      <w:r>
        <w:rPr>
          <w:rFonts w:cs="Arial"/>
          <w:szCs w:val="17"/>
        </w:rPr>
        <w:t>menzustellen, zu analysieren und dokumentieren, dass die Bestimmung der Emissionen von der pr</w:t>
      </w:r>
      <w:r>
        <w:rPr>
          <w:rFonts w:cs="Arial"/>
          <w:szCs w:val="17"/>
        </w:rPr>
        <w:t>ü</w:t>
      </w:r>
      <w:r>
        <w:rPr>
          <w:rFonts w:cs="Arial"/>
          <w:szCs w:val="17"/>
        </w:rPr>
        <w:t>fenden Instanz und der zuständigen Behörde nachvollzogen werden kann.</w:t>
      </w:r>
    </w:p>
    <w:p>
      <w:pPr>
        <w:pStyle w:val="GesAbsatz"/>
        <w:jc w:val="both"/>
        <w:rPr>
          <w:rFonts w:cs="Arial"/>
          <w:szCs w:val="17"/>
        </w:rPr>
      </w:pPr>
      <w:r>
        <w:rPr>
          <w:rFonts w:cs="Arial"/>
          <w:i/>
          <w:iCs/>
          <w:szCs w:val="17"/>
        </w:rPr>
        <w:t>Genauigkeit</w:t>
      </w:r>
      <w:r>
        <w:rPr>
          <w:rFonts w:cs="Arial"/>
          <w:szCs w:val="17"/>
        </w:rPr>
        <w:t>. Es ist sicherzustellen, dass die ermittelten Emissionen nicht konsequent über oder unter den tatsächlichen Emissionswerten liegen (soweit dies beurteilt werden kann) und dass die Unsicherheiten so weit wie möglich reduziert und quantifiziert werden, soweit dies im Rahmen dieser Leitlinien gefordert wird. Alle Arbeiten sind mit der erforderlichen Sorgfalt auszuführen, um sicherzustellen, dass die B</w:t>
      </w:r>
      <w:r>
        <w:rPr>
          <w:rFonts w:cs="Arial"/>
          <w:szCs w:val="17"/>
        </w:rPr>
        <w:t>e</w:t>
      </w:r>
      <w:r>
        <w:rPr>
          <w:rFonts w:cs="Arial"/>
          <w:szCs w:val="17"/>
        </w:rPr>
        <w:t>stimmung der Emissionen durch Berechnung bzw. Messung möglichst genaue Ergebnisse zeigt. Der Betreiber hat einen geeigneten Nachweis zu erbringen, dass die von ihm gemeldeten Emissionen vollständig sind. Die Emissi</w:t>
      </w:r>
      <w:r>
        <w:rPr>
          <w:rFonts w:cs="Arial"/>
          <w:szCs w:val="17"/>
        </w:rPr>
        <w:t>o</w:t>
      </w:r>
      <w:r>
        <w:rPr>
          <w:rFonts w:cs="Arial"/>
          <w:szCs w:val="17"/>
        </w:rPr>
        <w:t>nen sind anhand der in diesen Leitlinien angeführten Überwachungsmethoden zu bestimmen. Alle Messger</w:t>
      </w:r>
      <w:r>
        <w:rPr>
          <w:rFonts w:cs="Arial"/>
          <w:szCs w:val="17"/>
        </w:rPr>
        <w:t>ä</w:t>
      </w:r>
      <w:r>
        <w:rPr>
          <w:rFonts w:cs="Arial"/>
          <w:szCs w:val="17"/>
        </w:rPr>
        <w:t xml:space="preserve">te und </w:t>
      </w:r>
      <w:r>
        <w:rPr>
          <w:rFonts w:cs="Arial"/>
          <w:szCs w:val="17"/>
        </w:rPr>
        <w:lastRenderedPageBreak/>
        <w:t>sonstige Prüfinstrumente, die für die Meldung der Überwachungsd</w:t>
      </w:r>
      <w:r>
        <w:rPr>
          <w:rFonts w:cs="Arial"/>
          <w:szCs w:val="17"/>
        </w:rPr>
        <w:t>a</w:t>
      </w:r>
      <w:r>
        <w:rPr>
          <w:rFonts w:cs="Arial"/>
          <w:szCs w:val="17"/>
        </w:rPr>
        <w:t>ten eingesetzt werden, müssen ordnungsgemäß bedient, unterhalten, kalibriert und geprüft werden. A</w:t>
      </w:r>
      <w:r>
        <w:rPr>
          <w:rFonts w:cs="Arial"/>
          <w:szCs w:val="17"/>
        </w:rPr>
        <w:t>r</w:t>
      </w:r>
      <w:r>
        <w:rPr>
          <w:rFonts w:cs="Arial"/>
          <w:szCs w:val="17"/>
        </w:rPr>
        <w:t>beitsblätter und sonstige Hilfsmittel, die zur Speicherung und Bearbeitung von Überwachungsdaten verwendet werden, dürfen keinerlei Fehler au</w:t>
      </w:r>
      <w:r>
        <w:rPr>
          <w:rFonts w:cs="Arial"/>
          <w:szCs w:val="17"/>
        </w:rPr>
        <w:t>f</w:t>
      </w:r>
      <w:r>
        <w:rPr>
          <w:rFonts w:cs="Arial"/>
          <w:szCs w:val="17"/>
        </w:rPr>
        <w:t>weisen.</w:t>
      </w:r>
    </w:p>
    <w:p>
      <w:pPr>
        <w:pStyle w:val="GesAbsatz"/>
        <w:jc w:val="both"/>
        <w:rPr>
          <w:rFonts w:cs="Arial"/>
          <w:szCs w:val="17"/>
        </w:rPr>
      </w:pPr>
      <w:r>
        <w:rPr>
          <w:rFonts w:cs="Arial"/>
          <w:i/>
          <w:iCs/>
          <w:szCs w:val="17"/>
        </w:rPr>
        <w:t>Kostenwirksamkeit</w:t>
      </w:r>
      <w:r>
        <w:rPr>
          <w:rFonts w:cs="Arial"/>
          <w:szCs w:val="17"/>
        </w:rPr>
        <w:t>. Bei der Auswahl einer Überwachungsmethode sind die Vorzüge einer größeren Gena</w:t>
      </w:r>
      <w:r>
        <w:rPr>
          <w:rFonts w:cs="Arial"/>
          <w:szCs w:val="17"/>
        </w:rPr>
        <w:t>u</w:t>
      </w:r>
      <w:r>
        <w:rPr>
          <w:rFonts w:cs="Arial"/>
          <w:szCs w:val="17"/>
        </w:rPr>
        <w:t>igkeit gegen den zusätzlichen Kostenaufwand abzuwägen. Demzufolge ist bei der Überwachung und Berich</w:t>
      </w:r>
      <w:r>
        <w:rPr>
          <w:rFonts w:cs="Arial"/>
          <w:szCs w:val="17"/>
        </w:rPr>
        <w:t>t</w:t>
      </w:r>
      <w:r>
        <w:rPr>
          <w:rFonts w:cs="Arial"/>
          <w:szCs w:val="17"/>
        </w:rPr>
        <w:t>erstattung betreffend Emissionen stets die größtmögliche Genauigkeit anzustreben, sofern dies tec</w:t>
      </w:r>
      <w:r>
        <w:rPr>
          <w:rFonts w:cs="Arial"/>
          <w:szCs w:val="17"/>
        </w:rPr>
        <w:t>h</w:t>
      </w:r>
      <w:r>
        <w:rPr>
          <w:rFonts w:cs="Arial"/>
          <w:szCs w:val="17"/>
        </w:rPr>
        <w:t>nisch machbar ist und keine unverhältnismäßig hohen Kosten verursacht. Was die Überwachung</w:t>
      </w:r>
      <w:r>
        <w:rPr>
          <w:rFonts w:cs="Arial"/>
          <w:szCs w:val="17"/>
        </w:rPr>
        <w:t>s</w:t>
      </w:r>
      <w:r>
        <w:rPr>
          <w:rFonts w:cs="Arial"/>
          <w:szCs w:val="17"/>
        </w:rPr>
        <w:t>methode selbst betrifft, so sind die diesbezüglichen, an den Betreiber gerichteten Anleitungen in nachvollziehbarer und einf</w:t>
      </w:r>
      <w:r>
        <w:rPr>
          <w:rFonts w:cs="Arial"/>
          <w:szCs w:val="17"/>
        </w:rPr>
        <w:t>a</w:t>
      </w:r>
      <w:r>
        <w:rPr>
          <w:rFonts w:cs="Arial"/>
          <w:szCs w:val="17"/>
        </w:rPr>
        <w:t>cher Form darzustellen. Darüber hinaus sollten Doppelarbeiten vermieden und bereits in der Anlage vorha</w:t>
      </w:r>
      <w:r>
        <w:rPr>
          <w:rFonts w:cs="Arial"/>
          <w:szCs w:val="17"/>
        </w:rPr>
        <w:t>n</w:t>
      </w:r>
      <w:r>
        <w:rPr>
          <w:rFonts w:cs="Arial"/>
          <w:szCs w:val="17"/>
        </w:rPr>
        <w:t>dene Systeme berücksichtigt werden.</w:t>
      </w:r>
    </w:p>
    <w:p>
      <w:pPr>
        <w:pStyle w:val="GesAbsatz"/>
        <w:jc w:val="both"/>
        <w:rPr>
          <w:rFonts w:cs="Arial"/>
          <w:szCs w:val="17"/>
        </w:rPr>
      </w:pPr>
      <w:r>
        <w:rPr>
          <w:rFonts w:cs="Arial"/>
          <w:i/>
          <w:iCs/>
          <w:szCs w:val="17"/>
        </w:rPr>
        <w:t>Wesentlichkeit</w:t>
      </w:r>
      <w:r>
        <w:rPr>
          <w:rFonts w:cs="Arial"/>
          <w:szCs w:val="17"/>
        </w:rPr>
        <w:t>. Der Emissionsbericht und die darin dargelegten Aussagen dürfen keine wesentlich fa</w:t>
      </w:r>
      <w:r>
        <w:rPr>
          <w:rFonts w:cs="Arial"/>
          <w:szCs w:val="17"/>
        </w:rPr>
        <w:t>l</w:t>
      </w:r>
      <w:r>
        <w:rPr>
          <w:rFonts w:cs="Arial"/>
          <w:szCs w:val="17"/>
        </w:rPr>
        <w:t>schen Angaben enthalten und müssen eine glaubwürdige und ausgewogene Auflistung der Emissionen einer Anl</w:t>
      </w:r>
      <w:r>
        <w:rPr>
          <w:rFonts w:cs="Arial"/>
          <w:szCs w:val="17"/>
        </w:rPr>
        <w:t>a</w:t>
      </w:r>
      <w:r>
        <w:rPr>
          <w:rFonts w:cs="Arial"/>
          <w:szCs w:val="17"/>
        </w:rPr>
        <w:t>ge gewährleisten. Bei der Auswahl und Darstellung der Informationen sind jegliche Verzerrungen zu verme</w:t>
      </w:r>
      <w:r>
        <w:rPr>
          <w:rFonts w:cs="Arial"/>
          <w:szCs w:val="17"/>
        </w:rPr>
        <w:t>i</w:t>
      </w:r>
      <w:r>
        <w:rPr>
          <w:rFonts w:cs="Arial"/>
          <w:szCs w:val="17"/>
        </w:rPr>
        <w:t>den.</w:t>
      </w:r>
    </w:p>
    <w:p>
      <w:pPr>
        <w:pStyle w:val="GesAbsatz"/>
        <w:jc w:val="both"/>
        <w:rPr>
          <w:rFonts w:cs="Arial"/>
          <w:szCs w:val="17"/>
        </w:rPr>
      </w:pPr>
      <w:r>
        <w:rPr>
          <w:rFonts w:cs="Arial"/>
          <w:i/>
          <w:iCs/>
          <w:szCs w:val="17"/>
        </w:rPr>
        <w:t>Verlässlichkeit</w:t>
      </w:r>
      <w:r>
        <w:rPr>
          <w:rFonts w:cs="Arial"/>
          <w:szCs w:val="17"/>
        </w:rPr>
        <w:t>. Die Adressaten eines verifizierten Emissionsberichts müssen sich darauf verlassen kö</w:t>
      </w:r>
      <w:r>
        <w:rPr>
          <w:rFonts w:cs="Arial"/>
          <w:szCs w:val="17"/>
        </w:rPr>
        <w:t>n</w:t>
      </w:r>
      <w:r>
        <w:rPr>
          <w:rFonts w:cs="Arial"/>
          <w:szCs w:val="17"/>
        </w:rPr>
        <w:t>nen, dass er das darstellt, was er vorgibt bzw. was man berechtigterweise von ihm erwarten kann.</w:t>
      </w:r>
    </w:p>
    <w:p>
      <w:pPr>
        <w:pStyle w:val="GesAbsatz"/>
        <w:jc w:val="both"/>
        <w:rPr>
          <w:rFonts w:cs="Arial"/>
          <w:szCs w:val="17"/>
        </w:rPr>
      </w:pPr>
      <w:r>
        <w:rPr>
          <w:rFonts w:cs="Arial"/>
          <w:i/>
          <w:iCs/>
          <w:szCs w:val="17"/>
        </w:rPr>
        <w:t>Leistungsverbesserung bei der Überwachung und Berichterstattung betreffend Emissionen</w:t>
      </w:r>
      <w:r>
        <w:rPr>
          <w:rFonts w:cs="Arial"/>
          <w:szCs w:val="17"/>
        </w:rPr>
        <w:t>. Die Prüfung der Emissionsberichte ist als ein effektives und verlässliches Mittel zur Unterstützung der Verfahren in Bezug auf die Qualitätssicherung und Qualitätskontrolle zu sehen. Es liefert dem Betreiber Informationen, anhand d</w:t>
      </w:r>
      <w:r>
        <w:rPr>
          <w:rFonts w:cs="Arial"/>
          <w:szCs w:val="17"/>
        </w:rPr>
        <w:t>e</w:t>
      </w:r>
      <w:r>
        <w:rPr>
          <w:rFonts w:cs="Arial"/>
          <w:szCs w:val="17"/>
        </w:rPr>
        <w:t>ren er geeignete Maßnahmen zur Verbesserung seiner Leistung im Hinblick auf die Überwachung und Berichte</w:t>
      </w:r>
      <w:r>
        <w:rPr>
          <w:rFonts w:cs="Arial"/>
          <w:szCs w:val="17"/>
        </w:rPr>
        <w:t>r</w:t>
      </w:r>
      <w:r>
        <w:rPr>
          <w:rFonts w:cs="Arial"/>
          <w:szCs w:val="17"/>
        </w:rPr>
        <w:t>stattung betreffend Emissionen ergreifen kann.</w:t>
      </w:r>
    </w:p>
    <w:p>
      <w:pPr>
        <w:pStyle w:val="GesAbsatz"/>
        <w:jc w:val="both"/>
        <w:rPr>
          <w:rFonts w:cs="Arial"/>
          <w:b/>
          <w:szCs w:val="17"/>
        </w:rPr>
      </w:pPr>
      <w:r>
        <w:rPr>
          <w:rFonts w:cs="Arial"/>
          <w:b/>
          <w:szCs w:val="17"/>
        </w:rPr>
        <w:t>4. ÜBERWACHUNG</w:t>
      </w:r>
    </w:p>
    <w:p>
      <w:pPr>
        <w:pStyle w:val="GesAbsatz"/>
        <w:jc w:val="both"/>
        <w:rPr>
          <w:rFonts w:cs="Arial"/>
          <w:b/>
          <w:bCs/>
          <w:szCs w:val="17"/>
        </w:rPr>
      </w:pPr>
      <w:r>
        <w:rPr>
          <w:rFonts w:cs="Arial"/>
          <w:b/>
          <w:bCs/>
          <w:szCs w:val="17"/>
        </w:rPr>
        <w:t>4.1. Einschränkungen</w:t>
      </w:r>
    </w:p>
    <w:p>
      <w:pPr>
        <w:pStyle w:val="GesAbsatz"/>
        <w:jc w:val="both"/>
        <w:rPr>
          <w:rFonts w:cs="Arial"/>
          <w:szCs w:val="17"/>
        </w:rPr>
      </w:pPr>
      <w:r>
        <w:rPr>
          <w:rFonts w:cs="Arial"/>
          <w:szCs w:val="17"/>
        </w:rPr>
        <w:t>Die in Bezug auf eine Anlage wahrzunehmende Überwachung und Berichterstattung erstreckt sich auf alle Quellen sämtlicher Emissionen von Treibhausgasen, die für die in Anhang I der Richtlinie aufgeführten Täti</w:t>
      </w:r>
      <w:r>
        <w:rPr>
          <w:rFonts w:cs="Arial"/>
          <w:szCs w:val="17"/>
        </w:rPr>
        <w:t>g</w:t>
      </w:r>
      <w:r>
        <w:rPr>
          <w:rFonts w:cs="Arial"/>
          <w:szCs w:val="17"/>
        </w:rPr>
        <w:t>keiten spezifiziert sind.</w:t>
      </w:r>
    </w:p>
    <w:p>
      <w:pPr>
        <w:pStyle w:val="GesAbsatz"/>
        <w:jc w:val="both"/>
        <w:rPr>
          <w:rFonts w:cs="Arial"/>
          <w:szCs w:val="17"/>
        </w:rPr>
      </w:pPr>
      <w:r>
        <w:rPr>
          <w:rFonts w:cs="Arial"/>
          <w:szCs w:val="17"/>
        </w:rPr>
        <w:t>Gemäß Artikel 6 Absatz 2 Buchstabe b) der Richtlinie enthalten Genehmigungen zur Emission von Trei</w:t>
      </w:r>
      <w:r>
        <w:rPr>
          <w:rFonts w:cs="Arial"/>
          <w:szCs w:val="17"/>
        </w:rPr>
        <w:t>b</w:t>
      </w:r>
      <w:r>
        <w:rPr>
          <w:rFonts w:cs="Arial"/>
          <w:szCs w:val="17"/>
        </w:rPr>
        <w:t>hausgasen eine Beschreibung der Tätigkeiten und Emissionen der Anlage. Deshalb sind in der Genehm</w:t>
      </w:r>
      <w:r>
        <w:rPr>
          <w:rFonts w:cs="Arial"/>
          <w:szCs w:val="17"/>
        </w:rPr>
        <w:t>i</w:t>
      </w:r>
      <w:r>
        <w:rPr>
          <w:rFonts w:cs="Arial"/>
          <w:szCs w:val="17"/>
        </w:rPr>
        <w:t>gung alle Quellen von Treibhausgasemissionen aufgrund der in Anhang I der Richtlinie aufgefüh</w:t>
      </w:r>
      <w:r>
        <w:rPr>
          <w:rFonts w:cs="Arial"/>
          <w:szCs w:val="17"/>
        </w:rPr>
        <w:t>r</w:t>
      </w:r>
      <w:r>
        <w:rPr>
          <w:rFonts w:cs="Arial"/>
          <w:szCs w:val="17"/>
        </w:rPr>
        <w:t>ten, der Überwachung und Berichterstattung unterliegenden Tätigkeiten anzugeben. Gemäß Artikel 6 Absatz 2 Buc</w:t>
      </w:r>
      <w:r>
        <w:rPr>
          <w:rFonts w:cs="Arial"/>
          <w:szCs w:val="17"/>
        </w:rPr>
        <w:t>h</w:t>
      </w:r>
      <w:r>
        <w:rPr>
          <w:rFonts w:cs="Arial"/>
          <w:szCs w:val="17"/>
        </w:rPr>
        <w:t>stabe c) der Richtlinie enthalten Genehmigungen zur Emission von Treibhausgasen Angaben zu Überw</w:t>
      </w:r>
      <w:r>
        <w:rPr>
          <w:rFonts w:cs="Arial"/>
          <w:szCs w:val="17"/>
        </w:rPr>
        <w:t>a</w:t>
      </w:r>
      <w:r>
        <w:rPr>
          <w:rFonts w:cs="Arial"/>
          <w:szCs w:val="17"/>
        </w:rPr>
        <w:t>chungsauflagen, in denen Überwachungsmethode und -häufigkeit festgelegt sind.</w:t>
      </w:r>
    </w:p>
    <w:p>
      <w:pPr>
        <w:pStyle w:val="GesAbsatz"/>
        <w:jc w:val="both"/>
        <w:rPr>
          <w:rFonts w:cs="Arial"/>
          <w:szCs w:val="17"/>
        </w:rPr>
      </w:pPr>
      <w:r>
        <w:rPr>
          <w:rFonts w:cs="Arial"/>
          <w:szCs w:val="17"/>
        </w:rPr>
        <w:t>Emiss</w:t>
      </w:r>
      <w:r>
        <w:rPr>
          <w:rFonts w:cs="Arial"/>
          <w:szCs w:val="17"/>
        </w:rPr>
        <w:t>i</w:t>
      </w:r>
      <w:r>
        <w:rPr>
          <w:rFonts w:cs="Arial"/>
          <w:szCs w:val="17"/>
        </w:rPr>
        <w:t>onen aus Verbrennungsmotoren in zu Beförderungszwecken genutzten Maschinen und Geräten sind von den Emissionsschätzungen auszunehmen.</w:t>
      </w:r>
    </w:p>
    <w:p>
      <w:pPr>
        <w:pStyle w:val="GesAbsatz"/>
        <w:jc w:val="both"/>
        <w:rPr>
          <w:rFonts w:cs="Arial"/>
          <w:szCs w:val="17"/>
        </w:rPr>
      </w:pPr>
      <w:r>
        <w:rPr>
          <w:rFonts w:cs="Arial"/>
          <w:szCs w:val="17"/>
        </w:rPr>
        <w:t>Die Überwachung der Emissionen erstreckt sich auf Emissionen aus dem regulären Betrieb von Anlagen sowie auf Emissionen aufgrund außergewöhnlicher Ereignisse wie Inbetriebnahme/Abschalten oder Notfalls</w:t>
      </w:r>
      <w:r>
        <w:rPr>
          <w:rFonts w:cs="Arial"/>
          <w:szCs w:val="17"/>
        </w:rPr>
        <w:t>i</w:t>
      </w:r>
      <w:r>
        <w:rPr>
          <w:rFonts w:cs="Arial"/>
          <w:szCs w:val="17"/>
        </w:rPr>
        <w:t>tuationen innerhalb des Berichtszeitraums.</w:t>
      </w:r>
    </w:p>
    <w:p>
      <w:pPr>
        <w:pStyle w:val="GesAbsatz"/>
        <w:jc w:val="both"/>
        <w:rPr>
          <w:rFonts w:cs="Arial"/>
          <w:szCs w:val="17"/>
        </w:rPr>
      </w:pPr>
      <w:r>
        <w:rPr>
          <w:rFonts w:cs="Arial"/>
          <w:szCs w:val="17"/>
        </w:rPr>
        <w:t>Wenn die Produktionskapazitäten oder -leistungen einer Tätigkeit oder mehrerer Tätigkeiten unter der gle</w:t>
      </w:r>
      <w:r>
        <w:rPr>
          <w:rFonts w:cs="Arial"/>
          <w:szCs w:val="17"/>
        </w:rPr>
        <w:t>i</w:t>
      </w:r>
      <w:r>
        <w:rPr>
          <w:rFonts w:cs="Arial"/>
          <w:szCs w:val="17"/>
        </w:rPr>
        <w:t>chen Bezeichnung getrennt oder zusammen die in Anhang I der Richtlinie festgelegten diesbezüglichen Grenzwerte in einer Anlage bzw. an einem Standort überschreiten, unterliegen alle Quellen sämtlicher Emi</w:t>
      </w:r>
      <w:r>
        <w:rPr>
          <w:rFonts w:cs="Arial"/>
          <w:szCs w:val="17"/>
        </w:rPr>
        <w:t>s</w:t>
      </w:r>
      <w:r>
        <w:rPr>
          <w:rFonts w:cs="Arial"/>
          <w:szCs w:val="17"/>
        </w:rPr>
        <w:t>sionen aus allen Tätigkeiten, die in Anhang I der Richtlinie aufgeführt werden, der Überwachungs- und B</w:t>
      </w:r>
      <w:r>
        <w:rPr>
          <w:rFonts w:cs="Arial"/>
          <w:szCs w:val="17"/>
        </w:rPr>
        <w:t>e</w:t>
      </w:r>
      <w:r>
        <w:rPr>
          <w:rFonts w:cs="Arial"/>
          <w:szCs w:val="17"/>
        </w:rPr>
        <w:t>richterstattungspflicht.</w:t>
      </w:r>
    </w:p>
    <w:p>
      <w:pPr>
        <w:pStyle w:val="GesAbsatz"/>
        <w:jc w:val="both"/>
        <w:rPr>
          <w:rFonts w:cs="Arial"/>
          <w:szCs w:val="17"/>
        </w:rPr>
      </w:pPr>
      <w:r>
        <w:rPr>
          <w:rFonts w:cs="Arial"/>
          <w:szCs w:val="17"/>
        </w:rPr>
        <w:t>Ob eine zusätzliche Feuerungsanlage (wie beispielsweise eine Anlage zur Kraft-Wärme-Kopplung) als Teil einer Anlage betrachtet wird, die nur eine andere Tätigkeit nach Anhang I durchführt, oder aber ob sie als eigenständige Anlage zu betrachten ist, hängt von den jeweiligen örtlichen Gegebenheiten ab. Die diesbezü</w:t>
      </w:r>
      <w:r>
        <w:rPr>
          <w:rFonts w:cs="Arial"/>
          <w:szCs w:val="17"/>
        </w:rPr>
        <w:t>g</w:t>
      </w:r>
      <w:r>
        <w:rPr>
          <w:rFonts w:cs="Arial"/>
          <w:szCs w:val="17"/>
        </w:rPr>
        <w:t>liche Entscheidung wird in der Genehmigung zur Emission von Treibhausgasen der Anlage festgehalten.</w:t>
      </w:r>
    </w:p>
    <w:p>
      <w:pPr>
        <w:pStyle w:val="GesAbsatz"/>
        <w:jc w:val="both"/>
        <w:rPr>
          <w:rFonts w:cs="Arial"/>
          <w:szCs w:val="17"/>
        </w:rPr>
      </w:pPr>
      <w:r>
        <w:rPr>
          <w:rFonts w:cs="Arial"/>
          <w:szCs w:val="17"/>
        </w:rPr>
        <w:t>Alle Emissionen einer Anlage sind eben dieser Anlage zuzuordnen, und zwar unabhängig davon, ob Wärme oder Strom an andere Anlagen abgegeben wird. Emissionen, die im Zusammenhang mit der Erzeugung von Wärme oder Strom entstehen, sind der Anlage zuzurechnen, in der sie erzeugt wurden, und nicht der Anl</w:t>
      </w:r>
      <w:r>
        <w:rPr>
          <w:rFonts w:cs="Arial"/>
          <w:szCs w:val="17"/>
        </w:rPr>
        <w:t>a</w:t>
      </w:r>
      <w:r>
        <w:rPr>
          <w:rFonts w:cs="Arial"/>
          <w:szCs w:val="17"/>
        </w:rPr>
        <w:t>ge, an die diese abgegeben wurden.</w:t>
      </w:r>
    </w:p>
    <w:p>
      <w:pPr>
        <w:pStyle w:val="GesAbsatz"/>
        <w:jc w:val="both"/>
        <w:rPr>
          <w:rFonts w:cs="Arial"/>
          <w:b/>
          <w:bCs/>
          <w:szCs w:val="17"/>
        </w:rPr>
      </w:pPr>
      <w:r>
        <w:rPr>
          <w:rFonts w:cs="Arial"/>
          <w:b/>
          <w:bCs/>
          <w:szCs w:val="17"/>
        </w:rPr>
        <w:t>4.2. Bestimmung der Treibhausgasemissionen</w:t>
      </w:r>
    </w:p>
    <w:p>
      <w:pPr>
        <w:pStyle w:val="GesAbsatz"/>
        <w:jc w:val="both"/>
        <w:rPr>
          <w:rFonts w:cs="Arial"/>
          <w:szCs w:val="17"/>
        </w:rPr>
      </w:pPr>
      <w:r>
        <w:rPr>
          <w:rFonts w:cs="Arial"/>
          <w:szCs w:val="17"/>
        </w:rPr>
        <w:lastRenderedPageBreak/>
        <w:t>Eine vollständige, transparente und genaue Überwachung von Treibhausgasemissionen setzt voraus, dass bei der Wahl der geeigneten Überwachungsmethode bestimmte Entscheidungen getroffen werden. Dazu zählen u. a. die Entscheidung zwischen einer Messung oder Berechnung sowie die Wahl spezifischer Eb</w:t>
      </w:r>
      <w:r>
        <w:rPr>
          <w:rFonts w:cs="Arial"/>
          <w:szCs w:val="17"/>
        </w:rPr>
        <w:t>e</w:t>
      </w:r>
      <w:r>
        <w:rPr>
          <w:rFonts w:cs="Arial"/>
          <w:szCs w:val="17"/>
        </w:rPr>
        <w:t>nenkonzepte zur Ermittlung der Tätigkeitsdaten, der Emissionsfaktoren und der Oxidations- bzw. Umse</w:t>
      </w:r>
      <w:r>
        <w:rPr>
          <w:rFonts w:cs="Arial"/>
          <w:szCs w:val="17"/>
        </w:rPr>
        <w:t>t</w:t>
      </w:r>
      <w:r>
        <w:rPr>
          <w:rFonts w:cs="Arial"/>
          <w:szCs w:val="17"/>
        </w:rPr>
        <w:t>zungsfaktoren. Die Gesamtheit der Ansätze, die von einem Betreiber im Zusammenhang mit einer Anlage gewählt werden, um die jeweiligen Emissionen zu ermitteln, werden als eine Überwachungsmethode betrac</w:t>
      </w:r>
      <w:r>
        <w:rPr>
          <w:rFonts w:cs="Arial"/>
          <w:szCs w:val="17"/>
        </w:rPr>
        <w:t>h</w:t>
      </w:r>
      <w:r>
        <w:rPr>
          <w:rFonts w:cs="Arial"/>
          <w:szCs w:val="17"/>
        </w:rPr>
        <w:t>tet.</w:t>
      </w:r>
    </w:p>
    <w:p>
      <w:pPr>
        <w:pStyle w:val="GesAbsatz"/>
        <w:jc w:val="both"/>
        <w:rPr>
          <w:rFonts w:cs="Arial"/>
          <w:szCs w:val="17"/>
        </w:rPr>
      </w:pPr>
      <w:r>
        <w:rPr>
          <w:rFonts w:cs="Arial"/>
          <w:szCs w:val="17"/>
        </w:rPr>
        <w:t>Gemäß Artikel 6 Absatz 2 Buchstabe c) der Richtlinie enthalten Genehmigungen zur Emission von Trei</w:t>
      </w:r>
      <w:r>
        <w:rPr>
          <w:rFonts w:cs="Arial"/>
          <w:szCs w:val="17"/>
        </w:rPr>
        <w:t>b</w:t>
      </w:r>
      <w:r>
        <w:rPr>
          <w:rFonts w:cs="Arial"/>
          <w:szCs w:val="17"/>
        </w:rPr>
        <w:t>hausgasen Angaben zu Überwachungsauflagen, in denen Überwachungsmethode und -häufigkeit festg</w:t>
      </w:r>
      <w:r>
        <w:rPr>
          <w:rFonts w:cs="Arial"/>
          <w:szCs w:val="17"/>
        </w:rPr>
        <w:t>e</w:t>
      </w:r>
      <w:r>
        <w:rPr>
          <w:rFonts w:cs="Arial"/>
          <w:szCs w:val="17"/>
        </w:rPr>
        <w:t>legt sind. Jede Überwachungsmethode ist von der zuständigen Behörde in Übereinstimmung mit den Kriterien zu genehmigen, die in diesem Abschnitt und seinen Unterabschnitten angeführt sind. Die Mi</w:t>
      </w:r>
      <w:r>
        <w:rPr>
          <w:rFonts w:cs="Arial"/>
          <w:szCs w:val="17"/>
        </w:rPr>
        <w:t>t</w:t>
      </w:r>
      <w:r>
        <w:rPr>
          <w:rFonts w:cs="Arial"/>
          <w:szCs w:val="17"/>
        </w:rPr>
        <w:t>gliedstaaten oder ihre zuständigen Behörden sorgen dafür, dass Überwachungsverfahren der Anlagen entweder in den Bedi</w:t>
      </w:r>
      <w:r>
        <w:rPr>
          <w:rFonts w:cs="Arial"/>
          <w:szCs w:val="17"/>
        </w:rPr>
        <w:t>n</w:t>
      </w:r>
      <w:r>
        <w:rPr>
          <w:rFonts w:cs="Arial"/>
          <w:szCs w:val="17"/>
        </w:rPr>
        <w:t>gungen der Genehmigung oder - sofern mit der Richtlinie vereinbar - in Form allgemeiner verbindlicher R</w:t>
      </w:r>
      <w:r>
        <w:rPr>
          <w:rFonts w:cs="Arial"/>
          <w:szCs w:val="17"/>
        </w:rPr>
        <w:t>e</w:t>
      </w:r>
      <w:r>
        <w:rPr>
          <w:rFonts w:cs="Arial"/>
          <w:szCs w:val="17"/>
        </w:rPr>
        <w:t>geln festgelegt werden.</w:t>
      </w:r>
    </w:p>
    <w:p>
      <w:pPr>
        <w:pStyle w:val="GesAbsatz"/>
        <w:jc w:val="both"/>
        <w:rPr>
          <w:rFonts w:cs="Arial"/>
          <w:szCs w:val="17"/>
        </w:rPr>
      </w:pPr>
      <w:r>
        <w:rPr>
          <w:rFonts w:cs="Arial"/>
          <w:szCs w:val="17"/>
        </w:rPr>
        <w:t>Die zuständige Behörde muss eine ausführliche Beschreibung der Überwachungsmethode billigen, die vom Betreiber vor Beginn des Berichtszeitraums erstellt wird. Dieses Verfahren ist auch immer dann erforde</w:t>
      </w:r>
      <w:r>
        <w:rPr>
          <w:rFonts w:cs="Arial"/>
          <w:szCs w:val="17"/>
        </w:rPr>
        <w:t>r</w:t>
      </w:r>
      <w:r>
        <w:rPr>
          <w:rFonts w:cs="Arial"/>
          <w:szCs w:val="17"/>
        </w:rPr>
        <w:t>lich, wenn die auf eine Anlage angewandte Überwachungsmethode geändert wird.</w:t>
      </w:r>
    </w:p>
    <w:p>
      <w:pPr>
        <w:pStyle w:val="GesAbsatz"/>
        <w:jc w:val="both"/>
        <w:rPr>
          <w:rFonts w:cs="Arial"/>
          <w:szCs w:val="17"/>
        </w:rPr>
      </w:pPr>
      <w:r>
        <w:rPr>
          <w:rFonts w:cs="Arial"/>
          <w:szCs w:val="17"/>
        </w:rPr>
        <w:t>Die Beschreibung sollte umfassen:</w:t>
      </w:r>
    </w:p>
    <w:p>
      <w:pPr>
        <w:pStyle w:val="GesAbsatz"/>
        <w:ind w:left="426" w:hanging="426"/>
        <w:jc w:val="both"/>
        <w:rPr>
          <w:rFonts w:cs="Arial"/>
          <w:szCs w:val="17"/>
        </w:rPr>
      </w:pPr>
      <w:r>
        <w:rPr>
          <w:rFonts w:cs="Arial"/>
          <w:szCs w:val="17"/>
        </w:rPr>
        <w:t>-</w:t>
      </w:r>
      <w:r>
        <w:rPr>
          <w:rFonts w:cs="Arial"/>
          <w:szCs w:val="17"/>
        </w:rPr>
        <w:tab/>
        <w:t>die genaue Beschreibung der zu überwachenden Anlage und der dort durchgeführten Tätigkeiten;</w:t>
      </w:r>
    </w:p>
    <w:p>
      <w:pPr>
        <w:pStyle w:val="GesAbsatz"/>
        <w:ind w:left="426" w:hanging="426"/>
        <w:jc w:val="both"/>
        <w:rPr>
          <w:rFonts w:cs="Arial"/>
          <w:szCs w:val="17"/>
        </w:rPr>
      </w:pPr>
      <w:r>
        <w:rPr>
          <w:rFonts w:cs="Arial"/>
          <w:szCs w:val="17"/>
        </w:rPr>
        <w:t>-</w:t>
      </w:r>
      <w:r>
        <w:rPr>
          <w:rFonts w:cs="Arial"/>
          <w:szCs w:val="17"/>
        </w:rPr>
        <w:tab/>
        <w:t>Informationen über die Zuständigkeiten für die Überwachung und Berichterstattung innerhalb der Anl</w:t>
      </w:r>
      <w:r>
        <w:rPr>
          <w:rFonts w:cs="Arial"/>
          <w:szCs w:val="17"/>
        </w:rPr>
        <w:t>a</w:t>
      </w:r>
      <w:r>
        <w:rPr>
          <w:rFonts w:cs="Arial"/>
          <w:szCs w:val="17"/>
        </w:rPr>
        <w:t>ge;</w:t>
      </w:r>
    </w:p>
    <w:p>
      <w:pPr>
        <w:pStyle w:val="GesAbsatz"/>
        <w:ind w:left="426" w:hanging="426"/>
        <w:jc w:val="both"/>
        <w:rPr>
          <w:rFonts w:cs="Arial"/>
          <w:szCs w:val="17"/>
        </w:rPr>
      </w:pPr>
      <w:r>
        <w:rPr>
          <w:rFonts w:cs="Arial"/>
          <w:szCs w:val="17"/>
        </w:rPr>
        <w:t>-</w:t>
      </w:r>
      <w:r>
        <w:rPr>
          <w:rFonts w:cs="Arial"/>
          <w:szCs w:val="17"/>
        </w:rPr>
        <w:tab/>
        <w:t>eine Liste der zu überwachenden Quellen, und zwar für jede Tätigkeit, die in der Anlage durchg</w:t>
      </w:r>
      <w:r>
        <w:rPr>
          <w:rFonts w:cs="Arial"/>
          <w:szCs w:val="17"/>
        </w:rPr>
        <w:t>e</w:t>
      </w:r>
      <w:r>
        <w:rPr>
          <w:rFonts w:cs="Arial"/>
          <w:szCs w:val="17"/>
        </w:rPr>
        <w:t>führt wird;</w:t>
      </w:r>
    </w:p>
    <w:p>
      <w:pPr>
        <w:pStyle w:val="GesAbsatz"/>
        <w:ind w:left="426" w:hanging="426"/>
        <w:jc w:val="both"/>
        <w:rPr>
          <w:rFonts w:cs="Arial"/>
          <w:szCs w:val="17"/>
        </w:rPr>
      </w:pPr>
      <w:r>
        <w:rPr>
          <w:rFonts w:cs="Arial"/>
          <w:szCs w:val="17"/>
        </w:rPr>
        <w:t>-</w:t>
      </w:r>
      <w:r>
        <w:rPr>
          <w:rFonts w:cs="Arial"/>
          <w:szCs w:val="17"/>
        </w:rPr>
        <w:tab/>
        <w:t>eine Liste der Brennstoff- und Materialströme, die im Zusammenhang mit den einzelnen Tätigkeiten zu überwachen sind;</w:t>
      </w:r>
    </w:p>
    <w:p>
      <w:pPr>
        <w:pStyle w:val="GesAbsatz"/>
        <w:ind w:left="426" w:hanging="426"/>
        <w:jc w:val="both"/>
        <w:rPr>
          <w:rFonts w:cs="Arial"/>
          <w:szCs w:val="17"/>
        </w:rPr>
      </w:pPr>
      <w:r>
        <w:rPr>
          <w:rFonts w:cs="Arial"/>
          <w:szCs w:val="17"/>
        </w:rPr>
        <w:t>-</w:t>
      </w:r>
      <w:r>
        <w:rPr>
          <w:rFonts w:cs="Arial"/>
          <w:szCs w:val="17"/>
        </w:rPr>
        <w:tab/>
        <w:t>eine Liste der für die einzelnen Tätigkeiten und Brennstoffarten/Einsatzstoffe anzuwendenden Ebene</w:t>
      </w:r>
      <w:r>
        <w:rPr>
          <w:rFonts w:cs="Arial"/>
          <w:szCs w:val="17"/>
        </w:rPr>
        <w:t>n</w:t>
      </w:r>
      <w:r>
        <w:rPr>
          <w:rFonts w:cs="Arial"/>
          <w:szCs w:val="17"/>
        </w:rPr>
        <w:t>konzepte zur Ermittlung der Tätigkeitsdaten, Emissionsfaktoren, Oxidations- und Umsetzung</w:t>
      </w:r>
      <w:r>
        <w:rPr>
          <w:rFonts w:cs="Arial"/>
          <w:szCs w:val="17"/>
        </w:rPr>
        <w:t>s</w:t>
      </w:r>
      <w:r>
        <w:rPr>
          <w:rFonts w:cs="Arial"/>
          <w:szCs w:val="17"/>
        </w:rPr>
        <w:t>faktoren;</w:t>
      </w:r>
    </w:p>
    <w:p>
      <w:pPr>
        <w:pStyle w:val="GesAbsatz"/>
        <w:ind w:left="426" w:hanging="426"/>
        <w:jc w:val="both"/>
        <w:rPr>
          <w:rFonts w:cs="Arial"/>
          <w:szCs w:val="17"/>
        </w:rPr>
      </w:pPr>
      <w:r>
        <w:rPr>
          <w:rFonts w:cs="Arial"/>
          <w:szCs w:val="17"/>
        </w:rPr>
        <w:t>-</w:t>
      </w:r>
      <w:r>
        <w:rPr>
          <w:rFonts w:cs="Arial"/>
          <w:szCs w:val="17"/>
        </w:rPr>
        <w:tab/>
        <w:t>eine Beschreibung der Art der Messgeräte, die für die verschiedenen Quellen und Brennstoffa</w:t>
      </w:r>
      <w:r>
        <w:rPr>
          <w:rFonts w:cs="Arial"/>
          <w:szCs w:val="17"/>
        </w:rPr>
        <w:t>r</w:t>
      </w:r>
      <w:r>
        <w:rPr>
          <w:rFonts w:cs="Arial"/>
          <w:szCs w:val="17"/>
        </w:rPr>
        <w:t>ten/Einsatzstoffe eingesetzt werden sollen, sowie Angabe ihrer technischen Daten und ihres exakten Standorts;</w:t>
      </w:r>
    </w:p>
    <w:p>
      <w:pPr>
        <w:pStyle w:val="GesAbsatz"/>
        <w:ind w:left="426" w:hanging="426"/>
        <w:jc w:val="both"/>
        <w:rPr>
          <w:rFonts w:cs="Arial"/>
          <w:szCs w:val="17"/>
        </w:rPr>
      </w:pPr>
      <w:r>
        <w:rPr>
          <w:rFonts w:cs="Arial"/>
          <w:szCs w:val="17"/>
        </w:rPr>
        <w:t>-</w:t>
      </w:r>
      <w:r>
        <w:rPr>
          <w:rFonts w:cs="Arial"/>
          <w:szCs w:val="17"/>
        </w:rPr>
        <w:tab/>
        <w:t>eine Beschreibung des Ansatzes, der für die Entnahme von Proben der Brenn- und Einsatzstoffe z</w:t>
      </w:r>
      <w:r>
        <w:rPr>
          <w:rFonts w:cs="Arial"/>
          <w:szCs w:val="17"/>
        </w:rPr>
        <w:t>u</w:t>
      </w:r>
      <w:r>
        <w:rPr>
          <w:rFonts w:cs="Arial"/>
          <w:szCs w:val="17"/>
        </w:rPr>
        <w:t>grunde gelegt werden soll, um den spezifischen Heizwert, den Kohlenstoffgehalt, die Emissionsfakt</w:t>
      </w:r>
      <w:r>
        <w:rPr>
          <w:rFonts w:cs="Arial"/>
          <w:szCs w:val="17"/>
        </w:rPr>
        <w:t>o</w:t>
      </w:r>
      <w:r>
        <w:rPr>
          <w:rFonts w:cs="Arial"/>
          <w:szCs w:val="17"/>
        </w:rPr>
        <w:t>ren und den Biomasse-Anteil für die verschiedenen Quellen und Brennstoffarten/Einsatzstoffe zu ermi</w:t>
      </w:r>
      <w:r>
        <w:rPr>
          <w:rFonts w:cs="Arial"/>
          <w:szCs w:val="17"/>
        </w:rPr>
        <w:t>t</w:t>
      </w:r>
      <w:r>
        <w:rPr>
          <w:rFonts w:cs="Arial"/>
          <w:szCs w:val="17"/>
        </w:rPr>
        <w:t>teln;</w:t>
      </w:r>
    </w:p>
    <w:p>
      <w:pPr>
        <w:pStyle w:val="GesAbsatz"/>
        <w:ind w:left="426" w:hanging="426"/>
        <w:jc w:val="both"/>
        <w:rPr>
          <w:rFonts w:cs="Arial"/>
          <w:szCs w:val="17"/>
        </w:rPr>
      </w:pPr>
      <w:r>
        <w:rPr>
          <w:rFonts w:cs="Arial"/>
          <w:szCs w:val="17"/>
        </w:rPr>
        <w:t>-</w:t>
      </w:r>
      <w:r>
        <w:rPr>
          <w:rFonts w:cs="Arial"/>
          <w:szCs w:val="17"/>
        </w:rPr>
        <w:tab/>
        <w:t>eine Beschreibung der Quellen bzw. der Analyseansätze, die für die Ermittlung des spezifischen Hei</w:t>
      </w:r>
      <w:r>
        <w:rPr>
          <w:rFonts w:cs="Arial"/>
          <w:szCs w:val="17"/>
        </w:rPr>
        <w:t>z</w:t>
      </w:r>
      <w:r>
        <w:rPr>
          <w:rFonts w:cs="Arial"/>
          <w:szCs w:val="17"/>
        </w:rPr>
        <w:t>werts, des Kohlenstoffgehalts und des Biomasse-Anteils für die einzelnen Quellen und Brennstoffa</w:t>
      </w:r>
      <w:r>
        <w:rPr>
          <w:rFonts w:cs="Arial"/>
          <w:szCs w:val="17"/>
        </w:rPr>
        <w:t>r</w:t>
      </w:r>
      <w:r>
        <w:rPr>
          <w:rFonts w:cs="Arial"/>
          <w:szCs w:val="17"/>
        </w:rPr>
        <w:t>ten/Einsatzstoffe herangezogen werden sollen;</w:t>
      </w:r>
    </w:p>
    <w:p>
      <w:pPr>
        <w:pStyle w:val="GesAbsatz"/>
        <w:ind w:left="426" w:hanging="426"/>
        <w:jc w:val="both"/>
        <w:rPr>
          <w:rFonts w:cs="Arial"/>
          <w:szCs w:val="17"/>
        </w:rPr>
      </w:pPr>
      <w:r>
        <w:rPr>
          <w:rFonts w:cs="Arial"/>
          <w:szCs w:val="17"/>
        </w:rPr>
        <w:t>-</w:t>
      </w:r>
      <w:r>
        <w:rPr>
          <w:rFonts w:cs="Arial"/>
          <w:szCs w:val="17"/>
        </w:rPr>
        <w:tab/>
        <w:t>eine Beschreibung der Systeme zur kontinuierlichen Emissionsmessung, die für die Überwachung einer Quelle eingesetzt werden sollen, d. h. Angaben zu Messpunkten, Häufigkeit der Messungen, Ausrü</w:t>
      </w:r>
      <w:r>
        <w:rPr>
          <w:rFonts w:cs="Arial"/>
          <w:szCs w:val="17"/>
        </w:rPr>
        <w:t>s</w:t>
      </w:r>
      <w:r>
        <w:rPr>
          <w:rFonts w:cs="Arial"/>
          <w:szCs w:val="17"/>
        </w:rPr>
        <w:t>tung, Kalibrierverfahren, Datenerfassung und -speicherung (falls anwendbar);</w:t>
      </w:r>
    </w:p>
    <w:p>
      <w:pPr>
        <w:pStyle w:val="GesAbsatz"/>
        <w:ind w:left="426" w:hanging="426"/>
        <w:jc w:val="both"/>
        <w:rPr>
          <w:rFonts w:cs="Arial"/>
          <w:szCs w:val="17"/>
        </w:rPr>
      </w:pPr>
      <w:r>
        <w:rPr>
          <w:rFonts w:cs="Arial"/>
          <w:szCs w:val="17"/>
        </w:rPr>
        <w:t>-</w:t>
      </w:r>
      <w:r>
        <w:rPr>
          <w:rFonts w:cs="Arial"/>
          <w:szCs w:val="17"/>
        </w:rPr>
        <w:tab/>
        <w:t>eine Beschreibung der Verfahren zur Qualitätssicherung und -kontrolle, die in Bezug auf die Datenve</w:t>
      </w:r>
      <w:r>
        <w:rPr>
          <w:rFonts w:cs="Arial"/>
          <w:szCs w:val="17"/>
        </w:rPr>
        <w:t>r</w:t>
      </w:r>
      <w:r>
        <w:rPr>
          <w:rFonts w:cs="Arial"/>
          <w:szCs w:val="17"/>
        </w:rPr>
        <w:t>waltung vorgesehen sind;</w:t>
      </w:r>
    </w:p>
    <w:p>
      <w:pPr>
        <w:pStyle w:val="GesAbsatz"/>
        <w:ind w:left="426" w:hanging="426"/>
        <w:jc w:val="both"/>
        <w:rPr>
          <w:rFonts w:cs="Arial"/>
          <w:szCs w:val="17"/>
        </w:rPr>
      </w:pPr>
      <w:r>
        <w:rPr>
          <w:rFonts w:cs="Arial"/>
          <w:szCs w:val="17"/>
        </w:rPr>
        <w:t>-</w:t>
      </w:r>
      <w:r>
        <w:rPr>
          <w:rFonts w:cs="Arial"/>
          <w:szCs w:val="17"/>
        </w:rPr>
        <w:tab/>
        <w:t>gegebenenfalls Informationen über eventuell relevante Verbindungen mit Aktivitäten im Rahmen des Gemeinschaftssystems für das Umweltmanagement und die Umweltbetriebsprüfung (EMAS).</w:t>
      </w:r>
    </w:p>
    <w:p>
      <w:pPr>
        <w:pStyle w:val="GesAbsatz"/>
        <w:jc w:val="both"/>
        <w:rPr>
          <w:rFonts w:cs="Arial"/>
          <w:szCs w:val="17"/>
        </w:rPr>
      </w:pPr>
      <w:r>
        <w:rPr>
          <w:rFonts w:cs="Arial"/>
          <w:szCs w:val="17"/>
        </w:rPr>
        <w:t>Die Überwachungsmethode ist zu ändern, sofern die Genauigkeit der gemeldeten Daten auf diese Weise verbessert werden kann. Voraussetzung ist jedoch, dass dies technisch machbar ist und keine unverhältni</w:t>
      </w:r>
      <w:r>
        <w:rPr>
          <w:rFonts w:cs="Arial"/>
          <w:szCs w:val="17"/>
        </w:rPr>
        <w:t>s</w:t>
      </w:r>
      <w:r>
        <w:rPr>
          <w:rFonts w:cs="Arial"/>
          <w:szCs w:val="17"/>
        </w:rPr>
        <w:t>mäßig hohen Kosten verursacht. Alle Vorschläge für Änderungen an den Überwachungsmethoden bzw. an den zugrunde liegenden Datensätzen müssen klar dargelegt, begründet, umfassend dokume</w:t>
      </w:r>
      <w:r>
        <w:rPr>
          <w:rFonts w:cs="Arial"/>
          <w:szCs w:val="17"/>
        </w:rPr>
        <w:t>n</w:t>
      </w:r>
      <w:r>
        <w:rPr>
          <w:rFonts w:cs="Arial"/>
          <w:szCs w:val="17"/>
        </w:rPr>
        <w:t>tiert und der zuständigen Behörde übermittelt werden. Alle Änderungen an den Methoden bzw. an den zugrundeli</w:t>
      </w:r>
      <w:r>
        <w:rPr>
          <w:rFonts w:cs="Arial"/>
          <w:szCs w:val="17"/>
        </w:rPr>
        <w:t>e</w:t>
      </w:r>
      <w:r>
        <w:rPr>
          <w:rFonts w:cs="Arial"/>
          <w:szCs w:val="17"/>
        </w:rPr>
        <w:t>genden Datensätzen müssen von der zuständigen Behörde genehmigt werden.</w:t>
      </w:r>
    </w:p>
    <w:p>
      <w:pPr>
        <w:pStyle w:val="GesAbsatz"/>
        <w:jc w:val="both"/>
        <w:rPr>
          <w:rFonts w:cs="Arial"/>
          <w:szCs w:val="17"/>
        </w:rPr>
      </w:pPr>
      <w:r>
        <w:rPr>
          <w:rFonts w:cs="Arial"/>
          <w:szCs w:val="17"/>
        </w:rPr>
        <w:t>Der Betreiber muss unverzüglich Vorschläge zur Änderung des Überwachungsverfahrens vorlegen, wenn</w:t>
      </w:r>
    </w:p>
    <w:p>
      <w:pPr>
        <w:pStyle w:val="GesAbsatz"/>
        <w:ind w:left="426" w:hanging="426"/>
        <w:jc w:val="both"/>
        <w:rPr>
          <w:rFonts w:cs="Arial"/>
          <w:szCs w:val="17"/>
        </w:rPr>
      </w:pPr>
      <w:r>
        <w:rPr>
          <w:rFonts w:cs="Arial"/>
          <w:szCs w:val="17"/>
        </w:rPr>
        <w:lastRenderedPageBreak/>
        <w:t>-</w:t>
      </w:r>
      <w:r>
        <w:rPr>
          <w:rFonts w:cs="Arial"/>
          <w:szCs w:val="17"/>
        </w:rPr>
        <w:tab/>
        <w:t>sich das verfügbare Datenmaterial geändert hat und infolgedessen eine genauere Bestimmung der Emissionen möglich ist;</w:t>
      </w:r>
    </w:p>
    <w:p>
      <w:pPr>
        <w:pStyle w:val="GesAbsatz"/>
        <w:jc w:val="both"/>
        <w:rPr>
          <w:rFonts w:cs="Arial"/>
          <w:szCs w:val="17"/>
        </w:rPr>
      </w:pPr>
      <w:r>
        <w:rPr>
          <w:rFonts w:cs="Arial"/>
          <w:szCs w:val="17"/>
        </w:rPr>
        <w:t>-</w:t>
      </w:r>
      <w:r>
        <w:rPr>
          <w:rFonts w:cs="Arial"/>
          <w:szCs w:val="17"/>
        </w:rPr>
        <w:tab/>
        <w:t>eine bislang nicht existente Emission verzeichnet wurde;</w:t>
      </w:r>
    </w:p>
    <w:p>
      <w:pPr>
        <w:pStyle w:val="GesAbsatz"/>
        <w:jc w:val="both"/>
        <w:rPr>
          <w:rFonts w:cs="Arial"/>
          <w:szCs w:val="17"/>
        </w:rPr>
      </w:pPr>
      <w:r>
        <w:rPr>
          <w:rFonts w:cs="Arial"/>
          <w:szCs w:val="17"/>
        </w:rPr>
        <w:t>-</w:t>
      </w:r>
      <w:r>
        <w:rPr>
          <w:rFonts w:cs="Arial"/>
          <w:szCs w:val="17"/>
        </w:rPr>
        <w:tab/>
        <w:t>Fehler in den Daten aus der Überwachung festgestellt wurden,</w:t>
      </w:r>
    </w:p>
    <w:p>
      <w:pPr>
        <w:pStyle w:val="GesAbsatz"/>
        <w:jc w:val="both"/>
        <w:rPr>
          <w:rFonts w:cs="Arial"/>
          <w:szCs w:val="17"/>
        </w:rPr>
      </w:pPr>
      <w:r>
        <w:rPr>
          <w:rFonts w:cs="Arial"/>
          <w:szCs w:val="17"/>
        </w:rPr>
        <w:t>-</w:t>
      </w:r>
      <w:r>
        <w:rPr>
          <w:rFonts w:cs="Arial"/>
          <w:szCs w:val="17"/>
        </w:rPr>
        <w:tab/>
        <w:t>die zuständige Behörde eine Änderung gefordert hat.</w:t>
      </w:r>
    </w:p>
    <w:p>
      <w:pPr>
        <w:pStyle w:val="GesAbsatz"/>
        <w:jc w:val="both"/>
        <w:rPr>
          <w:rFonts w:cs="Arial"/>
          <w:szCs w:val="17"/>
        </w:rPr>
      </w:pPr>
      <w:r>
        <w:rPr>
          <w:rFonts w:cs="Arial"/>
          <w:szCs w:val="17"/>
        </w:rPr>
        <w:t>Die zuständige Behörde kann einen Betreiber auffordern, die von ihm für eine bestimmte meldepflichtige Anlage angewandte Überwachungsmethode für den nachfolgenden Berichtszeitraum zu ändern, sofern diese mit den Bestimmungen dieser Leitlinien nicht mehr in Einklang steht.</w:t>
      </w:r>
    </w:p>
    <w:p>
      <w:pPr>
        <w:pStyle w:val="GesAbsatz"/>
        <w:jc w:val="both"/>
        <w:rPr>
          <w:rFonts w:cs="Arial"/>
          <w:szCs w:val="17"/>
        </w:rPr>
      </w:pPr>
      <w:r>
        <w:rPr>
          <w:rFonts w:cs="Arial"/>
          <w:szCs w:val="17"/>
        </w:rPr>
        <w:t>Die zuständige Behörde kann einen Betreiber auch auffordern, die von ihm angewandte Überwachungsm</w:t>
      </w:r>
      <w:r>
        <w:rPr>
          <w:rFonts w:cs="Arial"/>
          <w:szCs w:val="17"/>
        </w:rPr>
        <w:t>e</w:t>
      </w:r>
      <w:r>
        <w:rPr>
          <w:rFonts w:cs="Arial"/>
          <w:szCs w:val="17"/>
        </w:rPr>
        <w:t>thode für den nachfolgenden Berichtszeitraum zu ändern, wenn die in der Genehmigung vorgesehene Übe</w:t>
      </w:r>
      <w:r>
        <w:rPr>
          <w:rFonts w:cs="Arial"/>
          <w:szCs w:val="17"/>
        </w:rPr>
        <w:t>r</w:t>
      </w:r>
      <w:r>
        <w:rPr>
          <w:rFonts w:cs="Arial"/>
          <w:szCs w:val="17"/>
        </w:rPr>
        <w:t>wachungsmethode im Rahmen einer Überprüfung, wie sie vor jedem der in Artikel 11 Absatz 2 der Rich</w:t>
      </w:r>
      <w:r>
        <w:rPr>
          <w:rFonts w:cs="Arial"/>
          <w:szCs w:val="17"/>
        </w:rPr>
        <w:t>t</w:t>
      </w:r>
      <w:r>
        <w:rPr>
          <w:rFonts w:cs="Arial"/>
          <w:szCs w:val="17"/>
        </w:rPr>
        <w:t>linie genannten Zeiträume vorzunehmen ist, aktualisiert wurde.</w:t>
      </w:r>
    </w:p>
    <w:p>
      <w:pPr>
        <w:pStyle w:val="GesAbsatz"/>
        <w:jc w:val="both"/>
        <w:rPr>
          <w:rFonts w:cs="Arial"/>
          <w:bCs/>
          <w:i/>
          <w:iCs/>
          <w:szCs w:val="17"/>
        </w:rPr>
      </w:pPr>
      <w:r>
        <w:rPr>
          <w:rFonts w:cs="Arial"/>
          <w:bCs/>
          <w:szCs w:val="17"/>
        </w:rPr>
        <w:t xml:space="preserve">4.2.1. </w:t>
      </w:r>
      <w:r>
        <w:rPr>
          <w:rFonts w:cs="Arial"/>
          <w:bCs/>
          <w:i/>
          <w:iCs/>
          <w:szCs w:val="17"/>
        </w:rPr>
        <w:t>Berechnung und Messung</w:t>
      </w:r>
    </w:p>
    <w:p>
      <w:pPr>
        <w:pStyle w:val="GesAbsatz"/>
        <w:jc w:val="both"/>
        <w:rPr>
          <w:rFonts w:cs="Arial"/>
          <w:szCs w:val="17"/>
        </w:rPr>
      </w:pPr>
      <w:r>
        <w:rPr>
          <w:rFonts w:cs="Arial"/>
          <w:szCs w:val="17"/>
        </w:rPr>
        <w:t>Anhang IV der Richtlinie sieht vor, dass Emissionen entweder</w:t>
      </w:r>
    </w:p>
    <w:p>
      <w:pPr>
        <w:pStyle w:val="GesAbsatz"/>
        <w:jc w:val="both"/>
        <w:rPr>
          <w:rFonts w:cs="Arial"/>
          <w:szCs w:val="17"/>
        </w:rPr>
      </w:pPr>
      <w:r>
        <w:rPr>
          <w:rFonts w:cs="Arial"/>
          <w:szCs w:val="17"/>
        </w:rPr>
        <w:t>-</w:t>
      </w:r>
      <w:r>
        <w:rPr>
          <w:rFonts w:cs="Arial"/>
          <w:szCs w:val="17"/>
        </w:rPr>
        <w:tab/>
        <w:t>anhand von Berechnungen („Berechnung“) oder</w:t>
      </w:r>
    </w:p>
    <w:p>
      <w:pPr>
        <w:pStyle w:val="GesAbsatz"/>
        <w:jc w:val="both"/>
        <w:rPr>
          <w:rFonts w:cs="Arial"/>
          <w:szCs w:val="17"/>
        </w:rPr>
      </w:pPr>
      <w:r>
        <w:rPr>
          <w:rFonts w:cs="Arial"/>
          <w:szCs w:val="17"/>
        </w:rPr>
        <w:t>-</w:t>
      </w:r>
      <w:r>
        <w:rPr>
          <w:rFonts w:cs="Arial"/>
          <w:szCs w:val="17"/>
        </w:rPr>
        <w:tab/>
        <w:t>auf der Grundlage von Messungen („Messung“) bestimmt werden können.</w:t>
      </w:r>
    </w:p>
    <w:p>
      <w:pPr>
        <w:pStyle w:val="GesAbsatz"/>
        <w:jc w:val="both"/>
        <w:rPr>
          <w:rFonts w:cs="Arial"/>
          <w:szCs w:val="17"/>
        </w:rPr>
      </w:pPr>
      <w:r>
        <w:rPr>
          <w:rFonts w:cs="Arial"/>
          <w:szCs w:val="17"/>
        </w:rPr>
        <w:t>Der Betreiber kann eine Messung der Emissionen vorschlagen, sofern er belegen kann, dass</w:t>
      </w:r>
    </w:p>
    <w:p>
      <w:pPr>
        <w:pStyle w:val="GesAbsatz"/>
        <w:ind w:left="426" w:hanging="426"/>
        <w:jc w:val="both"/>
        <w:rPr>
          <w:rFonts w:cs="Arial"/>
          <w:szCs w:val="17"/>
        </w:rPr>
      </w:pPr>
      <w:r>
        <w:rPr>
          <w:rFonts w:cs="Arial"/>
          <w:szCs w:val="17"/>
        </w:rPr>
        <w:t>-</w:t>
      </w:r>
      <w:r>
        <w:rPr>
          <w:rFonts w:cs="Arial"/>
          <w:szCs w:val="17"/>
        </w:rPr>
        <w:tab/>
        <w:t>diese nachweislich ein genaueres Ergebnis bringt als eine entsprechende Berechnung der Emissi</w:t>
      </w:r>
      <w:r>
        <w:rPr>
          <w:rFonts w:cs="Arial"/>
          <w:szCs w:val="17"/>
        </w:rPr>
        <w:t>o</w:t>
      </w:r>
      <w:r>
        <w:rPr>
          <w:rFonts w:cs="Arial"/>
          <w:szCs w:val="17"/>
        </w:rPr>
        <w:t>nen unter Anwendung der genauesten Ebenen-Kombination und dass</w:t>
      </w:r>
    </w:p>
    <w:p>
      <w:pPr>
        <w:pStyle w:val="GesAbsatz"/>
        <w:ind w:left="426" w:hanging="426"/>
        <w:jc w:val="both"/>
        <w:rPr>
          <w:rFonts w:cs="Arial"/>
          <w:szCs w:val="17"/>
        </w:rPr>
      </w:pPr>
      <w:r>
        <w:rPr>
          <w:rFonts w:cs="Arial"/>
          <w:szCs w:val="17"/>
        </w:rPr>
        <w:t>-</w:t>
      </w:r>
      <w:r>
        <w:rPr>
          <w:rFonts w:cs="Arial"/>
          <w:szCs w:val="17"/>
        </w:rPr>
        <w:tab/>
        <w:t>sich der Vergleich der Ergebnisse aus Messung und Berechnung auf identische Quellen und Emissi</w:t>
      </w:r>
      <w:r>
        <w:rPr>
          <w:rFonts w:cs="Arial"/>
          <w:szCs w:val="17"/>
        </w:rPr>
        <w:t>o</w:t>
      </w:r>
      <w:r>
        <w:rPr>
          <w:rFonts w:cs="Arial"/>
          <w:szCs w:val="17"/>
        </w:rPr>
        <w:t>nen stützt.</w:t>
      </w:r>
    </w:p>
    <w:p>
      <w:pPr>
        <w:pStyle w:val="GesAbsatz"/>
        <w:jc w:val="both"/>
        <w:rPr>
          <w:rFonts w:cs="Arial"/>
          <w:szCs w:val="17"/>
        </w:rPr>
      </w:pPr>
      <w:r>
        <w:rPr>
          <w:rFonts w:cs="Arial"/>
          <w:szCs w:val="17"/>
        </w:rPr>
        <w:t>Die Anwendung von Messverfahren muss von der zuständigen Behörde genehmigt werden. Der Betreiber muss die Messungen in jedem Berichtszeitraum anhand flankierender Emissionsberechnungen entspr</w:t>
      </w:r>
      <w:r>
        <w:rPr>
          <w:rFonts w:cs="Arial"/>
          <w:szCs w:val="17"/>
        </w:rPr>
        <w:t>e</w:t>
      </w:r>
      <w:r>
        <w:rPr>
          <w:rFonts w:cs="Arial"/>
          <w:szCs w:val="17"/>
        </w:rPr>
        <w:t>chend dieser Leitlinien bestätigen. Hinsichtlich des für die flankierende Berechung zu wählenden Ebene</w:t>
      </w:r>
      <w:r>
        <w:rPr>
          <w:rFonts w:cs="Arial"/>
          <w:szCs w:val="17"/>
        </w:rPr>
        <w:t>n</w:t>
      </w:r>
      <w:r>
        <w:rPr>
          <w:rFonts w:cs="Arial"/>
          <w:szCs w:val="17"/>
        </w:rPr>
        <w:t>konzept gelten dieselben Bestimmungen wie für die Ermittlung von Emissionen anhand von Berec</w:t>
      </w:r>
      <w:r>
        <w:rPr>
          <w:rFonts w:cs="Arial"/>
          <w:szCs w:val="17"/>
        </w:rPr>
        <w:t>h</w:t>
      </w:r>
      <w:r>
        <w:rPr>
          <w:rFonts w:cs="Arial"/>
          <w:szCs w:val="17"/>
        </w:rPr>
        <w:t>nungen (siehe Abschnitt 4.2.2.1.4).</w:t>
      </w:r>
    </w:p>
    <w:p>
      <w:pPr>
        <w:pStyle w:val="GesAbsatz"/>
        <w:jc w:val="both"/>
        <w:rPr>
          <w:rFonts w:cs="Arial"/>
          <w:szCs w:val="17"/>
        </w:rPr>
      </w:pPr>
      <w:r>
        <w:rPr>
          <w:rFonts w:cs="Arial"/>
          <w:szCs w:val="17"/>
        </w:rPr>
        <w:t>Der Betreiber kann - mit Zustimmung der zuständigen Behörde - bei unterschiedlichen Emissionsque</w:t>
      </w:r>
      <w:r>
        <w:rPr>
          <w:rFonts w:cs="Arial"/>
          <w:szCs w:val="17"/>
        </w:rPr>
        <w:t>l</w:t>
      </w:r>
      <w:r>
        <w:rPr>
          <w:rFonts w:cs="Arial"/>
          <w:szCs w:val="17"/>
        </w:rPr>
        <w:t>len innerhalb ein und derselben Anlage jeweils zwischen einer Überwachung durch Berechnungen oder auf der Grundlage von Messungen wählen. Der Betreiber muss sicherstellen und nachweisen, dass in Bezug auf die Erfassung der Emissionen keine Lücken entstehen bzw. keine Doppelzählungen vorko</w:t>
      </w:r>
      <w:r>
        <w:rPr>
          <w:rFonts w:cs="Arial"/>
          <w:szCs w:val="17"/>
        </w:rPr>
        <w:t>m</w:t>
      </w:r>
      <w:r>
        <w:rPr>
          <w:rFonts w:cs="Arial"/>
          <w:szCs w:val="17"/>
        </w:rPr>
        <w:t>men.</w:t>
      </w:r>
    </w:p>
    <w:p>
      <w:pPr>
        <w:pStyle w:val="GesAbsatz"/>
        <w:jc w:val="both"/>
        <w:rPr>
          <w:rFonts w:cs="Arial"/>
          <w:i/>
          <w:iCs/>
          <w:szCs w:val="17"/>
        </w:rPr>
      </w:pPr>
      <w:r>
        <w:rPr>
          <w:rFonts w:cs="Arial"/>
          <w:szCs w:val="17"/>
        </w:rPr>
        <w:t xml:space="preserve">4.2.2. </w:t>
      </w:r>
      <w:r>
        <w:rPr>
          <w:rFonts w:cs="Arial"/>
          <w:i/>
          <w:iCs/>
          <w:szCs w:val="17"/>
        </w:rPr>
        <w:t>Berechnung</w:t>
      </w:r>
    </w:p>
    <w:p>
      <w:pPr>
        <w:pStyle w:val="GesAbsatz"/>
        <w:jc w:val="both"/>
        <w:rPr>
          <w:rFonts w:cs="Arial"/>
          <w:szCs w:val="17"/>
        </w:rPr>
      </w:pPr>
      <w:r>
        <w:rPr>
          <w:rFonts w:cs="Arial"/>
          <w:szCs w:val="17"/>
        </w:rPr>
        <w:t>4.2.2.1. Berechnung der CO</w:t>
      </w:r>
      <w:r>
        <w:rPr>
          <w:rFonts w:cs="Arial"/>
          <w:szCs w:val="10"/>
          <w:vertAlign w:val="subscript"/>
        </w:rPr>
        <w:t>2</w:t>
      </w:r>
      <w:r>
        <w:rPr>
          <w:rFonts w:cs="Arial"/>
          <w:szCs w:val="17"/>
        </w:rPr>
        <w:t>-Emissionen</w:t>
      </w:r>
    </w:p>
    <w:p>
      <w:pPr>
        <w:pStyle w:val="GesAbsatz"/>
        <w:jc w:val="both"/>
        <w:rPr>
          <w:rFonts w:cs="Arial"/>
          <w:szCs w:val="17"/>
        </w:rPr>
      </w:pPr>
      <w:r>
        <w:rPr>
          <w:rFonts w:cs="Arial"/>
          <w:szCs w:val="17"/>
        </w:rPr>
        <w:t>4.2.2.1.1. Berechnungsformeln</w:t>
      </w:r>
    </w:p>
    <w:p>
      <w:pPr>
        <w:pStyle w:val="GesAbsatz"/>
        <w:jc w:val="both"/>
        <w:rPr>
          <w:rFonts w:cs="Arial"/>
          <w:szCs w:val="17"/>
        </w:rPr>
      </w:pPr>
      <w:r>
        <w:rPr>
          <w:rFonts w:cs="Arial"/>
          <w:szCs w:val="17"/>
        </w:rPr>
        <w:t>Die Berechnung der CO</w:t>
      </w:r>
      <w:r>
        <w:rPr>
          <w:rFonts w:cs="Arial"/>
          <w:szCs w:val="10"/>
          <w:vertAlign w:val="subscript"/>
        </w:rPr>
        <w:t>2</w:t>
      </w:r>
      <w:r>
        <w:rPr>
          <w:rFonts w:cs="Arial"/>
          <w:szCs w:val="17"/>
        </w:rPr>
        <w:t>-Emissionen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Tätigkeitsdaten × Emissionsfaktor × Oxidationsfaktor</w:t>
      </w:r>
    </w:p>
    <w:p>
      <w:pPr>
        <w:pStyle w:val="GesAbsatz"/>
        <w:jc w:val="both"/>
        <w:rPr>
          <w:rFonts w:cs="Arial"/>
          <w:szCs w:val="17"/>
        </w:rPr>
      </w:pPr>
      <w:r>
        <w:rPr>
          <w:rFonts w:cs="Arial"/>
          <w:szCs w:val="17"/>
        </w:rPr>
        <w:t>oder nach einem alternativen Ansatz, sofern dieser in den tätigkeitsspezifischen Leitlinien definiert ist.</w:t>
      </w:r>
    </w:p>
    <w:p>
      <w:pPr>
        <w:pStyle w:val="GesAbsatz"/>
        <w:jc w:val="both"/>
        <w:rPr>
          <w:rFonts w:cs="Arial"/>
          <w:szCs w:val="17"/>
        </w:rPr>
      </w:pPr>
      <w:r>
        <w:rPr>
          <w:rFonts w:cs="Arial"/>
          <w:szCs w:val="17"/>
        </w:rPr>
        <w:t>Für Emissionen aus der Verbrennung und Emissionen aus Industrieprozessen sind die Ausdrücke in di</w:t>
      </w:r>
      <w:r>
        <w:rPr>
          <w:rFonts w:cs="Arial"/>
          <w:szCs w:val="17"/>
        </w:rPr>
        <w:t>e</w:t>
      </w:r>
      <w:r>
        <w:rPr>
          <w:rFonts w:cs="Arial"/>
          <w:szCs w:val="17"/>
        </w:rPr>
        <w:t>ser Formel wie folgt spezifiziert:</w:t>
      </w:r>
    </w:p>
    <w:p>
      <w:pPr>
        <w:pStyle w:val="GesAbsatz"/>
        <w:jc w:val="both"/>
        <w:rPr>
          <w:rFonts w:cs="Arial"/>
          <w:i/>
          <w:iCs/>
          <w:szCs w:val="17"/>
        </w:rPr>
      </w:pPr>
      <w:r>
        <w:rPr>
          <w:rFonts w:cs="Arial"/>
          <w:i/>
          <w:iCs/>
          <w:szCs w:val="17"/>
        </w:rPr>
        <w:t>Emissionen aus der Verbrennung</w:t>
      </w:r>
    </w:p>
    <w:p>
      <w:pPr>
        <w:pStyle w:val="GesAbsatz"/>
        <w:jc w:val="both"/>
        <w:rPr>
          <w:rFonts w:cs="Arial"/>
          <w:szCs w:val="17"/>
        </w:rPr>
      </w:pPr>
      <w:r>
        <w:rPr>
          <w:rFonts w:cs="Arial"/>
          <w:szCs w:val="17"/>
        </w:rPr>
        <w:t>Die Tätigkeitsdaten beruhen auf dem Brennstoffverbrauch. Die eingesetzte Brennstoffmenge wird als Ene</w:t>
      </w:r>
      <w:r>
        <w:rPr>
          <w:rFonts w:cs="Arial"/>
          <w:szCs w:val="17"/>
        </w:rPr>
        <w:t>r</w:t>
      </w:r>
      <w:r>
        <w:rPr>
          <w:rFonts w:cs="Arial"/>
          <w:szCs w:val="17"/>
        </w:rPr>
        <w:t>giegehalt TJ, der Emissionsfaktor als t CO</w:t>
      </w:r>
      <w:r>
        <w:rPr>
          <w:rFonts w:cs="Arial"/>
          <w:szCs w:val="10"/>
          <w:vertAlign w:val="subscript"/>
        </w:rPr>
        <w:t>2</w:t>
      </w:r>
      <w:r>
        <w:rPr>
          <w:rFonts w:cs="Arial"/>
          <w:szCs w:val="17"/>
        </w:rPr>
        <w:t>/TJ ausgedrückt. Wenn Energie verbraucht wird, oxidiert nicht der gesamte im Brennstoff enthaltene Kohlenstoff zu CO</w:t>
      </w:r>
      <w:r>
        <w:rPr>
          <w:rFonts w:cs="Arial"/>
          <w:szCs w:val="10"/>
          <w:vertAlign w:val="subscript"/>
        </w:rPr>
        <w:t>2</w:t>
      </w:r>
      <w:r>
        <w:rPr>
          <w:rFonts w:cs="Arial"/>
          <w:szCs w:val="17"/>
        </w:rPr>
        <w:t>. Eine unvollständige Oxidation entsteht durch einen unzureichenden Verbrennungsprozess, d. h. ein Teil des Kohlenstoffs wird nicht verbrannt oder ox</w:t>
      </w:r>
      <w:r>
        <w:rPr>
          <w:rFonts w:cs="Arial"/>
          <w:szCs w:val="17"/>
        </w:rPr>
        <w:t>i</w:t>
      </w:r>
      <w:r>
        <w:rPr>
          <w:rFonts w:cs="Arial"/>
          <w:szCs w:val="17"/>
        </w:rPr>
        <w:t>diert zu Ruß oder Asche. Dem nicht oxidierten Kohlenstoff wird über den Oxidationsfaktor Rechnung getr</w:t>
      </w:r>
      <w:r>
        <w:rPr>
          <w:rFonts w:cs="Arial"/>
          <w:szCs w:val="17"/>
        </w:rPr>
        <w:t>a</w:t>
      </w:r>
      <w:r>
        <w:rPr>
          <w:rFonts w:cs="Arial"/>
          <w:szCs w:val="17"/>
        </w:rPr>
        <w:t>gen, der als Bruchteil dargestellt wird. Ist die Oxidation bereits im Emissionsfaktor berücksichtigt, so wird kein zusät</w:t>
      </w:r>
      <w:r>
        <w:rPr>
          <w:rFonts w:cs="Arial"/>
          <w:szCs w:val="17"/>
        </w:rPr>
        <w:t>z</w:t>
      </w:r>
      <w:r>
        <w:rPr>
          <w:rFonts w:cs="Arial"/>
          <w:szCs w:val="17"/>
        </w:rPr>
        <w:t xml:space="preserve">licher </w:t>
      </w:r>
      <w:r>
        <w:rPr>
          <w:rFonts w:cs="Arial"/>
          <w:szCs w:val="17"/>
        </w:rPr>
        <w:lastRenderedPageBreak/>
        <w:t>Oxidationsfaktor verwendet. Der Oxidationsfaktor wird als Prozentsatz ausgedrückt. Da</w:t>
      </w:r>
      <w:r>
        <w:rPr>
          <w:rFonts w:cs="Arial"/>
          <w:szCs w:val="17"/>
        </w:rPr>
        <w:t>r</w:t>
      </w:r>
      <w:r>
        <w:rPr>
          <w:rFonts w:cs="Arial"/>
          <w:szCs w:val="17"/>
        </w:rPr>
        <w:t>aus ergibt sich die folgende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Brennstoffverbrauch [TJ] × Emissionsfaktor [t CO</w:t>
      </w:r>
      <w:r>
        <w:rPr>
          <w:rFonts w:cs="Arial"/>
          <w:szCs w:val="10"/>
          <w:vertAlign w:val="subscript"/>
        </w:rPr>
        <w:t>2</w:t>
      </w:r>
      <w:r>
        <w:rPr>
          <w:rFonts w:cs="Arial"/>
          <w:szCs w:val="17"/>
        </w:rPr>
        <w:t>/TJ] × Oxidationsfaktor</w:t>
      </w:r>
    </w:p>
    <w:p>
      <w:pPr>
        <w:pStyle w:val="GesAbsatz"/>
        <w:jc w:val="both"/>
        <w:rPr>
          <w:rFonts w:cs="Arial"/>
          <w:szCs w:val="17"/>
        </w:rPr>
      </w:pPr>
      <w:r>
        <w:rPr>
          <w:rFonts w:cs="Arial"/>
          <w:szCs w:val="17"/>
        </w:rPr>
        <w:t>Die Berechnung von Emissionen aus der Verbrennung wird in Anhang II weiter spezifiziert.</w:t>
      </w:r>
    </w:p>
    <w:p>
      <w:pPr>
        <w:pStyle w:val="GesAbsatz"/>
        <w:jc w:val="both"/>
        <w:rPr>
          <w:rFonts w:cs="Arial"/>
          <w:i/>
          <w:iCs/>
          <w:szCs w:val="17"/>
        </w:rPr>
      </w:pPr>
      <w:r>
        <w:rPr>
          <w:rFonts w:cs="Arial"/>
          <w:i/>
          <w:iCs/>
          <w:szCs w:val="17"/>
        </w:rPr>
        <w:t>Emissionen aus Prozessen:</w:t>
      </w:r>
    </w:p>
    <w:p>
      <w:pPr>
        <w:pStyle w:val="GesAbsatz"/>
        <w:jc w:val="both"/>
        <w:rPr>
          <w:rFonts w:cs="Arial"/>
          <w:szCs w:val="17"/>
        </w:rPr>
      </w:pPr>
      <w:r>
        <w:rPr>
          <w:rFonts w:cs="Arial"/>
          <w:szCs w:val="17"/>
        </w:rPr>
        <w:t>Die Tätigkeitsdaten beruhen auf dem Rohstoffverbrauch, dem Durchsatz oder der Produktionsrate, ausg</w:t>
      </w:r>
      <w:r>
        <w:rPr>
          <w:rFonts w:cs="Arial"/>
          <w:szCs w:val="17"/>
        </w:rPr>
        <w:t>e</w:t>
      </w:r>
      <w:r>
        <w:rPr>
          <w:rFonts w:cs="Arial"/>
          <w:szCs w:val="17"/>
        </w:rPr>
        <w:t>drückt in t oder m</w:t>
      </w:r>
      <w:r>
        <w:rPr>
          <w:rFonts w:cs="Arial"/>
          <w:szCs w:val="10"/>
          <w:vertAlign w:val="superscript"/>
        </w:rPr>
        <w:t>3</w:t>
      </w:r>
      <w:r>
        <w:rPr>
          <w:rFonts w:cs="Arial"/>
          <w:szCs w:val="17"/>
        </w:rPr>
        <w:t>. Der Emissionsfaktor wird als [t CO</w:t>
      </w:r>
      <w:r>
        <w:rPr>
          <w:rFonts w:cs="Arial"/>
          <w:szCs w:val="10"/>
          <w:vertAlign w:val="subscript"/>
        </w:rPr>
        <w:t>2</w:t>
      </w:r>
      <w:r>
        <w:rPr>
          <w:rFonts w:cs="Arial"/>
          <w:szCs w:val="17"/>
        </w:rPr>
        <w:t>/t oder t CO</w:t>
      </w:r>
      <w:r>
        <w:rPr>
          <w:rFonts w:cs="Arial"/>
          <w:szCs w:val="10"/>
          <w:vertAlign w:val="subscript"/>
        </w:rPr>
        <w:t>2</w:t>
      </w:r>
      <w:r>
        <w:rPr>
          <w:rFonts w:cs="Arial"/>
          <w:szCs w:val="17"/>
        </w:rPr>
        <w:t>/m</w:t>
      </w:r>
      <w:r>
        <w:rPr>
          <w:rFonts w:cs="Arial"/>
          <w:szCs w:val="10"/>
          <w:vertAlign w:val="superscript"/>
        </w:rPr>
        <w:t>3</w:t>
      </w:r>
      <w:r>
        <w:rPr>
          <w:rFonts w:cs="Arial"/>
          <w:szCs w:val="17"/>
        </w:rPr>
        <w:t>] ausgedrückt. Dem im Eingangsmat</w:t>
      </w:r>
      <w:r>
        <w:rPr>
          <w:rFonts w:cs="Arial"/>
          <w:szCs w:val="17"/>
        </w:rPr>
        <w:t>e</w:t>
      </w:r>
      <w:r>
        <w:rPr>
          <w:rFonts w:cs="Arial"/>
          <w:szCs w:val="17"/>
        </w:rPr>
        <w:t>rial enthaltenen Kohlenstoff, der während des Prozesses nicht in CO</w:t>
      </w:r>
      <w:r>
        <w:rPr>
          <w:rFonts w:cs="Arial"/>
          <w:szCs w:val="10"/>
          <w:vertAlign w:val="subscript"/>
        </w:rPr>
        <w:t>2</w:t>
      </w:r>
      <w:r>
        <w:rPr>
          <w:rFonts w:cs="Arial"/>
          <w:szCs w:val="10"/>
        </w:rPr>
        <w:t xml:space="preserve"> </w:t>
      </w:r>
      <w:r>
        <w:rPr>
          <w:rFonts w:cs="Arial"/>
          <w:szCs w:val="17"/>
        </w:rPr>
        <w:t>umgewandelt wird, wird im Umse</w:t>
      </w:r>
      <w:r>
        <w:rPr>
          <w:rFonts w:cs="Arial"/>
          <w:szCs w:val="17"/>
        </w:rPr>
        <w:t>t</w:t>
      </w:r>
      <w:r>
        <w:rPr>
          <w:rFonts w:cs="Arial"/>
          <w:szCs w:val="17"/>
        </w:rPr>
        <w:t>zungsfaktor Rechnung getragen, der als Bruch dargestellt wird. Ist die Umwandlung bereits im Emissionsfa</w:t>
      </w:r>
      <w:r>
        <w:rPr>
          <w:rFonts w:cs="Arial"/>
          <w:szCs w:val="17"/>
        </w:rPr>
        <w:t>k</w:t>
      </w:r>
      <w:r>
        <w:rPr>
          <w:rFonts w:cs="Arial"/>
          <w:szCs w:val="17"/>
        </w:rPr>
        <w:t>tor berücksichtigt, so wird kein zusätzlicher Umsetzungsfaktor verwendet. Die Menge des verwendeten Ei</w:t>
      </w:r>
      <w:r>
        <w:rPr>
          <w:rFonts w:cs="Arial"/>
          <w:szCs w:val="17"/>
        </w:rPr>
        <w:t>n</w:t>
      </w:r>
      <w:r>
        <w:rPr>
          <w:rFonts w:cs="Arial"/>
          <w:szCs w:val="17"/>
        </w:rPr>
        <w:t>gangsmaterials wird als Masse oder Volumen [t oder m</w:t>
      </w:r>
      <w:r>
        <w:rPr>
          <w:rFonts w:cs="Arial"/>
          <w:szCs w:val="10"/>
          <w:vertAlign w:val="superscript"/>
        </w:rPr>
        <w:t>3</w:t>
      </w:r>
      <w:r>
        <w:rPr>
          <w:rFonts w:cs="Arial"/>
          <w:szCs w:val="17"/>
        </w:rPr>
        <w:t>] ausgedrückt. Daraus ergibt sich die folgende Fo</w:t>
      </w:r>
      <w:r>
        <w:rPr>
          <w:rFonts w:cs="Arial"/>
          <w:szCs w:val="17"/>
        </w:rPr>
        <w:t>r</w:t>
      </w:r>
      <w:r>
        <w:rPr>
          <w:rFonts w:cs="Arial"/>
          <w:szCs w:val="17"/>
        </w:rPr>
        <w:t>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Tätigkeitsdaten [t oder m</w:t>
      </w:r>
      <w:r>
        <w:rPr>
          <w:rFonts w:cs="Arial"/>
          <w:szCs w:val="10"/>
          <w:vertAlign w:val="superscript"/>
        </w:rPr>
        <w:t>3</w:t>
      </w:r>
      <w:r>
        <w:rPr>
          <w:rFonts w:cs="Arial"/>
          <w:szCs w:val="17"/>
        </w:rPr>
        <w:t>] × Emissionsfaktor [t CO</w:t>
      </w:r>
      <w:r>
        <w:rPr>
          <w:rFonts w:cs="Arial"/>
          <w:szCs w:val="10"/>
          <w:vertAlign w:val="subscript"/>
        </w:rPr>
        <w:t>2</w:t>
      </w:r>
      <w:r>
        <w:rPr>
          <w:rFonts w:cs="Arial"/>
          <w:szCs w:val="17"/>
        </w:rPr>
        <w:t>/t oder m</w:t>
      </w:r>
      <w:r>
        <w:rPr>
          <w:rFonts w:cs="Arial"/>
          <w:szCs w:val="10"/>
          <w:vertAlign w:val="superscript"/>
        </w:rPr>
        <w:t>3</w:t>
      </w:r>
      <w:r>
        <w:rPr>
          <w:rFonts w:cs="Arial"/>
          <w:szCs w:val="17"/>
        </w:rPr>
        <w:t>] × Umsetzungsfaktor</w:t>
      </w:r>
    </w:p>
    <w:p>
      <w:pPr>
        <w:pStyle w:val="GesAbsatz"/>
        <w:jc w:val="both"/>
        <w:rPr>
          <w:rFonts w:cs="Arial"/>
          <w:szCs w:val="17"/>
        </w:rPr>
      </w:pPr>
      <w:r>
        <w:rPr>
          <w:rFonts w:cs="Arial"/>
          <w:szCs w:val="17"/>
        </w:rPr>
        <w:t>Die Berechnung der Emissionen aus Industrieprozessen wird in den tätigkeitsspezifischen Leitlinien der A</w:t>
      </w:r>
      <w:r>
        <w:rPr>
          <w:rFonts w:cs="Arial"/>
          <w:szCs w:val="17"/>
        </w:rPr>
        <w:t>n</w:t>
      </w:r>
      <w:r>
        <w:rPr>
          <w:rFonts w:cs="Arial"/>
          <w:szCs w:val="17"/>
        </w:rPr>
        <w:t>hänge II bis XI ausführlicher erläutert. In einigen Fällen werden spezifische Referenzfaktoren genannt.</w:t>
      </w:r>
    </w:p>
    <w:p>
      <w:pPr>
        <w:pStyle w:val="GesAbsatz"/>
        <w:jc w:val="both"/>
        <w:rPr>
          <w:rFonts w:cs="Arial"/>
          <w:szCs w:val="10"/>
        </w:rPr>
      </w:pPr>
      <w:r>
        <w:rPr>
          <w:rFonts w:cs="Arial"/>
          <w:szCs w:val="17"/>
        </w:rPr>
        <w:t>4.2.2.1.2. Weitergeleitetes CO</w:t>
      </w:r>
      <w:r>
        <w:rPr>
          <w:rFonts w:cs="Arial"/>
          <w:szCs w:val="10"/>
          <w:vertAlign w:val="subscript"/>
        </w:rPr>
        <w:t>2</w:t>
      </w:r>
    </w:p>
    <w:p>
      <w:pPr>
        <w:pStyle w:val="GesAbsatz"/>
        <w:jc w:val="both"/>
        <w:rPr>
          <w:rFonts w:cs="Arial"/>
          <w:szCs w:val="17"/>
        </w:rPr>
      </w:pPr>
      <w:r>
        <w:rPr>
          <w:rFonts w:cs="Arial"/>
          <w:szCs w:val="17"/>
        </w:rPr>
        <w:t>CO</w:t>
      </w:r>
      <w:r>
        <w:rPr>
          <w:rFonts w:cs="Arial"/>
          <w:szCs w:val="10"/>
          <w:vertAlign w:val="subscript"/>
        </w:rPr>
        <w:t>2</w:t>
      </w:r>
      <w:r>
        <w:rPr>
          <w:rFonts w:cs="Arial"/>
          <w:szCs w:val="17"/>
        </w:rPr>
        <w:t>, das nicht aus einer Anlage freigesetzt, sondern als Reinsubstanz an eine andere Anlage weitergele</w:t>
      </w:r>
      <w:r>
        <w:rPr>
          <w:rFonts w:cs="Arial"/>
          <w:szCs w:val="17"/>
        </w:rPr>
        <w:t>i</w:t>
      </w:r>
      <w:r>
        <w:rPr>
          <w:rFonts w:cs="Arial"/>
          <w:szCs w:val="17"/>
        </w:rPr>
        <w:t>tet wird - sei es als ein Bestandteil von Brennstoffen oder direkt als Ausgangsmaterial für die chemische oder die Papierindustrie -, wird aus dem ermittelten Emissionswert herausgerechnet. Die betreffende Menge CO</w:t>
      </w:r>
      <w:r>
        <w:rPr>
          <w:rFonts w:cs="Arial"/>
          <w:szCs w:val="10"/>
          <w:vertAlign w:val="subscript"/>
        </w:rPr>
        <w:t xml:space="preserve">2 </w:t>
      </w:r>
      <w:r>
        <w:rPr>
          <w:rFonts w:cs="Arial"/>
          <w:szCs w:val="17"/>
        </w:rPr>
        <w:t>ist in Form eines Memo-Item zu melden.</w:t>
      </w:r>
    </w:p>
    <w:p>
      <w:pPr>
        <w:pStyle w:val="GesAbsatz"/>
        <w:jc w:val="both"/>
        <w:rPr>
          <w:rFonts w:cs="Arial"/>
          <w:szCs w:val="17"/>
        </w:rPr>
      </w:pPr>
      <w:r>
        <w:rPr>
          <w:rFonts w:cs="Arial"/>
          <w:szCs w:val="17"/>
        </w:rPr>
        <w:t>CO</w:t>
      </w:r>
      <w:r>
        <w:rPr>
          <w:rFonts w:cs="Arial"/>
          <w:szCs w:val="10"/>
          <w:vertAlign w:val="subscript"/>
        </w:rPr>
        <w:t>2</w:t>
      </w:r>
      <w:r>
        <w:rPr>
          <w:rFonts w:cs="Arial"/>
          <w:szCs w:val="17"/>
        </w:rPr>
        <w:t>, das zu den folgenden Zwecken aus einer Anlage abgegeben wird, ist als weitergeleitetes CO</w:t>
      </w:r>
      <w:r>
        <w:rPr>
          <w:rFonts w:cs="Arial"/>
          <w:szCs w:val="10"/>
          <w:vertAlign w:val="subscript"/>
        </w:rPr>
        <w:t>2</w:t>
      </w:r>
      <w:r>
        <w:rPr>
          <w:rFonts w:cs="Arial"/>
          <w:szCs w:val="10"/>
        </w:rPr>
        <w:t xml:space="preserve"> </w:t>
      </w:r>
      <w:r>
        <w:rPr>
          <w:rFonts w:cs="Arial"/>
          <w:szCs w:val="17"/>
        </w:rPr>
        <w:t>zu b</w:t>
      </w:r>
      <w:r>
        <w:rPr>
          <w:rFonts w:cs="Arial"/>
          <w:szCs w:val="17"/>
        </w:rPr>
        <w:t>e</w:t>
      </w:r>
      <w:r>
        <w:rPr>
          <w:rFonts w:cs="Arial"/>
          <w:szCs w:val="17"/>
        </w:rPr>
        <w:t>trachten:</w:t>
      </w:r>
    </w:p>
    <w:p>
      <w:pPr>
        <w:pStyle w:val="GesAbsatz"/>
        <w:jc w:val="both"/>
        <w:rPr>
          <w:rFonts w:cs="Arial"/>
          <w:szCs w:val="17"/>
        </w:rPr>
      </w:pPr>
      <w:r>
        <w:rPr>
          <w:rFonts w:cs="Arial"/>
          <w:szCs w:val="17"/>
        </w:rPr>
        <w:t>-</w:t>
      </w:r>
      <w:r>
        <w:rPr>
          <w:rFonts w:cs="Arial"/>
          <w:szCs w:val="17"/>
        </w:rPr>
        <w:tab/>
        <w:t>reines CO</w:t>
      </w:r>
      <w:r>
        <w:rPr>
          <w:rFonts w:cs="Arial"/>
          <w:szCs w:val="10"/>
          <w:vertAlign w:val="subscript"/>
        </w:rPr>
        <w:t>2</w:t>
      </w:r>
      <w:r>
        <w:rPr>
          <w:rFonts w:cs="Arial"/>
          <w:szCs w:val="17"/>
        </w:rPr>
        <w:t>, das als Kohlensäure für Getränke eingesetzt wird,</w:t>
      </w:r>
    </w:p>
    <w:p>
      <w:pPr>
        <w:pStyle w:val="GesAbsatz"/>
        <w:jc w:val="both"/>
        <w:rPr>
          <w:rFonts w:cs="Arial"/>
          <w:szCs w:val="17"/>
        </w:rPr>
      </w:pPr>
      <w:r>
        <w:rPr>
          <w:rFonts w:cs="Arial"/>
          <w:szCs w:val="17"/>
        </w:rPr>
        <w:t>-</w:t>
      </w:r>
      <w:r>
        <w:rPr>
          <w:rFonts w:cs="Arial"/>
          <w:szCs w:val="17"/>
        </w:rPr>
        <w:tab/>
        <w:t>reines CO</w:t>
      </w:r>
      <w:r>
        <w:rPr>
          <w:rFonts w:cs="Arial"/>
          <w:szCs w:val="10"/>
          <w:vertAlign w:val="subscript"/>
        </w:rPr>
        <w:t>2</w:t>
      </w:r>
      <w:r>
        <w:rPr>
          <w:rFonts w:cs="Arial"/>
          <w:szCs w:val="17"/>
        </w:rPr>
        <w:t>, das als Trockeneis für Kühlzwecke eingesetzt wird,</w:t>
      </w:r>
    </w:p>
    <w:p>
      <w:pPr>
        <w:pStyle w:val="GesAbsatz"/>
        <w:jc w:val="both"/>
        <w:rPr>
          <w:rFonts w:cs="Arial"/>
          <w:szCs w:val="17"/>
        </w:rPr>
      </w:pPr>
      <w:r>
        <w:rPr>
          <w:rFonts w:cs="Arial"/>
          <w:szCs w:val="17"/>
        </w:rPr>
        <w:t>-</w:t>
      </w:r>
      <w:r>
        <w:rPr>
          <w:rFonts w:cs="Arial"/>
          <w:szCs w:val="17"/>
        </w:rPr>
        <w:tab/>
        <w:t>reines CO</w:t>
      </w:r>
      <w:r>
        <w:rPr>
          <w:rFonts w:cs="Arial"/>
          <w:szCs w:val="10"/>
          <w:vertAlign w:val="subscript"/>
        </w:rPr>
        <w:t>2</w:t>
      </w:r>
      <w:r>
        <w:rPr>
          <w:rFonts w:cs="Arial"/>
          <w:szCs w:val="17"/>
        </w:rPr>
        <w:t>, das als Löschmittel, Kühlmittel oder Laborgas eingesetzt wird,</w:t>
      </w:r>
    </w:p>
    <w:p>
      <w:pPr>
        <w:pStyle w:val="GesAbsatz"/>
        <w:jc w:val="both"/>
        <w:rPr>
          <w:rFonts w:cs="Arial"/>
          <w:szCs w:val="17"/>
        </w:rPr>
      </w:pPr>
      <w:r>
        <w:rPr>
          <w:rFonts w:cs="Arial"/>
          <w:szCs w:val="17"/>
        </w:rPr>
        <w:t>-</w:t>
      </w:r>
      <w:r>
        <w:rPr>
          <w:rFonts w:cs="Arial"/>
          <w:szCs w:val="17"/>
        </w:rPr>
        <w:tab/>
        <w:t>reines CO</w:t>
      </w:r>
      <w:r>
        <w:rPr>
          <w:rFonts w:cs="Arial"/>
          <w:szCs w:val="10"/>
          <w:vertAlign w:val="subscript"/>
        </w:rPr>
        <w:t>2</w:t>
      </w:r>
      <w:r>
        <w:rPr>
          <w:rFonts w:cs="Arial"/>
          <w:szCs w:val="17"/>
        </w:rPr>
        <w:t>, das für die Entwesung von Getreide eingesetzt wird,</w:t>
      </w:r>
    </w:p>
    <w:p>
      <w:pPr>
        <w:pStyle w:val="GesAbsatz"/>
        <w:jc w:val="both"/>
        <w:rPr>
          <w:rFonts w:cs="Arial"/>
          <w:szCs w:val="17"/>
        </w:rPr>
      </w:pPr>
      <w:r>
        <w:rPr>
          <w:rFonts w:cs="Arial"/>
          <w:szCs w:val="17"/>
        </w:rPr>
        <w:t>-</w:t>
      </w:r>
      <w:r>
        <w:rPr>
          <w:rFonts w:cs="Arial"/>
          <w:szCs w:val="17"/>
        </w:rPr>
        <w:tab/>
        <w:t>reines CO</w:t>
      </w:r>
      <w:r>
        <w:rPr>
          <w:rFonts w:cs="Arial"/>
          <w:szCs w:val="10"/>
          <w:vertAlign w:val="subscript"/>
        </w:rPr>
        <w:t>2</w:t>
      </w:r>
      <w:r>
        <w:rPr>
          <w:rFonts w:cs="Arial"/>
          <w:szCs w:val="17"/>
        </w:rPr>
        <w:t>, das in der chemischen und in der Lebensmittelindustrie als Lösemittel eingesetzt wird,</w:t>
      </w:r>
    </w:p>
    <w:p>
      <w:pPr>
        <w:pStyle w:val="GesAbsatz"/>
        <w:ind w:left="426" w:hanging="426"/>
        <w:jc w:val="both"/>
        <w:rPr>
          <w:rFonts w:cs="Arial"/>
          <w:szCs w:val="17"/>
        </w:rPr>
      </w:pPr>
      <w:r>
        <w:rPr>
          <w:rFonts w:cs="Arial"/>
          <w:szCs w:val="17"/>
        </w:rPr>
        <w:t>-</w:t>
      </w:r>
      <w:r>
        <w:rPr>
          <w:rFonts w:cs="Arial"/>
          <w:szCs w:val="17"/>
        </w:rPr>
        <w:tab/>
        <w:t>CO</w:t>
      </w:r>
      <w:r>
        <w:rPr>
          <w:rFonts w:cs="Arial"/>
          <w:szCs w:val="10"/>
          <w:vertAlign w:val="subscript"/>
        </w:rPr>
        <w:t>2</w:t>
      </w:r>
      <w:r>
        <w:rPr>
          <w:rFonts w:cs="Arial"/>
          <w:szCs w:val="17"/>
        </w:rPr>
        <w:t>, das als Ausgangsmaterial in der chemischen und in der Zellstoffindustrie eingesetzt wird (z. B. für Karbamid oder Karbonat), und</w:t>
      </w:r>
    </w:p>
    <w:p>
      <w:pPr>
        <w:pStyle w:val="GesAbsatz"/>
        <w:jc w:val="both"/>
        <w:rPr>
          <w:rFonts w:cs="Arial"/>
          <w:szCs w:val="17"/>
        </w:rPr>
      </w:pPr>
      <w:r>
        <w:rPr>
          <w:rFonts w:cs="Arial"/>
          <w:szCs w:val="17"/>
        </w:rPr>
        <w:t>-</w:t>
      </w:r>
      <w:r>
        <w:rPr>
          <w:rFonts w:cs="Arial"/>
          <w:szCs w:val="17"/>
        </w:rPr>
        <w:tab/>
        <w:t>CO</w:t>
      </w:r>
      <w:r>
        <w:rPr>
          <w:rFonts w:cs="Arial"/>
          <w:szCs w:val="10"/>
          <w:vertAlign w:val="subscript"/>
        </w:rPr>
        <w:t>2</w:t>
      </w:r>
      <w:r>
        <w:rPr>
          <w:rFonts w:cs="Arial"/>
          <w:szCs w:val="17"/>
        </w:rPr>
        <w:t>, das Bestandteil eines Brennstoffs ist, der aus der Anlage abgegeben wird.</w:t>
      </w:r>
    </w:p>
    <w:p>
      <w:pPr>
        <w:pStyle w:val="GesAbsatz"/>
        <w:jc w:val="both"/>
        <w:rPr>
          <w:rFonts w:cs="Arial"/>
          <w:szCs w:val="17"/>
        </w:rPr>
      </w:pPr>
      <w:r>
        <w:rPr>
          <w:rFonts w:cs="Arial"/>
          <w:szCs w:val="17"/>
        </w:rPr>
        <w:t>CO</w:t>
      </w:r>
      <w:r>
        <w:rPr>
          <w:rFonts w:cs="Arial"/>
          <w:szCs w:val="10"/>
          <w:vertAlign w:val="subscript"/>
        </w:rPr>
        <w:t>2</w:t>
      </w:r>
      <w:r>
        <w:rPr>
          <w:rFonts w:cs="Arial"/>
          <w:szCs w:val="17"/>
        </w:rPr>
        <w:t>, das als Teil eines Mischbrennstoffs (z. B. Gichtgas oder Kokereigas) an eine andere Anlage abgeg</w:t>
      </w:r>
      <w:r>
        <w:rPr>
          <w:rFonts w:cs="Arial"/>
          <w:szCs w:val="17"/>
        </w:rPr>
        <w:t>e</w:t>
      </w:r>
      <w:r>
        <w:rPr>
          <w:rFonts w:cs="Arial"/>
          <w:szCs w:val="17"/>
        </w:rPr>
        <w:t>ben wird, sollte in den Emissionsfaktor für eben diesen Brennstoff einbezogen werden. Auf diese We</w:t>
      </w:r>
      <w:r>
        <w:rPr>
          <w:rFonts w:cs="Arial"/>
          <w:szCs w:val="17"/>
        </w:rPr>
        <w:t>i</w:t>
      </w:r>
      <w:r>
        <w:rPr>
          <w:rFonts w:cs="Arial"/>
          <w:szCs w:val="17"/>
        </w:rPr>
        <w:t>se wird es den Emissionen der Anlage zugerechnet, in der der Brennstoff verbrannt wird, und aus den Emissionen der Anlage herausgerechnet, aus der es abgegeben wurde.</w:t>
      </w:r>
    </w:p>
    <w:p>
      <w:pPr>
        <w:pStyle w:val="GesAbsatz"/>
        <w:jc w:val="both"/>
        <w:rPr>
          <w:rFonts w:cs="Arial"/>
          <w:szCs w:val="17"/>
        </w:rPr>
      </w:pPr>
      <w:r>
        <w:rPr>
          <w:rFonts w:cs="Arial"/>
          <w:szCs w:val="17"/>
        </w:rPr>
        <w:t>4.2.2.1.3. CO</w:t>
      </w:r>
      <w:r>
        <w:rPr>
          <w:rFonts w:cs="Arial"/>
          <w:szCs w:val="10"/>
          <w:vertAlign w:val="subscript"/>
        </w:rPr>
        <w:t>2</w:t>
      </w:r>
      <w:r>
        <w:rPr>
          <w:rFonts w:cs="Arial"/>
          <w:szCs w:val="17"/>
        </w:rPr>
        <w:t>-Rückhaltung und Speicherung</w:t>
      </w:r>
    </w:p>
    <w:p>
      <w:pPr>
        <w:pStyle w:val="GesAbsatz"/>
        <w:jc w:val="both"/>
        <w:rPr>
          <w:rFonts w:cs="Arial"/>
          <w:szCs w:val="17"/>
        </w:rPr>
      </w:pPr>
      <w:r>
        <w:rPr>
          <w:rFonts w:cs="Arial"/>
          <w:szCs w:val="17"/>
        </w:rPr>
        <w:t>Die Kommission fördert Forschungsarbeiten im Bereich Rückhaltung und Speicherung von CO</w:t>
      </w:r>
      <w:r>
        <w:rPr>
          <w:rFonts w:cs="Arial"/>
          <w:szCs w:val="10"/>
          <w:vertAlign w:val="subscript"/>
        </w:rPr>
        <w:t>2</w:t>
      </w:r>
      <w:r>
        <w:rPr>
          <w:rFonts w:cs="Arial"/>
          <w:szCs w:val="17"/>
        </w:rPr>
        <w:t>. Diese Arbe</w:t>
      </w:r>
      <w:r>
        <w:rPr>
          <w:rFonts w:cs="Arial"/>
          <w:szCs w:val="17"/>
        </w:rPr>
        <w:t>i</w:t>
      </w:r>
      <w:r>
        <w:rPr>
          <w:rFonts w:cs="Arial"/>
          <w:szCs w:val="17"/>
        </w:rPr>
        <w:t>ten werden die Erarbeitung und Verabschiedung von Leitlinien für die Überwachung und Berichtersta</w:t>
      </w:r>
      <w:r>
        <w:rPr>
          <w:rFonts w:cs="Arial"/>
          <w:szCs w:val="17"/>
        </w:rPr>
        <w:t>t</w:t>
      </w:r>
      <w:r>
        <w:rPr>
          <w:rFonts w:cs="Arial"/>
          <w:szCs w:val="17"/>
        </w:rPr>
        <w:t>tung betreffend die CO</w:t>
      </w:r>
      <w:r>
        <w:rPr>
          <w:rFonts w:cs="Arial"/>
          <w:szCs w:val="10"/>
          <w:vertAlign w:val="subscript"/>
        </w:rPr>
        <w:t>2</w:t>
      </w:r>
      <w:r>
        <w:rPr>
          <w:rFonts w:cs="Arial"/>
          <w:szCs w:val="17"/>
        </w:rPr>
        <w:t>-Rückhaltung und -Speicherung (soweit auf diese in der Richtlinie Bezug g</w:t>
      </w:r>
      <w:r>
        <w:rPr>
          <w:rFonts w:cs="Arial"/>
          <w:szCs w:val="17"/>
        </w:rPr>
        <w:t>e</w:t>
      </w:r>
      <w:r>
        <w:rPr>
          <w:rFonts w:cs="Arial"/>
          <w:szCs w:val="17"/>
        </w:rPr>
        <w:t>nommen wird) in Einklang mit dem Verfahren nach Artikel 23 Absatz 2 der Richtlinie maßgeblich beeinflussen. Diese Leitl</w:t>
      </w:r>
      <w:r>
        <w:rPr>
          <w:rFonts w:cs="Arial"/>
          <w:szCs w:val="17"/>
        </w:rPr>
        <w:t>i</w:t>
      </w:r>
      <w:r>
        <w:rPr>
          <w:rFonts w:cs="Arial"/>
          <w:szCs w:val="17"/>
        </w:rPr>
        <w:t>nien werden den Methoden, die im Rahmen der UNFCCC entwickelt wurden, entsprechend Rechnung tr</w:t>
      </w:r>
      <w:r>
        <w:rPr>
          <w:rFonts w:cs="Arial"/>
          <w:szCs w:val="17"/>
        </w:rPr>
        <w:t>a</w:t>
      </w:r>
      <w:r>
        <w:rPr>
          <w:rFonts w:cs="Arial"/>
          <w:szCs w:val="17"/>
        </w:rPr>
        <w:t>gen. Die Mitgliedstaaten, die an der Erarbeitung solcher Leitlinien interessiert sind, werden aufgefordert, die Ergebnisse ihrer diesbezüglichen Forschungsarbeiten an die Kommission zu übermitteln, um eine frü</w:t>
      </w:r>
      <w:r>
        <w:rPr>
          <w:rFonts w:cs="Arial"/>
          <w:szCs w:val="17"/>
        </w:rPr>
        <w:t>h</w:t>
      </w:r>
      <w:r>
        <w:rPr>
          <w:rFonts w:cs="Arial"/>
          <w:szCs w:val="17"/>
        </w:rPr>
        <w:t>zeitige Verabschiedung solcher Leitlinien zu ermöglichen.</w:t>
      </w:r>
    </w:p>
    <w:p>
      <w:pPr>
        <w:pStyle w:val="GesAbsatz"/>
        <w:jc w:val="both"/>
        <w:rPr>
          <w:rFonts w:cs="Arial"/>
          <w:szCs w:val="17"/>
        </w:rPr>
      </w:pPr>
      <w:r>
        <w:rPr>
          <w:rFonts w:cs="Arial"/>
          <w:szCs w:val="17"/>
        </w:rPr>
        <w:t>Vor der Verabschiedung solcher Leitlinien können die Mitgliedstaaten der Kommission ihre vorläufigen Leitl</w:t>
      </w:r>
      <w:r>
        <w:rPr>
          <w:rFonts w:cs="Arial"/>
          <w:szCs w:val="17"/>
        </w:rPr>
        <w:t>i</w:t>
      </w:r>
      <w:r>
        <w:rPr>
          <w:rFonts w:cs="Arial"/>
          <w:szCs w:val="17"/>
        </w:rPr>
        <w:t>nien für die Überwachung und Berichterstattung betreffend die CO</w:t>
      </w:r>
      <w:r>
        <w:rPr>
          <w:rFonts w:cs="Arial"/>
          <w:szCs w:val="10"/>
          <w:vertAlign w:val="subscript"/>
        </w:rPr>
        <w:t>2</w:t>
      </w:r>
      <w:r>
        <w:rPr>
          <w:rFonts w:cs="Arial"/>
          <w:szCs w:val="17"/>
        </w:rPr>
        <w:t>-Rückhaltung und -Speicherung (soweit auf diese in der Richtlinie Bezug genommen wird) übermitteln. Vorbehaltlich der Genehmigung durch die Kommission kann gemäß den in Artikel 23 Absatz 2 der Richtlinie genannten Verfahren das zurückgehalt</w:t>
      </w:r>
      <w:r>
        <w:rPr>
          <w:rFonts w:cs="Arial"/>
          <w:szCs w:val="17"/>
        </w:rPr>
        <w:t>e</w:t>
      </w:r>
      <w:r>
        <w:rPr>
          <w:rFonts w:cs="Arial"/>
          <w:szCs w:val="17"/>
        </w:rPr>
        <w:t xml:space="preserve">ne und </w:t>
      </w:r>
      <w:r>
        <w:rPr>
          <w:rFonts w:cs="Arial"/>
          <w:szCs w:val="17"/>
        </w:rPr>
        <w:lastRenderedPageBreak/>
        <w:t>gespeicherte CO</w:t>
      </w:r>
      <w:r>
        <w:rPr>
          <w:rFonts w:cs="Arial"/>
          <w:szCs w:val="10"/>
          <w:vertAlign w:val="subscript"/>
        </w:rPr>
        <w:t>2</w:t>
      </w:r>
      <w:r>
        <w:rPr>
          <w:rFonts w:cs="Arial"/>
          <w:szCs w:val="10"/>
        </w:rPr>
        <w:t xml:space="preserve"> </w:t>
      </w:r>
      <w:r>
        <w:rPr>
          <w:rFonts w:cs="Arial"/>
          <w:szCs w:val="17"/>
        </w:rPr>
        <w:t>aus den Emissionen von Anlagen, die unter die Richtlinie fallen, in Einklang mit diesen vorläufigen Leitlinien herausgerechnet werden.</w:t>
      </w:r>
    </w:p>
    <w:p>
      <w:pPr>
        <w:pStyle w:val="GesAbsatz"/>
        <w:jc w:val="both"/>
        <w:rPr>
          <w:rFonts w:cs="Arial"/>
          <w:szCs w:val="17"/>
        </w:rPr>
      </w:pPr>
      <w:r>
        <w:rPr>
          <w:rFonts w:cs="Arial"/>
          <w:szCs w:val="17"/>
        </w:rPr>
        <w:t>4.2.2.1.4. Die verschiedenen Ebenenkonzepte</w:t>
      </w:r>
    </w:p>
    <w:p>
      <w:pPr>
        <w:pStyle w:val="GesAbsatz"/>
        <w:jc w:val="both"/>
        <w:rPr>
          <w:rFonts w:cs="Arial"/>
          <w:szCs w:val="17"/>
        </w:rPr>
      </w:pPr>
      <w:r>
        <w:rPr>
          <w:rFonts w:cs="Arial"/>
          <w:szCs w:val="17"/>
        </w:rPr>
        <w:t>Die tätigkeitsspezifischen Leitlinien, die in den Anhängen II bis XI dargelegt sind, beschreiben verschi</w:t>
      </w:r>
      <w:r>
        <w:rPr>
          <w:rFonts w:cs="Arial"/>
          <w:szCs w:val="17"/>
        </w:rPr>
        <w:t>e</w:t>
      </w:r>
      <w:r>
        <w:rPr>
          <w:rFonts w:cs="Arial"/>
          <w:szCs w:val="17"/>
        </w:rPr>
        <w:t>dene Methoden zur Ableitung der folgenden Variablen: Tätigkeitsdaten, Emissionsfaktoren, Oxidations- oder U</w:t>
      </w:r>
      <w:r>
        <w:rPr>
          <w:rFonts w:cs="Arial"/>
          <w:szCs w:val="17"/>
        </w:rPr>
        <w:t>m</w:t>
      </w:r>
      <w:r>
        <w:rPr>
          <w:rFonts w:cs="Arial"/>
          <w:szCs w:val="17"/>
        </w:rPr>
        <w:t>setzungsfaktoren. Die unterschiedlichen Ansätze werden als Ebenenkonzepte bezeichnet. Jedes Ebene</w:t>
      </w:r>
      <w:r>
        <w:rPr>
          <w:rFonts w:cs="Arial"/>
          <w:szCs w:val="17"/>
        </w:rPr>
        <w:t>n</w:t>
      </w:r>
      <w:r>
        <w:rPr>
          <w:rFonts w:cs="Arial"/>
          <w:szCs w:val="17"/>
        </w:rPr>
        <w:t>konzept erhält eine Nummer beginnend mit 1. Je höher die Nummer einer Ebenenkonzepts, de</w:t>
      </w:r>
      <w:r>
        <w:rPr>
          <w:rFonts w:cs="Arial"/>
          <w:szCs w:val="17"/>
        </w:rPr>
        <w:t>s</w:t>
      </w:r>
      <w:r>
        <w:rPr>
          <w:rFonts w:cs="Arial"/>
          <w:szCs w:val="17"/>
        </w:rPr>
        <w:t>to höher der Genauigkeitsgrad, d. h., das Ebenenkonzept mit der höchsten Nummer ist stets zu bevorzugen. Gleichwert</w:t>
      </w:r>
      <w:r>
        <w:rPr>
          <w:rFonts w:cs="Arial"/>
          <w:szCs w:val="17"/>
        </w:rPr>
        <w:t>i</w:t>
      </w:r>
      <w:r>
        <w:rPr>
          <w:rFonts w:cs="Arial"/>
          <w:szCs w:val="17"/>
        </w:rPr>
        <w:t>ge Ebenenkonzepte tragen dieselbe Nummer und werden durch einen Buchstaben weiter spezifiziert (z. B.: Ebene 2a und 2b). Bei Tätigkeiten, für die im Rahmen dieser Leitlinien alternative Berechnungsmeth</w:t>
      </w:r>
      <w:r>
        <w:rPr>
          <w:rFonts w:cs="Arial"/>
          <w:szCs w:val="17"/>
        </w:rPr>
        <w:t>o</w:t>
      </w:r>
      <w:r>
        <w:rPr>
          <w:rFonts w:cs="Arial"/>
          <w:szCs w:val="17"/>
        </w:rPr>
        <w:t>den vorgeschlagen werden (z. B. Anhang VII: „Methode A - Karbonate“ und „Methode B - Klinkerherste</w:t>
      </w:r>
      <w:r>
        <w:rPr>
          <w:rFonts w:cs="Arial"/>
          <w:szCs w:val="17"/>
        </w:rPr>
        <w:t>l</w:t>
      </w:r>
      <w:r>
        <w:rPr>
          <w:rFonts w:cs="Arial"/>
          <w:szCs w:val="17"/>
        </w:rPr>
        <w:t>lung“) kann ein Betreiber nur dann von einer auf eine andere Methode umstellen, wenn er nachweisen kann, dass eine solche Umstellung, was die Überwachung der Emissionen aus der in Fr</w:t>
      </w:r>
      <w:r>
        <w:rPr>
          <w:rFonts w:cs="Arial"/>
          <w:szCs w:val="17"/>
        </w:rPr>
        <w:t>a</w:t>
      </w:r>
      <w:r>
        <w:rPr>
          <w:rFonts w:cs="Arial"/>
          <w:szCs w:val="17"/>
        </w:rPr>
        <w:t>ge stehenden Anlage und die diesbezügliche Berichterstattung betrifft, genauere Ergebnisse bringt.</w:t>
      </w:r>
    </w:p>
    <w:p>
      <w:pPr>
        <w:pStyle w:val="GesAbsatz"/>
        <w:jc w:val="both"/>
        <w:rPr>
          <w:rFonts w:cs="Arial"/>
          <w:szCs w:val="17"/>
        </w:rPr>
      </w:pPr>
      <w:r>
        <w:rPr>
          <w:rFonts w:cs="Arial"/>
          <w:szCs w:val="17"/>
        </w:rPr>
        <w:t>Alle Betreiber sollten stets das genaueste, sprich höchste Ebenenkonzept wählen, um zum Zweck der Übe</w:t>
      </w:r>
      <w:r>
        <w:rPr>
          <w:rFonts w:cs="Arial"/>
          <w:szCs w:val="17"/>
        </w:rPr>
        <w:t>r</w:t>
      </w:r>
      <w:r>
        <w:rPr>
          <w:rFonts w:cs="Arial"/>
          <w:szCs w:val="17"/>
        </w:rPr>
        <w:t>wachung und Berichterstattung alle Variablen für alle Quellen innerhalb einer Anlage zu ermitteln. Nur wenn der zuständigen Behörde glaubhaft nachgewiesen werden kann, dass das höchste Ebenenkonzept aus tec</w:t>
      </w:r>
      <w:r>
        <w:rPr>
          <w:rFonts w:cs="Arial"/>
          <w:szCs w:val="17"/>
        </w:rPr>
        <w:t>h</w:t>
      </w:r>
      <w:r>
        <w:rPr>
          <w:rFonts w:cs="Arial"/>
          <w:szCs w:val="17"/>
        </w:rPr>
        <w:t>nischen Gründen nicht anwendbar ist oder zu unverhältnismäßig hohen Kosten führen wü</w:t>
      </w:r>
      <w:r>
        <w:rPr>
          <w:rFonts w:cs="Arial"/>
          <w:szCs w:val="17"/>
        </w:rPr>
        <w:t>r</w:t>
      </w:r>
      <w:r>
        <w:rPr>
          <w:rFonts w:cs="Arial"/>
          <w:szCs w:val="17"/>
        </w:rPr>
        <w:t>de, kann für diese Variable auf das nächst niedrigere Ebenenkonzept zurückgegriffen werden.</w:t>
      </w:r>
    </w:p>
    <w:p>
      <w:pPr>
        <w:pStyle w:val="GesAbsatz"/>
        <w:jc w:val="both"/>
        <w:rPr>
          <w:rFonts w:cs="Arial"/>
          <w:szCs w:val="17"/>
        </w:rPr>
      </w:pPr>
      <w:r>
        <w:rPr>
          <w:rFonts w:cs="Arial"/>
          <w:szCs w:val="17"/>
        </w:rPr>
        <w:t>Daher sollte das gewählte Ebenenkonzept stets die höchste Genauigkeit gewährleisten, die technisch mac</w:t>
      </w:r>
      <w:r>
        <w:rPr>
          <w:rFonts w:cs="Arial"/>
          <w:szCs w:val="17"/>
        </w:rPr>
        <w:t>h</w:t>
      </w:r>
      <w:r>
        <w:rPr>
          <w:rFonts w:cs="Arial"/>
          <w:szCs w:val="17"/>
        </w:rPr>
        <w:t>bar ist und keine unverhältnismäßig hohen Kosten verursacht. Der Betreiber kann im Rahmen eines Berec</w:t>
      </w:r>
      <w:r>
        <w:rPr>
          <w:rFonts w:cs="Arial"/>
          <w:szCs w:val="17"/>
        </w:rPr>
        <w:t>h</w:t>
      </w:r>
      <w:r>
        <w:rPr>
          <w:rFonts w:cs="Arial"/>
          <w:szCs w:val="17"/>
        </w:rPr>
        <w:t>nungsvorgangs unterschiedliche zulässige Ebenenkonzepte für die verschiedenen Variablen (Tätigkeitsd</w:t>
      </w:r>
      <w:r>
        <w:rPr>
          <w:rFonts w:cs="Arial"/>
          <w:szCs w:val="17"/>
        </w:rPr>
        <w:t>a</w:t>
      </w:r>
      <w:r>
        <w:rPr>
          <w:rFonts w:cs="Arial"/>
          <w:szCs w:val="17"/>
        </w:rPr>
        <w:t>ten, Emissionsfaktoren, Oxidations- oder Umsetzungsfaktoren) verwenden. Die Wahl des Ebene</w:t>
      </w:r>
      <w:r>
        <w:rPr>
          <w:rFonts w:cs="Arial"/>
          <w:szCs w:val="17"/>
        </w:rPr>
        <w:t>n</w:t>
      </w:r>
      <w:r>
        <w:rPr>
          <w:rFonts w:cs="Arial"/>
          <w:szCs w:val="17"/>
        </w:rPr>
        <w:t>konzepts muss von der zuständigen Behörde gebilligt werden (siehe Abschnitt 4.2).</w:t>
      </w:r>
    </w:p>
    <w:p>
      <w:pPr>
        <w:pStyle w:val="GesAbsatz"/>
        <w:jc w:val="both"/>
        <w:rPr>
          <w:rFonts w:cs="Arial"/>
          <w:szCs w:val="17"/>
        </w:rPr>
      </w:pPr>
      <w:r>
        <w:rPr>
          <w:rFonts w:cs="Arial"/>
          <w:szCs w:val="17"/>
        </w:rPr>
        <w:t>Während des Zeitraums 2005-2007 sollten die Mitgliedstaaten - vorbehaltlich der technischen Durchführba</w:t>
      </w:r>
      <w:r>
        <w:rPr>
          <w:rFonts w:cs="Arial"/>
          <w:szCs w:val="17"/>
        </w:rPr>
        <w:t>r</w:t>
      </w:r>
      <w:r>
        <w:rPr>
          <w:rFonts w:cs="Arial"/>
          <w:szCs w:val="17"/>
        </w:rPr>
        <w:t>keit - mindestens die in Tabelle 1 aufgeführten Ebenenkonzepte anwenden. Die Spalten A enthalten Ang</w:t>
      </w:r>
      <w:r>
        <w:rPr>
          <w:rFonts w:cs="Arial"/>
          <w:szCs w:val="17"/>
        </w:rPr>
        <w:t>a</w:t>
      </w:r>
      <w:r>
        <w:rPr>
          <w:rFonts w:cs="Arial"/>
          <w:szCs w:val="17"/>
        </w:rPr>
        <w:t>ben zu Ebenenkonzepten für stärkere Quellen aus Anlagen mit jährlichen Gesamtemissionen von höchstens 50 kt. Die Spalten B enthalten Angaben zu Ebenenkonzepten für stärkere Quellen aus Anlagen mit jährl</w:t>
      </w:r>
      <w:r>
        <w:rPr>
          <w:rFonts w:cs="Arial"/>
          <w:szCs w:val="17"/>
        </w:rPr>
        <w:t>i</w:t>
      </w:r>
      <w:r>
        <w:rPr>
          <w:rFonts w:cs="Arial"/>
          <w:szCs w:val="17"/>
        </w:rPr>
        <w:t>chen Gesamtemissionen von 50 kt bis 500 kt. Die Spalten C enthalten Angaben zu Ebenenkonze</w:t>
      </w:r>
      <w:r>
        <w:rPr>
          <w:rFonts w:cs="Arial"/>
          <w:szCs w:val="17"/>
        </w:rPr>
        <w:t>p</w:t>
      </w:r>
      <w:r>
        <w:rPr>
          <w:rFonts w:cs="Arial"/>
          <w:szCs w:val="17"/>
        </w:rPr>
        <w:t>ten für stärkere Quellen aus Anlagen mit jährlichen Gesamtemissionen von über 500 kt. Die der Tabelle enthaltenen Gr</w:t>
      </w:r>
      <w:r>
        <w:rPr>
          <w:rFonts w:cs="Arial"/>
          <w:szCs w:val="17"/>
        </w:rPr>
        <w:t>ö</w:t>
      </w:r>
      <w:r>
        <w:rPr>
          <w:rFonts w:cs="Arial"/>
          <w:szCs w:val="17"/>
        </w:rPr>
        <w:t>ßenschwellen beziehen sich auf die jährlichen Gesamtemissionen der gesamten Anlage.</w:t>
      </w:r>
    </w:p>
    <w:p>
      <w:pPr>
        <w:pStyle w:val="GesAbsatz"/>
        <w:jc w:val="both"/>
        <w:rPr>
          <w:rFonts w:cs="Arial"/>
          <w:b/>
          <w:bCs/>
          <w:szCs w:val="17"/>
        </w:rPr>
        <w:sectPr>
          <w:headerReference w:type="default" r:id="rId7"/>
          <w:footerReference w:type="even" r:id="rId8"/>
          <w:footerReference w:type="default" r:id="rId9"/>
          <w:pgSz w:w="12240" w:h="15840"/>
          <w:pgMar w:top="1417" w:right="1183" w:bottom="1134" w:left="1417" w:header="720" w:footer="720" w:gutter="0"/>
          <w:cols w:space="720"/>
          <w:noEndnote/>
        </w:sectPr>
      </w:pPr>
    </w:p>
    <w:p>
      <w:pPr>
        <w:pStyle w:val="GesAbsatz"/>
        <w:jc w:val="center"/>
        <w:rPr>
          <w:rFonts w:cs="Arial"/>
          <w:b/>
          <w:bCs/>
          <w:szCs w:val="17"/>
        </w:rPr>
      </w:pPr>
      <w:r>
        <w:rPr>
          <w:rFonts w:cs="Arial"/>
          <w:b/>
          <w:bCs/>
          <w:szCs w:val="17"/>
        </w:rPr>
        <w:lastRenderedPageBreak/>
        <w:t>TABELLE 1</w:t>
      </w:r>
    </w:p>
    <w:p>
      <w:pPr>
        <w:pStyle w:val="GesAbsatz"/>
        <w:rPr>
          <w:rFonts w:cs="Arial"/>
          <w:szCs w:val="17"/>
        </w:rPr>
      </w:pPr>
      <w:r>
        <w:rPr>
          <w:rFonts w:cs="Arial"/>
          <w:szCs w:val="17"/>
        </w:rPr>
        <w:t xml:space="preserve">Spalte A: jährliche Gesamtemissionen </w:t>
      </w:r>
      <w:r>
        <w:rPr>
          <w:rFonts w:eastAsia="EUAlbertina+22" w:cs="Arial" w:hint="eastAsia"/>
          <w:szCs w:val="17"/>
        </w:rPr>
        <w:t>≤</w:t>
      </w:r>
      <w:r>
        <w:rPr>
          <w:rFonts w:eastAsia="EUAlbertina+22" w:cs="Arial"/>
          <w:szCs w:val="17"/>
        </w:rPr>
        <w:t xml:space="preserve"> </w:t>
      </w:r>
      <w:r>
        <w:rPr>
          <w:rFonts w:cs="Arial"/>
          <w:szCs w:val="17"/>
        </w:rPr>
        <w:t>50 kt</w:t>
      </w:r>
      <w:r>
        <w:rPr>
          <w:rFonts w:cs="Arial"/>
          <w:szCs w:val="17"/>
        </w:rPr>
        <w:br/>
        <w:t xml:space="preserve">Spalte B: 50 kt &lt; jährliche Gesamtemissionen </w:t>
      </w:r>
      <w:r>
        <w:rPr>
          <w:rFonts w:eastAsia="EUAlbertina+22" w:cs="Arial" w:hint="eastAsia"/>
          <w:szCs w:val="17"/>
        </w:rPr>
        <w:t>≤</w:t>
      </w:r>
      <w:r>
        <w:rPr>
          <w:rFonts w:eastAsia="EUAlbertina+22" w:cs="Arial"/>
          <w:szCs w:val="17"/>
        </w:rPr>
        <w:t xml:space="preserve"> </w:t>
      </w:r>
      <w:r>
        <w:rPr>
          <w:rFonts w:cs="Arial"/>
          <w:szCs w:val="17"/>
        </w:rPr>
        <w:t>500 kt</w:t>
      </w:r>
      <w:r>
        <w:rPr>
          <w:rFonts w:cs="Arial"/>
          <w:szCs w:val="17"/>
        </w:rPr>
        <w:br/>
        <w:t xml:space="preserve">Spalte C: jährliche Gesamtemissionen </w:t>
      </w:r>
      <w:r>
        <w:rPr>
          <w:rFonts w:eastAsia="EUAlbertina+22" w:cs="Arial" w:hint="eastAsia"/>
          <w:szCs w:val="17"/>
        </w:rPr>
        <w:t>≥</w:t>
      </w:r>
      <w:r>
        <w:rPr>
          <w:rFonts w:eastAsia="EUAlbertina+22" w:cs="Arial"/>
          <w:szCs w:val="17"/>
        </w:rPr>
        <w:t xml:space="preserve"> </w:t>
      </w:r>
      <w:r>
        <w:rPr>
          <w:rFonts w:cs="Arial"/>
          <w:szCs w:val="17"/>
        </w:rPr>
        <w:t>500 kt</w:t>
      </w: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56"/>
        <w:gridCol w:w="756"/>
        <w:gridCol w:w="756"/>
        <w:gridCol w:w="614"/>
        <w:gridCol w:w="614"/>
        <w:gridCol w:w="615"/>
        <w:gridCol w:w="661"/>
        <w:gridCol w:w="661"/>
        <w:gridCol w:w="662"/>
        <w:gridCol w:w="614"/>
        <w:gridCol w:w="614"/>
        <w:gridCol w:w="615"/>
        <w:gridCol w:w="708"/>
        <w:gridCol w:w="709"/>
        <w:gridCol w:w="709"/>
        <w:gridCol w:w="661"/>
        <w:gridCol w:w="662"/>
        <w:gridCol w:w="662"/>
      </w:tblGrid>
      <w:tr>
        <w:tblPrEx>
          <w:tblCellMar>
            <w:top w:w="0" w:type="dxa"/>
            <w:bottom w:w="0" w:type="dxa"/>
          </w:tblCellMar>
        </w:tblPrEx>
        <w:trPr>
          <w:cantSplit/>
          <w:tblHeader/>
        </w:trPr>
        <w:tc>
          <w:tcPr>
            <w:tcW w:w="2480" w:type="dxa"/>
          </w:tcPr>
          <w:p>
            <w:pPr>
              <w:pStyle w:val="GesAbsatz"/>
              <w:jc w:val="center"/>
              <w:rPr>
                <w:rFonts w:cs="Arial"/>
                <w:sz w:val="16"/>
                <w:szCs w:val="15"/>
              </w:rPr>
            </w:pPr>
          </w:p>
        </w:tc>
        <w:tc>
          <w:tcPr>
            <w:tcW w:w="2268" w:type="dxa"/>
            <w:gridSpan w:val="3"/>
          </w:tcPr>
          <w:p>
            <w:pPr>
              <w:pStyle w:val="GesAbsatz"/>
              <w:jc w:val="center"/>
              <w:rPr>
                <w:rFonts w:cs="Arial"/>
                <w:sz w:val="16"/>
                <w:szCs w:val="15"/>
              </w:rPr>
            </w:pPr>
            <w:r>
              <w:rPr>
                <w:rFonts w:cs="Arial"/>
                <w:sz w:val="16"/>
                <w:szCs w:val="15"/>
              </w:rPr>
              <w:t>Tätigkeitsdaten</w:t>
            </w:r>
          </w:p>
        </w:tc>
        <w:tc>
          <w:tcPr>
            <w:tcW w:w="1843" w:type="dxa"/>
            <w:gridSpan w:val="3"/>
          </w:tcPr>
          <w:p>
            <w:pPr>
              <w:pStyle w:val="GesAbsatz"/>
              <w:jc w:val="center"/>
              <w:rPr>
                <w:rFonts w:cs="Arial"/>
                <w:sz w:val="16"/>
                <w:szCs w:val="15"/>
              </w:rPr>
            </w:pPr>
            <w:r>
              <w:rPr>
                <w:rFonts w:cs="Arial"/>
                <w:sz w:val="16"/>
                <w:szCs w:val="15"/>
              </w:rPr>
              <w:t>Spezifischer Heizwert</w:t>
            </w:r>
          </w:p>
        </w:tc>
        <w:tc>
          <w:tcPr>
            <w:tcW w:w="1984" w:type="dxa"/>
            <w:gridSpan w:val="3"/>
          </w:tcPr>
          <w:p>
            <w:pPr>
              <w:pStyle w:val="GesAbsatz"/>
              <w:jc w:val="center"/>
              <w:rPr>
                <w:rFonts w:cs="Arial"/>
                <w:sz w:val="16"/>
                <w:szCs w:val="15"/>
              </w:rPr>
            </w:pPr>
            <w:r>
              <w:rPr>
                <w:rFonts w:cs="Arial"/>
                <w:sz w:val="16"/>
                <w:szCs w:val="15"/>
              </w:rPr>
              <w:t>Emissionsfaktor</w:t>
            </w:r>
          </w:p>
        </w:tc>
        <w:tc>
          <w:tcPr>
            <w:tcW w:w="1843" w:type="dxa"/>
            <w:gridSpan w:val="3"/>
          </w:tcPr>
          <w:p>
            <w:pPr>
              <w:pStyle w:val="GesAbsatz"/>
              <w:jc w:val="center"/>
              <w:rPr>
                <w:rFonts w:cs="Arial"/>
                <w:sz w:val="16"/>
                <w:szCs w:val="15"/>
              </w:rPr>
            </w:pPr>
            <w:r>
              <w:rPr>
                <w:rFonts w:cs="Arial"/>
                <w:sz w:val="16"/>
                <w:szCs w:val="15"/>
              </w:rPr>
              <w:t>Zusammensetzungsd</w:t>
            </w:r>
            <w:r>
              <w:rPr>
                <w:rFonts w:cs="Arial"/>
                <w:sz w:val="16"/>
                <w:szCs w:val="15"/>
              </w:rPr>
              <w:t>a</w:t>
            </w:r>
            <w:r>
              <w:rPr>
                <w:rFonts w:cs="Arial"/>
                <w:sz w:val="16"/>
                <w:szCs w:val="15"/>
              </w:rPr>
              <w:t>ten</w:t>
            </w:r>
          </w:p>
        </w:tc>
        <w:tc>
          <w:tcPr>
            <w:tcW w:w="2126" w:type="dxa"/>
            <w:gridSpan w:val="3"/>
          </w:tcPr>
          <w:p>
            <w:pPr>
              <w:pStyle w:val="GesAbsatz"/>
              <w:jc w:val="center"/>
              <w:rPr>
                <w:rFonts w:cs="Arial"/>
                <w:sz w:val="16"/>
                <w:szCs w:val="15"/>
              </w:rPr>
            </w:pPr>
            <w:r>
              <w:rPr>
                <w:rFonts w:cs="Arial"/>
                <w:sz w:val="16"/>
                <w:szCs w:val="15"/>
              </w:rPr>
              <w:t>Oxidationsfaktor</w:t>
            </w:r>
          </w:p>
        </w:tc>
        <w:tc>
          <w:tcPr>
            <w:tcW w:w="1985" w:type="dxa"/>
            <w:gridSpan w:val="3"/>
          </w:tcPr>
          <w:p>
            <w:pPr>
              <w:pStyle w:val="GesAbsatz"/>
              <w:jc w:val="center"/>
              <w:rPr>
                <w:rFonts w:cs="Arial"/>
                <w:sz w:val="16"/>
                <w:szCs w:val="15"/>
              </w:rPr>
            </w:pPr>
            <w:r>
              <w:rPr>
                <w:rFonts w:cs="Arial"/>
                <w:sz w:val="16"/>
                <w:szCs w:val="15"/>
              </w:rPr>
              <w:t>Umsetzungsfaktor</w:t>
            </w:r>
          </w:p>
        </w:tc>
      </w:tr>
      <w:tr>
        <w:tblPrEx>
          <w:tblCellMar>
            <w:top w:w="0" w:type="dxa"/>
            <w:bottom w:w="0" w:type="dxa"/>
          </w:tblCellMar>
        </w:tblPrEx>
        <w:trPr>
          <w:cantSplit/>
          <w:tblHeader/>
        </w:trPr>
        <w:tc>
          <w:tcPr>
            <w:tcW w:w="2480" w:type="dxa"/>
          </w:tcPr>
          <w:p>
            <w:pPr>
              <w:pStyle w:val="GesAbsatz"/>
              <w:rPr>
                <w:rFonts w:cs="Arial"/>
                <w:sz w:val="16"/>
                <w:szCs w:val="15"/>
              </w:rPr>
            </w:pPr>
            <w:r>
              <w:rPr>
                <w:rFonts w:cs="Arial"/>
                <w:sz w:val="16"/>
                <w:szCs w:val="15"/>
              </w:rPr>
              <w:t>Anhang/Tätigkeit</w:t>
            </w:r>
          </w:p>
        </w:tc>
        <w:tc>
          <w:tcPr>
            <w:tcW w:w="756" w:type="dxa"/>
          </w:tcPr>
          <w:p>
            <w:pPr>
              <w:pStyle w:val="GesAbsatz"/>
              <w:jc w:val="center"/>
              <w:rPr>
                <w:rFonts w:cs="Arial"/>
                <w:sz w:val="16"/>
                <w:szCs w:val="15"/>
              </w:rPr>
            </w:pPr>
            <w:r>
              <w:rPr>
                <w:rFonts w:cs="Arial"/>
                <w:sz w:val="16"/>
                <w:szCs w:val="15"/>
              </w:rPr>
              <w:t>A</w:t>
            </w:r>
          </w:p>
        </w:tc>
        <w:tc>
          <w:tcPr>
            <w:tcW w:w="756" w:type="dxa"/>
          </w:tcPr>
          <w:p>
            <w:pPr>
              <w:pStyle w:val="GesAbsatz"/>
              <w:jc w:val="center"/>
              <w:rPr>
                <w:rFonts w:cs="Arial"/>
                <w:sz w:val="16"/>
                <w:szCs w:val="15"/>
              </w:rPr>
            </w:pPr>
            <w:r>
              <w:rPr>
                <w:rFonts w:cs="Arial"/>
                <w:sz w:val="16"/>
                <w:szCs w:val="15"/>
              </w:rPr>
              <w:t>B</w:t>
            </w:r>
          </w:p>
        </w:tc>
        <w:tc>
          <w:tcPr>
            <w:tcW w:w="756" w:type="dxa"/>
          </w:tcPr>
          <w:p>
            <w:pPr>
              <w:pStyle w:val="GesAbsatz"/>
              <w:jc w:val="center"/>
              <w:rPr>
                <w:rFonts w:cs="Arial"/>
                <w:sz w:val="16"/>
                <w:szCs w:val="15"/>
              </w:rPr>
            </w:pPr>
            <w:r>
              <w:rPr>
                <w:rFonts w:cs="Arial"/>
                <w:sz w:val="16"/>
                <w:szCs w:val="15"/>
              </w:rPr>
              <w:t>C</w:t>
            </w:r>
          </w:p>
        </w:tc>
        <w:tc>
          <w:tcPr>
            <w:tcW w:w="614" w:type="dxa"/>
          </w:tcPr>
          <w:p>
            <w:pPr>
              <w:pStyle w:val="GesAbsatz"/>
              <w:jc w:val="center"/>
              <w:rPr>
                <w:rFonts w:cs="Arial"/>
                <w:sz w:val="16"/>
                <w:szCs w:val="15"/>
              </w:rPr>
            </w:pPr>
            <w:r>
              <w:rPr>
                <w:rFonts w:cs="Arial"/>
                <w:sz w:val="16"/>
                <w:szCs w:val="15"/>
              </w:rPr>
              <w:t>A</w:t>
            </w:r>
          </w:p>
        </w:tc>
        <w:tc>
          <w:tcPr>
            <w:tcW w:w="614" w:type="dxa"/>
          </w:tcPr>
          <w:p>
            <w:pPr>
              <w:pStyle w:val="GesAbsatz"/>
              <w:jc w:val="center"/>
              <w:rPr>
                <w:rFonts w:cs="Arial"/>
                <w:sz w:val="16"/>
                <w:szCs w:val="15"/>
              </w:rPr>
            </w:pPr>
            <w:r>
              <w:rPr>
                <w:rFonts w:cs="Arial"/>
                <w:sz w:val="16"/>
                <w:szCs w:val="15"/>
              </w:rPr>
              <w:t>B</w:t>
            </w:r>
          </w:p>
        </w:tc>
        <w:tc>
          <w:tcPr>
            <w:tcW w:w="615" w:type="dxa"/>
          </w:tcPr>
          <w:p>
            <w:pPr>
              <w:pStyle w:val="GesAbsatz"/>
              <w:jc w:val="center"/>
              <w:rPr>
                <w:rFonts w:cs="Arial"/>
                <w:sz w:val="16"/>
                <w:szCs w:val="15"/>
              </w:rPr>
            </w:pPr>
            <w:r>
              <w:rPr>
                <w:rFonts w:cs="Arial"/>
                <w:sz w:val="16"/>
                <w:szCs w:val="15"/>
              </w:rPr>
              <w:t>C</w:t>
            </w:r>
          </w:p>
        </w:tc>
        <w:tc>
          <w:tcPr>
            <w:tcW w:w="661" w:type="dxa"/>
          </w:tcPr>
          <w:p>
            <w:pPr>
              <w:pStyle w:val="GesAbsatz"/>
              <w:jc w:val="center"/>
              <w:rPr>
                <w:rFonts w:cs="Arial"/>
                <w:sz w:val="16"/>
                <w:szCs w:val="15"/>
              </w:rPr>
            </w:pPr>
            <w:r>
              <w:rPr>
                <w:rFonts w:cs="Arial"/>
                <w:sz w:val="16"/>
                <w:szCs w:val="15"/>
              </w:rPr>
              <w:t>A</w:t>
            </w:r>
          </w:p>
        </w:tc>
        <w:tc>
          <w:tcPr>
            <w:tcW w:w="661" w:type="dxa"/>
          </w:tcPr>
          <w:p>
            <w:pPr>
              <w:pStyle w:val="GesAbsatz"/>
              <w:jc w:val="center"/>
              <w:rPr>
                <w:rFonts w:cs="Arial"/>
                <w:sz w:val="16"/>
                <w:szCs w:val="15"/>
              </w:rPr>
            </w:pPr>
            <w:r>
              <w:rPr>
                <w:rFonts w:cs="Arial"/>
                <w:sz w:val="16"/>
                <w:szCs w:val="15"/>
              </w:rPr>
              <w:t>B</w:t>
            </w:r>
          </w:p>
        </w:tc>
        <w:tc>
          <w:tcPr>
            <w:tcW w:w="662" w:type="dxa"/>
          </w:tcPr>
          <w:p>
            <w:pPr>
              <w:pStyle w:val="GesAbsatz"/>
              <w:jc w:val="center"/>
              <w:rPr>
                <w:rFonts w:cs="Arial"/>
                <w:sz w:val="16"/>
                <w:szCs w:val="15"/>
              </w:rPr>
            </w:pPr>
            <w:r>
              <w:rPr>
                <w:rFonts w:cs="Arial"/>
                <w:sz w:val="16"/>
                <w:szCs w:val="15"/>
              </w:rPr>
              <w:t>C</w:t>
            </w:r>
          </w:p>
        </w:tc>
        <w:tc>
          <w:tcPr>
            <w:tcW w:w="614" w:type="dxa"/>
          </w:tcPr>
          <w:p>
            <w:pPr>
              <w:pStyle w:val="GesAbsatz"/>
              <w:jc w:val="center"/>
              <w:rPr>
                <w:rFonts w:cs="Arial"/>
                <w:sz w:val="16"/>
                <w:szCs w:val="15"/>
              </w:rPr>
            </w:pPr>
            <w:r>
              <w:rPr>
                <w:rFonts w:cs="Arial"/>
                <w:sz w:val="16"/>
                <w:szCs w:val="15"/>
              </w:rPr>
              <w:t>A</w:t>
            </w:r>
          </w:p>
        </w:tc>
        <w:tc>
          <w:tcPr>
            <w:tcW w:w="614" w:type="dxa"/>
          </w:tcPr>
          <w:p>
            <w:pPr>
              <w:pStyle w:val="GesAbsatz"/>
              <w:jc w:val="center"/>
              <w:rPr>
                <w:rFonts w:cs="Arial"/>
                <w:sz w:val="16"/>
                <w:szCs w:val="15"/>
              </w:rPr>
            </w:pPr>
            <w:r>
              <w:rPr>
                <w:rFonts w:cs="Arial"/>
                <w:sz w:val="16"/>
                <w:szCs w:val="15"/>
              </w:rPr>
              <w:t>B</w:t>
            </w:r>
          </w:p>
        </w:tc>
        <w:tc>
          <w:tcPr>
            <w:tcW w:w="615" w:type="dxa"/>
          </w:tcPr>
          <w:p>
            <w:pPr>
              <w:pStyle w:val="GesAbsatz"/>
              <w:jc w:val="center"/>
              <w:rPr>
                <w:rFonts w:cs="Arial"/>
                <w:sz w:val="16"/>
                <w:szCs w:val="15"/>
              </w:rPr>
            </w:pPr>
            <w:r>
              <w:rPr>
                <w:rFonts w:cs="Arial"/>
                <w:sz w:val="16"/>
                <w:szCs w:val="15"/>
              </w:rPr>
              <w:t>C</w:t>
            </w:r>
          </w:p>
        </w:tc>
        <w:tc>
          <w:tcPr>
            <w:tcW w:w="708" w:type="dxa"/>
          </w:tcPr>
          <w:p>
            <w:pPr>
              <w:pStyle w:val="GesAbsatz"/>
              <w:jc w:val="center"/>
              <w:rPr>
                <w:rFonts w:cs="Arial"/>
                <w:sz w:val="16"/>
                <w:szCs w:val="15"/>
              </w:rPr>
            </w:pPr>
            <w:r>
              <w:rPr>
                <w:rFonts w:cs="Arial"/>
                <w:sz w:val="16"/>
                <w:szCs w:val="15"/>
              </w:rPr>
              <w:t>A</w:t>
            </w:r>
          </w:p>
        </w:tc>
        <w:tc>
          <w:tcPr>
            <w:tcW w:w="709" w:type="dxa"/>
          </w:tcPr>
          <w:p>
            <w:pPr>
              <w:pStyle w:val="GesAbsatz"/>
              <w:jc w:val="center"/>
              <w:rPr>
                <w:rFonts w:cs="Arial"/>
                <w:sz w:val="16"/>
                <w:szCs w:val="15"/>
              </w:rPr>
            </w:pPr>
            <w:r>
              <w:rPr>
                <w:rFonts w:cs="Arial"/>
                <w:sz w:val="16"/>
                <w:szCs w:val="15"/>
              </w:rPr>
              <w:t>B</w:t>
            </w:r>
          </w:p>
        </w:tc>
        <w:tc>
          <w:tcPr>
            <w:tcW w:w="709" w:type="dxa"/>
          </w:tcPr>
          <w:p>
            <w:pPr>
              <w:pStyle w:val="GesAbsatz"/>
              <w:jc w:val="center"/>
              <w:rPr>
                <w:rFonts w:cs="Arial"/>
                <w:sz w:val="16"/>
                <w:szCs w:val="15"/>
              </w:rPr>
            </w:pPr>
            <w:r>
              <w:rPr>
                <w:rFonts w:cs="Arial"/>
                <w:sz w:val="16"/>
                <w:szCs w:val="15"/>
              </w:rPr>
              <w:t>C</w:t>
            </w:r>
          </w:p>
        </w:tc>
        <w:tc>
          <w:tcPr>
            <w:tcW w:w="661" w:type="dxa"/>
          </w:tcPr>
          <w:p>
            <w:pPr>
              <w:pStyle w:val="GesAbsatz"/>
              <w:jc w:val="center"/>
              <w:rPr>
                <w:rFonts w:cs="Arial"/>
                <w:sz w:val="16"/>
                <w:szCs w:val="15"/>
              </w:rPr>
            </w:pPr>
            <w:r>
              <w:rPr>
                <w:rFonts w:cs="Arial"/>
                <w:sz w:val="16"/>
                <w:szCs w:val="15"/>
              </w:rPr>
              <w:t>A</w:t>
            </w:r>
          </w:p>
        </w:tc>
        <w:tc>
          <w:tcPr>
            <w:tcW w:w="662" w:type="dxa"/>
          </w:tcPr>
          <w:p>
            <w:pPr>
              <w:pStyle w:val="GesAbsatz"/>
              <w:jc w:val="center"/>
              <w:rPr>
                <w:rFonts w:cs="Arial"/>
                <w:sz w:val="16"/>
                <w:szCs w:val="15"/>
              </w:rPr>
            </w:pPr>
            <w:r>
              <w:rPr>
                <w:rFonts w:cs="Arial"/>
                <w:sz w:val="16"/>
                <w:szCs w:val="15"/>
              </w:rPr>
              <w:t>B</w:t>
            </w:r>
          </w:p>
        </w:tc>
        <w:tc>
          <w:tcPr>
            <w:tcW w:w="662" w:type="dxa"/>
          </w:tcPr>
          <w:p>
            <w:pPr>
              <w:pStyle w:val="GesAbsatz"/>
              <w:jc w:val="center"/>
              <w:rPr>
                <w:rFonts w:cs="Arial"/>
                <w:sz w:val="16"/>
                <w:szCs w:val="15"/>
              </w:rPr>
            </w:pPr>
            <w:r>
              <w:rPr>
                <w:rFonts w:cs="Arial"/>
                <w:sz w:val="16"/>
                <w:szCs w:val="15"/>
              </w:rPr>
              <w:t>C</w:t>
            </w:r>
          </w:p>
        </w:tc>
      </w:tr>
      <w:tr>
        <w:tblPrEx>
          <w:tblCellMar>
            <w:top w:w="0" w:type="dxa"/>
            <w:bottom w:w="0" w:type="dxa"/>
          </w:tblCellMar>
        </w:tblPrEx>
        <w:trPr>
          <w:cantSplit/>
        </w:trPr>
        <w:tc>
          <w:tcPr>
            <w:tcW w:w="2480" w:type="dxa"/>
          </w:tcPr>
          <w:p>
            <w:pPr>
              <w:pStyle w:val="GesAbsatz"/>
              <w:rPr>
                <w:rFonts w:cs="Arial"/>
                <w:sz w:val="16"/>
                <w:szCs w:val="15"/>
              </w:rPr>
            </w:pPr>
            <w:r>
              <w:rPr>
                <w:rFonts w:cs="Arial"/>
                <w:sz w:val="16"/>
                <w:szCs w:val="17"/>
              </w:rPr>
              <w:t>II: Verbrennung</w:t>
            </w:r>
          </w:p>
        </w:tc>
        <w:tc>
          <w:tcPr>
            <w:tcW w:w="756" w:type="dxa"/>
          </w:tcPr>
          <w:p>
            <w:pPr>
              <w:pStyle w:val="GesAbsatz"/>
              <w:jc w:val="both"/>
              <w:rPr>
                <w:rFonts w:cs="Arial"/>
                <w:sz w:val="16"/>
                <w:szCs w:val="15"/>
              </w:rPr>
            </w:pPr>
          </w:p>
        </w:tc>
        <w:tc>
          <w:tcPr>
            <w:tcW w:w="756" w:type="dxa"/>
          </w:tcPr>
          <w:p>
            <w:pPr>
              <w:pStyle w:val="GesAbsatz"/>
              <w:jc w:val="both"/>
              <w:rPr>
                <w:rFonts w:cs="Arial"/>
                <w:sz w:val="16"/>
                <w:szCs w:val="15"/>
              </w:rPr>
            </w:pPr>
          </w:p>
        </w:tc>
        <w:tc>
          <w:tcPr>
            <w:tcW w:w="756" w:type="dxa"/>
          </w:tcPr>
          <w:p>
            <w:pPr>
              <w:pStyle w:val="GesAbsatz"/>
              <w:jc w:val="both"/>
              <w:rPr>
                <w:rFonts w:cs="Arial"/>
                <w:sz w:val="16"/>
                <w:szCs w:val="15"/>
              </w:rPr>
            </w:pPr>
          </w:p>
        </w:tc>
        <w:tc>
          <w:tcPr>
            <w:tcW w:w="614" w:type="dxa"/>
          </w:tcPr>
          <w:p>
            <w:pPr>
              <w:pStyle w:val="GesAbsatz"/>
              <w:jc w:val="both"/>
              <w:rPr>
                <w:rFonts w:cs="Arial"/>
                <w:sz w:val="16"/>
                <w:szCs w:val="15"/>
              </w:rPr>
            </w:pPr>
          </w:p>
        </w:tc>
        <w:tc>
          <w:tcPr>
            <w:tcW w:w="614" w:type="dxa"/>
          </w:tcPr>
          <w:p>
            <w:pPr>
              <w:pStyle w:val="GesAbsatz"/>
              <w:jc w:val="both"/>
              <w:rPr>
                <w:rFonts w:cs="Arial"/>
                <w:sz w:val="16"/>
                <w:szCs w:val="15"/>
              </w:rPr>
            </w:pPr>
          </w:p>
        </w:tc>
        <w:tc>
          <w:tcPr>
            <w:tcW w:w="615" w:type="dxa"/>
          </w:tcPr>
          <w:p>
            <w:pPr>
              <w:pStyle w:val="GesAbsatz"/>
              <w:jc w:val="both"/>
              <w:rPr>
                <w:rFonts w:cs="Arial"/>
                <w:sz w:val="16"/>
                <w:szCs w:val="15"/>
              </w:rPr>
            </w:pPr>
          </w:p>
        </w:tc>
        <w:tc>
          <w:tcPr>
            <w:tcW w:w="661" w:type="dxa"/>
          </w:tcPr>
          <w:p>
            <w:pPr>
              <w:pStyle w:val="GesAbsatz"/>
              <w:jc w:val="both"/>
              <w:rPr>
                <w:rFonts w:cs="Arial"/>
                <w:sz w:val="16"/>
                <w:szCs w:val="15"/>
              </w:rPr>
            </w:pPr>
          </w:p>
        </w:tc>
        <w:tc>
          <w:tcPr>
            <w:tcW w:w="661" w:type="dxa"/>
          </w:tcPr>
          <w:p>
            <w:pPr>
              <w:pStyle w:val="GesAbsatz"/>
              <w:jc w:val="both"/>
              <w:rPr>
                <w:rFonts w:cs="Arial"/>
                <w:sz w:val="16"/>
                <w:szCs w:val="15"/>
              </w:rPr>
            </w:pPr>
          </w:p>
        </w:tc>
        <w:tc>
          <w:tcPr>
            <w:tcW w:w="662" w:type="dxa"/>
          </w:tcPr>
          <w:p>
            <w:pPr>
              <w:pStyle w:val="GesAbsatz"/>
              <w:jc w:val="both"/>
              <w:rPr>
                <w:rFonts w:cs="Arial"/>
                <w:sz w:val="16"/>
                <w:szCs w:val="15"/>
              </w:rPr>
            </w:pPr>
          </w:p>
        </w:tc>
        <w:tc>
          <w:tcPr>
            <w:tcW w:w="614" w:type="dxa"/>
          </w:tcPr>
          <w:p>
            <w:pPr>
              <w:pStyle w:val="GesAbsatz"/>
              <w:jc w:val="both"/>
              <w:rPr>
                <w:rFonts w:cs="Arial"/>
                <w:sz w:val="16"/>
                <w:szCs w:val="15"/>
              </w:rPr>
            </w:pPr>
          </w:p>
        </w:tc>
        <w:tc>
          <w:tcPr>
            <w:tcW w:w="614" w:type="dxa"/>
          </w:tcPr>
          <w:p>
            <w:pPr>
              <w:pStyle w:val="GesAbsatz"/>
              <w:jc w:val="both"/>
              <w:rPr>
                <w:rFonts w:cs="Arial"/>
                <w:sz w:val="16"/>
                <w:szCs w:val="15"/>
              </w:rPr>
            </w:pPr>
          </w:p>
        </w:tc>
        <w:tc>
          <w:tcPr>
            <w:tcW w:w="615" w:type="dxa"/>
          </w:tcPr>
          <w:p>
            <w:pPr>
              <w:pStyle w:val="GesAbsatz"/>
              <w:jc w:val="both"/>
              <w:rPr>
                <w:rFonts w:cs="Arial"/>
                <w:sz w:val="16"/>
                <w:szCs w:val="15"/>
              </w:rPr>
            </w:pPr>
          </w:p>
        </w:tc>
        <w:tc>
          <w:tcPr>
            <w:tcW w:w="708" w:type="dxa"/>
          </w:tcPr>
          <w:p>
            <w:pPr>
              <w:pStyle w:val="GesAbsatz"/>
              <w:jc w:val="both"/>
              <w:rPr>
                <w:rFonts w:cs="Arial"/>
                <w:sz w:val="16"/>
                <w:szCs w:val="15"/>
              </w:rPr>
            </w:pPr>
          </w:p>
        </w:tc>
        <w:tc>
          <w:tcPr>
            <w:tcW w:w="709" w:type="dxa"/>
          </w:tcPr>
          <w:p>
            <w:pPr>
              <w:pStyle w:val="GesAbsatz"/>
              <w:jc w:val="both"/>
              <w:rPr>
                <w:rFonts w:cs="Arial"/>
                <w:sz w:val="16"/>
                <w:szCs w:val="15"/>
              </w:rPr>
            </w:pPr>
          </w:p>
        </w:tc>
        <w:tc>
          <w:tcPr>
            <w:tcW w:w="709" w:type="dxa"/>
          </w:tcPr>
          <w:p>
            <w:pPr>
              <w:pStyle w:val="GesAbsatz"/>
              <w:jc w:val="both"/>
              <w:rPr>
                <w:rFonts w:cs="Arial"/>
                <w:sz w:val="16"/>
                <w:szCs w:val="15"/>
              </w:rPr>
            </w:pPr>
          </w:p>
        </w:tc>
        <w:tc>
          <w:tcPr>
            <w:tcW w:w="661" w:type="dxa"/>
          </w:tcPr>
          <w:p>
            <w:pPr>
              <w:pStyle w:val="GesAbsatz"/>
              <w:jc w:val="both"/>
              <w:rPr>
                <w:rFonts w:cs="Arial"/>
                <w:sz w:val="16"/>
                <w:szCs w:val="15"/>
              </w:rPr>
            </w:pPr>
          </w:p>
        </w:tc>
        <w:tc>
          <w:tcPr>
            <w:tcW w:w="662" w:type="dxa"/>
          </w:tcPr>
          <w:p>
            <w:pPr>
              <w:pStyle w:val="GesAbsatz"/>
              <w:jc w:val="both"/>
              <w:rPr>
                <w:rFonts w:cs="Arial"/>
                <w:sz w:val="16"/>
                <w:szCs w:val="15"/>
              </w:rPr>
            </w:pPr>
          </w:p>
        </w:tc>
        <w:tc>
          <w:tcPr>
            <w:tcW w:w="662" w:type="dxa"/>
          </w:tcPr>
          <w:p>
            <w:pPr>
              <w:pStyle w:val="GesAbsatz"/>
              <w:jc w:val="both"/>
              <w:rPr>
                <w:rFonts w:cs="Arial"/>
                <w:sz w:val="16"/>
                <w:szCs w:val="15"/>
              </w:rPr>
            </w:pP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Verbrennung (gasförmige, flü</w:t>
            </w:r>
            <w:r>
              <w:rPr>
                <w:rFonts w:cs="Arial"/>
                <w:sz w:val="16"/>
                <w:szCs w:val="17"/>
              </w:rPr>
              <w:t>s</w:t>
            </w:r>
            <w:r>
              <w:rPr>
                <w:rFonts w:cs="Arial"/>
                <w:sz w:val="16"/>
                <w:szCs w:val="17"/>
              </w:rPr>
              <w:t>sige Brennstoffe)</w:t>
            </w:r>
          </w:p>
        </w:tc>
        <w:tc>
          <w:tcPr>
            <w:tcW w:w="756" w:type="dxa"/>
          </w:tcPr>
          <w:p>
            <w:pPr>
              <w:pStyle w:val="GesAbsatz"/>
              <w:jc w:val="both"/>
              <w:rPr>
                <w:rFonts w:cs="Arial"/>
                <w:sz w:val="16"/>
                <w:szCs w:val="15"/>
                <w:lang w:val="en-GB"/>
              </w:rPr>
            </w:pPr>
            <w:r>
              <w:rPr>
                <w:rFonts w:cs="Arial"/>
                <w:sz w:val="16"/>
                <w:szCs w:val="17"/>
                <w:lang w:val="en-GB"/>
              </w:rPr>
              <w:t>2a/2b</w:t>
            </w:r>
          </w:p>
        </w:tc>
        <w:tc>
          <w:tcPr>
            <w:tcW w:w="756" w:type="dxa"/>
          </w:tcPr>
          <w:p>
            <w:pPr>
              <w:pStyle w:val="GesAbsatz"/>
              <w:jc w:val="both"/>
              <w:rPr>
                <w:rFonts w:cs="Arial"/>
                <w:sz w:val="16"/>
                <w:szCs w:val="15"/>
                <w:lang w:val="en-GB"/>
              </w:rPr>
            </w:pPr>
            <w:r>
              <w:rPr>
                <w:rFonts w:cs="Arial"/>
                <w:sz w:val="16"/>
                <w:szCs w:val="17"/>
                <w:lang w:val="en-GB"/>
              </w:rPr>
              <w:t>3a/3b</w:t>
            </w:r>
          </w:p>
        </w:tc>
        <w:tc>
          <w:tcPr>
            <w:tcW w:w="756" w:type="dxa"/>
          </w:tcPr>
          <w:p>
            <w:pPr>
              <w:pStyle w:val="GesAbsatz"/>
              <w:jc w:val="both"/>
              <w:rPr>
                <w:rFonts w:cs="Arial"/>
                <w:sz w:val="16"/>
                <w:szCs w:val="15"/>
                <w:lang w:val="en-GB"/>
              </w:rPr>
            </w:pPr>
            <w:r>
              <w:rPr>
                <w:rFonts w:cs="Arial"/>
                <w:sz w:val="16"/>
                <w:szCs w:val="17"/>
                <w:lang w:val="en-GB"/>
              </w:rPr>
              <w:t>4a/4b</w:t>
            </w:r>
          </w:p>
        </w:tc>
        <w:tc>
          <w:tcPr>
            <w:tcW w:w="614" w:type="dxa"/>
          </w:tcPr>
          <w:p>
            <w:pPr>
              <w:pStyle w:val="GesAbsatz"/>
              <w:jc w:val="both"/>
              <w:rPr>
                <w:rFonts w:cs="Arial"/>
                <w:sz w:val="16"/>
                <w:szCs w:val="15"/>
                <w:lang w:val="en-GB"/>
              </w:rPr>
            </w:pPr>
            <w:r>
              <w:rPr>
                <w:rFonts w:cs="Arial"/>
                <w:sz w:val="16"/>
                <w:szCs w:val="17"/>
                <w:lang w:val="en-GB"/>
              </w:rPr>
              <w:t>2</w:t>
            </w:r>
          </w:p>
        </w:tc>
        <w:tc>
          <w:tcPr>
            <w:tcW w:w="614" w:type="dxa"/>
          </w:tcPr>
          <w:p>
            <w:pPr>
              <w:pStyle w:val="GesAbsatz"/>
              <w:jc w:val="both"/>
              <w:rPr>
                <w:rFonts w:cs="Arial"/>
                <w:sz w:val="16"/>
                <w:szCs w:val="15"/>
                <w:lang w:val="en-GB"/>
              </w:rPr>
            </w:pPr>
            <w:r>
              <w:rPr>
                <w:rFonts w:cs="Arial"/>
                <w:sz w:val="16"/>
                <w:szCs w:val="17"/>
                <w:lang w:val="en-GB"/>
              </w:rPr>
              <w:t>2</w:t>
            </w:r>
          </w:p>
        </w:tc>
        <w:tc>
          <w:tcPr>
            <w:tcW w:w="615" w:type="dxa"/>
          </w:tcPr>
          <w:p>
            <w:pPr>
              <w:pStyle w:val="GesAbsatz"/>
              <w:jc w:val="both"/>
              <w:rPr>
                <w:rFonts w:cs="Arial"/>
                <w:sz w:val="16"/>
                <w:szCs w:val="15"/>
                <w:lang w:val="en-GB"/>
              </w:rPr>
            </w:pPr>
            <w:r>
              <w:rPr>
                <w:rFonts w:cs="Arial"/>
                <w:sz w:val="16"/>
                <w:szCs w:val="17"/>
                <w:lang w:val="en-GB"/>
              </w:rPr>
              <w:t>3</w:t>
            </w:r>
          </w:p>
        </w:tc>
        <w:tc>
          <w:tcPr>
            <w:tcW w:w="661" w:type="dxa"/>
          </w:tcPr>
          <w:p>
            <w:pPr>
              <w:pStyle w:val="GesAbsatz"/>
              <w:jc w:val="both"/>
              <w:rPr>
                <w:rFonts w:cs="Arial"/>
                <w:sz w:val="16"/>
                <w:szCs w:val="15"/>
                <w:lang w:val="en-GB"/>
              </w:rPr>
            </w:pPr>
            <w:r>
              <w:rPr>
                <w:rFonts w:cs="Arial"/>
                <w:sz w:val="16"/>
                <w:szCs w:val="17"/>
                <w:lang w:val="en-GB"/>
              </w:rPr>
              <w:t>2a/2b</w:t>
            </w:r>
          </w:p>
        </w:tc>
        <w:tc>
          <w:tcPr>
            <w:tcW w:w="661" w:type="dxa"/>
          </w:tcPr>
          <w:p>
            <w:pPr>
              <w:pStyle w:val="GesAbsatz"/>
              <w:jc w:val="both"/>
              <w:rPr>
                <w:rFonts w:cs="Arial"/>
                <w:sz w:val="16"/>
                <w:szCs w:val="15"/>
                <w:lang w:val="en-GB"/>
              </w:rPr>
            </w:pPr>
            <w:r>
              <w:rPr>
                <w:rFonts w:cs="Arial"/>
                <w:sz w:val="16"/>
                <w:szCs w:val="17"/>
                <w:lang w:val="en-GB"/>
              </w:rPr>
              <w:t>2a/2b</w:t>
            </w:r>
          </w:p>
        </w:tc>
        <w:tc>
          <w:tcPr>
            <w:tcW w:w="662" w:type="dxa"/>
          </w:tcPr>
          <w:p>
            <w:pPr>
              <w:pStyle w:val="GesAbsatz"/>
              <w:jc w:val="both"/>
              <w:rPr>
                <w:rFonts w:cs="Arial"/>
                <w:sz w:val="16"/>
                <w:szCs w:val="15"/>
                <w:lang w:val="en-GB"/>
              </w:rPr>
            </w:pPr>
            <w:r>
              <w:rPr>
                <w:rFonts w:cs="Arial"/>
                <w:sz w:val="16"/>
                <w:szCs w:val="17"/>
                <w:lang w:val="en-GB"/>
              </w:rPr>
              <w:t>3</w:t>
            </w:r>
          </w:p>
        </w:tc>
        <w:tc>
          <w:tcPr>
            <w:tcW w:w="614" w:type="dxa"/>
          </w:tcPr>
          <w:p>
            <w:pPr>
              <w:pStyle w:val="GesAbsatz"/>
              <w:jc w:val="both"/>
              <w:rPr>
                <w:rFonts w:cs="Arial"/>
                <w:sz w:val="16"/>
                <w:szCs w:val="15"/>
                <w:lang w:val="en-GB"/>
              </w:rPr>
            </w:pPr>
            <w:r>
              <w:rPr>
                <w:rFonts w:cs="Arial"/>
                <w:sz w:val="16"/>
                <w:szCs w:val="17"/>
                <w:lang w:val="en-GB"/>
              </w:rPr>
              <w:t>Nicht rel</w:t>
            </w:r>
            <w:r>
              <w:rPr>
                <w:rFonts w:cs="Arial"/>
                <w:sz w:val="16"/>
                <w:szCs w:val="17"/>
                <w:lang w:val="en-GB"/>
              </w:rPr>
              <w:t>e</w:t>
            </w:r>
            <w:r>
              <w:rPr>
                <w:rFonts w:cs="Arial"/>
                <w:sz w:val="16"/>
                <w:szCs w:val="17"/>
                <w:lang w:val="en-GB"/>
              </w:rPr>
              <w:t>vant</w:t>
            </w:r>
          </w:p>
        </w:tc>
        <w:tc>
          <w:tcPr>
            <w:tcW w:w="614" w:type="dxa"/>
          </w:tcPr>
          <w:p>
            <w:pPr>
              <w:pStyle w:val="GesAbsatz"/>
              <w:jc w:val="both"/>
              <w:rPr>
                <w:rFonts w:cs="Arial"/>
                <w:sz w:val="16"/>
                <w:szCs w:val="15"/>
                <w:lang w:val="en-GB"/>
              </w:rPr>
            </w:pPr>
            <w:r>
              <w:rPr>
                <w:rFonts w:cs="Arial"/>
                <w:sz w:val="16"/>
                <w:szCs w:val="17"/>
                <w:lang w:val="en-GB"/>
              </w:rPr>
              <w:t>Nicht rel</w:t>
            </w:r>
            <w:r>
              <w:rPr>
                <w:rFonts w:cs="Arial"/>
                <w:sz w:val="16"/>
                <w:szCs w:val="17"/>
                <w:lang w:val="en-GB"/>
              </w:rPr>
              <w:t>e</w:t>
            </w:r>
            <w:r>
              <w:rPr>
                <w:rFonts w:cs="Arial"/>
                <w:sz w:val="16"/>
                <w:szCs w:val="17"/>
                <w:lang w:val="en-GB"/>
              </w:rPr>
              <w:t>vant</w:t>
            </w:r>
          </w:p>
        </w:tc>
        <w:tc>
          <w:tcPr>
            <w:tcW w:w="615" w:type="dxa"/>
          </w:tcPr>
          <w:p>
            <w:pPr>
              <w:pStyle w:val="GesAbsatz"/>
              <w:jc w:val="both"/>
              <w:rPr>
                <w:rFonts w:cs="Arial"/>
                <w:sz w:val="16"/>
                <w:szCs w:val="15"/>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5"/>
              </w:rPr>
            </w:pPr>
            <w:r>
              <w:rPr>
                <w:rFonts w:cs="Arial"/>
                <w:sz w:val="16"/>
                <w:szCs w:val="17"/>
              </w:rPr>
              <w:t>1</w:t>
            </w:r>
          </w:p>
        </w:tc>
        <w:tc>
          <w:tcPr>
            <w:tcW w:w="709" w:type="dxa"/>
          </w:tcPr>
          <w:p>
            <w:pPr>
              <w:pStyle w:val="GesAbsatz"/>
              <w:jc w:val="both"/>
              <w:rPr>
                <w:rFonts w:cs="Arial"/>
                <w:sz w:val="16"/>
                <w:szCs w:val="15"/>
              </w:rPr>
            </w:pPr>
            <w:r>
              <w:rPr>
                <w:rFonts w:cs="Arial"/>
                <w:sz w:val="16"/>
                <w:szCs w:val="17"/>
              </w:rPr>
              <w:t>1</w:t>
            </w:r>
          </w:p>
        </w:tc>
        <w:tc>
          <w:tcPr>
            <w:tcW w:w="709" w:type="dxa"/>
          </w:tcPr>
          <w:p>
            <w:pPr>
              <w:pStyle w:val="GesAbsatz"/>
              <w:jc w:val="both"/>
              <w:rPr>
                <w:rFonts w:cs="Arial"/>
                <w:sz w:val="16"/>
                <w:szCs w:val="15"/>
              </w:rPr>
            </w:pPr>
            <w:r>
              <w:rPr>
                <w:rFonts w:cs="Arial"/>
                <w:sz w:val="16"/>
                <w:szCs w:val="17"/>
              </w:rPr>
              <w:t>1</w:t>
            </w:r>
          </w:p>
        </w:tc>
        <w:tc>
          <w:tcPr>
            <w:tcW w:w="661" w:type="dxa"/>
          </w:tcPr>
          <w:p>
            <w:pPr>
              <w:pStyle w:val="GesAbsatz"/>
              <w:jc w:val="both"/>
              <w:rPr>
                <w:rFonts w:cs="Arial"/>
                <w:sz w:val="16"/>
                <w:szCs w:val="15"/>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5"/>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5"/>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Verbrennung (feste Brennstoffe)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2a/2b</w:t>
            </w:r>
          </w:p>
        </w:tc>
        <w:tc>
          <w:tcPr>
            <w:tcW w:w="756" w:type="dxa"/>
          </w:tcPr>
          <w:p>
            <w:pPr>
              <w:pStyle w:val="GesAbsatz"/>
              <w:jc w:val="both"/>
              <w:rPr>
                <w:rFonts w:cs="Arial"/>
                <w:sz w:val="16"/>
                <w:szCs w:val="17"/>
                <w:lang w:val="fr-FR"/>
              </w:rPr>
            </w:pPr>
            <w:r>
              <w:rPr>
                <w:rFonts w:cs="Arial"/>
                <w:sz w:val="16"/>
                <w:szCs w:val="17"/>
                <w:lang w:val="fr-FR"/>
              </w:rPr>
              <w:t>3a/3b</w:t>
            </w:r>
          </w:p>
        </w:tc>
        <w:tc>
          <w:tcPr>
            <w:tcW w:w="614"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3</w:t>
            </w:r>
          </w:p>
        </w:tc>
        <w:tc>
          <w:tcPr>
            <w:tcW w:w="615" w:type="dxa"/>
          </w:tcPr>
          <w:p>
            <w:pPr>
              <w:pStyle w:val="GesAbsatz"/>
              <w:jc w:val="both"/>
              <w:rPr>
                <w:rFonts w:cs="Arial"/>
                <w:sz w:val="16"/>
                <w:szCs w:val="17"/>
                <w:lang w:val="fr-FR"/>
              </w:rPr>
            </w:pPr>
            <w:r>
              <w:rPr>
                <w:rFonts w:cs="Arial"/>
                <w:sz w:val="16"/>
                <w:szCs w:val="17"/>
                <w:lang w:val="fr-FR"/>
              </w:rPr>
              <w:t>3</w:t>
            </w:r>
          </w:p>
        </w:tc>
        <w:tc>
          <w:tcPr>
            <w:tcW w:w="661" w:type="dxa"/>
          </w:tcPr>
          <w:p>
            <w:pPr>
              <w:pStyle w:val="GesAbsatz"/>
              <w:jc w:val="both"/>
              <w:rPr>
                <w:rFonts w:cs="Arial"/>
                <w:sz w:val="16"/>
                <w:szCs w:val="17"/>
                <w:lang w:val="fr-FR"/>
              </w:rPr>
            </w:pPr>
            <w:r>
              <w:rPr>
                <w:rFonts w:cs="Arial"/>
                <w:sz w:val="16"/>
                <w:szCs w:val="17"/>
                <w:lang w:val="fr-FR"/>
              </w:rPr>
              <w:t>2a/2b</w:t>
            </w:r>
          </w:p>
        </w:tc>
        <w:tc>
          <w:tcPr>
            <w:tcW w:w="661" w:type="dxa"/>
          </w:tcPr>
          <w:p>
            <w:pPr>
              <w:pStyle w:val="GesAbsatz"/>
              <w:jc w:val="both"/>
              <w:rPr>
                <w:rFonts w:cs="Arial"/>
                <w:sz w:val="16"/>
                <w:szCs w:val="17"/>
                <w:lang w:val="fr-FR"/>
              </w:rPr>
            </w:pPr>
            <w:r>
              <w:rPr>
                <w:rFonts w:cs="Arial"/>
                <w:sz w:val="16"/>
                <w:szCs w:val="17"/>
                <w:lang w:val="fr-FR"/>
              </w:rPr>
              <w:t>3</w:t>
            </w:r>
          </w:p>
        </w:tc>
        <w:tc>
          <w:tcPr>
            <w:tcW w:w="662" w:type="dxa"/>
          </w:tcPr>
          <w:p>
            <w:pPr>
              <w:pStyle w:val="GesAbsatz"/>
              <w:jc w:val="both"/>
              <w:rPr>
                <w:rFonts w:cs="Arial"/>
                <w:sz w:val="16"/>
                <w:szCs w:val="17"/>
                <w:lang w:val="fr-FR"/>
              </w:rPr>
            </w:pPr>
            <w:r>
              <w:rPr>
                <w:rFonts w:cs="Arial"/>
                <w:sz w:val="16"/>
                <w:szCs w:val="17"/>
                <w:lang w:val="fr-FR"/>
              </w:rPr>
              <w:t>3</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1</w:t>
            </w:r>
          </w:p>
        </w:tc>
        <w:tc>
          <w:tcPr>
            <w:tcW w:w="709" w:type="dxa"/>
          </w:tcPr>
          <w:p>
            <w:pPr>
              <w:pStyle w:val="GesAbsatz"/>
              <w:jc w:val="both"/>
              <w:rPr>
                <w:rFonts w:cs="Arial"/>
                <w:sz w:val="16"/>
                <w:szCs w:val="17"/>
                <w:lang w:val="fr-FR"/>
              </w:rPr>
            </w:pPr>
            <w:r>
              <w:rPr>
                <w:rFonts w:cs="Arial"/>
                <w:sz w:val="16"/>
                <w:szCs w:val="17"/>
                <w:lang w:val="fr-FR"/>
              </w:rPr>
              <w:t>2</w:t>
            </w:r>
          </w:p>
        </w:tc>
        <w:tc>
          <w:tcPr>
            <w:tcW w:w="709" w:type="dxa"/>
          </w:tcPr>
          <w:p>
            <w:pPr>
              <w:pStyle w:val="GesAbsatz"/>
              <w:jc w:val="both"/>
              <w:rPr>
                <w:rFonts w:cs="Arial"/>
                <w:sz w:val="16"/>
                <w:szCs w:val="17"/>
                <w:lang w:val="fr-FR"/>
              </w:rPr>
            </w:pPr>
            <w:r>
              <w:rPr>
                <w:rFonts w:cs="Arial"/>
                <w:sz w:val="16"/>
                <w:szCs w:val="17"/>
                <w:lang w:val="fr-FR"/>
              </w:rPr>
              <w:t>2</w:t>
            </w:r>
          </w:p>
        </w:tc>
        <w:tc>
          <w:tcPr>
            <w:tcW w:w="661"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2" w:type="dxa"/>
          </w:tcPr>
          <w:p>
            <w:pPr>
              <w:pStyle w:val="GesAbsatz"/>
              <w:jc w:val="both"/>
              <w:rPr>
                <w:rFonts w:cs="Arial"/>
                <w:sz w:val="16"/>
                <w:szCs w:val="17"/>
                <w:lang w:val="fr-FR"/>
              </w:rPr>
            </w:pPr>
            <w:r>
              <w:rPr>
                <w:rFonts w:cs="Arial"/>
                <w:sz w:val="16"/>
                <w:szCs w:val="17"/>
                <w:lang w:val="fr-FR"/>
              </w:rPr>
              <w:t>Nich</w:t>
            </w:r>
            <w:r>
              <w:rPr>
                <w:rFonts w:cs="Arial"/>
                <w:sz w:val="16"/>
                <w:szCs w:val="17"/>
                <w:lang w:val="fr-FR"/>
              </w:rPr>
              <w:t>t</w:t>
            </w:r>
            <w:r>
              <w:rPr>
                <w:rFonts w:cs="Arial"/>
                <w:sz w:val="16"/>
                <w:szCs w:val="17"/>
                <w:lang w:val="fr-FR"/>
              </w:rPr>
              <w:t xml:space="preserve"> rel</w:t>
            </w:r>
            <w:r>
              <w:rPr>
                <w:rFonts w:cs="Arial"/>
                <w:sz w:val="16"/>
                <w:szCs w:val="17"/>
                <w:lang w:val="fr-FR"/>
              </w:rPr>
              <w:t>e</w:t>
            </w:r>
            <w:r>
              <w:rPr>
                <w:rFonts w:cs="Arial"/>
                <w:sz w:val="16"/>
                <w:szCs w:val="17"/>
                <w:lang w:val="fr-FR"/>
              </w:rPr>
              <w:t>vant</w:t>
            </w:r>
          </w:p>
        </w:tc>
        <w:tc>
          <w:tcPr>
            <w:tcW w:w="662" w:type="dxa"/>
          </w:tcPr>
          <w:p>
            <w:pPr>
              <w:pStyle w:val="GesAbsatz"/>
              <w:jc w:val="both"/>
              <w:rPr>
                <w:rFonts w:cs="Arial"/>
                <w:sz w:val="16"/>
                <w:szCs w:val="17"/>
                <w:lang w:val="fr-FR"/>
              </w:rPr>
            </w:pPr>
            <w:r>
              <w:rPr>
                <w:rFonts w:cs="Arial"/>
                <w:sz w:val="16"/>
                <w:szCs w:val="17"/>
                <w:lang w:val="fr-FR"/>
              </w:rPr>
              <w:t>Nich</w:t>
            </w:r>
            <w:r>
              <w:rPr>
                <w:rFonts w:cs="Arial"/>
                <w:sz w:val="16"/>
                <w:szCs w:val="17"/>
                <w:lang w:val="fr-FR"/>
              </w:rPr>
              <w:t>t</w:t>
            </w:r>
            <w:r>
              <w:rPr>
                <w:rFonts w:cs="Arial"/>
                <w:sz w:val="16"/>
                <w:szCs w:val="17"/>
                <w:lang w:val="fr-FR"/>
              </w:rPr>
              <w:t xml:space="preserve"> rel</w:t>
            </w:r>
            <w:r>
              <w:rPr>
                <w:rFonts w:cs="Arial"/>
                <w:sz w:val="16"/>
                <w:szCs w:val="17"/>
                <w:lang w:val="fr-FR"/>
              </w:rPr>
              <w:t>e</w:t>
            </w:r>
            <w:r>
              <w:rPr>
                <w:rFonts w:cs="Arial"/>
                <w:sz w:val="16"/>
                <w:szCs w:val="17"/>
                <w:lang w:val="fr-FR"/>
              </w:rPr>
              <w:t>vant</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Fackeln</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3</w:t>
            </w:r>
          </w:p>
        </w:tc>
        <w:tc>
          <w:tcPr>
            <w:tcW w:w="756" w:type="dxa"/>
          </w:tcPr>
          <w:p>
            <w:pPr>
              <w:pStyle w:val="GesAbsatz"/>
              <w:jc w:val="both"/>
              <w:rPr>
                <w:rFonts w:cs="Arial"/>
                <w:sz w:val="16"/>
                <w:szCs w:val="17"/>
              </w:rPr>
            </w:pPr>
            <w:r>
              <w:rPr>
                <w:rFonts w:cs="Arial"/>
                <w:sz w:val="16"/>
                <w:szCs w:val="17"/>
              </w:rPr>
              <w:t>3</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2</w:t>
            </w:r>
          </w:p>
        </w:tc>
        <w:tc>
          <w:tcPr>
            <w:tcW w:w="662"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w:t>
            </w:r>
            <w:r>
              <w:rPr>
                <w:rFonts w:cs="Arial"/>
                <w:sz w:val="16"/>
                <w:szCs w:val="17"/>
              </w:rPr>
              <w:t>t</w:t>
            </w:r>
            <w:r>
              <w:rPr>
                <w:rFonts w:cs="Arial"/>
                <w:sz w:val="16"/>
                <w:szCs w:val="17"/>
              </w:rPr>
              <w:t xml:space="preserve">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1</w:t>
            </w:r>
          </w:p>
        </w:tc>
        <w:tc>
          <w:tcPr>
            <w:tcW w:w="709" w:type="dxa"/>
          </w:tcPr>
          <w:p>
            <w:pPr>
              <w:pStyle w:val="GesAbsatz"/>
              <w:jc w:val="both"/>
              <w:rPr>
                <w:rFonts w:cs="Arial"/>
                <w:sz w:val="16"/>
                <w:szCs w:val="17"/>
              </w:rPr>
            </w:pPr>
            <w:r>
              <w:rPr>
                <w:rFonts w:cs="Arial"/>
                <w:sz w:val="16"/>
                <w:szCs w:val="17"/>
              </w:rPr>
              <w:t>1</w:t>
            </w:r>
          </w:p>
        </w:tc>
        <w:tc>
          <w:tcPr>
            <w:tcW w:w="709"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Wäsche</w:t>
            </w:r>
          </w:p>
          <w:p>
            <w:pPr>
              <w:pStyle w:val="GesAbsatz"/>
              <w:rPr>
                <w:rFonts w:cs="Arial"/>
                <w:sz w:val="16"/>
                <w:szCs w:val="17"/>
              </w:rPr>
            </w:pPr>
            <w:r>
              <w:rPr>
                <w:rFonts w:cs="Arial"/>
                <w:sz w:val="16"/>
                <w:szCs w:val="17"/>
              </w:rPr>
              <w:t>Karbonat</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Gips</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Nic</w:t>
            </w:r>
            <w:r>
              <w:rPr>
                <w:rFonts w:cs="Arial"/>
                <w:sz w:val="16"/>
                <w:szCs w:val="17"/>
              </w:rPr>
              <w:t>h</w:t>
            </w:r>
            <w:r>
              <w:rPr>
                <w:rFonts w:cs="Arial"/>
                <w:sz w:val="16"/>
                <w:szCs w:val="17"/>
              </w:rPr>
              <w:t>t rel</w:t>
            </w:r>
            <w:r>
              <w:rPr>
                <w:rFonts w:cs="Arial"/>
                <w:sz w:val="16"/>
                <w:szCs w:val="17"/>
              </w:rPr>
              <w:t>e</w:t>
            </w:r>
            <w:r>
              <w:rPr>
                <w:rFonts w:cs="Arial"/>
                <w:sz w:val="16"/>
                <w:szCs w:val="17"/>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jc w:val="both"/>
              <w:rPr>
                <w:rFonts w:cs="Arial"/>
                <w:sz w:val="16"/>
                <w:szCs w:val="17"/>
                <w:lang w:val="fr-FR"/>
              </w:rPr>
            </w:pPr>
            <w:r>
              <w:rPr>
                <w:rFonts w:cs="Arial"/>
                <w:sz w:val="16"/>
                <w:szCs w:val="17"/>
                <w:lang w:val="fr-FR"/>
              </w:rPr>
              <w:t>III: Raffinerien</w:t>
            </w: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708"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Massenbilanz</w:t>
            </w:r>
          </w:p>
        </w:tc>
        <w:tc>
          <w:tcPr>
            <w:tcW w:w="756" w:type="dxa"/>
          </w:tcPr>
          <w:p>
            <w:pPr>
              <w:pStyle w:val="GesAbsatz"/>
              <w:jc w:val="both"/>
              <w:rPr>
                <w:rFonts w:cs="Arial"/>
                <w:sz w:val="16"/>
                <w:szCs w:val="17"/>
              </w:rPr>
            </w:pPr>
            <w:r>
              <w:rPr>
                <w:rFonts w:cs="Arial"/>
                <w:sz w:val="16"/>
                <w:szCs w:val="17"/>
              </w:rPr>
              <w:t>4</w:t>
            </w:r>
          </w:p>
        </w:tc>
        <w:tc>
          <w:tcPr>
            <w:tcW w:w="756" w:type="dxa"/>
          </w:tcPr>
          <w:p>
            <w:pPr>
              <w:pStyle w:val="GesAbsatz"/>
              <w:jc w:val="both"/>
              <w:rPr>
                <w:rFonts w:cs="Arial"/>
                <w:sz w:val="16"/>
                <w:szCs w:val="17"/>
              </w:rPr>
            </w:pPr>
            <w:r>
              <w:rPr>
                <w:rFonts w:cs="Arial"/>
                <w:sz w:val="16"/>
                <w:szCs w:val="17"/>
              </w:rPr>
              <w:t>4</w:t>
            </w:r>
          </w:p>
        </w:tc>
        <w:tc>
          <w:tcPr>
            <w:tcW w:w="756" w:type="dxa"/>
          </w:tcPr>
          <w:p>
            <w:pPr>
              <w:pStyle w:val="GesAbsatz"/>
              <w:jc w:val="both"/>
              <w:rPr>
                <w:rFonts w:cs="Arial"/>
                <w:sz w:val="16"/>
                <w:szCs w:val="17"/>
              </w:rPr>
            </w:pPr>
            <w:r>
              <w:rPr>
                <w:rFonts w:cs="Arial"/>
                <w:sz w:val="16"/>
                <w:szCs w:val="17"/>
              </w:rPr>
              <w:t>4</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Regenerierung katalyt</w:t>
            </w:r>
            <w:r>
              <w:rPr>
                <w:rFonts w:cs="Arial"/>
                <w:sz w:val="16"/>
                <w:szCs w:val="17"/>
              </w:rPr>
              <w:t>i</w:t>
            </w:r>
            <w:r>
              <w:rPr>
                <w:rFonts w:cs="Arial"/>
                <w:sz w:val="16"/>
                <w:szCs w:val="17"/>
              </w:rPr>
              <w:t>scher Cracker</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Kokserzeugungsanlagen</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2</w:t>
            </w:r>
          </w:p>
        </w:tc>
        <w:tc>
          <w:tcPr>
            <w:tcW w:w="662"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Wasserstofferzeugung</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2</w:t>
            </w:r>
          </w:p>
        </w:tc>
        <w:tc>
          <w:tcPr>
            <w:tcW w:w="662"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IV: Kokereien</w:t>
            </w: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708"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62" w:type="dxa"/>
          </w:tcPr>
          <w:p>
            <w:pPr>
              <w:pStyle w:val="GesAbsatz"/>
              <w:jc w:val="both"/>
              <w:rPr>
                <w:rFonts w:cs="Arial"/>
                <w:sz w:val="16"/>
                <w:szCs w:val="17"/>
              </w:rPr>
            </w:pP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lastRenderedPageBreak/>
              <w:t>Massenbilanz</w:t>
            </w:r>
          </w:p>
        </w:tc>
        <w:tc>
          <w:tcPr>
            <w:tcW w:w="756" w:type="dxa"/>
          </w:tcPr>
          <w:p>
            <w:pPr>
              <w:pStyle w:val="GesAbsatz"/>
              <w:jc w:val="both"/>
              <w:rPr>
                <w:rFonts w:cs="Arial"/>
                <w:sz w:val="16"/>
                <w:szCs w:val="17"/>
              </w:rPr>
            </w:pPr>
            <w:r>
              <w:rPr>
                <w:rFonts w:cs="Arial"/>
                <w:sz w:val="16"/>
                <w:szCs w:val="17"/>
              </w:rPr>
              <w:t>3</w:t>
            </w:r>
          </w:p>
        </w:tc>
        <w:tc>
          <w:tcPr>
            <w:tcW w:w="756" w:type="dxa"/>
          </w:tcPr>
          <w:p>
            <w:pPr>
              <w:pStyle w:val="GesAbsatz"/>
              <w:jc w:val="both"/>
              <w:rPr>
                <w:rFonts w:cs="Arial"/>
                <w:sz w:val="16"/>
                <w:szCs w:val="17"/>
              </w:rPr>
            </w:pPr>
            <w:r>
              <w:rPr>
                <w:rFonts w:cs="Arial"/>
                <w:sz w:val="16"/>
                <w:szCs w:val="17"/>
              </w:rPr>
              <w:t>3</w:t>
            </w:r>
          </w:p>
        </w:tc>
        <w:tc>
          <w:tcPr>
            <w:tcW w:w="756" w:type="dxa"/>
          </w:tcPr>
          <w:p>
            <w:pPr>
              <w:pStyle w:val="GesAbsatz"/>
              <w:jc w:val="both"/>
              <w:rPr>
                <w:rFonts w:cs="Arial"/>
                <w:sz w:val="16"/>
                <w:szCs w:val="17"/>
              </w:rPr>
            </w:pPr>
            <w:r>
              <w:rPr>
                <w:rFonts w:cs="Arial"/>
                <w:sz w:val="16"/>
                <w:szCs w:val="17"/>
              </w:rPr>
              <w:t>3</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jc w:val="both"/>
              <w:rPr>
                <w:rFonts w:cs="Arial"/>
                <w:sz w:val="16"/>
                <w:szCs w:val="17"/>
              </w:rPr>
            </w:pPr>
            <w:r>
              <w:rPr>
                <w:rFonts w:cs="Arial"/>
                <w:sz w:val="16"/>
                <w:szCs w:val="17"/>
              </w:rPr>
              <w:t>Brennstoff als Prozessi</w:t>
            </w:r>
            <w:r>
              <w:rPr>
                <w:rFonts w:cs="Arial"/>
                <w:sz w:val="16"/>
                <w:szCs w:val="17"/>
              </w:rPr>
              <w:t>n</w:t>
            </w:r>
            <w:r>
              <w:rPr>
                <w:rFonts w:cs="Arial"/>
                <w:sz w:val="16"/>
                <w:szCs w:val="17"/>
              </w:rPr>
              <w:t>put</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3</w:t>
            </w:r>
          </w:p>
        </w:tc>
        <w:tc>
          <w:tcPr>
            <w:tcW w:w="614"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2</w:t>
            </w:r>
          </w:p>
        </w:tc>
        <w:tc>
          <w:tcPr>
            <w:tcW w:w="615" w:type="dxa"/>
          </w:tcPr>
          <w:p>
            <w:pPr>
              <w:pStyle w:val="GesAbsatz"/>
              <w:jc w:val="both"/>
              <w:rPr>
                <w:rFonts w:cs="Arial"/>
                <w:sz w:val="16"/>
                <w:szCs w:val="17"/>
              </w:rPr>
            </w:pPr>
            <w:r>
              <w:rPr>
                <w:rFonts w:cs="Arial"/>
                <w:sz w:val="16"/>
                <w:szCs w:val="17"/>
              </w:rPr>
              <w:t>3</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2</w:t>
            </w:r>
          </w:p>
        </w:tc>
        <w:tc>
          <w:tcPr>
            <w:tcW w:w="662"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V: Röst- und Sinteranl</w:t>
            </w:r>
            <w:r>
              <w:rPr>
                <w:rFonts w:cs="Arial"/>
                <w:sz w:val="16"/>
                <w:szCs w:val="17"/>
              </w:rPr>
              <w:t>a</w:t>
            </w:r>
            <w:r>
              <w:rPr>
                <w:rFonts w:cs="Arial"/>
                <w:sz w:val="16"/>
                <w:szCs w:val="17"/>
              </w:rPr>
              <w:t>gen für Metallerz</w:t>
            </w: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708"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62" w:type="dxa"/>
          </w:tcPr>
          <w:p>
            <w:pPr>
              <w:pStyle w:val="GesAbsatz"/>
              <w:jc w:val="both"/>
              <w:rPr>
                <w:rFonts w:cs="Arial"/>
                <w:sz w:val="16"/>
                <w:szCs w:val="17"/>
              </w:rPr>
            </w:pP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Massenbilanz</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3</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Eingesetzte Karbonate</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VI: Eisen und Stahl</w:t>
            </w: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708"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62" w:type="dxa"/>
          </w:tcPr>
          <w:p>
            <w:pPr>
              <w:pStyle w:val="GesAbsatz"/>
              <w:jc w:val="both"/>
              <w:rPr>
                <w:rFonts w:cs="Arial"/>
                <w:sz w:val="16"/>
                <w:szCs w:val="17"/>
              </w:rPr>
            </w:pP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Massenbilanz</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3</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1</w:t>
            </w:r>
          </w:p>
        </w:tc>
        <w:tc>
          <w:tcPr>
            <w:tcW w:w="615" w:type="dxa"/>
          </w:tcPr>
          <w:p>
            <w:pPr>
              <w:pStyle w:val="GesAbsatz"/>
              <w:jc w:val="both"/>
              <w:rPr>
                <w:rFonts w:cs="Arial"/>
                <w:sz w:val="16"/>
                <w:szCs w:val="17"/>
              </w:rPr>
            </w:pPr>
            <w:r>
              <w:rPr>
                <w:rFonts w:cs="Arial"/>
                <w:sz w:val="16"/>
                <w:szCs w:val="17"/>
              </w:rPr>
              <w:t>1</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Brennstoff als Prozessi</w:t>
            </w:r>
            <w:r>
              <w:rPr>
                <w:rFonts w:cs="Arial"/>
                <w:sz w:val="16"/>
                <w:szCs w:val="17"/>
              </w:rPr>
              <w:t>n</w:t>
            </w:r>
            <w:r>
              <w:rPr>
                <w:rFonts w:cs="Arial"/>
                <w:sz w:val="16"/>
                <w:szCs w:val="17"/>
              </w:rPr>
              <w:t>put</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3</w:t>
            </w:r>
          </w:p>
        </w:tc>
        <w:tc>
          <w:tcPr>
            <w:tcW w:w="614"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2</w:t>
            </w:r>
          </w:p>
        </w:tc>
        <w:tc>
          <w:tcPr>
            <w:tcW w:w="615" w:type="dxa"/>
          </w:tcPr>
          <w:p>
            <w:pPr>
              <w:pStyle w:val="GesAbsatz"/>
              <w:jc w:val="both"/>
              <w:rPr>
                <w:rFonts w:cs="Arial"/>
                <w:sz w:val="16"/>
                <w:szCs w:val="17"/>
              </w:rPr>
            </w:pPr>
            <w:r>
              <w:rPr>
                <w:rFonts w:cs="Arial"/>
                <w:sz w:val="16"/>
                <w:szCs w:val="17"/>
              </w:rPr>
              <w:t>3</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2</w:t>
            </w:r>
          </w:p>
        </w:tc>
        <w:tc>
          <w:tcPr>
            <w:tcW w:w="662"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2"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VII: Zement</w:t>
            </w: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756"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4" w:type="dxa"/>
          </w:tcPr>
          <w:p>
            <w:pPr>
              <w:pStyle w:val="GesAbsatz"/>
              <w:jc w:val="both"/>
              <w:rPr>
                <w:rFonts w:cs="Arial"/>
                <w:sz w:val="16"/>
                <w:szCs w:val="17"/>
              </w:rPr>
            </w:pPr>
          </w:p>
        </w:tc>
        <w:tc>
          <w:tcPr>
            <w:tcW w:w="615" w:type="dxa"/>
          </w:tcPr>
          <w:p>
            <w:pPr>
              <w:pStyle w:val="GesAbsatz"/>
              <w:jc w:val="both"/>
              <w:rPr>
                <w:rFonts w:cs="Arial"/>
                <w:sz w:val="16"/>
                <w:szCs w:val="17"/>
              </w:rPr>
            </w:pPr>
          </w:p>
        </w:tc>
        <w:tc>
          <w:tcPr>
            <w:tcW w:w="708"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709" w:type="dxa"/>
          </w:tcPr>
          <w:p>
            <w:pPr>
              <w:pStyle w:val="GesAbsatz"/>
              <w:jc w:val="both"/>
              <w:rPr>
                <w:rFonts w:cs="Arial"/>
                <w:sz w:val="16"/>
                <w:szCs w:val="17"/>
              </w:rPr>
            </w:pPr>
          </w:p>
        </w:tc>
        <w:tc>
          <w:tcPr>
            <w:tcW w:w="661" w:type="dxa"/>
          </w:tcPr>
          <w:p>
            <w:pPr>
              <w:pStyle w:val="GesAbsatz"/>
              <w:jc w:val="both"/>
              <w:rPr>
                <w:rFonts w:cs="Arial"/>
                <w:sz w:val="16"/>
                <w:szCs w:val="17"/>
              </w:rPr>
            </w:pPr>
          </w:p>
        </w:tc>
        <w:tc>
          <w:tcPr>
            <w:tcW w:w="662" w:type="dxa"/>
          </w:tcPr>
          <w:p>
            <w:pPr>
              <w:pStyle w:val="GesAbsatz"/>
              <w:jc w:val="both"/>
              <w:rPr>
                <w:rFonts w:cs="Arial"/>
                <w:sz w:val="16"/>
                <w:szCs w:val="17"/>
              </w:rPr>
            </w:pPr>
          </w:p>
        </w:tc>
        <w:tc>
          <w:tcPr>
            <w:tcW w:w="662" w:type="dxa"/>
          </w:tcPr>
          <w:p>
            <w:pPr>
              <w:pStyle w:val="GesAbsatz"/>
              <w:jc w:val="both"/>
              <w:rPr>
                <w:rFonts w:cs="Arial"/>
                <w:sz w:val="16"/>
                <w:szCs w:val="17"/>
              </w:rPr>
            </w:pP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Karbonate</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2</w:t>
            </w:r>
          </w:p>
        </w:tc>
        <w:tc>
          <w:tcPr>
            <w:tcW w:w="756" w:type="dxa"/>
          </w:tcPr>
          <w:p>
            <w:pPr>
              <w:pStyle w:val="GesAbsatz"/>
              <w:jc w:val="both"/>
              <w:rPr>
                <w:rFonts w:cs="Arial"/>
                <w:sz w:val="16"/>
                <w:szCs w:val="17"/>
              </w:rPr>
            </w:pPr>
            <w:r>
              <w:rPr>
                <w:rFonts w:cs="Arial"/>
                <w:sz w:val="16"/>
                <w:szCs w:val="17"/>
              </w:rPr>
              <w:t>2</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4"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15"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8"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709" w:type="dxa"/>
          </w:tcPr>
          <w:p>
            <w:pPr>
              <w:pStyle w:val="GesAbsatz"/>
              <w:jc w:val="both"/>
              <w:rPr>
                <w:rFonts w:cs="Arial"/>
                <w:sz w:val="16"/>
                <w:szCs w:val="17"/>
              </w:rPr>
            </w:pPr>
            <w:r>
              <w:rPr>
                <w:rFonts w:cs="Arial"/>
                <w:sz w:val="16"/>
                <w:szCs w:val="17"/>
              </w:rPr>
              <w:t>Nicht rel</w:t>
            </w:r>
            <w:r>
              <w:rPr>
                <w:rFonts w:cs="Arial"/>
                <w:sz w:val="16"/>
                <w:szCs w:val="17"/>
              </w:rPr>
              <w:t>e</w:t>
            </w:r>
            <w:r>
              <w:rPr>
                <w:rFonts w:cs="Arial"/>
                <w:sz w:val="16"/>
                <w:szCs w:val="17"/>
              </w:rPr>
              <w:t>vant</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r>
      <w:tr>
        <w:tblPrEx>
          <w:tblCellMar>
            <w:top w:w="0" w:type="dxa"/>
            <w:bottom w:w="0" w:type="dxa"/>
          </w:tblCellMar>
        </w:tblPrEx>
        <w:trPr>
          <w:cantSplit/>
        </w:trPr>
        <w:tc>
          <w:tcPr>
            <w:tcW w:w="2480" w:type="dxa"/>
          </w:tcPr>
          <w:p>
            <w:pPr>
              <w:pStyle w:val="GesAbsatz"/>
              <w:rPr>
                <w:rFonts w:cs="Arial"/>
                <w:sz w:val="16"/>
                <w:szCs w:val="17"/>
              </w:rPr>
            </w:pPr>
            <w:r>
              <w:rPr>
                <w:rFonts w:cs="Arial"/>
                <w:sz w:val="16"/>
                <w:szCs w:val="17"/>
              </w:rPr>
              <w:t>Hergestellte Klinker</w:t>
            </w:r>
          </w:p>
        </w:tc>
        <w:tc>
          <w:tcPr>
            <w:tcW w:w="756" w:type="dxa"/>
          </w:tcPr>
          <w:p>
            <w:pPr>
              <w:pStyle w:val="GesAbsatz"/>
              <w:jc w:val="both"/>
              <w:rPr>
                <w:rFonts w:cs="Arial"/>
                <w:sz w:val="16"/>
                <w:szCs w:val="17"/>
              </w:rPr>
            </w:pPr>
            <w:r>
              <w:rPr>
                <w:rFonts w:cs="Arial"/>
                <w:sz w:val="16"/>
                <w:szCs w:val="17"/>
              </w:rPr>
              <w:t>1</w:t>
            </w:r>
          </w:p>
        </w:tc>
        <w:tc>
          <w:tcPr>
            <w:tcW w:w="756" w:type="dxa"/>
          </w:tcPr>
          <w:p>
            <w:pPr>
              <w:pStyle w:val="GesAbsatz"/>
              <w:jc w:val="both"/>
              <w:rPr>
                <w:rFonts w:cs="Arial"/>
                <w:sz w:val="16"/>
                <w:szCs w:val="17"/>
              </w:rPr>
            </w:pPr>
            <w:r>
              <w:rPr>
                <w:rFonts w:cs="Arial"/>
                <w:sz w:val="16"/>
                <w:szCs w:val="17"/>
              </w:rPr>
              <w:t>2a/2b</w:t>
            </w:r>
          </w:p>
        </w:tc>
        <w:tc>
          <w:tcPr>
            <w:tcW w:w="756" w:type="dxa"/>
          </w:tcPr>
          <w:p>
            <w:pPr>
              <w:pStyle w:val="GesAbsatz"/>
              <w:jc w:val="both"/>
              <w:rPr>
                <w:rFonts w:cs="Arial"/>
                <w:sz w:val="16"/>
                <w:szCs w:val="17"/>
                <w:lang w:val="fr-FR"/>
              </w:rPr>
            </w:pPr>
            <w:r>
              <w:rPr>
                <w:rFonts w:cs="Arial"/>
                <w:sz w:val="16"/>
                <w:szCs w:val="17"/>
                <w:lang w:val="fr-FR"/>
              </w:rPr>
              <w:t>2a/2b</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2</w:t>
            </w:r>
          </w:p>
        </w:tc>
        <w:tc>
          <w:tcPr>
            <w:tcW w:w="662"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CKD</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2</w:t>
            </w:r>
          </w:p>
        </w:tc>
        <w:tc>
          <w:tcPr>
            <w:tcW w:w="662"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 xml:space="preserve">1 </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VIII: Kalk</w:t>
            </w: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708"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Karbonate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lastRenderedPageBreak/>
              <w:t>Alkalimetalloxide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IX: Glas</w:t>
            </w: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708"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Karbonate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Alkalimetalloxide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X: Keramik</w:t>
            </w: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708"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Karbonate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Alkalimetalloxide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Wäsche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XI: Papier und Zellstoff</w:t>
            </w: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756"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4" w:type="dxa"/>
          </w:tcPr>
          <w:p>
            <w:pPr>
              <w:pStyle w:val="GesAbsatz"/>
              <w:jc w:val="both"/>
              <w:rPr>
                <w:rFonts w:cs="Arial"/>
                <w:sz w:val="16"/>
                <w:szCs w:val="17"/>
                <w:lang w:val="fr-FR"/>
              </w:rPr>
            </w:pPr>
          </w:p>
        </w:tc>
        <w:tc>
          <w:tcPr>
            <w:tcW w:w="615" w:type="dxa"/>
          </w:tcPr>
          <w:p>
            <w:pPr>
              <w:pStyle w:val="GesAbsatz"/>
              <w:jc w:val="both"/>
              <w:rPr>
                <w:rFonts w:cs="Arial"/>
                <w:sz w:val="16"/>
                <w:szCs w:val="17"/>
                <w:lang w:val="fr-FR"/>
              </w:rPr>
            </w:pPr>
          </w:p>
        </w:tc>
        <w:tc>
          <w:tcPr>
            <w:tcW w:w="708"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709" w:type="dxa"/>
          </w:tcPr>
          <w:p>
            <w:pPr>
              <w:pStyle w:val="GesAbsatz"/>
              <w:jc w:val="both"/>
              <w:rPr>
                <w:rFonts w:cs="Arial"/>
                <w:sz w:val="16"/>
                <w:szCs w:val="17"/>
                <w:lang w:val="fr-FR"/>
              </w:rPr>
            </w:pPr>
          </w:p>
        </w:tc>
        <w:tc>
          <w:tcPr>
            <w:tcW w:w="661"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c>
          <w:tcPr>
            <w:tcW w:w="662" w:type="dxa"/>
          </w:tcPr>
          <w:p>
            <w:pPr>
              <w:pStyle w:val="GesAbsatz"/>
              <w:jc w:val="both"/>
              <w:rPr>
                <w:rFonts w:cs="Arial"/>
                <w:sz w:val="16"/>
                <w:szCs w:val="17"/>
                <w:lang w:val="fr-FR"/>
              </w:rPr>
            </w:pPr>
          </w:p>
        </w:tc>
      </w:tr>
      <w:tr>
        <w:tblPrEx>
          <w:tblCellMar>
            <w:top w:w="0" w:type="dxa"/>
            <w:bottom w:w="0" w:type="dxa"/>
          </w:tblCellMar>
        </w:tblPrEx>
        <w:trPr>
          <w:cantSplit/>
        </w:trPr>
        <w:tc>
          <w:tcPr>
            <w:tcW w:w="2480" w:type="dxa"/>
          </w:tcPr>
          <w:p>
            <w:pPr>
              <w:pStyle w:val="GesAbsatz"/>
              <w:rPr>
                <w:rFonts w:cs="Arial"/>
                <w:sz w:val="16"/>
                <w:szCs w:val="17"/>
                <w:lang w:val="fr-FR"/>
              </w:rPr>
            </w:pPr>
            <w:r>
              <w:rPr>
                <w:rFonts w:cs="Arial"/>
                <w:sz w:val="16"/>
                <w:szCs w:val="17"/>
                <w:lang w:val="fr-FR"/>
              </w:rPr>
              <w:t>Standardmethode</w:t>
            </w:r>
          </w:p>
        </w:tc>
        <w:tc>
          <w:tcPr>
            <w:tcW w:w="756" w:type="dxa"/>
          </w:tcPr>
          <w:p>
            <w:pPr>
              <w:pStyle w:val="GesAbsatz"/>
              <w:jc w:val="both"/>
              <w:rPr>
                <w:rFonts w:cs="Arial"/>
                <w:sz w:val="16"/>
                <w:szCs w:val="17"/>
                <w:lang w:val="fr-FR"/>
              </w:rPr>
            </w:pPr>
            <w:r>
              <w:rPr>
                <w:rFonts w:cs="Arial"/>
                <w:sz w:val="16"/>
                <w:szCs w:val="17"/>
                <w:lang w:val="fr-FR"/>
              </w:rPr>
              <w:t>1</w:t>
            </w:r>
          </w:p>
        </w:tc>
        <w:tc>
          <w:tcPr>
            <w:tcW w:w="756" w:type="dxa"/>
          </w:tcPr>
          <w:p>
            <w:pPr>
              <w:pStyle w:val="GesAbsatz"/>
              <w:jc w:val="both"/>
              <w:rPr>
                <w:rFonts w:cs="Arial"/>
                <w:sz w:val="16"/>
                <w:szCs w:val="17"/>
                <w:lang w:val="fr-FR"/>
              </w:rPr>
            </w:pPr>
            <w:r>
              <w:rPr>
                <w:rFonts w:cs="Arial"/>
                <w:sz w:val="16"/>
                <w:szCs w:val="17"/>
                <w:lang w:val="fr-FR"/>
              </w:rPr>
              <w:t>2</w:t>
            </w:r>
          </w:p>
        </w:tc>
        <w:tc>
          <w:tcPr>
            <w:tcW w:w="756" w:type="dxa"/>
          </w:tcPr>
          <w:p>
            <w:pPr>
              <w:pStyle w:val="GesAbsatz"/>
              <w:jc w:val="both"/>
              <w:rPr>
                <w:rFonts w:cs="Arial"/>
                <w:sz w:val="16"/>
                <w:szCs w:val="17"/>
                <w:lang w:val="fr-FR"/>
              </w:rPr>
            </w:pPr>
            <w:r>
              <w:rPr>
                <w:rFonts w:cs="Arial"/>
                <w:sz w:val="16"/>
                <w:szCs w:val="17"/>
                <w:lang w:val="fr-FR"/>
              </w:rPr>
              <w:t>2</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lang w:val="fr-FR"/>
              </w:rPr>
            </w:pPr>
            <w:r>
              <w:rPr>
                <w:rFonts w:cs="Arial"/>
                <w:sz w:val="16"/>
                <w:szCs w:val="17"/>
                <w:lang w:val="fr-FR"/>
              </w:rPr>
              <w:t>1</w:t>
            </w:r>
          </w:p>
        </w:tc>
        <w:tc>
          <w:tcPr>
            <w:tcW w:w="661" w:type="dxa"/>
          </w:tcPr>
          <w:p>
            <w:pPr>
              <w:pStyle w:val="GesAbsatz"/>
              <w:jc w:val="both"/>
              <w:rPr>
                <w:rFonts w:cs="Arial"/>
                <w:sz w:val="16"/>
                <w:szCs w:val="17"/>
                <w:lang w:val="fr-FR"/>
              </w:rPr>
            </w:pPr>
            <w:r>
              <w:rPr>
                <w:rFonts w:cs="Arial"/>
                <w:sz w:val="16"/>
                <w:szCs w:val="17"/>
                <w:lang w:val="fr-FR"/>
              </w:rPr>
              <w:t>1</w:t>
            </w:r>
          </w:p>
        </w:tc>
        <w:tc>
          <w:tcPr>
            <w:tcW w:w="662" w:type="dxa"/>
          </w:tcPr>
          <w:p>
            <w:pPr>
              <w:pStyle w:val="GesAbsatz"/>
              <w:jc w:val="both"/>
              <w:rPr>
                <w:rFonts w:cs="Arial"/>
                <w:sz w:val="16"/>
                <w:szCs w:val="17"/>
                <w:lang w:val="fr-FR"/>
              </w:rPr>
            </w:pPr>
            <w:r>
              <w:rPr>
                <w:rFonts w:cs="Arial"/>
                <w:sz w:val="16"/>
                <w:szCs w:val="17"/>
                <w:lang w:val="fr-FR"/>
              </w:rPr>
              <w:t>1</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4"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15"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8" w:type="dxa"/>
          </w:tcPr>
          <w:p>
            <w:pPr>
              <w:pStyle w:val="GesAbsatz"/>
              <w:jc w:val="both"/>
              <w:rPr>
                <w:rFonts w:cs="Arial"/>
                <w:sz w:val="16"/>
                <w:szCs w:val="17"/>
                <w:lang w:val="fr-FR"/>
              </w:rPr>
            </w:pPr>
            <w:r>
              <w:rPr>
                <w:rFonts w:cs="Arial"/>
                <w:sz w:val="16"/>
                <w:szCs w:val="17"/>
                <w:lang w:val="fr-FR"/>
              </w:rPr>
              <w:t>Nicht relevant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709" w:type="dxa"/>
          </w:tcPr>
          <w:p>
            <w:pPr>
              <w:pStyle w:val="GesAbsatz"/>
              <w:jc w:val="both"/>
              <w:rPr>
                <w:rFonts w:cs="Arial"/>
                <w:sz w:val="16"/>
                <w:szCs w:val="17"/>
                <w:lang w:val="fr-FR"/>
              </w:rPr>
            </w:pPr>
            <w:r>
              <w:rPr>
                <w:rFonts w:cs="Arial"/>
                <w:sz w:val="16"/>
                <w:szCs w:val="17"/>
                <w:lang w:val="fr-FR"/>
              </w:rPr>
              <w:t>Nicht rel</w:t>
            </w:r>
            <w:r>
              <w:rPr>
                <w:rFonts w:cs="Arial"/>
                <w:sz w:val="16"/>
                <w:szCs w:val="17"/>
                <w:lang w:val="fr-FR"/>
              </w:rPr>
              <w:t>e</w:t>
            </w:r>
            <w:r>
              <w:rPr>
                <w:rFonts w:cs="Arial"/>
                <w:sz w:val="16"/>
                <w:szCs w:val="17"/>
                <w:lang w:val="fr-FR"/>
              </w:rPr>
              <w:t>vant</w:t>
            </w:r>
          </w:p>
        </w:tc>
        <w:tc>
          <w:tcPr>
            <w:tcW w:w="661"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c>
          <w:tcPr>
            <w:tcW w:w="662" w:type="dxa"/>
          </w:tcPr>
          <w:p>
            <w:pPr>
              <w:pStyle w:val="GesAbsatz"/>
              <w:jc w:val="both"/>
              <w:rPr>
                <w:rFonts w:cs="Arial"/>
                <w:sz w:val="16"/>
                <w:szCs w:val="17"/>
              </w:rPr>
            </w:pPr>
            <w:r>
              <w:rPr>
                <w:rFonts w:cs="Arial"/>
                <w:sz w:val="16"/>
                <w:szCs w:val="17"/>
              </w:rPr>
              <w:t>1</w:t>
            </w:r>
          </w:p>
        </w:tc>
      </w:tr>
    </w:tbl>
    <w:p/>
    <w:p>
      <w:pPr>
        <w:pStyle w:val="GesAbsatz"/>
        <w:jc w:val="both"/>
        <w:rPr>
          <w:rFonts w:cs="Arial"/>
          <w:szCs w:val="17"/>
        </w:rPr>
        <w:sectPr>
          <w:pgSz w:w="15840" w:h="12240" w:orient="landscape"/>
          <w:pgMar w:top="1418" w:right="1418" w:bottom="1418" w:left="1134" w:header="720" w:footer="720" w:gutter="0"/>
          <w:cols w:space="720"/>
          <w:noEndnote/>
        </w:sectPr>
      </w:pPr>
    </w:p>
    <w:p>
      <w:pPr>
        <w:pStyle w:val="GesAbsatz"/>
        <w:jc w:val="both"/>
        <w:rPr>
          <w:rFonts w:cs="Arial"/>
          <w:szCs w:val="17"/>
        </w:rPr>
      </w:pPr>
      <w:r>
        <w:rPr>
          <w:rFonts w:cs="Arial"/>
          <w:szCs w:val="17"/>
        </w:rPr>
        <w:lastRenderedPageBreak/>
        <w:t>Der Betreiber kann mit Zustimmung der zuständigen Behörde für Variablen, die zur Berechnung der Emi</w:t>
      </w:r>
      <w:r>
        <w:rPr>
          <w:rFonts w:cs="Arial"/>
          <w:szCs w:val="17"/>
        </w:rPr>
        <w:t>s</w:t>
      </w:r>
      <w:r>
        <w:rPr>
          <w:rFonts w:cs="Arial"/>
          <w:szCs w:val="17"/>
        </w:rPr>
        <w:t>sionen aus schwächeren Quellen, einschließlich schwächerer Brennstoff- oder Materialströme, ve</w:t>
      </w:r>
      <w:r>
        <w:rPr>
          <w:rFonts w:cs="Arial"/>
          <w:szCs w:val="17"/>
        </w:rPr>
        <w:t>r</w:t>
      </w:r>
      <w:r>
        <w:rPr>
          <w:rFonts w:cs="Arial"/>
          <w:szCs w:val="17"/>
        </w:rPr>
        <w:t>wendet werden, einen weniger genauen Ansatz wählen, als dies bei der Berechnung von Emissionen aus stärk</w:t>
      </w:r>
      <w:r>
        <w:rPr>
          <w:rFonts w:cs="Arial"/>
          <w:szCs w:val="17"/>
        </w:rPr>
        <w:t>e</w:t>
      </w:r>
      <w:r>
        <w:rPr>
          <w:rFonts w:cs="Arial"/>
          <w:szCs w:val="17"/>
        </w:rPr>
        <w:t>ren Quellen bzw. stärkeren Brennstoff- oder Materialströmen innerhalb einer Anlage der Fall ist. Als stä</w:t>
      </w:r>
      <w:r>
        <w:rPr>
          <w:rFonts w:cs="Arial"/>
          <w:szCs w:val="17"/>
        </w:rPr>
        <w:t>r</w:t>
      </w:r>
      <w:r>
        <w:rPr>
          <w:rFonts w:cs="Arial"/>
          <w:szCs w:val="17"/>
        </w:rPr>
        <w:t>kere Quellen und stärkere Brennstoff- oder Materialströme werden diejenigen bezeichnet, die nach abste</w:t>
      </w:r>
      <w:r>
        <w:rPr>
          <w:rFonts w:cs="Arial"/>
          <w:szCs w:val="17"/>
        </w:rPr>
        <w:t>i</w:t>
      </w:r>
      <w:r>
        <w:rPr>
          <w:rFonts w:cs="Arial"/>
          <w:szCs w:val="17"/>
        </w:rPr>
        <w:t>gender Größe geordnet, zusammen mindestens 95 % der jährlichen Gesamtemissionen der Anlage veru</w:t>
      </w:r>
      <w:r>
        <w:rPr>
          <w:rFonts w:cs="Arial"/>
          <w:szCs w:val="17"/>
        </w:rPr>
        <w:t>r</w:t>
      </w:r>
      <w:r>
        <w:rPr>
          <w:rFonts w:cs="Arial"/>
          <w:szCs w:val="17"/>
        </w:rPr>
        <w:t>sachen. Schwächere Quellen sind Quellen, die höchstens 2,5 kt Emissionen pro Jahr freisetzen oder die für höchstens 5 % der jährlichen Gesamtemissionen verantwortlich sind, je nachdem welche Emissi</w:t>
      </w:r>
      <w:r>
        <w:rPr>
          <w:rFonts w:cs="Arial"/>
          <w:szCs w:val="17"/>
        </w:rPr>
        <w:t>o</w:t>
      </w:r>
      <w:r>
        <w:rPr>
          <w:rFonts w:cs="Arial"/>
          <w:szCs w:val="17"/>
        </w:rPr>
        <w:t>nen in absoluten Werten höher sind. Bei schwächeren Quellen, die zusammen höchstens 0,5 kt Emissi</w:t>
      </w:r>
      <w:r>
        <w:rPr>
          <w:rFonts w:cs="Arial"/>
          <w:szCs w:val="17"/>
        </w:rPr>
        <w:t>o</w:t>
      </w:r>
      <w:r>
        <w:rPr>
          <w:rFonts w:cs="Arial"/>
          <w:szCs w:val="17"/>
        </w:rPr>
        <w:t>nen pro Jahr freisetzen oder die weniger als 1 % der jährlichen Gesamtemissionen einer Anlage verurs</w:t>
      </w:r>
      <w:r>
        <w:rPr>
          <w:rFonts w:cs="Arial"/>
          <w:szCs w:val="17"/>
        </w:rPr>
        <w:t>a</w:t>
      </w:r>
      <w:r>
        <w:rPr>
          <w:rFonts w:cs="Arial"/>
          <w:szCs w:val="17"/>
        </w:rPr>
        <w:t>chen (je nachdem welche Emissionen in absoluten Werten höher sind), kann der Betreiber zum Zweck der Überwachung und Berichterstattung einen „de minimis“-Ansatz wählen, sprich seine eigene Ebenenko</w:t>
      </w:r>
      <w:r>
        <w:rPr>
          <w:rFonts w:cs="Arial"/>
          <w:szCs w:val="17"/>
        </w:rPr>
        <w:t>n</w:t>
      </w:r>
      <w:r>
        <w:rPr>
          <w:rFonts w:cs="Arial"/>
          <w:szCs w:val="17"/>
        </w:rPr>
        <w:t>zept-unabhängige Schätzmethode anwenden. Allerdings ist hierzu die vorherige Zustimmung der zustä</w:t>
      </w:r>
      <w:r>
        <w:rPr>
          <w:rFonts w:cs="Arial"/>
          <w:szCs w:val="17"/>
        </w:rPr>
        <w:t>n</w:t>
      </w:r>
      <w:r>
        <w:rPr>
          <w:rFonts w:cs="Arial"/>
          <w:szCs w:val="17"/>
        </w:rPr>
        <w:t>digen Behörde erforderlich.</w:t>
      </w:r>
    </w:p>
    <w:p>
      <w:pPr>
        <w:pStyle w:val="GesAbsatz"/>
        <w:jc w:val="both"/>
        <w:rPr>
          <w:rFonts w:cs="Arial"/>
          <w:szCs w:val="17"/>
        </w:rPr>
      </w:pPr>
      <w:r>
        <w:rPr>
          <w:rFonts w:cs="Arial"/>
          <w:szCs w:val="17"/>
        </w:rPr>
        <w:t>Bei reinen Biomasse-Brennstoffen können niedrigere, d. h. weniger genaue, Ebenenkonzepte gewählt werden, sofern die so berechneten Emissionen nicht dazu verwendet werden sollen, den Biomasse-Kohlenstoff aus den Kohlendioxidemissionen herauszurechnen, die anhand einer kontinuierlichen Emiss</w:t>
      </w:r>
      <w:r>
        <w:rPr>
          <w:rFonts w:cs="Arial"/>
          <w:szCs w:val="17"/>
        </w:rPr>
        <w:t>i</w:t>
      </w:r>
      <w:r>
        <w:rPr>
          <w:rFonts w:cs="Arial"/>
          <w:szCs w:val="17"/>
        </w:rPr>
        <w:t>onsmessung abgele</w:t>
      </w:r>
      <w:r>
        <w:rPr>
          <w:rFonts w:cs="Arial"/>
          <w:szCs w:val="17"/>
        </w:rPr>
        <w:t>i</w:t>
      </w:r>
      <w:r>
        <w:rPr>
          <w:rFonts w:cs="Arial"/>
          <w:szCs w:val="17"/>
        </w:rPr>
        <w:t>tet werden.</w:t>
      </w:r>
    </w:p>
    <w:p>
      <w:pPr>
        <w:pStyle w:val="GesAbsatz"/>
        <w:jc w:val="both"/>
        <w:rPr>
          <w:rFonts w:cs="Arial"/>
          <w:szCs w:val="17"/>
        </w:rPr>
      </w:pPr>
      <w:r>
        <w:rPr>
          <w:rFonts w:cs="Arial"/>
          <w:szCs w:val="17"/>
        </w:rPr>
        <w:t>Der Betreiber muss unverzüglich Änderungen in Bezug auf die gewählten Ebenenkonzepte vorschlagen, wenn</w:t>
      </w:r>
    </w:p>
    <w:p>
      <w:pPr>
        <w:pStyle w:val="GesAbsatz"/>
        <w:ind w:left="426" w:hanging="426"/>
        <w:jc w:val="both"/>
        <w:rPr>
          <w:rFonts w:cs="Arial"/>
          <w:szCs w:val="17"/>
        </w:rPr>
      </w:pPr>
      <w:r>
        <w:rPr>
          <w:rFonts w:cs="Arial"/>
          <w:szCs w:val="17"/>
        </w:rPr>
        <w:t>-</w:t>
      </w:r>
      <w:r>
        <w:rPr>
          <w:rFonts w:cs="Arial"/>
          <w:szCs w:val="17"/>
        </w:rPr>
        <w:tab/>
        <w:t>sich das verfügbare Datenmaterial geändert hat und infolgedessen eine genauere Bestimmung der Emissionen möglich ist;</w:t>
      </w:r>
    </w:p>
    <w:p>
      <w:pPr>
        <w:pStyle w:val="GesAbsatz"/>
        <w:jc w:val="both"/>
        <w:rPr>
          <w:rFonts w:cs="Arial"/>
          <w:szCs w:val="17"/>
        </w:rPr>
      </w:pPr>
      <w:r>
        <w:rPr>
          <w:rFonts w:cs="Arial"/>
          <w:szCs w:val="17"/>
        </w:rPr>
        <w:t>-</w:t>
      </w:r>
      <w:r>
        <w:rPr>
          <w:rFonts w:cs="Arial"/>
          <w:szCs w:val="17"/>
        </w:rPr>
        <w:tab/>
        <w:t>Fehler in den Daten aus der Überwachung festgestellt wurden,</w:t>
      </w:r>
    </w:p>
    <w:p>
      <w:pPr>
        <w:pStyle w:val="GesAbsatz"/>
        <w:jc w:val="both"/>
        <w:rPr>
          <w:rFonts w:cs="Arial"/>
          <w:szCs w:val="17"/>
        </w:rPr>
      </w:pPr>
      <w:r>
        <w:rPr>
          <w:rFonts w:cs="Arial"/>
          <w:szCs w:val="17"/>
        </w:rPr>
        <w:t>-</w:t>
      </w:r>
      <w:r>
        <w:rPr>
          <w:rFonts w:cs="Arial"/>
          <w:szCs w:val="17"/>
        </w:rPr>
        <w:tab/>
        <w:t>die zuständige Behörde eine Änderung gefordert hat.</w:t>
      </w:r>
    </w:p>
    <w:p>
      <w:pPr>
        <w:pStyle w:val="GesAbsatz"/>
        <w:jc w:val="both"/>
        <w:rPr>
          <w:rFonts w:cs="Arial"/>
          <w:szCs w:val="17"/>
        </w:rPr>
      </w:pPr>
      <w:r>
        <w:rPr>
          <w:rFonts w:cs="Arial"/>
          <w:szCs w:val="17"/>
        </w:rPr>
        <w:t>Bei Anlagen mit einer Gesamtemission von mehr als 500 000 t CO</w:t>
      </w:r>
      <w:r>
        <w:rPr>
          <w:rFonts w:cs="Arial"/>
          <w:szCs w:val="10"/>
          <w:vertAlign w:val="subscript"/>
        </w:rPr>
        <w:t>2</w:t>
      </w:r>
      <w:r>
        <w:rPr>
          <w:rFonts w:cs="Arial"/>
          <w:szCs w:val="17"/>
        </w:rPr>
        <w:t>-Äquivalent pro Jahr unterrichtet die zuständige Behörde ab dem Jahr 2004 die Kommission jeweils bis zum 30. September eines jeden Ja</w:t>
      </w:r>
      <w:r>
        <w:rPr>
          <w:rFonts w:cs="Arial"/>
          <w:szCs w:val="17"/>
        </w:rPr>
        <w:t>h</w:t>
      </w:r>
      <w:r>
        <w:rPr>
          <w:rFonts w:cs="Arial"/>
          <w:szCs w:val="17"/>
        </w:rPr>
        <w:t>res, wenn die Anwendung einer Kombination der genauesten Ebenenkonzepte für stärkere Quellen inne</w:t>
      </w:r>
      <w:r>
        <w:rPr>
          <w:rFonts w:cs="Arial"/>
          <w:szCs w:val="17"/>
        </w:rPr>
        <w:t>r</w:t>
      </w:r>
      <w:r>
        <w:rPr>
          <w:rFonts w:cs="Arial"/>
          <w:szCs w:val="17"/>
        </w:rPr>
        <w:t>halb der Anlage in dem jeweils kommenden Berichtszeitraum technisch nicht machbar sein oder unve</w:t>
      </w:r>
      <w:r>
        <w:rPr>
          <w:rFonts w:cs="Arial"/>
          <w:szCs w:val="17"/>
        </w:rPr>
        <w:t>r</w:t>
      </w:r>
      <w:r>
        <w:rPr>
          <w:rFonts w:cs="Arial"/>
          <w:szCs w:val="17"/>
        </w:rPr>
        <w:t>hältnismäßig hohe Kosten verursachen sollte. Auf der Grundlage der von der zuständigen Behörde übe</w:t>
      </w:r>
      <w:r>
        <w:rPr>
          <w:rFonts w:cs="Arial"/>
          <w:szCs w:val="17"/>
        </w:rPr>
        <w:t>r</w:t>
      </w:r>
      <w:r>
        <w:rPr>
          <w:rFonts w:cs="Arial"/>
          <w:szCs w:val="17"/>
        </w:rPr>
        <w:t>mittelten Informationen wird die Kommission anschließend prüfen, ob eine Überarbeitung der Bestimmu</w:t>
      </w:r>
      <w:r>
        <w:rPr>
          <w:rFonts w:cs="Arial"/>
          <w:szCs w:val="17"/>
        </w:rPr>
        <w:t>n</w:t>
      </w:r>
      <w:r>
        <w:rPr>
          <w:rFonts w:cs="Arial"/>
          <w:szCs w:val="17"/>
        </w:rPr>
        <w:t>gen hi</w:t>
      </w:r>
      <w:r>
        <w:rPr>
          <w:rFonts w:cs="Arial"/>
          <w:szCs w:val="17"/>
        </w:rPr>
        <w:t>n</w:t>
      </w:r>
      <w:r>
        <w:rPr>
          <w:rFonts w:cs="Arial"/>
          <w:szCs w:val="17"/>
        </w:rPr>
        <w:t>sichtlich der Auswahl der geeigneten Ebenenkonzepte erforderlich ist.</w:t>
      </w:r>
    </w:p>
    <w:p>
      <w:pPr>
        <w:pStyle w:val="GesAbsatz"/>
        <w:jc w:val="both"/>
        <w:rPr>
          <w:rFonts w:cs="Arial"/>
          <w:szCs w:val="17"/>
        </w:rPr>
      </w:pPr>
      <w:r>
        <w:rPr>
          <w:rFonts w:cs="Arial"/>
          <w:szCs w:val="17"/>
        </w:rPr>
        <w:t>Sollte das genaueste Ebenenkonzept (bzw. das für einzelne Variablen vereinbarte Ebenenkonzept) aus technischen Gründen vorübergehend nicht anwendbar sein, kann der Betreiber ein anderes, möglichst genaues Ebenenkonzept anwenden, und zwar solange bis die Bedingungen für eine Anwendung des u</w:t>
      </w:r>
      <w:r>
        <w:rPr>
          <w:rFonts w:cs="Arial"/>
          <w:szCs w:val="17"/>
        </w:rPr>
        <w:t>r</w:t>
      </w:r>
      <w:r>
        <w:rPr>
          <w:rFonts w:cs="Arial"/>
          <w:szCs w:val="17"/>
        </w:rPr>
        <w:t>sprünglichen Ebenenkonzepts wieder hergestellt sind. Der Betreiber legt der zuständigen Behörde unve</w:t>
      </w:r>
      <w:r>
        <w:rPr>
          <w:rFonts w:cs="Arial"/>
          <w:szCs w:val="17"/>
        </w:rPr>
        <w:t>r</w:t>
      </w:r>
      <w:r>
        <w:rPr>
          <w:rFonts w:cs="Arial"/>
          <w:szCs w:val="17"/>
        </w:rPr>
        <w:t>züglich einen entsprechenden Nachweis für die Notwendigkeit einer Änderung in Bezug auf das Ebene</w:t>
      </w:r>
      <w:r>
        <w:rPr>
          <w:rFonts w:cs="Arial"/>
          <w:szCs w:val="17"/>
        </w:rPr>
        <w:t>n</w:t>
      </w:r>
      <w:r>
        <w:rPr>
          <w:rFonts w:cs="Arial"/>
          <w:szCs w:val="17"/>
        </w:rPr>
        <w:t>konzept vor und informiert sie über Einzelheiten der vorübergehend angewandten Überwachungsm</w:t>
      </w:r>
      <w:r>
        <w:rPr>
          <w:rFonts w:cs="Arial"/>
          <w:szCs w:val="17"/>
        </w:rPr>
        <w:t>e</w:t>
      </w:r>
      <w:r>
        <w:rPr>
          <w:rFonts w:cs="Arial"/>
          <w:szCs w:val="17"/>
        </w:rPr>
        <w:t>thode. Er ergreift alle erforderlichen Maßnahmen, um eine unverzügliche Rückkehr zum ursprünglichen Ebene</w:t>
      </w:r>
      <w:r>
        <w:rPr>
          <w:rFonts w:cs="Arial"/>
          <w:szCs w:val="17"/>
        </w:rPr>
        <w:t>n</w:t>
      </w:r>
      <w:r>
        <w:rPr>
          <w:rFonts w:cs="Arial"/>
          <w:szCs w:val="17"/>
        </w:rPr>
        <w:t>konzept zu ermöglichen.</w:t>
      </w:r>
    </w:p>
    <w:p>
      <w:pPr>
        <w:pStyle w:val="GesAbsatz"/>
        <w:jc w:val="both"/>
        <w:rPr>
          <w:rFonts w:cs="Arial"/>
          <w:szCs w:val="17"/>
        </w:rPr>
      </w:pPr>
      <w:r>
        <w:rPr>
          <w:rFonts w:cs="Arial"/>
          <w:szCs w:val="17"/>
        </w:rPr>
        <w:t>Alle Änderungen in Bezug auf das Ebenenkonzept sind lückenlos zu dokumentieren. Die Behandlung kle</w:t>
      </w:r>
      <w:r>
        <w:rPr>
          <w:rFonts w:cs="Arial"/>
          <w:szCs w:val="17"/>
        </w:rPr>
        <w:t>i</w:t>
      </w:r>
      <w:r>
        <w:rPr>
          <w:rFonts w:cs="Arial"/>
          <w:szCs w:val="17"/>
        </w:rPr>
        <w:t>nerer Datenlücken, die durch Ausfallzeiten der Messgeräte entstehen können, erfolgt entsprechend der „guten beruflichen Praxis“ und den Vorgaben des Referenzdokuments zur Integrierten Vermeidung und Verminderung der Umweltverschmutzung „IPPC Reference Document on the General Principles of Mon</w:t>
      </w:r>
      <w:r>
        <w:rPr>
          <w:rFonts w:cs="Arial"/>
          <w:szCs w:val="17"/>
        </w:rPr>
        <w:t>i</w:t>
      </w:r>
      <w:r>
        <w:rPr>
          <w:rFonts w:cs="Arial"/>
          <w:szCs w:val="17"/>
        </w:rPr>
        <w:t>toring“ vom Juli 2003</w:t>
      </w:r>
      <w:r>
        <w:rPr>
          <w:rStyle w:val="Funotenzeichen"/>
          <w:rFonts w:cs="Arial"/>
          <w:szCs w:val="17"/>
        </w:rPr>
        <w:footnoteReference w:id="3"/>
      </w:r>
      <w:r>
        <w:rPr>
          <w:rFonts w:cs="Arial"/>
          <w:szCs w:val="17"/>
        </w:rPr>
        <w:t>.</w:t>
      </w:r>
    </w:p>
    <w:p>
      <w:pPr>
        <w:pStyle w:val="GesAbsatz"/>
        <w:jc w:val="both"/>
        <w:rPr>
          <w:rFonts w:cs="Arial"/>
          <w:szCs w:val="17"/>
        </w:rPr>
      </w:pPr>
      <w:r>
        <w:rPr>
          <w:rFonts w:cs="Arial"/>
          <w:szCs w:val="17"/>
        </w:rPr>
        <w:t>Wenn das Ebenenkonzept innerhalb eines Berichtszeitraums geändert wird, so sind die Ergebnisse für die in Frage stehende Tätigkeit getrennt zu berechnen und im Jahresbericht, der der zuständigen Behö</w:t>
      </w:r>
      <w:r>
        <w:rPr>
          <w:rFonts w:cs="Arial"/>
          <w:szCs w:val="17"/>
        </w:rPr>
        <w:t>r</w:t>
      </w:r>
      <w:r>
        <w:rPr>
          <w:rFonts w:cs="Arial"/>
          <w:szCs w:val="17"/>
        </w:rPr>
        <w:t>de übermittelt wird, für den betreffenden Zeitabschnitt innerhalb des Berichtszeitraums gesondert auszuwe</w:t>
      </w:r>
      <w:r>
        <w:rPr>
          <w:rFonts w:cs="Arial"/>
          <w:szCs w:val="17"/>
        </w:rPr>
        <w:t>i</w:t>
      </w:r>
      <w:r>
        <w:rPr>
          <w:rFonts w:cs="Arial"/>
          <w:szCs w:val="17"/>
        </w:rPr>
        <w:t>sen.</w:t>
      </w:r>
    </w:p>
    <w:p>
      <w:pPr>
        <w:pStyle w:val="GesAbsatz"/>
        <w:jc w:val="both"/>
        <w:rPr>
          <w:rFonts w:cs="Arial"/>
          <w:szCs w:val="17"/>
        </w:rPr>
      </w:pPr>
      <w:r>
        <w:rPr>
          <w:rFonts w:cs="Arial"/>
          <w:szCs w:val="17"/>
        </w:rPr>
        <w:br w:type="page"/>
      </w:r>
      <w:r>
        <w:rPr>
          <w:rFonts w:cs="Arial"/>
          <w:szCs w:val="17"/>
        </w:rPr>
        <w:lastRenderedPageBreak/>
        <w:t>4.2.2.1.5. Tätigkeitsdaten</w:t>
      </w:r>
    </w:p>
    <w:p>
      <w:pPr>
        <w:pStyle w:val="GesAbsatz"/>
        <w:jc w:val="both"/>
        <w:rPr>
          <w:rFonts w:cs="Arial"/>
          <w:szCs w:val="17"/>
        </w:rPr>
      </w:pPr>
      <w:r>
        <w:rPr>
          <w:rFonts w:cs="Arial"/>
          <w:szCs w:val="17"/>
        </w:rPr>
        <w:t>Die Tätigkeitsdaten umfassen Informationen über den Stoffstrom, den Brennstoffverbrauch, das Ei</w:t>
      </w:r>
      <w:r>
        <w:rPr>
          <w:rFonts w:cs="Arial"/>
          <w:szCs w:val="17"/>
        </w:rPr>
        <w:t>n</w:t>
      </w:r>
      <w:r>
        <w:rPr>
          <w:rFonts w:cs="Arial"/>
          <w:szCs w:val="17"/>
        </w:rPr>
        <w:t>gangsmaterial oder den Produktionsoutput, ausgedrückt als Energiegehalt [TJ], der bei den Brennstoffen als spezifischer Heizwert und beim Input- oder Output-Material als Masse oder Volumen [t oder m</w:t>
      </w:r>
      <w:r>
        <w:rPr>
          <w:rFonts w:cs="Arial"/>
          <w:szCs w:val="10"/>
          <w:vertAlign w:val="superscript"/>
        </w:rPr>
        <w:t>3</w:t>
      </w:r>
      <w:r>
        <w:rPr>
          <w:rFonts w:cs="Arial"/>
          <w:szCs w:val="17"/>
        </w:rPr>
        <w:t>] ang</w:t>
      </w:r>
      <w:r>
        <w:rPr>
          <w:rFonts w:cs="Arial"/>
          <w:szCs w:val="17"/>
        </w:rPr>
        <w:t>e</w:t>
      </w:r>
      <w:r>
        <w:rPr>
          <w:rFonts w:cs="Arial"/>
          <w:szCs w:val="17"/>
        </w:rPr>
        <w:t>geben wird.</w:t>
      </w:r>
    </w:p>
    <w:p>
      <w:pPr>
        <w:pStyle w:val="GesAbsatz"/>
        <w:jc w:val="both"/>
        <w:rPr>
          <w:rFonts w:cs="Arial"/>
          <w:szCs w:val="17"/>
        </w:rPr>
      </w:pPr>
      <w:r>
        <w:rPr>
          <w:rFonts w:cs="Arial"/>
          <w:szCs w:val="17"/>
        </w:rPr>
        <w:t>Können direkt vor Beginn des Prozesses keine Tätigkeitsdaten für die Berechnung von Prozessemissi</w:t>
      </w:r>
      <w:r>
        <w:rPr>
          <w:rFonts w:cs="Arial"/>
          <w:szCs w:val="17"/>
        </w:rPr>
        <w:t>o</w:t>
      </w:r>
      <w:r>
        <w:rPr>
          <w:rFonts w:cs="Arial"/>
          <w:szCs w:val="17"/>
        </w:rPr>
        <w:t>nen gemessen werden und werden in den Beschreibungen zu den Ebenenkonzepten, die in den jeweil</w:t>
      </w:r>
      <w:r>
        <w:rPr>
          <w:rFonts w:cs="Arial"/>
          <w:szCs w:val="17"/>
        </w:rPr>
        <w:t>i</w:t>
      </w:r>
      <w:r>
        <w:rPr>
          <w:rFonts w:cs="Arial"/>
          <w:szCs w:val="17"/>
        </w:rPr>
        <w:t>gen tätigkeitsspezifischen Leitlinien (Anhänge II bis XI) enthalten sind, keine spezifischen Anforderungen g</w:t>
      </w:r>
      <w:r>
        <w:rPr>
          <w:rFonts w:cs="Arial"/>
          <w:szCs w:val="17"/>
        </w:rPr>
        <w:t>e</w:t>
      </w:r>
      <w:r>
        <w:rPr>
          <w:rFonts w:cs="Arial"/>
          <w:szCs w:val="17"/>
        </w:rPr>
        <w:t>stellt, so werden die Tätigkeitsdaten anhand der Veränderungen im Lagerbestand geschätzt:</w:t>
      </w:r>
    </w:p>
    <w:p>
      <w:pPr>
        <w:pStyle w:val="GesAbsatz"/>
        <w:jc w:val="center"/>
        <w:rPr>
          <w:rFonts w:cs="Arial"/>
          <w:szCs w:val="17"/>
        </w:rPr>
      </w:pPr>
      <w:r>
        <w:rPr>
          <w:rFonts w:cs="Arial"/>
          <w:szCs w:val="17"/>
        </w:rPr>
        <w:t>Material C = Material P + ((Material S – Material E)) – Material O</w:t>
      </w:r>
    </w:p>
    <w:p>
      <w:pPr>
        <w:pStyle w:val="GesAbsatz"/>
        <w:jc w:val="both"/>
        <w:rPr>
          <w:rFonts w:cs="Arial"/>
          <w:szCs w:val="17"/>
        </w:rPr>
      </w:pPr>
      <w:r>
        <w:rPr>
          <w:rFonts w:cs="Arial"/>
          <w:szCs w:val="17"/>
        </w:rPr>
        <w:t>wobei:</w:t>
      </w:r>
    </w:p>
    <w:p>
      <w:pPr>
        <w:pStyle w:val="GesAbsatz"/>
        <w:tabs>
          <w:tab w:val="left" w:pos="1276"/>
        </w:tabs>
        <w:jc w:val="both"/>
        <w:rPr>
          <w:rFonts w:cs="Arial"/>
          <w:szCs w:val="17"/>
        </w:rPr>
      </w:pPr>
      <w:r>
        <w:rPr>
          <w:rFonts w:cs="Arial"/>
          <w:szCs w:val="17"/>
        </w:rPr>
        <w:t>Material C:</w:t>
      </w:r>
      <w:r>
        <w:rPr>
          <w:rFonts w:cs="Arial"/>
          <w:szCs w:val="17"/>
        </w:rPr>
        <w:tab/>
        <w:t>im Berichtszeitraum verarbeitetes Material,</w:t>
      </w:r>
    </w:p>
    <w:p>
      <w:pPr>
        <w:pStyle w:val="GesAbsatz"/>
        <w:tabs>
          <w:tab w:val="left" w:pos="1276"/>
        </w:tabs>
        <w:jc w:val="both"/>
        <w:rPr>
          <w:rFonts w:cs="Arial"/>
          <w:szCs w:val="17"/>
        </w:rPr>
      </w:pPr>
      <w:r>
        <w:rPr>
          <w:rFonts w:cs="Arial"/>
          <w:szCs w:val="17"/>
        </w:rPr>
        <w:t>Material P:</w:t>
      </w:r>
      <w:r>
        <w:rPr>
          <w:rFonts w:cs="Arial"/>
          <w:szCs w:val="17"/>
        </w:rPr>
        <w:tab/>
        <w:t>im Berichtszeitraum gekauftes Material,</w:t>
      </w:r>
    </w:p>
    <w:p>
      <w:pPr>
        <w:pStyle w:val="GesAbsatz"/>
        <w:tabs>
          <w:tab w:val="left" w:pos="1276"/>
        </w:tabs>
        <w:jc w:val="both"/>
        <w:rPr>
          <w:rFonts w:cs="Arial"/>
          <w:szCs w:val="17"/>
        </w:rPr>
      </w:pPr>
      <w:r>
        <w:rPr>
          <w:rFonts w:cs="Arial"/>
          <w:szCs w:val="17"/>
        </w:rPr>
        <w:t>Material S:</w:t>
      </w:r>
      <w:r>
        <w:rPr>
          <w:rFonts w:cs="Arial"/>
          <w:szCs w:val="17"/>
        </w:rPr>
        <w:tab/>
        <w:t>Lagerbestand zu Beginn des Berichtszeitraums,</w:t>
      </w:r>
    </w:p>
    <w:p>
      <w:pPr>
        <w:pStyle w:val="GesAbsatz"/>
        <w:tabs>
          <w:tab w:val="left" w:pos="1276"/>
        </w:tabs>
        <w:jc w:val="both"/>
        <w:rPr>
          <w:rFonts w:cs="Arial"/>
          <w:szCs w:val="17"/>
        </w:rPr>
      </w:pPr>
      <w:r>
        <w:rPr>
          <w:rFonts w:cs="Arial"/>
          <w:szCs w:val="17"/>
        </w:rPr>
        <w:t>Material E:</w:t>
      </w:r>
      <w:r>
        <w:rPr>
          <w:rFonts w:cs="Arial"/>
          <w:szCs w:val="17"/>
        </w:rPr>
        <w:tab/>
        <w:t>Lagerbestand zum Ende des Berichtszeitraums,</w:t>
      </w:r>
    </w:p>
    <w:p>
      <w:pPr>
        <w:pStyle w:val="GesAbsatz"/>
        <w:tabs>
          <w:tab w:val="left" w:pos="1276"/>
        </w:tabs>
        <w:jc w:val="both"/>
        <w:rPr>
          <w:rFonts w:cs="Arial"/>
          <w:szCs w:val="17"/>
        </w:rPr>
      </w:pPr>
      <w:r>
        <w:rPr>
          <w:rFonts w:cs="Arial"/>
          <w:szCs w:val="17"/>
        </w:rPr>
        <w:t>Material O:</w:t>
      </w:r>
      <w:r>
        <w:rPr>
          <w:rFonts w:cs="Arial"/>
          <w:szCs w:val="17"/>
        </w:rPr>
        <w:tab/>
        <w:t>für andere Zwecke eingesetztes Material (Weiterbeförderung oder Wiederverkauf).</w:t>
      </w:r>
    </w:p>
    <w:p>
      <w:pPr>
        <w:pStyle w:val="GesAbsatz"/>
        <w:jc w:val="both"/>
        <w:rPr>
          <w:rFonts w:cs="Arial"/>
          <w:szCs w:val="17"/>
        </w:rPr>
      </w:pPr>
      <w:r>
        <w:rPr>
          <w:rFonts w:cs="Arial"/>
          <w:szCs w:val="17"/>
        </w:rPr>
        <w:t>Sollte eine Ermittlung der Variablen „Material S“ und „Material E“ durch Messungen technisch nicht mö</w:t>
      </w:r>
      <w:r>
        <w:rPr>
          <w:rFonts w:cs="Arial"/>
          <w:szCs w:val="17"/>
        </w:rPr>
        <w:t>g</w:t>
      </w:r>
      <w:r>
        <w:rPr>
          <w:rFonts w:cs="Arial"/>
          <w:szCs w:val="17"/>
        </w:rPr>
        <w:t>lich sein bzw. unverhältnismäßig hohe Kosten verursachen, so kann der Betreiber diese Angaben schä</w:t>
      </w:r>
      <w:r>
        <w:rPr>
          <w:rFonts w:cs="Arial"/>
          <w:szCs w:val="17"/>
        </w:rPr>
        <w:t>t</w:t>
      </w:r>
      <w:r>
        <w:rPr>
          <w:rFonts w:cs="Arial"/>
          <w:szCs w:val="17"/>
        </w:rPr>
        <w:t>zen, indem er die Zahlen der Vorjahre zugrunde legt und diese mit dem Output im Berichtszeitraum korr</w:t>
      </w:r>
      <w:r>
        <w:rPr>
          <w:rFonts w:cs="Arial"/>
          <w:szCs w:val="17"/>
        </w:rPr>
        <w:t>e</w:t>
      </w:r>
      <w:r>
        <w:rPr>
          <w:rFonts w:cs="Arial"/>
          <w:szCs w:val="17"/>
        </w:rPr>
        <w:t>liert. In diesem Fall muss der Betreiber diese Schätzungen anhand flankierender Berechnungen und en</w:t>
      </w:r>
      <w:r>
        <w:rPr>
          <w:rFonts w:cs="Arial"/>
          <w:szCs w:val="17"/>
        </w:rPr>
        <w:t>t</w:t>
      </w:r>
      <w:r>
        <w:rPr>
          <w:rFonts w:cs="Arial"/>
          <w:szCs w:val="17"/>
        </w:rPr>
        <w:t>sprechender finanzieller Belege bestätigen. Alle übrigen Auflagen in Bezug auf die Wahl des Ebenenko</w:t>
      </w:r>
      <w:r>
        <w:rPr>
          <w:rFonts w:cs="Arial"/>
          <w:szCs w:val="17"/>
        </w:rPr>
        <w:t>n</w:t>
      </w:r>
      <w:r>
        <w:rPr>
          <w:rFonts w:cs="Arial"/>
          <w:szCs w:val="17"/>
        </w:rPr>
        <w:t>zepts bleiben von dieser Bestimmung unberührt. So werden beispielsweise das „Material P“ und das „M</w:t>
      </w:r>
      <w:r>
        <w:rPr>
          <w:rFonts w:cs="Arial"/>
          <w:szCs w:val="17"/>
        </w:rPr>
        <w:t>a</w:t>
      </w:r>
      <w:r>
        <w:rPr>
          <w:rFonts w:cs="Arial"/>
          <w:szCs w:val="17"/>
        </w:rPr>
        <w:t>terial O“ sowie die entsprechenden Emissions- oder Oxidationsfaktoren in Einklang mit den tätigkeitsspez</w:t>
      </w:r>
      <w:r>
        <w:rPr>
          <w:rFonts w:cs="Arial"/>
          <w:szCs w:val="17"/>
        </w:rPr>
        <w:t>i</w:t>
      </w:r>
      <w:r>
        <w:rPr>
          <w:rFonts w:cs="Arial"/>
          <w:szCs w:val="17"/>
        </w:rPr>
        <w:t>fischen Leitlinien der Anhänge II bis XI ermittelt.</w:t>
      </w:r>
    </w:p>
    <w:p>
      <w:pPr>
        <w:pStyle w:val="GesAbsatz"/>
        <w:jc w:val="both"/>
        <w:rPr>
          <w:rFonts w:cs="Arial"/>
          <w:szCs w:val="17"/>
        </w:rPr>
      </w:pPr>
      <w:r>
        <w:rPr>
          <w:rFonts w:cs="Arial"/>
          <w:szCs w:val="17"/>
        </w:rPr>
        <w:t>Um die Wahl des geeigneten Ebenenkonzeptes für die Tätigkeitsdaten zu erleichtern, gibt Tabelle 2 u</w:t>
      </w:r>
      <w:r>
        <w:rPr>
          <w:rFonts w:cs="Arial"/>
          <w:szCs w:val="17"/>
        </w:rPr>
        <w:t>n</w:t>
      </w:r>
      <w:r>
        <w:rPr>
          <w:rFonts w:cs="Arial"/>
          <w:szCs w:val="17"/>
        </w:rPr>
        <w:t>ten einen Überblick über die typischen Unsicherheitsbereiche verschiedener Messgeräte, die zur Besti</w:t>
      </w:r>
      <w:r>
        <w:rPr>
          <w:rFonts w:cs="Arial"/>
          <w:szCs w:val="17"/>
        </w:rPr>
        <w:t>m</w:t>
      </w:r>
      <w:r>
        <w:rPr>
          <w:rFonts w:cs="Arial"/>
          <w:szCs w:val="17"/>
        </w:rPr>
        <w:t>mung der Massenströme von Brennstoffen, des Materialstroms, der Eingangsstoffe oder des Produkt</w:t>
      </w:r>
      <w:r>
        <w:rPr>
          <w:rFonts w:cs="Arial"/>
          <w:szCs w:val="17"/>
        </w:rPr>
        <w:t>i</w:t>
      </w:r>
      <w:r>
        <w:rPr>
          <w:rFonts w:cs="Arial"/>
          <w:szCs w:val="17"/>
        </w:rPr>
        <w:t>onsoutputs eingesetzt werden. Ferner soll die Tabelle die zuständigen Behörden und die Betreiber darüber informi</w:t>
      </w:r>
      <w:r>
        <w:rPr>
          <w:rFonts w:cs="Arial"/>
          <w:szCs w:val="17"/>
        </w:rPr>
        <w:t>e</w:t>
      </w:r>
      <w:r>
        <w:rPr>
          <w:rFonts w:cs="Arial"/>
          <w:szCs w:val="17"/>
        </w:rPr>
        <w:t>ren, welche Möglichkeiten und Grenzen hinsichtlich der Wahl eines geeigneten Ebenenkonzeptes zur E</w:t>
      </w:r>
      <w:r>
        <w:rPr>
          <w:rFonts w:cs="Arial"/>
          <w:szCs w:val="17"/>
        </w:rPr>
        <w:t>r</w:t>
      </w:r>
      <w:r>
        <w:rPr>
          <w:rFonts w:cs="Arial"/>
          <w:szCs w:val="17"/>
        </w:rPr>
        <w:t>mittlung der Tätigkeitsdaten bestehen.</w:t>
      </w:r>
    </w:p>
    <w:p>
      <w:pPr>
        <w:pStyle w:val="GesAbsatz"/>
        <w:rPr>
          <w:rFonts w:cs="Arial"/>
          <w:b/>
          <w:bCs/>
          <w:szCs w:val="17"/>
        </w:rPr>
      </w:pPr>
      <w:r>
        <w:rPr>
          <w:rFonts w:cs="Arial"/>
          <w:b/>
          <w:szCs w:val="17"/>
        </w:rPr>
        <w:t>TABELLE 2</w:t>
      </w:r>
      <w:r>
        <w:rPr>
          <w:rFonts w:cs="Arial"/>
          <w:b/>
          <w:szCs w:val="17"/>
        </w:rPr>
        <w:br/>
      </w:r>
      <w:r>
        <w:rPr>
          <w:rFonts w:cs="Arial"/>
          <w:b/>
          <w:bCs/>
          <w:szCs w:val="17"/>
        </w:rPr>
        <w:t>Übersicht über die typischen Unsicherheitsbereiche verschiedener Messgeräte unter stabilen B</w:t>
      </w:r>
      <w:r>
        <w:rPr>
          <w:rFonts w:cs="Arial"/>
          <w:b/>
          <w:bCs/>
          <w:szCs w:val="17"/>
        </w:rPr>
        <w:t>e</w:t>
      </w:r>
      <w:r>
        <w:rPr>
          <w:rFonts w:cs="Arial"/>
          <w:b/>
          <w:bCs/>
          <w:szCs w:val="17"/>
        </w:rPr>
        <w:t>triebsbedingungen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0"/>
        <w:gridCol w:w="1404"/>
        <w:gridCol w:w="2650"/>
        <w:gridCol w:w="1930"/>
      </w:tblGrid>
      <w:tr>
        <w:tblPrEx>
          <w:tblCellMar>
            <w:top w:w="0" w:type="dxa"/>
            <w:bottom w:w="0" w:type="dxa"/>
          </w:tblCellMar>
        </w:tblPrEx>
        <w:trPr>
          <w:tblHeader/>
        </w:trPr>
        <w:tc>
          <w:tcPr>
            <w:tcW w:w="3472" w:type="dxa"/>
          </w:tcPr>
          <w:p>
            <w:pPr>
              <w:pStyle w:val="GesAbsatz"/>
              <w:jc w:val="center"/>
              <w:rPr>
                <w:rFonts w:cs="Arial"/>
                <w:szCs w:val="15"/>
              </w:rPr>
            </w:pPr>
            <w:r>
              <w:rPr>
                <w:rFonts w:cs="Arial"/>
                <w:szCs w:val="15"/>
              </w:rPr>
              <w:t>Messgerät</w:t>
            </w:r>
          </w:p>
        </w:tc>
        <w:tc>
          <w:tcPr>
            <w:tcW w:w="1418" w:type="dxa"/>
          </w:tcPr>
          <w:p>
            <w:pPr>
              <w:pStyle w:val="GesAbsatz"/>
              <w:jc w:val="center"/>
              <w:rPr>
                <w:rFonts w:cs="Arial"/>
                <w:szCs w:val="15"/>
              </w:rPr>
            </w:pPr>
            <w:r>
              <w:rPr>
                <w:rFonts w:cs="Arial"/>
                <w:szCs w:val="15"/>
              </w:rPr>
              <w:t>Medium</w:t>
            </w:r>
          </w:p>
        </w:tc>
        <w:tc>
          <w:tcPr>
            <w:tcW w:w="2693" w:type="dxa"/>
          </w:tcPr>
          <w:p>
            <w:pPr>
              <w:pStyle w:val="GesAbsatz"/>
              <w:jc w:val="center"/>
              <w:rPr>
                <w:rFonts w:cs="Arial"/>
                <w:szCs w:val="15"/>
              </w:rPr>
            </w:pPr>
            <w:r>
              <w:rPr>
                <w:rFonts w:cs="Arial"/>
                <w:szCs w:val="15"/>
              </w:rPr>
              <w:t>Anwendungsbereich</w:t>
            </w:r>
          </w:p>
        </w:tc>
        <w:tc>
          <w:tcPr>
            <w:tcW w:w="1961" w:type="dxa"/>
          </w:tcPr>
          <w:p>
            <w:pPr>
              <w:pStyle w:val="GesAbsatz"/>
              <w:jc w:val="center"/>
              <w:rPr>
                <w:rFonts w:cs="Arial"/>
                <w:szCs w:val="15"/>
              </w:rPr>
            </w:pPr>
            <w:r>
              <w:rPr>
                <w:rFonts w:cs="Arial"/>
                <w:szCs w:val="15"/>
              </w:rPr>
              <w:t>Typischer Unsiche</w:t>
            </w:r>
            <w:r>
              <w:rPr>
                <w:rFonts w:cs="Arial"/>
                <w:szCs w:val="15"/>
              </w:rPr>
              <w:t>r</w:t>
            </w:r>
            <w:r>
              <w:rPr>
                <w:rFonts w:cs="Arial"/>
                <w:szCs w:val="15"/>
              </w:rPr>
              <w:t>heit</w:t>
            </w:r>
            <w:r>
              <w:rPr>
                <w:rFonts w:cs="Arial"/>
                <w:szCs w:val="15"/>
              </w:rPr>
              <w:t>s</w:t>
            </w:r>
            <w:r>
              <w:rPr>
                <w:rFonts w:cs="Arial"/>
                <w:szCs w:val="15"/>
              </w:rPr>
              <w:t>bereich</w:t>
            </w:r>
          </w:p>
        </w:tc>
      </w:tr>
      <w:tr>
        <w:tblPrEx>
          <w:tblCellMar>
            <w:top w:w="0" w:type="dxa"/>
            <w:bottom w:w="0" w:type="dxa"/>
          </w:tblCellMar>
        </w:tblPrEx>
        <w:tc>
          <w:tcPr>
            <w:tcW w:w="3472" w:type="dxa"/>
          </w:tcPr>
          <w:p>
            <w:pPr>
              <w:pStyle w:val="GesAbsatz"/>
              <w:jc w:val="both"/>
              <w:rPr>
                <w:rFonts w:cs="Arial"/>
                <w:szCs w:val="15"/>
              </w:rPr>
            </w:pPr>
            <w:r>
              <w:rPr>
                <w:rFonts w:cs="Arial"/>
                <w:szCs w:val="17"/>
              </w:rPr>
              <w:t>Blendenmessgerät</w:t>
            </w:r>
          </w:p>
        </w:tc>
        <w:tc>
          <w:tcPr>
            <w:tcW w:w="1418" w:type="dxa"/>
          </w:tcPr>
          <w:p>
            <w:pPr>
              <w:pStyle w:val="GesAbsatz"/>
              <w:jc w:val="both"/>
              <w:rPr>
                <w:rFonts w:cs="Arial"/>
                <w:szCs w:val="15"/>
              </w:rPr>
            </w:pPr>
            <w:r>
              <w:rPr>
                <w:rFonts w:cs="Arial"/>
                <w:szCs w:val="17"/>
              </w:rPr>
              <w:t>Gasförmig</w:t>
            </w:r>
          </w:p>
        </w:tc>
        <w:tc>
          <w:tcPr>
            <w:tcW w:w="2693" w:type="dxa"/>
          </w:tcPr>
          <w:p>
            <w:pPr>
              <w:pStyle w:val="GesAbsatz"/>
              <w:jc w:val="both"/>
              <w:rPr>
                <w:rFonts w:cs="Arial"/>
                <w:szCs w:val="15"/>
              </w:rPr>
            </w:pPr>
            <w:r>
              <w:rPr>
                <w:rFonts w:cs="Arial"/>
                <w:szCs w:val="17"/>
              </w:rPr>
              <w:t>Verschiedene Gase</w:t>
            </w:r>
          </w:p>
        </w:tc>
        <w:tc>
          <w:tcPr>
            <w:tcW w:w="1961" w:type="dxa"/>
          </w:tcPr>
          <w:p>
            <w:pPr>
              <w:pStyle w:val="GesAbsatz"/>
              <w:jc w:val="both"/>
              <w:rPr>
                <w:rFonts w:cs="Arial"/>
                <w:szCs w:val="15"/>
                <w:lang w:val="it-IT"/>
              </w:rPr>
            </w:pPr>
            <w:r>
              <w:rPr>
                <w:rFonts w:cs="Arial"/>
                <w:szCs w:val="17"/>
                <w:lang w:val="it-IT"/>
              </w:rPr>
              <w:t>± 1 - 3 %</w:t>
            </w:r>
          </w:p>
        </w:tc>
      </w:tr>
      <w:tr>
        <w:tblPrEx>
          <w:tblCellMar>
            <w:top w:w="0" w:type="dxa"/>
            <w:bottom w:w="0" w:type="dxa"/>
          </w:tblCellMar>
        </w:tblPrEx>
        <w:tc>
          <w:tcPr>
            <w:tcW w:w="3472" w:type="dxa"/>
          </w:tcPr>
          <w:p>
            <w:pPr>
              <w:pStyle w:val="GesAbsatz"/>
              <w:jc w:val="both"/>
              <w:rPr>
                <w:rFonts w:cs="Arial"/>
                <w:szCs w:val="17"/>
                <w:lang w:val="it-IT"/>
              </w:rPr>
            </w:pPr>
            <w:r>
              <w:rPr>
                <w:rFonts w:cs="Arial"/>
                <w:szCs w:val="17"/>
                <w:lang w:val="it-IT"/>
              </w:rPr>
              <w:t>Venturi-Rohr</w:t>
            </w:r>
          </w:p>
        </w:tc>
        <w:tc>
          <w:tcPr>
            <w:tcW w:w="1418" w:type="dxa"/>
          </w:tcPr>
          <w:p>
            <w:pPr>
              <w:pStyle w:val="GesAbsatz"/>
              <w:jc w:val="both"/>
              <w:rPr>
                <w:rFonts w:cs="Arial"/>
                <w:szCs w:val="17"/>
                <w:lang w:val="it-IT"/>
              </w:rPr>
            </w:pPr>
            <w:r>
              <w:rPr>
                <w:rFonts w:cs="Arial"/>
                <w:szCs w:val="17"/>
                <w:lang w:val="it-IT"/>
              </w:rPr>
              <w:t>Gasförmig</w:t>
            </w:r>
          </w:p>
        </w:tc>
        <w:tc>
          <w:tcPr>
            <w:tcW w:w="2693" w:type="dxa"/>
          </w:tcPr>
          <w:p>
            <w:pPr>
              <w:pStyle w:val="GesAbsatz"/>
              <w:jc w:val="both"/>
              <w:rPr>
                <w:rFonts w:cs="Arial"/>
                <w:szCs w:val="17"/>
              </w:rPr>
            </w:pPr>
            <w:r>
              <w:rPr>
                <w:rFonts w:cs="Arial"/>
                <w:szCs w:val="17"/>
              </w:rPr>
              <w:t>Verschiedene Gase</w:t>
            </w:r>
          </w:p>
        </w:tc>
        <w:tc>
          <w:tcPr>
            <w:tcW w:w="1961" w:type="dxa"/>
          </w:tcPr>
          <w:p>
            <w:pPr>
              <w:pStyle w:val="GesAbsatz"/>
              <w:jc w:val="both"/>
              <w:rPr>
                <w:rFonts w:cs="Arial"/>
                <w:szCs w:val="17"/>
              </w:rPr>
            </w:pPr>
            <w:r>
              <w:rPr>
                <w:rFonts w:cs="Arial"/>
                <w:szCs w:val="17"/>
              </w:rPr>
              <w:t>± 1 - 3 %</w:t>
            </w:r>
          </w:p>
        </w:tc>
      </w:tr>
      <w:tr>
        <w:tblPrEx>
          <w:tblCellMar>
            <w:top w:w="0" w:type="dxa"/>
            <w:bottom w:w="0" w:type="dxa"/>
          </w:tblCellMar>
        </w:tblPrEx>
        <w:tc>
          <w:tcPr>
            <w:tcW w:w="3472" w:type="dxa"/>
          </w:tcPr>
          <w:p>
            <w:pPr>
              <w:pStyle w:val="GesAbsatz"/>
              <w:jc w:val="both"/>
              <w:rPr>
                <w:rFonts w:cs="Arial"/>
                <w:szCs w:val="17"/>
              </w:rPr>
            </w:pPr>
            <w:r>
              <w:rPr>
                <w:rFonts w:cs="Arial"/>
                <w:szCs w:val="17"/>
              </w:rPr>
              <w:t>Ultraschall-Durchflussmesser</w:t>
            </w:r>
          </w:p>
        </w:tc>
        <w:tc>
          <w:tcPr>
            <w:tcW w:w="1418" w:type="dxa"/>
          </w:tcPr>
          <w:p>
            <w:pPr>
              <w:pStyle w:val="GesAbsatz"/>
              <w:jc w:val="both"/>
              <w:rPr>
                <w:rFonts w:cs="Arial"/>
                <w:szCs w:val="17"/>
              </w:rPr>
            </w:pPr>
            <w:r>
              <w:rPr>
                <w:rFonts w:cs="Arial"/>
                <w:szCs w:val="17"/>
              </w:rPr>
              <w:t>Gasförmig</w:t>
            </w:r>
          </w:p>
        </w:tc>
        <w:tc>
          <w:tcPr>
            <w:tcW w:w="2693" w:type="dxa"/>
          </w:tcPr>
          <w:p>
            <w:pPr>
              <w:pStyle w:val="GesAbsatz"/>
              <w:jc w:val="both"/>
              <w:rPr>
                <w:rFonts w:cs="Arial"/>
                <w:szCs w:val="17"/>
              </w:rPr>
            </w:pPr>
            <w:r>
              <w:rPr>
                <w:rFonts w:cs="Arial"/>
                <w:szCs w:val="17"/>
              </w:rPr>
              <w:t>Erdgas/verschiedene Gase</w:t>
            </w:r>
          </w:p>
        </w:tc>
        <w:tc>
          <w:tcPr>
            <w:tcW w:w="1961" w:type="dxa"/>
          </w:tcPr>
          <w:p>
            <w:pPr>
              <w:pStyle w:val="GesAbsatz"/>
              <w:jc w:val="both"/>
              <w:rPr>
                <w:rFonts w:cs="Arial"/>
                <w:szCs w:val="17"/>
              </w:rPr>
            </w:pPr>
            <w:r>
              <w:rPr>
                <w:rFonts w:cs="Arial"/>
                <w:szCs w:val="17"/>
              </w:rPr>
              <w:t>± 0,5 - 1,5 %</w:t>
            </w:r>
          </w:p>
        </w:tc>
      </w:tr>
      <w:tr>
        <w:tblPrEx>
          <w:tblCellMar>
            <w:top w:w="0" w:type="dxa"/>
            <w:bottom w:w="0" w:type="dxa"/>
          </w:tblCellMar>
        </w:tblPrEx>
        <w:tc>
          <w:tcPr>
            <w:tcW w:w="3472" w:type="dxa"/>
          </w:tcPr>
          <w:p>
            <w:pPr>
              <w:pStyle w:val="GesAbsatz"/>
              <w:jc w:val="both"/>
              <w:rPr>
                <w:rFonts w:cs="Arial"/>
                <w:szCs w:val="17"/>
              </w:rPr>
            </w:pPr>
            <w:r>
              <w:rPr>
                <w:rFonts w:cs="Arial"/>
                <w:szCs w:val="17"/>
              </w:rPr>
              <w:t>Rotamesser</w:t>
            </w:r>
          </w:p>
        </w:tc>
        <w:tc>
          <w:tcPr>
            <w:tcW w:w="1418" w:type="dxa"/>
          </w:tcPr>
          <w:p>
            <w:pPr>
              <w:pStyle w:val="GesAbsatz"/>
              <w:jc w:val="both"/>
              <w:rPr>
                <w:rFonts w:cs="Arial"/>
                <w:szCs w:val="17"/>
              </w:rPr>
            </w:pPr>
            <w:r>
              <w:rPr>
                <w:rFonts w:cs="Arial"/>
                <w:szCs w:val="17"/>
              </w:rPr>
              <w:t>Gasförmig</w:t>
            </w:r>
          </w:p>
        </w:tc>
        <w:tc>
          <w:tcPr>
            <w:tcW w:w="2693" w:type="dxa"/>
          </w:tcPr>
          <w:p>
            <w:pPr>
              <w:pStyle w:val="GesAbsatz"/>
              <w:jc w:val="both"/>
              <w:rPr>
                <w:rFonts w:cs="Arial"/>
                <w:szCs w:val="17"/>
              </w:rPr>
            </w:pPr>
            <w:r>
              <w:rPr>
                <w:rFonts w:cs="Arial"/>
                <w:szCs w:val="17"/>
              </w:rPr>
              <w:t>Erdgas/verschiedene Gase</w:t>
            </w:r>
          </w:p>
        </w:tc>
        <w:tc>
          <w:tcPr>
            <w:tcW w:w="1961" w:type="dxa"/>
          </w:tcPr>
          <w:p>
            <w:pPr>
              <w:pStyle w:val="GesAbsatz"/>
              <w:jc w:val="both"/>
              <w:rPr>
                <w:rFonts w:cs="Arial"/>
                <w:szCs w:val="17"/>
              </w:rPr>
            </w:pPr>
            <w:r>
              <w:rPr>
                <w:rFonts w:cs="Arial"/>
                <w:szCs w:val="17"/>
              </w:rPr>
              <w:t>± 1 - 3 %</w:t>
            </w:r>
          </w:p>
        </w:tc>
      </w:tr>
      <w:tr>
        <w:tblPrEx>
          <w:tblCellMar>
            <w:top w:w="0" w:type="dxa"/>
            <w:bottom w:w="0" w:type="dxa"/>
          </w:tblCellMar>
        </w:tblPrEx>
        <w:tc>
          <w:tcPr>
            <w:tcW w:w="3472" w:type="dxa"/>
          </w:tcPr>
          <w:p>
            <w:pPr>
              <w:pStyle w:val="GesAbsatz"/>
              <w:jc w:val="both"/>
              <w:rPr>
                <w:rFonts w:cs="Arial"/>
                <w:szCs w:val="17"/>
              </w:rPr>
            </w:pPr>
            <w:r>
              <w:rPr>
                <w:rFonts w:cs="Arial"/>
                <w:szCs w:val="17"/>
              </w:rPr>
              <w:t>Turbinenradzähler</w:t>
            </w:r>
          </w:p>
        </w:tc>
        <w:tc>
          <w:tcPr>
            <w:tcW w:w="1418" w:type="dxa"/>
          </w:tcPr>
          <w:p>
            <w:pPr>
              <w:pStyle w:val="GesAbsatz"/>
              <w:jc w:val="both"/>
              <w:rPr>
                <w:rFonts w:cs="Arial"/>
                <w:szCs w:val="17"/>
              </w:rPr>
            </w:pPr>
            <w:r>
              <w:rPr>
                <w:rFonts w:cs="Arial"/>
                <w:szCs w:val="17"/>
              </w:rPr>
              <w:t>Gasförmig</w:t>
            </w:r>
          </w:p>
        </w:tc>
        <w:tc>
          <w:tcPr>
            <w:tcW w:w="2693" w:type="dxa"/>
          </w:tcPr>
          <w:p>
            <w:pPr>
              <w:pStyle w:val="GesAbsatz"/>
              <w:jc w:val="both"/>
              <w:rPr>
                <w:rFonts w:cs="Arial"/>
                <w:szCs w:val="17"/>
              </w:rPr>
            </w:pPr>
            <w:r>
              <w:rPr>
                <w:rFonts w:cs="Arial"/>
                <w:szCs w:val="17"/>
              </w:rPr>
              <w:t>Erdgas/verschiedene Gase</w:t>
            </w:r>
          </w:p>
        </w:tc>
        <w:tc>
          <w:tcPr>
            <w:tcW w:w="1961" w:type="dxa"/>
          </w:tcPr>
          <w:p>
            <w:pPr>
              <w:pStyle w:val="GesAbsatz"/>
              <w:jc w:val="both"/>
              <w:rPr>
                <w:rFonts w:cs="Arial"/>
                <w:szCs w:val="17"/>
              </w:rPr>
            </w:pPr>
            <w:r>
              <w:rPr>
                <w:rFonts w:cs="Arial"/>
                <w:szCs w:val="17"/>
              </w:rPr>
              <w:t>± 1 - 3 %</w:t>
            </w:r>
          </w:p>
        </w:tc>
      </w:tr>
      <w:tr>
        <w:tblPrEx>
          <w:tblCellMar>
            <w:top w:w="0" w:type="dxa"/>
            <w:bottom w:w="0" w:type="dxa"/>
          </w:tblCellMar>
        </w:tblPrEx>
        <w:tc>
          <w:tcPr>
            <w:tcW w:w="3472" w:type="dxa"/>
          </w:tcPr>
          <w:p>
            <w:pPr>
              <w:pStyle w:val="GesAbsatz"/>
              <w:jc w:val="both"/>
              <w:rPr>
                <w:rFonts w:cs="Arial"/>
                <w:szCs w:val="17"/>
              </w:rPr>
            </w:pPr>
            <w:r>
              <w:rPr>
                <w:rFonts w:cs="Arial"/>
                <w:szCs w:val="17"/>
              </w:rPr>
              <w:t>Ultraschall-Durchflussmesser</w:t>
            </w:r>
          </w:p>
        </w:tc>
        <w:tc>
          <w:tcPr>
            <w:tcW w:w="1418" w:type="dxa"/>
          </w:tcPr>
          <w:p>
            <w:pPr>
              <w:pStyle w:val="GesAbsatz"/>
              <w:jc w:val="both"/>
              <w:rPr>
                <w:rFonts w:cs="Arial"/>
                <w:szCs w:val="17"/>
              </w:rPr>
            </w:pPr>
            <w:r>
              <w:rPr>
                <w:rFonts w:cs="Arial"/>
                <w:szCs w:val="17"/>
              </w:rPr>
              <w:t>Flüssig</w:t>
            </w:r>
          </w:p>
        </w:tc>
        <w:tc>
          <w:tcPr>
            <w:tcW w:w="2693" w:type="dxa"/>
          </w:tcPr>
          <w:p>
            <w:pPr>
              <w:pStyle w:val="GesAbsatz"/>
              <w:jc w:val="both"/>
              <w:rPr>
                <w:rFonts w:cs="Arial"/>
                <w:szCs w:val="17"/>
              </w:rPr>
            </w:pPr>
            <w:r>
              <w:rPr>
                <w:rFonts w:cs="Arial"/>
                <w:szCs w:val="17"/>
              </w:rPr>
              <w:t>Flüssigbrennstoffe</w:t>
            </w:r>
          </w:p>
        </w:tc>
        <w:tc>
          <w:tcPr>
            <w:tcW w:w="1961" w:type="dxa"/>
          </w:tcPr>
          <w:p>
            <w:pPr>
              <w:pStyle w:val="GesAbsatz"/>
              <w:jc w:val="both"/>
              <w:rPr>
                <w:rFonts w:cs="Arial"/>
                <w:szCs w:val="17"/>
              </w:rPr>
            </w:pPr>
            <w:r>
              <w:rPr>
                <w:rFonts w:cs="Arial"/>
                <w:szCs w:val="17"/>
              </w:rPr>
              <w:t>± 1 - 2 %</w:t>
            </w:r>
          </w:p>
        </w:tc>
      </w:tr>
      <w:tr>
        <w:tblPrEx>
          <w:tblCellMar>
            <w:top w:w="0" w:type="dxa"/>
            <w:bottom w:w="0" w:type="dxa"/>
          </w:tblCellMar>
        </w:tblPrEx>
        <w:tc>
          <w:tcPr>
            <w:tcW w:w="3472" w:type="dxa"/>
          </w:tcPr>
          <w:p>
            <w:pPr>
              <w:pStyle w:val="GesAbsatz"/>
              <w:jc w:val="both"/>
              <w:rPr>
                <w:rFonts w:cs="Arial"/>
                <w:szCs w:val="17"/>
              </w:rPr>
            </w:pPr>
            <w:r>
              <w:rPr>
                <w:rFonts w:cs="Arial"/>
                <w:szCs w:val="17"/>
              </w:rPr>
              <w:t>Magnetischer Flussdichteme</w:t>
            </w:r>
            <w:r>
              <w:rPr>
                <w:rFonts w:cs="Arial"/>
                <w:szCs w:val="17"/>
              </w:rPr>
              <w:t>s</w:t>
            </w:r>
            <w:r>
              <w:rPr>
                <w:rFonts w:cs="Arial"/>
                <w:szCs w:val="17"/>
              </w:rPr>
              <w:t>ser</w:t>
            </w:r>
          </w:p>
        </w:tc>
        <w:tc>
          <w:tcPr>
            <w:tcW w:w="1418" w:type="dxa"/>
          </w:tcPr>
          <w:p>
            <w:pPr>
              <w:pStyle w:val="GesAbsatz"/>
              <w:jc w:val="both"/>
              <w:rPr>
                <w:rFonts w:cs="Arial"/>
                <w:szCs w:val="17"/>
              </w:rPr>
            </w:pPr>
            <w:r>
              <w:rPr>
                <w:rFonts w:cs="Arial"/>
                <w:szCs w:val="17"/>
              </w:rPr>
              <w:t>Flüssig</w:t>
            </w:r>
          </w:p>
        </w:tc>
        <w:tc>
          <w:tcPr>
            <w:tcW w:w="2693" w:type="dxa"/>
          </w:tcPr>
          <w:p>
            <w:pPr>
              <w:pStyle w:val="GesAbsatz"/>
              <w:jc w:val="both"/>
              <w:rPr>
                <w:rFonts w:cs="Arial"/>
                <w:szCs w:val="17"/>
              </w:rPr>
            </w:pPr>
            <w:r>
              <w:rPr>
                <w:rFonts w:cs="Arial"/>
                <w:szCs w:val="17"/>
              </w:rPr>
              <w:t>Leitfähige Flüssigkeiten</w:t>
            </w:r>
          </w:p>
        </w:tc>
        <w:tc>
          <w:tcPr>
            <w:tcW w:w="1961" w:type="dxa"/>
          </w:tcPr>
          <w:p>
            <w:pPr>
              <w:pStyle w:val="GesAbsatz"/>
              <w:jc w:val="both"/>
              <w:rPr>
                <w:rFonts w:cs="Arial"/>
                <w:szCs w:val="17"/>
              </w:rPr>
            </w:pPr>
            <w:r>
              <w:rPr>
                <w:rFonts w:cs="Arial"/>
                <w:szCs w:val="17"/>
              </w:rPr>
              <w:t>± 0,5 - 2 %</w:t>
            </w:r>
          </w:p>
        </w:tc>
      </w:tr>
      <w:tr>
        <w:tblPrEx>
          <w:tblCellMar>
            <w:top w:w="0" w:type="dxa"/>
            <w:bottom w:w="0" w:type="dxa"/>
          </w:tblCellMar>
        </w:tblPrEx>
        <w:tc>
          <w:tcPr>
            <w:tcW w:w="3472" w:type="dxa"/>
          </w:tcPr>
          <w:p>
            <w:pPr>
              <w:pStyle w:val="GesAbsatz"/>
              <w:jc w:val="both"/>
              <w:rPr>
                <w:rFonts w:cs="Arial"/>
                <w:szCs w:val="17"/>
              </w:rPr>
            </w:pPr>
            <w:r>
              <w:rPr>
                <w:rFonts w:cs="Arial"/>
                <w:szCs w:val="17"/>
              </w:rPr>
              <w:t>Turbinenradzähler</w:t>
            </w:r>
          </w:p>
        </w:tc>
        <w:tc>
          <w:tcPr>
            <w:tcW w:w="1418" w:type="dxa"/>
          </w:tcPr>
          <w:p>
            <w:pPr>
              <w:pStyle w:val="GesAbsatz"/>
              <w:jc w:val="both"/>
              <w:rPr>
                <w:rFonts w:cs="Arial"/>
                <w:szCs w:val="17"/>
              </w:rPr>
            </w:pPr>
            <w:r>
              <w:rPr>
                <w:rFonts w:cs="Arial"/>
                <w:szCs w:val="17"/>
              </w:rPr>
              <w:t>Flüssig</w:t>
            </w:r>
          </w:p>
        </w:tc>
        <w:tc>
          <w:tcPr>
            <w:tcW w:w="2693" w:type="dxa"/>
          </w:tcPr>
          <w:p>
            <w:pPr>
              <w:pStyle w:val="GesAbsatz"/>
              <w:jc w:val="both"/>
              <w:rPr>
                <w:rFonts w:cs="Arial"/>
                <w:szCs w:val="17"/>
              </w:rPr>
            </w:pPr>
            <w:r>
              <w:rPr>
                <w:rFonts w:cs="Arial"/>
                <w:szCs w:val="17"/>
              </w:rPr>
              <w:t>Flüssigbrennstoffe</w:t>
            </w:r>
          </w:p>
        </w:tc>
        <w:tc>
          <w:tcPr>
            <w:tcW w:w="1961" w:type="dxa"/>
          </w:tcPr>
          <w:p>
            <w:pPr>
              <w:pStyle w:val="GesAbsatz"/>
              <w:jc w:val="both"/>
              <w:rPr>
                <w:rFonts w:cs="Arial"/>
                <w:szCs w:val="17"/>
              </w:rPr>
            </w:pPr>
            <w:r>
              <w:rPr>
                <w:rFonts w:cs="Arial"/>
                <w:szCs w:val="17"/>
              </w:rPr>
              <w:t>± 0,5 - 2 %</w:t>
            </w:r>
          </w:p>
        </w:tc>
      </w:tr>
      <w:tr>
        <w:tblPrEx>
          <w:tblCellMar>
            <w:top w:w="0" w:type="dxa"/>
            <w:bottom w:w="0" w:type="dxa"/>
          </w:tblCellMar>
        </w:tblPrEx>
        <w:tc>
          <w:tcPr>
            <w:tcW w:w="3472" w:type="dxa"/>
          </w:tcPr>
          <w:p>
            <w:pPr>
              <w:pStyle w:val="GesAbsatz"/>
              <w:jc w:val="both"/>
              <w:rPr>
                <w:rFonts w:cs="Arial"/>
                <w:szCs w:val="17"/>
              </w:rPr>
            </w:pPr>
            <w:r>
              <w:rPr>
                <w:rFonts w:cs="Arial"/>
                <w:szCs w:val="17"/>
              </w:rPr>
              <w:t>Lkw-Waage</w:t>
            </w:r>
          </w:p>
        </w:tc>
        <w:tc>
          <w:tcPr>
            <w:tcW w:w="1418" w:type="dxa"/>
          </w:tcPr>
          <w:p>
            <w:pPr>
              <w:pStyle w:val="GesAbsatz"/>
              <w:jc w:val="both"/>
              <w:rPr>
                <w:rFonts w:cs="Arial"/>
                <w:szCs w:val="17"/>
              </w:rPr>
            </w:pPr>
            <w:r>
              <w:rPr>
                <w:rFonts w:cs="Arial"/>
                <w:szCs w:val="17"/>
              </w:rPr>
              <w:t>Fest</w:t>
            </w:r>
          </w:p>
        </w:tc>
        <w:tc>
          <w:tcPr>
            <w:tcW w:w="2693" w:type="dxa"/>
          </w:tcPr>
          <w:p>
            <w:pPr>
              <w:pStyle w:val="GesAbsatz"/>
              <w:jc w:val="both"/>
              <w:rPr>
                <w:rFonts w:cs="Arial"/>
                <w:szCs w:val="17"/>
              </w:rPr>
            </w:pPr>
            <w:r>
              <w:rPr>
                <w:rFonts w:cs="Arial"/>
                <w:szCs w:val="17"/>
              </w:rPr>
              <w:t>Verschiedene Rohstoffe</w:t>
            </w:r>
          </w:p>
        </w:tc>
        <w:tc>
          <w:tcPr>
            <w:tcW w:w="1961" w:type="dxa"/>
          </w:tcPr>
          <w:p>
            <w:pPr>
              <w:pStyle w:val="GesAbsatz"/>
              <w:jc w:val="both"/>
              <w:rPr>
                <w:rFonts w:cs="Arial"/>
                <w:szCs w:val="17"/>
              </w:rPr>
            </w:pPr>
            <w:r>
              <w:rPr>
                <w:rFonts w:cs="Arial"/>
                <w:szCs w:val="17"/>
              </w:rPr>
              <w:t>± 2 - 7 %</w:t>
            </w:r>
          </w:p>
        </w:tc>
      </w:tr>
      <w:tr>
        <w:tblPrEx>
          <w:tblCellMar>
            <w:top w:w="0" w:type="dxa"/>
            <w:bottom w:w="0" w:type="dxa"/>
          </w:tblCellMar>
        </w:tblPrEx>
        <w:tc>
          <w:tcPr>
            <w:tcW w:w="3472" w:type="dxa"/>
          </w:tcPr>
          <w:p>
            <w:pPr>
              <w:pStyle w:val="GesAbsatz"/>
              <w:jc w:val="both"/>
              <w:rPr>
                <w:rFonts w:cs="Arial"/>
                <w:szCs w:val="17"/>
              </w:rPr>
            </w:pPr>
            <w:r>
              <w:rPr>
                <w:rFonts w:cs="Arial"/>
                <w:szCs w:val="17"/>
              </w:rPr>
              <w:lastRenderedPageBreak/>
              <w:t>Schienenwaage (Züge - fa</w:t>
            </w:r>
            <w:r>
              <w:rPr>
                <w:rFonts w:cs="Arial"/>
                <w:szCs w:val="17"/>
              </w:rPr>
              <w:t>h</w:t>
            </w:r>
            <w:r>
              <w:rPr>
                <w:rFonts w:cs="Arial"/>
                <w:szCs w:val="17"/>
              </w:rPr>
              <w:t>rend)</w:t>
            </w:r>
          </w:p>
        </w:tc>
        <w:tc>
          <w:tcPr>
            <w:tcW w:w="1418" w:type="dxa"/>
          </w:tcPr>
          <w:p>
            <w:pPr>
              <w:pStyle w:val="GesAbsatz"/>
              <w:jc w:val="both"/>
              <w:rPr>
                <w:rFonts w:cs="Arial"/>
                <w:szCs w:val="17"/>
              </w:rPr>
            </w:pPr>
            <w:r>
              <w:rPr>
                <w:rFonts w:cs="Arial"/>
                <w:szCs w:val="17"/>
              </w:rPr>
              <w:t>Fest</w:t>
            </w:r>
          </w:p>
        </w:tc>
        <w:tc>
          <w:tcPr>
            <w:tcW w:w="2693" w:type="dxa"/>
          </w:tcPr>
          <w:p>
            <w:pPr>
              <w:pStyle w:val="GesAbsatz"/>
              <w:jc w:val="both"/>
              <w:rPr>
                <w:rFonts w:cs="Arial"/>
                <w:szCs w:val="17"/>
              </w:rPr>
            </w:pPr>
            <w:r>
              <w:rPr>
                <w:rFonts w:cs="Arial"/>
                <w:szCs w:val="17"/>
              </w:rPr>
              <w:t>Kohle</w:t>
            </w:r>
          </w:p>
        </w:tc>
        <w:tc>
          <w:tcPr>
            <w:tcW w:w="1961" w:type="dxa"/>
          </w:tcPr>
          <w:p>
            <w:pPr>
              <w:pStyle w:val="GesAbsatz"/>
              <w:jc w:val="both"/>
              <w:rPr>
                <w:rFonts w:cs="Arial"/>
                <w:szCs w:val="17"/>
              </w:rPr>
            </w:pPr>
            <w:r>
              <w:rPr>
                <w:rFonts w:cs="Arial"/>
                <w:szCs w:val="17"/>
              </w:rPr>
              <w:t>± 1 - 3 %</w:t>
            </w:r>
          </w:p>
        </w:tc>
      </w:tr>
      <w:tr>
        <w:tblPrEx>
          <w:tblCellMar>
            <w:top w:w="0" w:type="dxa"/>
            <w:bottom w:w="0" w:type="dxa"/>
          </w:tblCellMar>
        </w:tblPrEx>
        <w:tc>
          <w:tcPr>
            <w:tcW w:w="3472" w:type="dxa"/>
          </w:tcPr>
          <w:p>
            <w:pPr>
              <w:pStyle w:val="GesAbsatz"/>
              <w:jc w:val="both"/>
              <w:rPr>
                <w:rFonts w:cs="Arial"/>
                <w:szCs w:val="17"/>
              </w:rPr>
            </w:pPr>
            <w:r>
              <w:rPr>
                <w:rFonts w:cs="Arial"/>
                <w:szCs w:val="17"/>
              </w:rPr>
              <w:t>Schienenwaage (einzelner Wa</w:t>
            </w:r>
            <w:r>
              <w:rPr>
                <w:rFonts w:cs="Arial"/>
                <w:szCs w:val="17"/>
              </w:rPr>
              <w:t>g</w:t>
            </w:r>
            <w:r>
              <w:rPr>
                <w:rFonts w:cs="Arial"/>
                <w:szCs w:val="17"/>
              </w:rPr>
              <w:t>gon)</w:t>
            </w:r>
          </w:p>
        </w:tc>
        <w:tc>
          <w:tcPr>
            <w:tcW w:w="1418" w:type="dxa"/>
          </w:tcPr>
          <w:p>
            <w:pPr>
              <w:pStyle w:val="GesAbsatz"/>
              <w:jc w:val="both"/>
              <w:rPr>
                <w:rFonts w:cs="Arial"/>
                <w:szCs w:val="17"/>
              </w:rPr>
            </w:pPr>
            <w:r>
              <w:rPr>
                <w:rFonts w:cs="Arial"/>
                <w:szCs w:val="17"/>
              </w:rPr>
              <w:t>Fest</w:t>
            </w:r>
          </w:p>
        </w:tc>
        <w:tc>
          <w:tcPr>
            <w:tcW w:w="2693" w:type="dxa"/>
          </w:tcPr>
          <w:p>
            <w:pPr>
              <w:pStyle w:val="GesAbsatz"/>
              <w:jc w:val="both"/>
              <w:rPr>
                <w:rFonts w:cs="Arial"/>
                <w:szCs w:val="17"/>
              </w:rPr>
            </w:pPr>
            <w:r>
              <w:rPr>
                <w:rFonts w:cs="Arial"/>
                <w:szCs w:val="17"/>
              </w:rPr>
              <w:t>Kohle</w:t>
            </w:r>
          </w:p>
        </w:tc>
        <w:tc>
          <w:tcPr>
            <w:tcW w:w="1961" w:type="dxa"/>
          </w:tcPr>
          <w:p>
            <w:pPr>
              <w:pStyle w:val="GesAbsatz"/>
              <w:jc w:val="both"/>
              <w:rPr>
                <w:rFonts w:cs="Arial"/>
                <w:szCs w:val="17"/>
              </w:rPr>
            </w:pPr>
            <w:r>
              <w:rPr>
                <w:rFonts w:cs="Arial"/>
                <w:szCs w:val="17"/>
              </w:rPr>
              <w:t>± 0,5 - 1,0 %</w:t>
            </w:r>
          </w:p>
        </w:tc>
      </w:tr>
      <w:tr>
        <w:tblPrEx>
          <w:tblCellMar>
            <w:top w:w="0" w:type="dxa"/>
            <w:bottom w:w="0" w:type="dxa"/>
          </w:tblCellMar>
        </w:tblPrEx>
        <w:tc>
          <w:tcPr>
            <w:tcW w:w="3472" w:type="dxa"/>
          </w:tcPr>
          <w:p>
            <w:pPr>
              <w:pStyle w:val="GesAbsatz"/>
              <w:jc w:val="both"/>
              <w:rPr>
                <w:rFonts w:cs="Arial"/>
                <w:szCs w:val="17"/>
              </w:rPr>
            </w:pPr>
            <w:r>
              <w:rPr>
                <w:rFonts w:cs="Arial"/>
                <w:szCs w:val="17"/>
              </w:rPr>
              <w:t>Schiff - Fluss (Deplac</w:t>
            </w:r>
            <w:r>
              <w:rPr>
                <w:rFonts w:cs="Arial"/>
                <w:szCs w:val="17"/>
              </w:rPr>
              <w:t>e</w:t>
            </w:r>
            <w:r>
              <w:rPr>
                <w:rFonts w:cs="Arial"/>
                <w:szCs w:val="17"/>
              </w:rPr>
              <w:t>ment)</w:t>
            </w:r>
          </w:p>
        </w:tc>
        <w:tc>
          <w:tcPr>
            <w:tcW w:w="1418" w:type="dxa"/>
          </w:tcPr>
          <w:p>
            <w:pPr>
              <w:pStyle w:val="GesAbsatz"/>
              <w:jc w:val="both"/>
              <w:rPr>
                <w:rFonts w:cs="Arial"/>
                <w:szCs w:val="17"/>
              </w:rPr>
            </w:pPr>
            <w:r>
              <w:rPr>
                <w:rFonts w:cs="Arial"/>
                <w:szCs w:val="17"/>
              </w:rPr>
              <w:t>Fest</w:t>
            </w:r>
          </w:p>
        </w:tc>
        <w:tc>
          <w:tcPr>
            <w:tcW w:w="2693" w:type="dxa"/>
          </w:tcPr>
          <w:p>
            <w:pPr>
              <w:pStyle w:val="GesAbsatz"/>
              <w:jc w:val="both"/>
              <w:rPr>
                <w:rFonts w:cs="Arial"/>
                <w:szCs w:val="17"/>
              </w:rPr>
            </w:pPr>
            <w:r>
              <w:rPr>
                <w:rFonts w:cs="Arial"/>
                <w:szCs w:val="17"/>
              </w:rPr>
              <w:t>Kohle</w:t>
            </w:r>
          </w:p>
        </w:tc>
        <w:tc>
          <w:tcPr>
            <w:tcW w:w="1961" w:type="dxa"/>
          </w:tcPr>
          <w:p>
            <w:pPr>
              <w:pStyle w:val="GesAbsatz"/>
              <w:jc w:val="both"/>
              <w:rPr>
                <w:rFonts w:cs="Arial"/>
                <w:szCs w:val="17"/>
              </w:rPr>
            </w:pPr>
            <w:r>
              <w:rPr>
                <w:rFonts w:cs="Arial"/>
                <w:szCs w:val="17"/>
              </w:rPr>
              <w:t>± 0,5 - 1,0 %</w:t>
            </w:r>
          </w:p>
        </w:tc>
      </w:tr>
      <w:tr>
        <w:tblPrEx>
          <w:tblCellMar>
            <w:top w:w="0" w:type="dxa"/>
            <w:bottom w:w="0" w:type="dxa"/>
          </w:tblCellMar>
        </w:tblPrEx>
        <w:tc>
          <w:tcPr>
            <w:tcW w:w="3472" w:type="dxa"/>
          </w:tcPr>
          <w:p>
            <w:pPr>
              <w:pStyle w:val="GesAbsatz"/>
              <w:jc w:val="both"/>
              <w:rPr>
                <w:rFonts w:cs="Arial"/>
                <w:szCs w:val="17"/>
              </w:rPr>
            </w:pPr>
            <w:r>
              <w:rPr>
                <w:rFonts w:cs="Arial"/>
                <w:szCs w:val="17"/>
              </w:rPr>
              <w:t>Schiff - See (Deplac</w:t>
            </w:r>
            <w:r>
              <w:rPr>
                <w:rFonts w:cs="Arial"/>
                <w:szCs w:val="17"/>
              </w:rPr>
              <w:t>e</w:t>
            </w:r>
            <w:r>
              <w:rPr>
                <w:rFonts w:cs="Arial"/>
                <w:szCs w:val="17"/>
              </w:rPr>
              <w:t>ment)</w:t>
            </w:r>
          </w:p>
        </w:tc>
        <w:tc>
          <w:tcPr>
            <w:tcW w:w="1418" w:type="dxa"/>
          </w:tcPr>
          <w:p>
            <w:pPr>
              <w:pStyle w:val="GesAbsatz"/>
              <w:jc w:val="both"/>
              <w:rPr>
                <w:rFonts w:cs="Arial"/>
                <w:szCs w:val="17"/>
              </w:rPr>
            </w:pPr>
            <w:r>
              <w:rPr>
                <w:rFonts w:cs="Arial"/>
                <w:szCs w:val="17"/>
              </w:rPr>
              <w:t>Fest</w:t>
            </w:r>
          </w:p>
        </w:tc>
        <w:tc>
          <w:tcPr>
            <w:tcW w:w="2693" w:type="dxa"/>
          </w:tcPr>
          <w:p>
            <w:pPr>
              <w:pStyle w:val="GesAbsatz"/>
              <w:jc w:val="both"/>
              <w:rPr>
                <w:rFonts w:cs="Arial"/>
                <w:szCs w:val="17"/>
              </w:rPr>
            </w:pPr>
            <w:r>
              <w:rPr>
                <w:rFonts w:cs="Arial"/>
                <w:szCs w:val="17"/>
              </w:rPr>
              <w:t>Kohle</w:t>
            </w:r>
          </w:p>
        </w:tc>
        <w:tc>
          <w:tcPr>
            <w:tcW w:w="1961" w:type="dxa"/>
          </w:tcPr>
          <w:p>
            <w:pPr>
              <w:pStyle w:val="GesAbsatz"/>
              <w:jc w:val="both"/>
              <w:rPr>
                <w:rFonts w:cs="Arial"/>
                <w:szCs w:val="17"/>
              </w:rPr>
            </w:pPr>
            <w:r>
              <w:rPr>
                <w:rFonts w:cs="Arial"/>
                <w:szCs w:val="17"/>
              </w:rPr>
              <w:t>± 0,5 - 1,5 %</w:t>
            </w:r>
          </w:p>
        </w:tc>
      </w:tr>
      <w:tr>
        <w:tblPrEx>
          <w:tblCellMar>
            <w:top w:w="0" w:type="dxa"/>
            <w:bottom w:w="0" w:type="dxa"/>
          </w:tblCellMar>
        </w:tblPrEx>
        <w:tc>
          <w:tcPr>
            <w:tcW w:w="3472" w:type="dxa"/>
          </w:tcPr>
          <w:p>
            <w:pPr>
              <w:pStyle w:val="GesAbsatz"/>
              <w:jc w:val="both"/>
              <w:rPr>
                <w:rFonts w:cs="Arial"/>
                <w:szCs w:val="17"/>
              </w:rPr>
            </w:pPr>
            <w:r>
              <w:rPr>
                <w:rFonts w:cs="Arial"/>
                <w:szCs w:val="17"/>
              </w:rPr>
              <w:t>Bandwaage mit Messumfo</w:t>
            </w:r>
            <w:r>
              <w:rPr>
                <w:rFonts w:cs="Arial"/>
                <w:szCs w:val="17"/>
              </w:rPr>
              <w:t>r</w:t>
            </w:r>
            <w:r>
              <w:rPr>
                <w:rFonts w:cs="Arial"/>
                <w:szCs w:val="17"/>
              </w:rPr>
              <w:t>mer</w:t>
            </w:r>
          </w:p>
        </w:tc>
        <w:tc>
          <w:tcPr>
            <w:tcW w:w="1418" w:type="dxa"/>
          </w:tcPr>
          <w:p>
            <w:pPr>
              <w:pStyle w:val="GesAbsatz"/>
              <w:jc w:val="both"/>
              <w:rPr>
                <w:rFonts w:cs="Arial"/>
                <w:szCs w:val="17"/>
              </w:rPr>
            </w:pPr>
            <w:r>
              <w:rPr>
                <w:rFonts w:cs="Arial"/>
                <w:szCs w:val="17"/>
              </w:rPr>
              <w:t>Fest</w:t>
            </w:r>
          </w:p>
        </w:tc>
        <w:tc>
          <w:tcPr>
            <w:tcW w:w="2693" w:type="dxa"/>
          </w:tcPr>
          <w:p>
            <w:pPr>
              <w:pStyle w:val="GesAbsatz"/>
              <w:jc w:val="both"/>
              <w:rPr>
                <w:rFonts w:cs="Arial"/>
                <w:szCs w:val="17"/>
              </w:rPr>
            </w:pPr>
            <w:r>
              <w:rPr>
                <w:rFonts w:cs="Arial"/>
                <w:szCs w:val="17"/>
              </w:rPr>
              <w:t>Verschiedene Rohstoffe</w:t>
            </w:r>
          </w:p>
        </w:tc>
        <w:tc>
          <w:tcPr>
            <w:tcW w:w="1961" w:type="dxa"/>
          </w:tcPr>
          <w:p>
            <w:pPr>
              <w:pStyle w:val="GesAbsatz"/>
              <w:jc w:val="both"/>
              <w:rPr>
                <w:rFonts w:cs="Arial"/>
                <w:szCs w:val="17"/>
              </w:rPr>
            </w:pPr>
            <w:r>
              <w:rPr>
                <w:rFonts w:cs="Arial"/>
                <w:szCs w:val="17"/>
              </w:rPr>
              <w:t>± 1 - 4 %</w:t>
            </w:r>
          </w:p>
        </w:tc>
      </w:tr>
    </w:tbl>
    <w:p>
      <w:pPr>
        <w:pStyle w:val="GesAbsatz"/>
        <w:jc w:val="both"/>
        <w:rPr>
          <w:rFonts w:cs="Arial"/>
          <w:szCs w:val="15"/>
        </w:rPr>
      </w:pPr>
    </w:p>
    <w:p>
      <w:pPr>
        <w:pStyle w:val="GesAbsatz"/>
        <w:jc w:val="both"/>
        <w:rPr>
          <w:rFonts w:cs="Arial"/>
          <w:szCs w:val="17"/>
        </w:rPr>
      </w:pPr>
      <w:r>
        <w:rPr>
          <w:rFonts w:cs="Arial"/>
          <w:szCs w:val="17"/>
        </w:rPr>
        <w:t>4.2.2.1.6. Emissionsfaktoren</w:t>
      </w:r>
    </w:p>
    <w:p>
      <w:pPr>
        <w:pStyle w:val="GesAbsatz"/>
        <w:jc w:val="both"/>
        <w:rPr>
          <w:rFonts w:cs="Arial"/>
          <w:szCs w:val="17"/>
        </w:rPr>
      </w:pPr>
      <w:r>
        <w:rPr>
          <w:rFonts w:cs="Arial"/>
          <w:szCs w:val="17"/>
        </w:rPr>
        <w:t>Die Emissionsfaktoren beruhen auf dem Kohlenstoffgehalt der Brenn- oder Einsatzstoffe und werden als t CO</w:t>
      </w:r>
      <w:r>
        <w:rPr>
          <w:rFonts w:cs="Arial"/>
          <w:szCs w:val="10"/>
          <w:vertAlign w:val="subscript"/>
        </w:rPr>
        <w:t>2</w:t>
      </w:r>
      <w:r>
        <w:rPr>
          <w:rFonts w:cs="Arial"/>
          <w:szCs w:val="10"/>
        </w:rPr>
        <w:t xml:space="preserve"> </w:t>
      </w:r>
      <w:r>
        <w:rPr>
          <w:rFonts w:cs="Arial"/>
          <w:szCs w:val="17"/>
        </w:rPr>
        <w:t>/TJ (Emissionen aus der Verbrennung) oder t CO</w:t>
      </w:r>
      <w:r>
        <w:rPr>
          <w:rFonts w:cs="Arial"/>
          <w:szCs w:val="10"/>
          <w:vertAlign w:val="subscript"/>
        </w:rPr>
        <w:t>2</w:t>
      </w:r>
      <w:r>
        <w:rPr>
          <w:rFonts w:cs="Arial"/>
          <w:szCs w:val="17"/>
        </w:rPr>
        <w:t>/t bzw. t CO</w:t>
      </w:r>
      <w:r>
        <w:rPr>
          <w:rFonts w:cs="Arial"/>
          <w:szCs w:val="10"/>
          <w:vertAlign w:val="subscript"/>
        </w:rPr>
        <w:t>2</w:t>
      </w:r>
      <w:r>
        <w:rPr>
          <w:rFonts w:cs="Arial"/>
          <w:szCs w:val="17"/>
        </w:rPr>
        <w:t>/m</w:t>
      </w:r>
      <w:r>
        <w:rPr>
          <w:rFonts w:cs="Arial"/>
          <w:szCs w:val="10"/>
          <w:vertAlign w:val="superscript"/>
        </w:rPr>
        <w:t>3</w:t>
      </w:r>
      <w:r>
        <w:rPr>
          <w:rFonts w:cs="Arial"/>
          <w:szCs w:val="10"/>
        </w:rPr>
        <w:t xml:space="preserve"> </w:t>
      </w:r>
      <w:r>
        <w:rPr>
          <w:rFonts w:cs="Arial"/>
          <w:szCs w:val="17"/>
        </w:rPr>
        <w:t>(Prozessemissionen) ausg</w:t>
      </w:r>
      <w:r>
        <w:rPr>
          <w:rFonts w:cs="Arial"/>
          <w:szCs w:val="17"/>
        </w:rPr>
        <w:t>e</w:t>
      </w:r>
      <w:r>
        <w:rPr>
          <w:rFonts w:cs="Arial"/>
          <w:szCs w:val="17"/>
        </w:rPr>
        <w:t>drückt. Emissionsfaktoren sowie die Vorgaben hinsichtlich der Ermittlung tätigkeitsspezifischer Emission</w:t>
      </w:r>
      <w:r>
        <w:rPr>
          <w:rFonts w:cs="Arial"/>
          <w:szCs w:val="17"/>
        </w:rPr>
        <w:t>s</w:t>
      </w:r>
      <w:r>
        <w:rPr>
          <w:rFonts w:cs="Arial"/>
          <w:szCs w:val="17"/>
        </w:rPr>
        <w:t>fakt</w:t>
      </w:r>
      <w:r>
        <w:rPr>
          <w:rFonts w:cs="Arial"/>
          <w:szCs w:val="17"/>
        </w:rPr>
        <w:t>o</w:t>
      </w:r>
      <w:r>
        <w:rPr>
          <w:rFonts w:cs="Arial"/>
          <w:szCs w:val="17"/>
        </w:rPr>
        <w:t>ren sind in den Abschnitten 8 und 10 dieses Anhangs aufgeführt. In Bezug auf Emissionen aus der Verbrennung kann ein Betreiber für einen Brennstoff anstelle von t CO</w:t>
      </w:r>
      <w:r>
        <w:rPr>
          <w:rFonts w:cs="Arial"/>
          <w:szCs w:val="10"/>
          <w:vertAlign w:val="subscript"/>
        </w:rPr>
        <w:t>2</w:t>
      </w:r>
      <w:r>
        <w:rPr>
          <w:rFonts w:cs="Arial"/>
          <w:szCs w:val="17"/>
        </w:rPr>
        <w:t>/TJ einen Emissionsfaktor auf der Basis des Kohlenstoffgehalts (t CO</w:t>
      </w:r>
      <w:r>
        <w:rPr>
          <w:rFonts w:cs="Arial"/>
          <w:szCs w:val="10"/>
          <w:vertAlign w:val="subscript"/>
        </w:rPr>
        <w:t>2</w:t>
      </w:r>
      <w:r>
        <w:rPr>
          <w:rFonts w:cs="Arial"/>
          <w:szCs w:val="17"/>
        </w:rPr>
        <w:t>/t) anwenden, sofern er der zuständigen Behörde glaubhaft nachwe</w:t>
      </w:r>
      <w:r>
        <w:rPr>
          <w:rFonts w:cs="Arial"/>
          <w:szCs w:val="17"/>
        </w:rPr>
        <w:t>i</w:t>
      </w:r>
      <w:r>
        <w:rPr>
          <w:rFonts w:cs="Arial"/>
          <w:szCs w:val="17"/>
        </w:rPr>
        <w:t>sen kann, dass dies auf Dauer genauere Ergebnisse bringt. Allerdings muss der Betreiber auch in diesem Fall in regelmäßigen Abständen den Energiegehalt ermitteln, um seine Auflagen an die Berich</w:t>
      </w:r>
      <w:r>
        <w:rPr>
          <w:rFonts w:cs="Arial"/>
          <w:szCs w:val="17"/>
        </w:rPr>
        <w:t>t</w:t>
      </w:r>
      <w:r>
        <w:rPr>
          <w:rFonts w:cs="Arial"/>
          <w:szCs w:val="17"/>
        </w:rPr>
        <w:t>erstattung, die in Abschnitt 5 dieses Anhangs dargelegt sind, zu erfüllen.</w:t>
      </w:r>
    </w:p>
    <w:p>
      <w:pPr>
        <w:pStyle w:val="GesAbsatz"/>
        <w:jc w:val="both"/>
        <w:rPr>
          <w:rFonts w:cs="Arial"/>
          <w:szCs w:val="17"/>
        </w:rPr>
      </w:pPr>
      <w:r>
        <w:rPr>
          <w:rFonts w:cs="Arial"/>
          <w:szCs w:val="17"/>
        </w:rPr>
        <w:t>Zur Umrechnung des Kohlenstoffs in den jeweiligen CO</w:t>
      </w:r>
      <w:r>
        <w:rPr>
          <w:rFonts w:cs="Arial"/>
          <w:szCs w:val="10"/>
          <w:vertAlign w:val="subscript"/>
        </w:rPr>
        <w:t>2</w:t>
      </w:r>
      <w:r>
        <w:rPr>
          <w:rFonts w:cs="Arial"/>
          <w:szCs w:val="17"/>
        </w:rPr>
        <w:t>-Wert wird der Faktor</w:t>
      </w:r>
      <w:r>
        <w:rPr>
          <w:rStyle w:val="Funotenzeichen"/>
          <w:rFonts w:cs="Arial"/>
          <w:szCs w:val="17"/>
        </w:rPr>
        <w:footnoteReference w:id="4"/>
      </w:r>
      <w:r>
        <w:rPr>
          <w:rFonts w:cs="Arial"/>
          <w:szCs w:val="17"/>
        </w:rPr>
        <w:t xml:space="preserve"> 3,667 [t CO</w:t>
      </w:r>
      <w:r>
        <w:rPr>
          <w:rFonts w:cs="Arial"/>
          <w:szCs w:val="10"/>
          <w:vertAlign w:val="subscript"/>
        </w:rPr>
        <w:t>2</w:t>
      </w:r>
      <w:r>
        <w:rPr>
          <w:rFonts w:cs="Arial"/>
          <w:szCs w:val="17"/>
        </w:rPr>
        <w:t>/t C] zugru</w:t>
      </w:r>
      <w:r>
        <w:rPr>
          <w:rFonts w:cs="Arial"/>
          <w:szCs w:val="17"/>
        </w:rPr>
        <w:t>n</w:t>
      </w:r>
      <w:r>
        <w:rPr>
          <w:rFonts w:cs="Arial"/>
          <w:szCs w:val="17"/>
        </w:rPr>
        <w:t>de gelegt.</w:t>
      </w:r>
    </w:p>
    <w:p>
      <w:pPr>
        <w:pStyle w:val="GesAbsatz"/>
        <w:jc w:val="both"/>
        <w:rPr>
          <w:rFonts w:cs="Arial"/>
          <w:szCs w:val="17"/>
        </w:rPr>
      </w:pPr>
      <w:r>
        <w:rPr>
          <w:rFonts w:cs="Arial"/>
          <w:szCs w:val="17"/>
        </w:rPr>
        <w:t>Für die genaueren Ebenenkonzepte müssen in Übereinstimmung mit den Vorgaben des Abschnitts 10 dieses Anhangs tätigkeitsspezifische Faktoren ermittelt werden. Für Ebene-1-Methoden sind die Refere</w:t>
      </w:r>
      <w:r>
        <w:rPr>
          <w:rFonts w:cs="Arial"/>
          <w:szCs w:val="17"/>
        </w:rPr>
        <w:t>n</w:t>
      </w:r>
      <w:r>
        <w:rPr>
          <w:rFonts w:cs="Arial"/>
          <w:szCs w:val="17"/>
        </w:rPr>
        <w:t>zemi</w:t>
      </w:r>
      <w:r>
        <w:rPr>
          <w:rFonts w:cs="Arial"/>
          <w:szCs w:val="17"/>
        </w:rPr>
        <w:t>s</w:t>
      </w:r>
      <w:r>
        <w:rPr>
          <w:rFonts w:cs="Arial"/>
          <w:szCs w:val="17"/>
        </w:rPr>
        <w:t>sionsfaktoren zu verwenden, die in Abschnitt 8 dieses Anhangs aufgeführt sind.</w:t>
      </w:r>
    </w:p>
    <w:p>
      <w:pPr>
        <w:pStyle w:val="GesAbsatz"/>
        <w:jc w:val="both"/>
        <w:rPr>
          <w:rFonts w:cs="Arial"/>
          <w:szCs w:val="17"/>
        </w:rPr>
      </w:pPr>
      <w:r>
        <w:rPr>
          <w:rFonts w:cs="Arial"/>
          <w:szCs w:val="17"/>
        </w:rPr>
        <w:t>Biomasse gilt als CO</w:t>
      </w:r>
      <w:r>
        <w:rPr>
          <w:rFonts w:cs="Arial"/>
          <w:szCs w:val="10"/>
          <w:vertAlign w:val="subscript"/>
        </w:rPr>
        <w:t>2</w:t>
      </w:r>
      <w:r>
        <w:rPr>
          <w:rFonts w:cs="Arial"/>
          <w:szCs w:val="17"/>
        </w:rPr>
        <w:t>-neutral. Daher findet auf Biomasse ein Emissionsfaktor von 0 [t CO</w:t>
      </w:r>
      <w:r>
        <w:rPr>
          <w:rFonts w:cs="Arial"/>
          <w:szCs w:val="10"/>
          <w:vertAlign w:val="subscript"/>
        </w:rPr>
        <w:t>2</w:t>
      </w:r>
      <w:r>
        <w:rPr>
          <w:rFonts w:cs="Arial"/>
          <w:szCs w:val="17"/>
        </w:rPr>
        <w:t xml:space="preserve">/TJ oder t </w:t>
      </w:r>
      <w:r>
        <w:rPr>
          <w:rFonts w:cs="Arial"/>
          <w:szCs w:val="17"/>
        </w:rPr>
        <w:t>o</w:t>
      </w:r>
      <w:r>
        <w:rPr>
          <w:rFonts w:cs="Arial"/>
          <w:szCs w:val="17"/>
        </w:rPr>
        <w:t>der m</w:t>
      </w:r>
      <w:r>
        <w:rPr>
          <w:rFonts w:cs="Arial"/>
          <w:szCs w:val="10"/>
          <w:vertAlign w:val="superscript"/>
        </w:rPr>
        <w:t>3</w:t>
      </w:r>
      <w:r>
        <w:rPr>
          <w:rFonts w:cs="Arial"/>
          <w:szCs w:val="17"/>
        </w:rPr>
        <w:t>] Anwendung. Eine Liste verschiedener Stoffe, die als Biomasse betrachtet werden, findet sich in Abschnitt 9 dieses Anhangs.</w:t>
      </w:r>
    </w:p>
    <w:p>
      <w:pPr>
        <w:pStyle w:val="GesAbsatz"/>
        <w:jc w:val="both"/>
        <w:rPr>
          <w:rFonts w:cs="Arial"/>
          <w:szCs w:val="17"/>
        </w:rPr>
      </w:pPr>
      <w:r>
        <w:rPr>
          <w:rFonts w:cs="Arial"/>
          <w:szCs w:val="17"/>
        </w:rPr>
        <w:t>Für fossile Abfallbrennstoffe werden in diesen Leitlinien keine Emissionsfaktoren genannt. Stattdessen sind entsprechend den Vorgaben von Abschnitt 10 dieses Anhangs spezifische Emissionsfaktoren zu e</w:t>
      </w:r>
      <w:r>
        <w:rPr>
          <w:rFonts w:cs="Arial"/>
          <w:szCs w:val="17"/>
        </w:rPr>
        <w:t>r</w:t>
      </w:r>
      <w:r>
        <w:rPr>
          <w:rFonts w:cs="Arial"/>
          <w:szCs w:val="17"/>
        </w:rPr>
        <w:t>mitteln.</w:t>
      </w:r>
    </w:p>
    <w:p>
      <w:pPr>
        <w:pStyle w:val="GesAbsatz"/>
        <w:jc w:val="both"/>
        <w:rPr>
          <w:rFonts w:cs="Arial"/>
          <w:szCs w:val="17"/>
        </w:rPr>
      </w:pPr>
      <w:r>
        <w:rPr>
          <w:rFonts w:cs="Arial"/>
          <w:szCs w:val="17"/>
        </w:rPr>
        <w:t>Bei Brenn- oder Rohstoffen, die sowohl fossilen als auch Biomasse-Kohlenstoff enthalten, findet ein g</w:t>
      </w:r>
      <w:r>
        <w:rPr>
          <w:rFonts w:cs="Arial"/>
          <w:szCs w:val="17"/>
        </w:rPr>
        <w:t>e</w:t>
      </w:r>
      <w:r>
        <w:rPr>
          <w:rFonts w:cs="Arial"/>
          <w:szCs w:val="17"/>
        </w:rPr>
        <w:t>wichteter Emissionsfaktor Anwendung, der auf dem Anteil des fossilen Kohlenstoffs am Gesamtkohle</w:t>
      </w:r>
      <w:r>
        <w:rPr>
          <w:rFonts w:cs="Arial"/>
          <w:szCs w:val="17"/>
        </w:rPr>
        <w:t>n</w:t>
      </w:r>
      <w:r>
        <w:rPr>
          <w:rFonts w:cs="Arial"/>
          <w:szCs w:val="17"/>
        </w:rPr>
        <w:t>stoffgehalt des Brennstoffs beruht. Die Berechnung dieses Faktors soll transparent und in Einklang mit den Vorg</w:t>
      </w:r>
      <w:r>
        <w:rPr>
          <w:rFonts w:cs="Arial"/>
          <w:szCs w:val="17"/>
        </w:rPr>
        <w:t>a</w:t>
      </w:r>
      <w:r>
        <w:rPr>
          <w:rFonts w:cs="Arial"/>
          <w:szCs w:val="17"/>
        </w:rPr>
        <w:t>ben und den Verfahren erfolgen, die in Abschnitt 10 dieses Anhangs dargelegt sind.</w:t>
      </w:r>
    </w:p>
    <w:p>
      <w:pPr>
        <w:pStyle w:val="GesAbsatz"/>
        <w:jc w:val="both"/>
        <w:rPr>
          <w:rFonts w:cs="Arial"/>
          <w:szCs w:val="17"/>
        </w:rPr>
      </w:pPr>
      <w:r>
        <w:rPr>
          <w:rFonts w:cs="Arial"/>
          <w:szCs w:val="17"/>
        </w:rPr>
        <w:t>Alle relevanten Informationen über die verwendeten Emissionsfaktoren (auch Angaben zu den Informat</w:t>
      </w:r>
      <w:r>
        <w:rPr>
          <w:rFonts w:cs="Arial"/>
          <w:szCs w:val="17"/>
        </w:rPr>
        <w:t>i</w:t>
      </w:r>
      <w:r>
        <w:rPr>
          <w:rFonts w:cs="Arial"/>
          <w:szCs w:val="17"/>
        </w:rPr>
        <w:t>onsquellen und Ergebnissen von Analysen der Brennstoffe bzw. des Input-/Output-Materials) sind or</w:t>
      </w:r>
      <w:r>
        <w:rPr>
          <w:rFonts w:cs="Arial"/>
          <w:szCs w:val="17"/>
        </w:rPr>
        <w:t>d</w:t>
      </w:r>
      <w:r>
        <w:rPr>
          <w:rFonts w:cs="Arial"/>
          <w:szCs w:val="17"/>
        </w:rPr>
        <w:t>nungsgemäß zu dokumentieren. Detailliertere Vorgaben hierzu sind in den tätigkeitsspezifischen Leitlin</w:t>
      </w:r>
      <w:r>
        <w:rPr>
          <w:rFonts w:cs="Arial"/>
          <w:szCs w:val="17"/>
        </w:rPr>
        <w:t>i</w:t>
      </w:r>
      <w:r>
        <w:rPr>
          <w:rFonts w:cs="Arial"/>
          <w:szCs w:val="17"/>
        </w:rPr>
        <w:t>en zu finden.</w:t>
      </w:r>
    </w:p>
    <w:p>
      <w:pPr>
        <w:pStyle w:val="GesAbsatz"/>
        <w:jc w:val="both"/>
        <w:rPr>
          <w:rFonts w:cs="Arial"/>
          <w:szCs w:val="17"/>
        </w:rPr>
      </w:pPr>
      <w:r>
        <w:rPr>
          <w:rFonts w:cs="Arial"/>
          <w:szCs w:val="17"/>
        </w:rPr>
        <w:t>4.2.2.1.7. Oxidations-/Umsetzungsfaktoren</w:t>
      </w:r>
    </w:p>
    <w:p>
      <w:pPr>
        <w:pStyle w:val="GesAbsatz"/>
        <w:jc w:val="both"/>
        <w:rPr>
          <w:rFonts w:cs="Arial"/>
          <w:szCs w:val="17"/>
        </w:rPr>
      </w:pPr>
      <w:r>
        <w:rPr>
          <w:rFonts w:cs="Arial"/>
          <w:szCs w:val="17"/>
        </w:rPr>
        <w:t>Wird beim Emissionsfaktor nicht berücksichtigt, dass ein Teil des Kohlenstoffs nicht oxidiert wird, so ist ein zusätzlicher Oxidations-/Umsetzungsfaktor zu verwenden. Für die genaueren Ebenenkonzepte sind täti</w:t>
      </w:r>
      <w:r>
        <w:rPr>
          <w:rFonts w:cs="Arial"/>
          <w:szCs w:val="17"/>
        </w:rPr>
        <w:t>g</w:t>
      </w:r>
      <w:r>
        <w:rPr>
          <w:rFonts w:cs="Arial"/>
          <w:szCs w:val="17"/>
        </w:rPr>
        <w:t>keitsspezifische Faktoren zu ermitteln.</w:t>
      </w:r>
    </w:p>
    <w:p>
      <w:pPr>
        <w:pStyle w:val="GesAbsatz"/>
        <w:jc w:val="both"/>
        <w:rPr>
          <w:rFonts w:cs="Arial"/>
          <w:szCs w:val="17"/>
        </w:rPr>
      </w:pPr>
      <w:r>
        <w:rPr>
          <w:rFonts w:cs="Arial"/>
          <w:szCs w:val="17"/>
        </w:rPr>
        <w:t>Aus diesem Grund werden in Abschnitt 10 dieses Anhangs entsprechende Bestimmungen für die Able</w:t>
      </w:r>
      <w:r>
        <w:rPr>
          <w:rFonts w:cs="Arial"/>
          <w:szCs w:val="17"/>
        </w:rPr>
        <w:t>i</w:t>
      </w:r>
      <w:r>
        <w:rPr>
          <w:rFonts w:cs="Arial"/>
          <w:szCs w:val="17"/>
        </w:rPr>
        <w:t>tung dieser Faktoren dargelegt. Werden innerhalb einer Anlage verschiedene Brenn- oder Einsatzstoffe eing</w:t>
      </w:r>
      <w:r>
        <w:rPr>
          <w:rFonts w:cs="Arial"/>
          <w:szCs w:val="17"/>
        </w:rPr>
        <w:t>e</w:t>
      </w:r>
      <w:r>
        <w:rPr>
          <w:rFonts w:cs="Arial"/>
          <w:szCs w:val="17"/>
        </w:rPr>
        <w:t>setzt und tätigkeitsspezifische Oxidationsfaktoren berechnet, kann der Betreiber einen aggregierten Oxidationsfaktor für die betreffende Tätigkeit definieren und diesen auf alle Brennstoffe oder Einsatzsto</w:t>
      </w:r>
      <w:r>
        <w:rPr>
          <w:rFonts w:cs="Arial"/>
          <w:szCs w:val="17"/>
        </w:rPr>
        <w:t>f</w:t>
      </w:r>
      <w:r>
        <w:rPr>
          <w:rFonts w:cs="Arial"/>
          <w:szCs w:val="17"/>
        </w:rPr>
        <w:t>fe anwenden.</w:t>
      </w:r>
    </w:p>
    <w:p>
      <w:pPr>
        <w:pStyle w:val="GesAbsatz"/>
        <w:jc w:val="both"/>
        <w:rPr>
          <w:rFonts w:cs="Arial"/>
          <w:szCs w:val="17"/>
        </w:rPr>
      </w:pPr>
      <w:r>
        <w:rPr>
          <w:rFonts w:cs="Arial"/>
          <w:szCs w:val="17"/>
        </w:rPr>
        <w:lastRenderedPageBreak/>
        <w:t>Der Betreiber kann die unvollständige Oxidation aber auch einem starken Brennstoff- oder Einsatzstof</w:t>
      </w:r>
      <w:r>
        <w:rPr>
          <w:rFonts w:cs="Arial"/>
          <w:szCs w:val="17"/>
        </w:rPr>
        <w:t>f</w:t>
      </w:r>
      <w:r>
        <w:rPr>
          <w:rFonts w:cs="Arial"/>
          <w:szCs w:val="17"/>
        </w:rPr>
        <w:t>strom zuweisen und für die anderen den Wert 1 anwenden.</w:t>
      </w:r>
    </w:p>
    <w:p>
      <w:pPr>
        <w:pStyle w:val="GesAbsatz"/>
        <w:jc w:val="both"/>
        <w:rPr>
          <w:rFonts w:cs="Arial"/>
          <w:szCs w:val="17"/>
        </w:rPr>
      </w:pPr>
      <w:r>
        <w:rPr>
          <w:rFonts w:cs="Arial"/>
          <w:szCs w:val="17"/>
        </w:rPr>
        <w:t>Alle relevanten Informationen über die verwendeten Oxidations-/Umsetzungsfaktoren (auch Angaben zu den Informationsquellen und Ergebnissen von Analysen der Brennstoffe bzw. des Input-/Output-Materials) sind ordnungsgemäß zu dokumentieren.</w:t>
      </w:r>
    </w:p>
    <w:p>
      <w:pPr>
        <w:pStyle w:val="GesAbsatz"/>
        <w:jc w:val="both"/>
        <w:rPr>
          <w:rFonts w:cs="Arial"/>
          <w:szCs w:val="10"/>
        </w:rPr>
      </w:pPr>
      <w:r>
        <w:rPr>
          <w:rFonts w:cs="Arial"/>
          <w:szCs w:val="17"/>
        </w:rPr>
        <w:t>4.2.2.2. Bestimmung anderer Treibhausgasemissionen als CO</w:t>
      </w:r>
      <w:r>
        <w:rPr>
          <w:rFonts w:cs="Arial"/>
          <w:szCs w:val="10"/>
          <w:vertAlign w:val="subscript"/>
        </w:rPr>
        <w:t>2</w:t>
      </w:r>
    </w:p>
    <w:p>
      <w:pPr>
        <w:pStyle w:val="GesAbsatz"/>
        <w:jc w:val="both"/>
        <w:rPr>
          <w:rFonts w:cs="Arial"/>
          <w:szCs w:val="17"/>
        </w:rPr>
      </w:pPr>
      <w:r>
        <w:rPr>
          <w:rFonts w:cs="Arial"/>
          <w:szCs w:val="17"/>
        </w:rPr>
        <w:t>Allgemeine Leitlinien für die Berechnung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 werden.</w:t>
      </w:r>
    </w:p>
    <w:p>
      <w:pPr>
        <w:pStyle w:val="GesAbsatz"/>
        <w:jc w:val="both"/>
        <w:rPr>
          <w:rFonts w:cs="Arial"/>
          <w:i/>
          <w:iCs/>
          <w:szCs w:val="17"/>
        </w:rPr>
      </w:pPr>
      <w:r>
        <w:rPr>
          <w:rFonts w:cs="Arial"/>
          <w:szCs w:val="17"/>
        </w:rPr>
        <w:t xml:space="preserve">4.2.3. </w:t>
      </w:r>
      <w:r>
        <w:rPr>
          <w:rFonts w:cs="Arial"/>
          <w:i/>
          <w:iCs/>
          <w:szCs w:val="17"/>
        </w:rPr>
        <w:t>Messung</w:t>
      </w:r>
    </w:p>
    <w:p>
      <w:pPr>
        <w:pStyle w:val="GesAbsatz"/>
        <w:jc w:val="both"/>
        <w:rPr>
          <w:rFonts w:cs="Arial"/>
          <w:szCs w:val="17"/>
        </w:rPr>
      </w:pPr>
      <w:r>
        <w:rPr>
          <w:rFonts w:cs="Arial"/>
          <w:szCs w:val="17"/>
        </w:rPr>
        <w:t>4.2.3.1. Messung von CO</w:t>
      </w:r>
      <w:r>
        <w:rPr>
          <w:rFonts w:cs="Arial"/>
          <w:szCs w:val="10"/>
          <w:vertAlign w:val="subscript"/>
        </w:rPr>
        <w:t>2</w:t>
      </w:r>
      <w:r>
        <w:rPr>
          <w:rFonts w:cs="Arial"/>
          <w:szCs w:val="17"/>
        </w:rPr>
        <w:t>-Emissionen</w:t>
      </w:r>
    </w:p>
    <w:p>
      <w:pPr>
        <w:pStyle w:val="GesAbsatz"/>
        <w:jc w:val="both"/>
        <w:rPr>
          <w:rFonts w:cs="Arial"/>
          <w:szCs w:val="17"/>
        </w:rPr>
      </w:pPr>
      <w:r>
        <w:rPr>
          <w:rFonts w:cs="Arial"/>
          <w:szCs w:val="17"/>
        </w:rPr>
        <w:t>Wie in Abschnitt 4.2.1 dargelegt, können Emissionen von Treibhausgas aus allen Quellen mittels kontin</w:t>
      </w:r>
      <w:r>
        <w:rPr>
          <w:rFonts w:cs="Arial"/>
          <w:szCs w:val="17"/>
        </w:rPr>
        <w:t>u</w:t>
      </w:r>
      <w:r>
        <w:rPr>
          <w:rFonts w:cs="Arial"/>
          <w:szCs w:val="17"/>
        </w:rPr>
        <w:t>ierlicher Emissionsmesssysteme (KEMS) ermittelt werden. Dabei sind standardisierte oder etablierte Ve</w:t>
      </w:r>
      <w:r>
        <w:rPr>
          <w:rFonts w:cs="Arial"/>
          <w:szCs w:val="17"/>
        </w:rPr>
        <w:t>r</w:t>
      </w:r>
      <w:r>
        <w:rPr>
          <w:rFonts w:cs="Arial"/>
          <w:szCs w:val="17"/>
        </w:rPr>
        <w:t>fahren zu verwenden. Voraussetzung ist, dass der Betreiber vor Beginn des Berichtszeitraums von der zuständigen Behörde die Bestätigung erhalten hat, dass der Einsatz eines KEMS genauere Ergebni</w:t>
      </w:r>
      <w:r>
        <w:rPr>
          <w:rFonts w:cs="Arial"/>
          <w:szCs w:val="17"/>
        </w:rPr>
        <w:t>s</w:t>
      </w:r>
      <w:r>
        <w:rPr>
          <w:rFonts w:cs="Arial"/>
          <w:szCs w:val="17"/>
        </w:rPr>
        <w:t>se erzielt, als dies bei einer Berechnung der Emissionen unter Verwendung des genauesten Ebenenko</w:t>
      </w:r>
      <w:r>
        <w:rPr>
          <w:rFonts w:cs="Arial"/>
          <w:szCs w:val="17"/>
        </w:rPr>
        <w:t>n</w:t>
      </w:r>
      <w:r>
        <w:rPr>
          <w:rFonts w:cs="Arial"/>
          <w:szCs w:val="17"/>
        </w:rPr>
        <w:t xml:space="preserve">zepts der Fall wäre. Im Anschluss daran sind für jeden nachfolgenden Berichtszeitraum die anhand eines KEMS ermittelten </w:t>
      </w:r>
      <w:r>
        <w:rPr>
          <w:rFonts w:cs="Arial"/>
          <w:szCs w:val="17"/>
        </w:rPr>
        <w:t>E</w:t>
      </w:r>
      <w:r>
        <w:rPr>
          <w:rFonts w:cs="Arial"/>
          <w:szCs w:val="17"/>
        </w:rPr>
        <w:t>missionen durch flankierende Emissionsberechnungen zu bestätigen. Hinsichtlich der Wahl des geeigneten Ebenenkonzepte gelten dieselben Vorschriften wie bei einer Ermittlung der Emi</w:t>
      </w:r>
      <w:r>
        <w:rPr>
          <w:rFonts w:cs="Arial"/>
          <w:szCs w:val="17"/>
        </w:rPr>
        <w:t>s</w:t>
      </w:r>
      <w:r>
        <w:rPr>
          <w:rFonts w:cs="Arial"/>
          <w:szCs w:val="17"/>
        </w:rPr>
        <w:t>sionen anhand von Berechnungen (siehe Abschnitt 4.2.2.1.4).</w:t>
      </w:r>
    </w:p>
    <w:p>
      <w:pPr>
        <w:pStyle w:val="GesAbsatz"/>
        <w:jc w:val="both"/>
        <w:rPr>
          <w:rFonts w:cs="Arial"/>
          <w:szCs w:val="17"/>
        </w:rPr>
      </w:pPr>
      <w:r>
        <w:rPr>
          <w:rFonts w:cs="Arial"/>
          <w:szCs w:val="17"/>
        </w:rPr>
        <w:t>Was die Verfahren zur Messung der CO</w:t>
      </w:r>
      <w:r>
        <w:rPr>
          <w:rFonts w:cs="Arial"/>
          <w:szCs w:val="10"/>
          <w:vertAlign w:val="subscript"/>
        </w:rPr>
        <w:t>2</w:t>
      </w:r>
      <w:r>
        <w:rPr>
          <w:rFonts w:cs="Arial"/>
          <w:szCs w:val="17"/>
        </w:rPr>
        <w:t>-Konzentrationen sowie des Masse- bzw. Volumenstroms der Abgase, die durch die einzelnen Schornsteine entweichen, betrifft, so finden die einschlägigen CEN-Normen A</w:t>
      </w:r>
      <w:r>
        <w:rPr>
          <w:rFonts w:cs="Arial"/>
          <w:szCs w:val="17"/>
        </w:rPr>
        <w:t>n</w:t>
      </w:r>
      <w:r>
        <w:rPr>
          <w:rFonts w:cs="Arial"/>
          <w:szCs w:val="17"/>
        </w:rPr>
        <w:t>wendung (nach ihrer Verabschiedung). Sollten keine einschlägigen CEN-Normen verfügbar sein, so sind die entsprechenden ISO-Normen oder nationalen Normen anzuwenden. Gibt es keine ge</w:t>
      </w:r>
      <w:r>
        <w:rPr>
          <w:rFonts w:cs="Arial"/>
          <w:szCs w:val="17"/>
        </w:rPr>
        <w:t>l</w:t>
      </w:r>
      <w:r>
        <w:rPr>
          <w:rFonts w:cs="Arial"/>
          <w:szCs w:val="17"/>
        </w:rPr>
        <w:t>tenden Normen, so können gegebenenfalls Verfahren angewandt werden, die vorliegenden Normentwü</w:t>
      </w:r>
      <w:r>
        <w:rPr>
          <w:rFonts w:cs="Arial"/>
          <w:szCs w:val="17"/>
        </w:rPr>
        <w:t>r</w:t>
      </w:r>
      <w:r>
        <w:rPr>
          <w:rFonts w:cs="Arial"/>
          <w:szCs w:val="17"/>
        </w:rPr>
        <w:t>fen oder den Leitlinien hinsichtlich der bewährtesten Praxis („Best Practice Guidelines“) der Industrie en</w:t>
      </w:r>
      <w:r>
        <w:rPr>
          <w:rFonts w:cs="Arial"/>
          <w:szCs w:val="17"/>
        </w:rPr>
        <w:t>t</w:t>
      </w:r>
      <w:r>
        <w:rPr>
          <w:rFonts w:cs="Arial"/>
          <w:szCs w:val="17"/>
        </w:rPr>
        <w:t>sprechen.</w:t>
      </w:r>
    </w:p>
    <w:p>
      <w:pPr>
        <w:pStyle w:val="GesAbsatz"/>
        <w:jc w:val="both"/>
        <w:rPr>
          <w:rFonts w:cs="Arial"/>
          <w:szCs w:val="17"/>
        </w:rPr>
      </w:pPr>
      <w:r>
        <w:rPr>
          <w:rFonts w:cs="Arial"/>
          <w:szCs w:val="17"/>
        </w:rPr>
        <w:t>Beispiele für einschlägige ISO-Normen:</w:t>
      </w:r>
    </w:p>
    <w:p>
      <w:pPr>
        <w:pStyle w:val="GesAbsatz"/>
        <w:ind w:left="426" w:hanging="426"/>
        <w:jc w:val="both"/>
        <w:rPr>
          <w:rFonts w:cs="Arial"/>
          <w:szCs w:val="17"/>
        </w:rPr>
      </w:pPr>
      <w:r>
        <w:rPr>
          <w:rFonts w:cs="Arial"/>
          <w:szCs w:val="17"/>
        </w:rPr>
        <w:t>-</w:t>
      </w:r>
      <w:r>
        <w:rPr>
          <w:rFonts w:cs="Arial"/>
          <w:szCs w:val="17"/>
        </w:rPr>
        <w:tab/>
        <w:t>ISO 10396:1993 „Emissionen aus stationären Quellen - Qualitätssicherung für automatische Mes</w:t>
      </w:r>
      <w:r>
        <w:rPr>
          <w:rFonts w:cs="Arial"/>
          <w:szCs w:val="17"/>
        </w:rPr>
        <w:t>s</w:t>
      </w:r>
      <w:r>
        <w:rPr>
          <w:rFonts w:cs="Arial"/>
          <w:szCs w:val="17"/>
        </w:rPr>
        <w:t>einrichtungen“;</w:t>
      </w:r>
    </w:p>
    <w:p>
      <w:pPr>
        <w:pStyle w:val="GesAbsatz"/>
        <w:jc w:val="both"/>
        <w:rPr>
          <w:rFonts w:cs="Arial"/>
          <w:szCs w:val="17"/>
        </w:rPr>
      </w:pPr>
      <w:r>
        <w:rPr>
          <w:rFonts w:cs="Arial"/>
          <w:szCs w:val="17"/>
        </w:rPr>
        <w:t>-</w:t>
      </w:r>
      <w:r>
        <w:rPr>
          <w:rFonts w:cs="Arial"/>
          <w:szCs w:val="17"/>
        </w:rPr>
        <w:tab/>
        <w:t>ISO 10012:2003 „Messlenkungssysteme - Anforderungen an Messprozesse und Messmittel“.</w:t>
      </w:r>
    </w:p>
    <w:p>
      <w:pPr>
        <w:pStyle w:val="GesAbsatz"/>
        <w:jc w:val="both"/>
        <w:rPr>
          <w:rFonts w:cs="Arial"/>
          <w:szCs w:val="17"/>
        </w:rPr>
      </w:pPr>
      <w:r>
        <w:rPr>
          <w:rFonts w:cs="Arial"/>
          <w:szCs w:val="17"/>
        </w:rPr>
        <w:t>Nach Installation des KEMS sollte das System in regelmäßigen Abständen auf seine Leistung und Funkt</w:t>
      </w:r>
      <w:r>
        <w:rPr>
          <w:rFonts w:cs="Arial"/>
          <w:szCs w:val="17"/>
        </w:rPr>
        <w:t>i</w:t>
      </w:r>
      <w:r>
        <w:rPr>
          <w:rFonts w:cs="Arial"/>
          <w:szCs w:val="17"/>
        </w:rPr>
        <w:t>onsfähigkeit überprüft werden, insbesondere im Hinblick auf:</w:t>
      </w:r>
    </w:p>
    <w:p>
      <w:pPr>
        <w:pStyle w:val="GesAbsatz"/>
        <w:jc w:val="both"/>
        <w:rPr>
          <w:rFonts w:cs="Arial"/>
          <w:szCs w:val="17"/>
        </w:rPr>
      </w:pPr>
      <w:r>
        <w:rPr>
          <w:rFonts w:cs="Arial"/>
          <w:szCs w:val="17"/>
        </w:rPr>
        <w:t>-</w:t>
      </w:r>
      <w:r>
        <w:rPr>
          <w:rFonts w:cs="Arial"/>
          <w:szCs w:val="17"/>
        </w:rPr>
        <w:tab/>
        <w:t>Ansprechzeit,</w:t>
      </w:r>
    </w:p>
    <w:p>
      <w:pPr>
        <w:pStyle w:val="GesAbsatz"/>
        <w:jc w:val="both"/>
        <w:rPr>
          <w:rFonts w:cs="Arial"/>
          <w:szCs w:val="17"/>
        </w:rPr>
      </w:pPr>
      <w:r>
        <w:rPr>
          <w:rFonts w:cs="Arial"/>
          <w:szCs w:val="17"/>
        </w:rPr>
        <w:t>-</w:t>
      </w:r>
      <w:r>
        <w:rPr>
          <w:rFonts w:cs="Arial"/>
          <w:szCs w:val="17"/>
        </w:rPr>
        <w:tab/>
        <w:t>Linearität,</w:t>
      </w:r>
    </w:p>
    <w:p>
      <w:pPr>
        <w:pStyle w:val="GesAbsatz"/>
        <w:jc w:val="both"/>
        <w:rPr>
          <w:rFonts w:cs="Arial"/>
          <w:szCs w:val="17"/>
        </w:rPr>
      </w:pPr>
      <w:r>
        <w:rPr>
          <w:rFonts w:cs="Arial"/>
          <w:szCs w:val="17"/>
        </w:rPr>
        <w:t>-</w:t>
      </w:r>
      <w:r>
        <w:rPr>
          <w:rFonts w:cs="Arial"/>
          <w:szCs w:val="17"/>
        </w:rPr>
        <w:tab/>
        <w:t>Interferenz,</w:t>
      </w:r>
    </w:p>
    <w:p>
      <w:pPr>
        <w:pStyle w:val="GesAbsatz"/>
        <w:jc w:val="both"/>
        <w:rPr>
          <w:rFonts w:cs="Arial"/>
          <w:szCs w:val="17"/>
        </w:rPr>
      </w:pPr>
      <w:r>
        <w:rPr>
          <w:rFonts w:cs="Arial"/>
          <w:szCs w:val="17"/>
        </w:rPr>
        <w:t>-</w:t>
      </w:r>
      <w:r>
        <w:rPr>
          <w:rFonts w:cs="Arial"/>
          <w:szCs w:val="17"/>
        </w:rPr>
        <w:tab/>
        <w:t>Nullpunkt- und Messbereichsdrift,</w:t>
      </w:r>
    </w:p>
    <w:p>
      <w:pPr>
        <w:pStyle w:val="GesAbsatz"/>
        <w:jc w:val="both"/>
        <w:rPr>
          <w:rFonts w:cs="Arial"/>
          <w:szCs w:val="17"/>
        </w:rPr>
      </w:pPr>
      <w:r>
        <w:rPr>
          <w:rFonts w:cs="Arial"/>
          <w:szCs w:val="17"/>
        </w:rPr>
        <w:t>-</w:t>
      </w:r>
      <w:r>
        <w:rPr>
          <w:rFonts w:cs="Arial"/>
          <w:szCs w:val="17"/>
        </w:rPr>
        <w:tab/>
        <w:t>Genauigkeit (im Vergleich zu einer Referenzmethode).</w:t>
      </w:r>
    </w:p>
    <w:p>
      <w:pPr>
        <w:pStyle w:val="GesAbsatz"/>
        <w:jc w:val="both"/>
        <w:rPr>
          <w:rFonts w:cs="Arial"/>
          <w:szCs w:val="17"/>
        </w:rPr>
      </w:pPr>
      <w:r>
        <w:rPr>
          <w:rFonts w:cs="Arial"/>
          <w:szCs w:val="17"/>
        </w:rPr>
        <w:t>Der Biomasse-Anteil an den gemessenen CO</w:t>
      </w:r>
      <w:r>
        <w:rPr>
          <w:rFonts w:cs="Arial"/>
          <w:szCs w:val="10"/>
          <w:vertAlign w:val="subscript"/>
        </w:rPr>
        <w:t>2</w:t>
      </w:r>
      <w:r>
        <w:rPr>
          <w:rFonts w:cs="Arial"/>
          <w:szCs w:val="17"/>
        </w:rPr>
        <w:t>-Emissionen ist anhand von Berechnungen zu ermitteln und aus den Gesamtemissionen herauszurechnen. Das Ergebnis ist in Form eines Memo-Items zu me</w:t>
      </w:r>
      <w:r>
        <w:rPr>
          <w:rFonts w:cs="Arial"/>
          <w:szCs w:val="17"/>
        </w:rPr>
        <w:t>l</w:t>
      </w:r>
      <w:r>
        <w:rPr>
          <w:rFonts w:cs="Arial"/>
          <w:szCs w:val="17"/>
        </w:rPr>
        <w:t>den (siehe Abschnitt 12 dieses Anhangs).</w:t>
      </w:r>
    </w:p>
    <w:p>
      <w:pPr>
        <w:pStyle w:val="GesAbsatz"/>
        <w:jc w:val="both"/>
        <w:rPr>
          <w:rFonts w:cs="Arial"/>
          <w:szCs w:val="10"/>
        </w:rPr>
      </w:pPr>
      <w:r>
        <w:rPr>
          <w:rFonts w:cs="Arial"/>
          <w:szCs w:val="17"/>
        </w:rPr>
        <w:br w:type="page"/>
      </w:r>
      <w:r>
        <w:rPr>
          <w:rFonts w:cs="Arial"/>
          <w:szCs w:val="17"/>
        </w:rPr>
        <w:lastRenderedPageBreak/>
        <w:t>4.2.3.2. Messung anderer Emissionen als CO</w:t>
      </w:r>
      <w:r>
        <w:rPr>
          <w:rFonts w:cs="Arial"/>
          <w:szCs w:val="10"/>
          <w:vertAlign w:val="subscript"/>
        </w:rPr>
        <w:t>2</w:t>
      </w:r>
    </w:p>
    <w:p>
      <w:pPr>
        <w:pStyle w:val="GesAbsatz"/>
        <w:jc w:val="both"/>
        <w:rPr>
          <w:rFonts w:cs="Arial"/>
          <w:szCs w:val="17"/>
        </w:rPr>
      </w:pPr>
      <w:r>
        <w:rPr>
          <w:rFonts w:cs="Arial"/>
          <w:szCs w:val="17"/>
        </w:rPr>
        <w:t>Allgemeine Leitlinien für die Messung anderer Treibhausgasemissionen als CO</w:t>
      </w:r>
      <w:r>
        <w:rPr>
          <w:rFonts w:cs="Arial"/>
          <w:szCs w:val="10"/>
          <w:vertAlign w:val="subscript"/>
        </w:rPr>
        <w:t>2</w:t>
      </w:r>
      <w:r>
        <w:rPr>
          <w:rFonts w:cs="Arial"/>
          <w:szCs w:val="10"/>
        </w:rPr>
        <w:t xml:space="preserve"> </w:t>
      </w:r>
      <w:r>
        <w:rPr>
          <w:rFonts w:cs="Arial"/>
          <w:szCs w:val="17"/>
        </w:rPr>
        <w:t>werden gegebenenfalls zu einem späteren Zeitpunkt in Übereinstimmung mit den einschlägigen Bestimmungen der Richtlinie e</w:t>
      </w:r>
      <w:r>
        <w:rPr>
          <w:rFonts w:cs="Arial"/>
          <w:szCs w:val="17"/>
        </w:rPr>
        <w:t>r</w:t>
      </w:r>
      <w:r>
        <w:rPr>
          <w:rFonts w:cs="Arial"/>
          <w:szCs w:val="17"/>
        </w:rPr>
        <w:t>arbeitet werden.</w:t>
      </w:r>
    </w:p>
    <w:p>
      <w:pPr>
        <w:pStyle w:val="GesAbsatz"/>
        <w:jc w:val="both"/>
        <w:rPr>
          <w:rFonts w:cs="Arial"/>
          <w:b/>
          <w:bCs/>
          <w:szCs w:val="17"/>
        </w:rPr>
      </w:pPr>
      <w:r>
        <w:rPr>
          <w:rFonts w:cs="Arial"/>
          <w:b/>
          <w:bCs/>
          <w:szCs w:val="17"/>
        </w:rPr>
        <w:t>4.3. Bewertung der Unsicherheiten</w:t>
      </w:r>
    </w:p>
    <w:p>
      <w:pPr>
        <w:pStyle w:val="GesAbsatz"/>
        <w:jc w:val="both"/>
        <w:rPr>
          <w:rFonts w:cs="Arial"/>
          <w:szCs w:val="17"/>
        </w:rPr>
      </w:pPr>
      <w:r>
        <w:rPr>
          <w:rFonts w:cs="Arial"/>
          <w:szCs w:val="17"/>
        </w:rPr>
        <w:t>Entsprechend dieser Leitlinien werden „zulässige Unsicherheiten“ als Konfidenzintervall von 95 % rund um den gemessenen Wert ausgedrückt, z. B. bei der Beschreibung der für das Ebenenkonzept verwe</w:t>
      </w:r>
      <w:r>
        <w:rPr>
          <w:rFonts w:cs="Arial"/>
          <w:szCs w:val="17"/>
        </w:rPr>
        <w:t>n</w:t>
      </w:r>
      <w:r>
        <w:rPr>
          <w:rFonts w:cs="Arial"/>
          <w:szCs w:val="17"/>
        </w:rPr>
        <w:t>deten Messgeräte oder der Genauigkeit eines kontinuierlichen Messsystems.</w:t>
      </w:r>
    </w:p>
    <w:p>
      <w:pPr>
        <w:pStyle w:val="GesAbsatz"/>
        <w:jc w:val="both"/>
        <w:rPr>
          <w:rFonts w:cs="Arial"/>
          <w:iCs/>
          <w:szCs w:val="17"/>
        </w:rPr>
      </w:pPr>
      <w:r>
        <w:rPr>
          <w:rFonts w:cs="Arial"/>
          <w:szCs w:val="17"/>
        </w:rPr>
        <w:t xml:space="preserve">4.3.1. </w:t>
      </w:r>
      <w:r>
        <w:rPr>
          <w:rFonts w:cs="Arial"/>
          <w:i/>
          <w:iCs/>
          <w:szCs w:val="17"/>
        </w:rPr>
        <w:t>Berechnung</w:t>
      </w:r>
    </w:p>
    <w:p>
      <w:pPr>
        <w:pStyle w:val="GesAbsatz"/>
        <w:jc w:val="both"/>
        <w:rPr>
          <w:rFonts w:cs="Arial"/>
          <w:szCs w:val="17"/>
        </w:rPr>
      </w:pPr>
      <w:r>
        <w:rPr>
          <w:rFonts w:cs="Arial"/>
          <w:szCs w:val="17"/>
        </w:rPr>
        <w:t>Der Betreiber sollte sich über die Auswirkungen von Unsicherheiten auf die Genauigkeit der von ihm g</w:t>
      </w:r>
      <w:r>
        <w:rPr>
          <w:rFonts w:cs="Arial"/>
          <w:szCs w:val="17"/>
        </w:rPr>
        <w:t>e</w:t>
      </w:r>
      <w:r>
        <w:rPr>
          <w:rFonts w:cs="Arial"/>
          <w:szCs w:val="17"/>
        </w:rPr>
        <w:t>meldeten Emissionsdaten im Klaren sein.</w:t>
      </w:r>
    </w:p>
    <w:p>
      <w:pPr>
        <w:pStyle w:val="GesAbsatz"/>
        <w:jc w:val="both"/>
        <w:rPr>
          <w:rFonts w:cs="Arial"/>
          <w:szCs w:val="17"/>
        </w:rPr>
      </w:pPr>
      <w:r>
        <w:rPr>
          <w:rFonts w:cs="Arial"/>
          <w:szCs w:val="17"/>
        </w:rPr>
        <w:t>Bei einer Ermittlung der Emissionen anhand von Berechnungen hat die zuständige Behörde zuvor die Ebenen Kombinationen für die verschiedenen Quellen innerhalb der Anlage wie auch alle anderen D</w:t>
      </w:r>
      <w:r>
        <w:rPr>
          <w:rFonts w:cs="Arial"/>
          <w:szCs w:val="17"/>
        </w:rPr>
        <w:t>e</w:t>
      </w:r>
      <w:r>
        <w:rPr>
          <w:rFonts w:cs="Arial"/>
          <w:szCs w:val="17"/>
        </w:rPr>
        <w:t>tails im Zusammenhang mit dem in dieser Anlage eingesetzten Überwachungsverfahren genehmigt. Im Zuge dieser Genehmigung billigt die zuständige Behörde gleichzeitig auch die Unsicherheiten, die aus der ko</w:t>
      </w:r>
      <w:r>
        <w:rPr>
          <w:rFonts w:cs="Arial"/>
          <w:szCs w:val="17"/>
        </w:rPr>
        <w:t>r</w:t>
      </w:r>
      <w:r>
        <w:rPr>
          <w:rFonts w:cs="Arial"/>
          <w:szCs w:val="17"/>
        </w:rPr>
        <w:t>rekten Anwendung der genehmigten Überwachungsmethode entstehen. Dies ergibt sich aus dem Inhalt der Genehmigung.</w:t>
      </w:r>
    </w:p>
    <w:p>
      <w:pPr>
        <w:pStyle w:val="GesAbsatz"/>
        <w:jc w:val="both"/>
        <w:rPr>
          <w:rFonts w:cs="Arial"/>
          <w:szCs w:val="17"/>
        </w:rPr>
      </w:pPr>
      <w:r>
        <w:rPr>
          <w:rFonts w:cs="Arial"/>
          <w:szCs w:val="17"/>
        </w:rPr>
        <w:t>Der Betreiber gibt in seinem Jahresbericht an die zuständige Behörde die Ebenenkombinationen an, die für die verschiedenen Quellen innerhalb einer Anlage zugrunde gelegt wurden, und zwar für jede Täti</w:t>
      </w:r>
      <w:r>
        <w:rPr>
          <w:rFonts w:cs="Arial"/>
          <w:szCs w:val="17"/>
        </w:rPr>
        <w:t>g</w:t>
      </w:r>
      <w:r>
        <w:rPr>
          <w:rFonts w:cs="Arial"/>
          <w:szCs w:val="17"/>
        </w:rPr>
        <w:t>keit und jeden relevanten Brennstoff- oder Materialstrom. Die Angabe der zugrunde gelegten Ebenenkombin</w:t>
      </w:r>
      <w:r>
        <w:rPr>
          <w:rFonts w:cs="Arial"/>
          <w:szCs w:val="17"/>
        </w:rPr>
        <w:t>a</w:t>
      </w:r>
      <w:r>
        <w:rPr>
          <w:rFonts w:cs="Arial"/>
          <w:szCs w:val="17"/>
        </w:rPr>
        <w:t>tionen im Emissionsbericht gilt als Meldung von Unsicherheiten im Sinne der Richtlinie. Folglich werden bei einer Ermittlung der Emissionen anhand von Berechnungen keine weiteren Anforderungen in Bezug auf die Meldung von Unsicherheiten gestellt.</w:t>
      </w:r>
    </w:p>
    <w:p>
      <w:pPr>
        <w:pStyle w:val="GesAbsatz"/>
        <w:jc w:val="both"/>
        <w:rPr>
          <w:rFonts w:cs="Arial"/>
          <w:szCs w:val="17"/>
        </w:rPr>
      </w:pPr>
      <w:r>
        <w:rPr>
          <w:rFonts w:cs="Arial"/>
          <w:szCs w:val="17"/>
        </w:rPr>
        <w:t>Der zulässige Unsicherheitsfaktor, der für die innerhalb des Ebenenkonzepts eingesetzten Messgeräte ermittelt wird, umfasst die für die Messgeräte spezifizierte Unsicherheit, die Unsicherheiten im Zusa</w:t>
      </w:r>
      <w:r>
        <w:rPr>
          <w:rFonts w:cs="Arial"/>
          <w:szCs w:val="17"/>
        </w:rPr>
        <w:t>m</w:t>
      </w:r>
      <w:r>
        <w:rPr>
          <w:rFonts w:cs="Arial"/>
          <w:szCs w:val="17"/>
        </w:rPr>
        <w:t>menhang mit der Kalibrierung sowie alle weiteren Unsicherheiten im Zusammenhang mit dem Einsatz des Messsystems in der Praxis. Die im Rahmen des Ebenenkonzepts festgelegten Grenzwerte beziehen sich auf die Unsicherheit in Bezug auf den gemessenen Wert und gelten für einen Berichtszeitraum.</w:t>
      </w:r>
    </w:p>
    <w:p>
      <w:pPr>
        <w:pStyle w:val="GesAbsatz"/>
        <w:jc w:val="both"/>
        <w:rPr>
          <w:rFonts w:cs="Arial"/>
          <w:szCs w:val="17"/>
        </w:rPr>
      </w:pPr>
      <w:r>
        <w:rPr>
          <w:rFonts w:cs="Arial"/>
          <w:szCs w:val="17"/>
        </w:rPr>
        <w:t>Der Betreiber ist gehalten, die Unsicherheiten in Bezug auf die übrigen in seinem Emissionsbericht entha</w:t>
      </w:r>
      <w:r>
        <w:rPr>
          <w:rFonts w:cs="Arial"/>
          <w:szCs w:val="17"/>
        </w:rPr>
        <w:t>l</w:t>
      </w:r>
      <w:r>
        <w:rPr>
          <w:rFonts w:cs="Arial"/>
          <w:szCs w:val="17"/>
        </w:rPr>
        <w:t>tenen Emissionsdaten mit Hilfe des Verfahrens zur Qualitätssicherung und -kontrolle zu ermitteln und so weit wie möglich zu verringern. Im Rahmen des Prüfungsverfahrens kontrolliert die prüfende Instanz die korrekte Anwendung der genehmigten Überwachungsmethode und beurteilt ferner den Umgang mit bzw. die Reduzierung der übrigen Unsicherheiten durch das vom Betreiber angewandte Verfahren zur Qual</w:t>
      </w:r>
      <w:r>
        <w:rPr>
          <w:rFonts w:cs="Arial"/>
          <w:szCs w:val="17"/>
        </w:rPr>
        <w:t>i</w:t>
      </w:r>
      <w:r>
        <w:rPr>
          <w:rFonts w:cs="Arial"/>
          <w:szCs w:val="17"/>
        </w:rPr>
        <w:t>tätss</w:t>
      </w:r>
      <w:r>
        <w:rPr>
          <w:rFonts w:cs="Arial"/>
          <w:szCs w:val="17"/>
        </w:rPr>
        <w:t>i</w:t>
      </w:r>
      <w:r>
        <w:rPr>
          <w:rFonts w:cs="Arial"/>
          <w:szCs w:val="17"/>
        </w:rPr>
        <w:t>cherung und -kontrolle.</w:t>
      </w:r>
    </w:p>
    <w:p>
      <w:pPr>
        <w:pStyle w:val="GesAbsatz"/>
        <w:jc w:val="both"/>
        <w:rPr>
          <w:rFonts w:cs="Arial"/>
          <w:iCs/>
          <w:szCs w:val="17"/>
        </w:rPr>
      </w:pPr>
      <w:r>
        <w:rPr>
          <w:rFonts w:cs="Arial"/>
          <w:szCs w:val="17"/>
        </w:rPr>
        <w:t xml:space="preserve">4.3.2. </w:t>
      </w:r>
      <w:r>
        <w:rPr>
          <w:rFonts w:cs="Arial"/>
          <w:i/>
          <w:iCs/>
          <w:szCs w:val="17"/>
        </w:rPr>
        <w:t>Messung</w:t>
      </w:r>
    </w:p>
    <w:p>
      <w:pPr>
        <w:pStyle w:val="GesAbsatz"/>
        <w:jc w:val="both"/>
        <w:rPr>
          <w:rFonts w:cs="Arial"/>
          <w:szCs w:val="17"/>
        </w:rPr>
      </w:pPr>
      <w:r>
        <w:rPr>
          <w:rFonts w:cs="Arial"/>
          <w:szCs w:val="17"/>
        </w:rPr>
        <w:t>Wie in Abschnitt 4.2.1 dargelegt, kann ein Betreiber die Ermittlung von Emissionen auf der Grundlage von Messungen damit begründen, dass diese nachweislich ein genaueres Ergebnis bringt als eine entspr</w:t>
      </w:r>
      <w:r>
        <w:rPr>
          <w:rFonts w:cs="Arial"/>
          <w:szCs w:val="17"/>
        </w:rPr>
        <w:t>e</w:t>
      </w:r>
      <w:r>
        <w:rPr>
          <w:rFonts w:cs="Arial"/>
          <w:szCs w:val="17"/>
        </w:rPr>
        <w:t>chende Berechnung der Emissionen unter Anwendung der genauesten Ebenenkombination. Um der z</w:t>
      </w:r>
      <w:r>
        <w:rPr>
          <w:rFonts w:cs="Arial"/>
          <w:szCs w:val="17"/>
        </w:rPr>
        <w:t>u</w:t>
      </w:r>
      <w:r>
        <w:rPr>
          <w:rFonts w:cs="Arial"/>
          <w:szCs w:val="17"/>
        </w:rPr>
        <w:t>ständigen Behörde eben diesen Nachweis zu erbringen, meldet der Betreiber die quantitativen Ergebni</w:t>
      </w:r>
      <w:r>
        <w:rPr>
          <w:rFonts w:cs="Arial"/>
          <w:szCs w:val="17"/>
        </w:rPr>
        <w:t>s</w:t>
      </w:r>
      <w:r>
        <w:rPr>
          <w:rFonts w:cs="Arial"/>
          <w:szCs w:val="17"/>
        </w:rPr>
        <w:t>se einer umfassenderen Unsicherheitsanalyse, bei der die folgenden Ursachen für Unsicherheiten berüc</w:t>
      </w:r>
      <w:r>
        <w:rPr>
          <w:rFonts w:cs="Arial"/>
          <w:szCs w:val="17"/>
        </w:rPr>
        <w:t>k</w:t>
      </w:r>
      <w:r>
        <w:rPr>
          <w:rFonts w:cs="Arial"/>
          <w:szCs w:val="17"/>
        </w:rPr>
        <w:t>sichtigt wurden:</w:t>
      </w:r>
    </w:p>
    <w:p>
      <w:pPr>
        <w:pStyle w:val="GesAbsatz"/>
        <w:jc w:val="both"/>
        <w:rPr>
          <w:rFonts w:cs="Arial"/>
          <w:szCs w:val="17"/>
        </w:rPr>
      </w:pPr>
      <w:r>
        <w:rPr>
          <w:rFonts w:cs="Arial"/>
          <w:szCs w:val="17"/>
        </w:rPr>
        <w:t>Konzentrationsmessungen für die kontinuierliche Emissionsmessung:</w:t>
      </w:r>
    </w:p>
    <w:p>
      <w:pPr>
        <w:pStyle w:val="GesAbsatz"/>
        <w:jc w:val="both"/>
        <w:rPr>
          <w:rFonts w:cs="Arial"/>
          <w:szCs w:val="17"/>
        </w:rPr>
      </w:pPr>
      <w:r>
        <w:rPr>
          <w:rFonts w:cs="Arial"/>
          <w:szCs w:val="17"/>
        </w:rPr>
        <w:t>-</w:t>
      </w:r>
      <w:r>
        <w:rPr>
          <w:rFonts w:cs="Arial"/>
          <w:szCs w:val="17"/>
        </w:rPr>
        <w:tab/>
        <w:t>die spezifizierte Unsicherheit der Instrumente für kontinuierliche Messungen,</w:t>
      </w:r>
    </w:p>
    <w:p>
      <w:pPr>
        <w:pStyle w:val="GesAbsatz"/>
        <w:jc w:val="both"/>
        <w:rPr>
          <w:rFonts w:cs="Arial"/>
          <w:szCs w:val="17"/>
        </w:rPr>
      </w:pPr>
      <w:r>
        <w:rPr>
          <w:rFonts w:cs="Arial"/>
          <w:szCs w:val="17"/>
        </w:rPr>
        <w:t>-</w:t>
      </w:r>
      <w:r>
        <w:rPr>
          <w:rFonts w:cs="Arial"/>
          <w:szCs w:val="17"/>
        </w:rPr>
        <w:tab/>
        <w:t>Unsicherheiten im Zusammenhang mit der Kalibrierung,</w:t>
      </w:r>
    </w:p>
    <w:p>
      <w:pPr>
        <w:pStyle w:val="GesAbsatz"/>
        <w:ind w:left="426" w:hanging="426"/>
        <w:jc w:val="both"/>
        <w:rPr>
          <w:rFonts w:cs="Arial"/>
          <w:szCs w:val="17"/>
        </w:rPr>
      </w:pPr>
      <w:r>
        <w:rPr>
          <w:rFonts w:cs="Arial"/>
          <w:szCs w:val="17"/>
        </w:rPr>
        <w:t>-</w:t>
      </w:r>
      <w:r>
        <w:rPr>
          <w:rFonts w:cs="Arial"/>
          <w:szCs w:val="17"/>
        </w:rPr>
        <w:tab/>
        <w:t>weitere Unsicherheiten im Zusammenhang mit dem Einsatz der Überwachungsausrüstung in der Pr</w:t>
      </w:r>
      <w:r>
        <w:rPr>
          <w:rFonts w:cs="Arial"/>
          <w:szCs w:val="17"/>
        </w:rPr>
        <w:t>a</w:t>
      </w:r>
      <w:r>
        <w:rPr>
          <w:rFonts w:cs="Arial"/>
          <w:szCs w:val="17"/>
        </w:rPr>
        <w:t>xis;</w:t>
      </w:r>
    </w:p>
    <w:p>
      <w:pPr>
        <w:pStyle w:val="GesAbsatz"/>
        <w:jc w:val="both"/>
        <w:rPr>
          <w:rFonts w:cs="Arial"/>
          <w:szCs w:val="17"/>
        </w:rPr>
      </w:pPr>
      <w:r>
        <w:rPr>
          <w:rFonts w:cs="Arial"/>
          <w:szCs w:val="17"/>
        </w:rPr>
        <w:t>bei der Masse- und Volumenmessung zur Ermittlung des Abgasstroms für die kontinuierliche Emission</w:t>
      </w:r>
      <w:r>
        <w:rPr>
          <w:rFonts w:cs="Arial"/>
          <w:szCs w:val="17"/>
        </w:rPr>
        <w:t>s</w:t>
      </w:r>
      <w:r>
        <w:rPr>
          <w:rFonts w:cs="Arial"/>
          <w:szCs w:val="17"/>
        </w:rPr>
        <w:t>messung und die flankierende Berechnung:</w:t>
      </w:r>
    </w:p>
    <w:p>
      <w:pPr>
        <w:pStyle w:val="GesAbsatz"/>
        <w:jc w:val="both"/>
        <w:rPr>
          <w:rFonts w:cs="Arial"/>
          <w:szCs w:val="17"/>
        </w:rPr>
      </w:pPr>
      <w:r>
        <w:rPr>
          <w:rFonts w:cs="Arial"/>
          <w:szCs w:val="17"/>
        </w:rPr>
        <w:lastRenderedPageBreak/>
        <w:t>-</w:t>
      </w:r>
      <w:r>
        <w:rPr>
          <w:rFonts w:cs="Arial"/>
          <w:szCs w:val="17"/>
        </w:rPr>
        <w:tab/>
        <w:t>die spezifizierte Unsicherheit der Messinstrumente,</w:t>
      </w:r>
    </w:p>
    <w:p>
      <w:pPr>
        <w:pStyle w:val="GesAbsatz"/>
        <w:jc w:val="both"/>
        <w:rPr>
          <w:rFonts w:cs="Arial"/>
          <w:szCs w:val="17"/>
        </w:rPr>
      </w:pPr>
      <w:r>
        <w:rPr>
          <w:rFonts w:cs="Arial"/>
          <w:szCs w:val="17"/>
        </w:rPr>
        <w:t>-</w:t>
      </w:r>
      <w:r>
        <w:rPr>
          <w:rFonts w:cs="Arial"/>
          <w:szCs w:val="17"/>
        </w:rPr>
        <w:tab/>
        <w:t>Unsicherheiten im Zusammenhang mit der Kalibrierung,</w:t>
      </w:r>
    </w:p>
    <w:p>
      <w:pPr>
        <w:pStyle w:val="GesAbsatz"/>
        <w:jc w:val="both"/>
        <w:rPr>
          <w:rFonts w:cs="Arial"/>
          <w:szCs w:val="17"/>
        </w:rPr>
      </w:pPr>
      <w:r>
        <w:rPr>
          <w:rFonts w:cs="Arial"/>
          <w:szCs w:val="17"/>
        </w:rPr>
        <w:t>-</w:t>
      </w:r>
      <w:r>
        <w:rPr>
          <w:rFonts w:cs="Arial"/>
          <w:szCs w:val="17"/>
        </w:rPr>
        <w:tab/>
        <w:t>weitere Unsicherheiten im Zusammenhang mit dem Einsatz der Messgeräte in der Praxis;</w:t>
      </w:r>
    </w:p>
    <w:p>
      <w:pPr>
        <w:pStyle w:val="GesAbsatz"/>
        <w:jc w:val="both"/>
        <w:rPr>
          <w:rFonts w:cs="Arial"/>
          <w:szCs w:val="17"/>
        </w:rPr>
      </w:pPr>
      <w:r>
        <w:rPr>
          <w:rFonts w:cs="Arial"/>
          <w:szCs w:val="17"/>
        </w:rPr>
        <w:t>bei der Ermittlung der Heizwerte, der Emissions- und Oxidations-/Umsetzungsfaktoren bzw. der Zusa</w:t>
      </w:r>
      <w:r>
        <w:rPr>
          <w:rFonts w:cs="Arial"/>
          <w:szCs w:val="17"/>
        </w:rPr>
        <w:t>m</w:t>
      </w:r>
      <w:r>
        <w:rPr>
          <w:rFonts w:cs="Arial"/>
          <w:szCs w:val="17"/>
        </w:rPr>
        <w:t>mensetzungsdaten für die flankierende Berechnung:</w:t>
      </w:r>
    </w:p>
    <w:p>
      <w:pPr>
        <w:pStyle w:val="GesAbsatz"/>
        <w:ind w:left="426" w:hanging="426"/>
        <w:jc w:val="both"/>
        <w:rPr>
          <w:rFonts w:cs="Arial"/>
          <w:szCs w:val="17"/>
        </w:rPr>
      </w:pPr>
      <w:r>
        <w:rPr>
          <w:rFonts w:cs="Arial"/>
          <w:szCs w:val="17"/>
        </w:rPr>
        <w:t>-</w:t>
      </w:r>
      <w:r>
        <w:rPr>
          <w:rFonts w:cs="Arial"/>
          <w:szCs w:val="17"/>
        </w:rPr>
        <w:tab/>
        <w:t>die für die angewandte Ermittlungsmethode bzw. das angewandte Ermittlungssystem spezifizierte Unsicherheit,</w:t>
      </w:r>
    </w:p>
    <w:p>
      <w:pPr>
        <w:pStyle w:val="GesAbsatz"/>
        <w:ind w:left="426" w:hanging="426"/>
        <w:jc w:val="both"/>
        <w:rPr>
          <w:rFonts w:cs="Arial"/>
          <w:szCs w:val="17"/>
        </w:rPr>
      </w:pPr>
      <w:r>
        <w:rPr>
          <w:rFonts w:cs="Arial"/>
          <w:szCs w:val="17"/>
        </w:rPr>
        <w:t>-</w:t>
      </w:r>
      <w:r>
        <w:rPr>
          <w:rFonts w:cs="Arial"/>
          <w:szCs w:val="17"/>
        </w:rPr>
        <w:tab/>
        <w:t>weitere Unsicherheiten im Zusammenhang mit der Anwendung der Ermittlungsmethode in der Pr</w:t>
      </w:r>
      <w:r>
        <w:rPr>
          <w:rFonts w:cs="Arial"/>
          <w:szCs w:val="17"/>
        </w:rPr>
        <w:t>a</w:t>
      </w:r>
      <w:r>
        <w:rPr>
          <w:rFonts w:cs="Arial"/>
          <w:szCs w:val="17"/>
        </w:rPr>
        <w:t>xis.</w:t>
      </w:r>
    </w:p>
    <w:p>
      <w:pPr>
        <w:pStyle w:val="GesAbsatz"/>
        <w:jc w:val="both"/>
        <w:rPr>
          <w:rFonts w:cs="Arial"/>
          <w:szCs w:val="17"/>
        </w:rPr>
      </w:pPr>
      <w:r>
        <w:rPr>
          <w:rFonts w:cs="Arial"/>
          <w:szCs w:val="17"/>
        </w:rPr>
        <w:t>In Abhängigkeit von der Begründung des Betreibers kann die zuständige Behörde den Einsatz eines Sy</w:t>
      </w:r>
      <w:r>
        <w:rPr>
          <w:rFonts w:cs="Arial"/>
          <w:szCs w:val="17"/>
        </w:rPr>
        <w:t>s</w:t>
      </w:r>
      <w:r>
        <w:rPr>
          <w:rFonts w:cs="Arial"/>
          <w:szCs w:val="17"/>
        </w:rPr>
        <w:t>tems zur kontinuierlichen Emissionsmessung für bestimmte Quellen innerhalb der Anlage wie auch alle anderen Details im Zusammenhang mit dem in dieser Anlage eingesetzten Überwachungsverfahren g</w:t>
      </w:r>
      <w:r>
        <w:rPr>
          <w:rFonts w:cs="Arial"/>
          <w:szCs w:val="17"/>
        </w:rPr>
        <w:t>e</w:t>
      </w:r>
      <w:r>
        <w:rPr>
          <w:rFonts w:cs="Arial"/>
          <w:szCs w:val="17"/>
        </w:rPr>
        <w:t>nehmigen. Im Zuge dieser Genehmigung billigt die zuständige Behörde gleichzeitig auch die Unsicher</w:t>
      </w:r>
      <w:r>
        <w:rPr>
          <w:rFonts w:cs="Arial"/>
          <w:szCs w:val="17"/>
        </w:rPr>
        <w:softHyphen/>
        <w:t>he</w:t>
      </w:r>
      <w:r>
        <w:rPr>
          <w:rFonts w:cs="Arial"/>
          <w:szCs w:val="17"/>
        </w:rPr>
        <w:t>i</w:t>
      </w:r>
      <w:r>
        <w:rPr>
          <w:rFonts w:cs="Arial"/>
          <w:szCs w:val="17"/>
        </w:rPr>
        <w:t>ten, die aus der korrekten Anwendung der genehmigten Überwachungsmethode entstehen. Dies ergibt sich aus dem I</w:t>
      </w:r>
      <w:r>
        <w:rPr>
          <w:rFonts w:cs="Arial"/>
          <w:szCs w:val="17"/>
        </w:rPr>
        <w:t>n</w:t>
      </w:r>
      <w:r>
        <w:rPr>
          <w:rFonts w:cs="Arial"/>
          <w:szCs w:val="17"/>
        </w:rPr>
        <w:t>halt der Genehmigung.</w:t>
      </w:r>
    </w:p>
    <w:p>
      <w:pPr>
        <w:pStyle w:val="GesAbsatz"/>
        <w:jc w:val="both"/>
        <w:rPr>
          <w:rFonts w:cs="Arial"/>
          <w:szCs w:val="17"/>
        </w:rPr>
      </w:pPr>
      <w:r>
        <w:rPr>
          <w:rFonts w:cs="Arial"/>
          <w:szCs w:val="17"/>
        </w:rPr>
        <w:t>Der Betreiber gibt die Unsicherheitsfaktoren, die sich aus dieser umfassenden Unsicherheitsanalyse erg</w:t>
      </w:r>
      <w:r>
        <w:rPr>
          <w:rFonts w:cs="Arial"/>
          <w:szCs w:val="17"/>
        </w:rPr>
        <w:t>e</w:t>
      </w:r>
      <w:r>
        <w:rPr>
          <w:rFonts w:cs="Arial"/>
          <w:szCs w:val="17"/>
        </w:rPr>
        <w:t>ben, in seinem Jahresbericht an die zuständige Behörde für die betreffenden Quellen an, bis die zuständ</w:t>
      </w:r>
      <w:r>
        <w:rPr>
          <w:rFonts w:cs="Arial"/>
          <w:szCs w:val="17"/>
        </w:rPr>
        <w:t>i</w:t>
      </w:r>
      <w:r>
        <w:rPr>
          <w:rFonts w:cs="Arial"/>
          <w:szCs w:val="17"/>
        </w:rPr>
        <w:t>ge Behörde die Entscheidung für eine Messung und gegen eine Berechnung überprüft und eine Neuber</w:t>
      </w:r>
      <w:r>
        <w:rPr>
          <w:rFonts w:cs="Arial"/>
          <w:szCs w:val="17"/>
        </w:rPr>
        <w:t>e</w:t>
      </w:r>
      <w:r>
        <w:rPr>
          <w:rFonts w:cs="Arial"/>
          <w:szCs w:val="17"/>
        </w:rPr>
        <w:t>chung der Unsicherheitsfaktoren fordert. Die Angabe der zugrunde gelegten Ebenenkombinati</w:t>
      </w:r>
      <w:r>
        <w:rPr>
          <w:rFonts w:cs="Arial"/>
          <w:szCs w:val="17"/>
        </w:rPr>
        <w:t>o</w:t>
      </w:r>
      <w:r>
        <w:rPr>
          <w:rFonts w:cs="Arial"/>
          <w:szCs w:val="17"/>
        </w:rPr>
        <w:t>nen im Emissionsb</w:t>
      </w:r>
      <w:r>
        <w:rPr>
          <w:rFonts w:cs="Arial"/>
          <w:szCs w:val="17"/>
        </w:rPr>
        <w:t>e</w:t>
      </w:r>
      <w:r>
        <w:rPr>
          <w:rFonts w:cs="Arial"/>
          <w:szCs w:val="17"/>
        </w:rPr>
        <w:t>richt gilt als Meldung von Unsicherheiten im Sinne der Richtlinie.</w:t>
      </w:r>
    </w:p>
    <w:p>
      <w:pPr>
        <w:pStyle w:val="GesAbsatz"/>
        <w:jc w:val="both"/>
        <w:rPr>
          <w:rFonts w:cs="Arial"/>
          <w:szCs w:val="17"/>
        </w:rPr>
      </w:pPr>
      <w:r>
        <w:rPr>
          <w:rFonts w:cs="Arial"/>
          <w:szCs w:val="17"/>
        </w:rPr>
        <w:t>Der Betreiber ist gehalten, die Unsicherheiten in Bezug auf die übrigen in seinem Emissionsbericht entha</w:t>
      </w:r>
      <w:r>
        <w:rPr>
          <w:rFonts w:cs="Arial"/>
          <w:szCs w:val="17"/>
        </w:rPr>
        <w:t>l</w:t>
      </w:r>
      <w:r>
        <w:rPr>
          <w:rFonts w:cs="Arial"/>
          <w:szCs w:val="17"/>
        </w:rPr>
        <w:t>tenen Emissionsdaten mit Hilfe des Verfahrens zur Qualitätssicherung und -kontrolle zu ermitteln und so weit wie möglich zu verringern. Im Rahmen des Prüfungsverfahrens kontrolliert die prüfende Instanz die korrekte Anwendung der genehmigten Überwachungsmethode und beurteilt ferner den Umgang mit bzw. die Reduzierung der übrigen Unsicherheiten durch das vom Betreiber angewandte Verfahren zur Qual</w:t>
      </w:r>
      <w:r>
        <w:rPr>
          <w:rFonts w:cs="Arial"/>
          <w:szCs w:val="17"/>
        </w:rPr>
        <w:t>i</w:t>
      </w:r>
      <w:r>
        <w:rPr>
          <w:rFonts w:cs="Arial"/>
          <w:szCs w:val="17"/>
        </w:rPr>
        <w:t>tätss</w:t>
      </w:r>
      <w:r>
        <w:rPr>
          <w:rFonts w:cs="Arial"/>
          <w:szCs w:val="17"/>
        </w:rPr>
        <w:t>i</w:t>
      </w:r>
      <w:r>
        <w:rPr>
          <w:rFonts w:cs="Arial"/>
          <w:szCs w:val="17"/>
        </w:rPr>
        <w:t>cherung und -kontrolle.</w:t>
      </w:r>
    </w:p>
    <w:p>
      <w:pPr>
        <w:pStyle w:val="GesAbsatz"/>
        <w:jc w:val="both"/>
        <w:rPr>
          <w:rFonts w:cs="Arial"/>
          <w:iCs/>
          <w:szCs w:val="17"/>
        </w:rPr>
      </w:pPr>
      <w:r>
        <w:rPr>
          <w:rFonts w:cs="Arial"/>
          <w:szCs w:val="17"/>
        </w:rPr>
        <w:t xml:space="preserve">4.3.3. </w:t>
      </w:r>
      <w:r>
        <w:rPr>
          <w:rFonts w:cs="Arial"/>
          <w:i/>
          <w:iCs/>
          <w:szCs w:val="17"/>
        </w:rPr>
        <w:t>Unsicherheitsfaktoren</w:t>
      </w:r>
    </w:p>
    <w:p>
      <w:pPr>
        <w:pStyle w:val="GesAbsatz"/>
        <w:jc w:val="both"/>
        <w:rPr>
          <w:rFonts w:cs="Arial"/>
          <w:szCs w:val="17"/>
        </w:rPr>
      </w:pPr>
      <w:r>
        <w:rPr>
          <w:rFonts w:cs="Arial"/>
          <w:szCs w:val="17"/>
        </w:rPr>
        <w:t>Tabelle 3 gibt einen groben Anhaltspunkt in Bezug auf die Unsicherheiten, die in der Regel mit der B</w:t>
      </w:r>
      <w:r>
        <w:rPr>
          <w:rFonts w:cs="Arial"/>
          <w:szCs w:val="17"/>
        </w:rPr>
        <w:t>e</w:t>
      </w:r>
      <w:r>
        <w:rPr>
          <w:rFonts w:cs="Arial"/>
          <w:szCs w:val="17"/>
        </w:rPr>
        <w:t>stimmung von CO</w:t>
      </w:r>
      <w:r>
        <w:rPr>
          <w:rFonts w:cs="Arial"/>
          <w:szCs w:val="10"/>
          <w:vertAlign w:val="subscript"/>
        </w:rPr>
        <w:t>2</w:t>
      </w:r>
      <w:r>
        <w:rPr>
          <w:rFonts w:cs="Arial"/>
          <w:szCs w:val="17"/>
        </w:rPr>
        <w:t>-Emissionen aus Anlagen mit unterschiedlichem Emissionsniveau verbunden sind. Die in dieser Tabelle enthaltenen Informationen sollten von der zuständigen Behörde bei der Prüfung und G</w:t>
      </w:r>
      <w:r>
        <w:rPr>
          <w:rFonts w:cs="Arial"/>
          <w:szCs w:val="17"/>
        </w:rPr>
        <w:t>e</w:t>
      </w:r>
      <w:r>
        <w:rPr>
          <w:rFonts w:cs="Arial"/>
          <w:szCs w:val="17"/>
        </w:rPr>
        <w:t>nehmigung der Überwachungsmethode (Berechnungen oder Einsatz eines Systems zur kontinuierl</w:t>
      </w:r>
      <w:r>
        <w:rPr>
          <w:rFonts w:cs="Arial"/>
          <w:szCs w:val="17"/>
        </w:rPr>
        <w:t>i</w:t>
      </w:r>
      <w:r>
        <w:rPr>
          <w:rFonts w:cs="Arial"/>
          <w:szCs w:val="17"/>
        </w:rPr>
        <w:t>chen Emissionsmessung) für eine Anlage herangezogen werden.</w:t>
      </w:r>
    </w:p>
    <w:p>
      <w:pPr>
        <w:pStyle w:val="GesAbsatz"/>
        <w:jc w:val="both"/>
        <w:rPr>
          <w:rFonts w:cs="Arial"/>
          <w:b/>
          <w:bCs/>
          <w:szCs w:val="17"/>
        </w:rPr>
      </w:pPr>
      <w:r>
        <w:rPr>
          <w:rFonts w:cs="Arial"/>
          <w:b/>
          <w:bCs/>
          <w:szCs w:val="17"/>
        </w:rPr>
        <w:t>TABELLE 3</w:t>
      </w:r>
    </w:p>
    <w:p>
      <w:pPr>
        <w:pStyle w:val="GesAbsatz"/>
        <w:jc w:val="both"/>
        <w:rPr>
          <w:rFonts w:cs="Arial"/>
          <w:b/>
          <w:bCs/>
          <w:szCs w:val="17"/>
        </w:rPr>
      </w:pPr>
      <w:r>
        <w:rPr>
          <w:rFonts w:cs="Arial"/>
          <w:b/>
          <w:bCs/>
          <w:szCs w:val="17"/>
        </w:rPr>
        <w:t>Übersicht über die Gesamtunsicherheiten, die für einzelne Brennstoff- oder Materialströme unte</w:t>
      </w:r>
      <w:r>
        <w:rPr>
          <w:rFonts w:cs="Arial"/>
          <w:b/>
          <w:bCs/>
          <w:szCs w:val="17"/>
        </w:rPr>
        <w:t>r</w:t>
      </w:r>
      <w:r>
        <w:rPr>
          <w:rFonts w:cs="Arial"/>
          <w:b/>
          <w:bCs/>
          <w:szCs w:val="17"/>
        </w:rPr>
        <w:t>schiedlicher Größenordnung mit der Bestimmung von CO</w:t>
      </w:r>
      <w:r>
        <w:rPr>
          <w:rFonts w:cs="Arial"/>
          <w:b/>
          <w:bCs/>
          <w:szCs w:val="10"/>
          <w:vertAlign w:val="subscript"/>
        </w:rPr>
        <w:t>2</w:t>
      </w:r>
      <w:r>
        <w:rPr>
          <w:rFonts w:cs="Arial"/>
          <w:b/>
          <w:bCs/>
          <w:szCs w:val="17"/>
        </w:rPr>
        <w:t>-Emissionen aus Anlagen oder Tätigke</w:t>
      </w:r>
      <w:r>
        <w:rPr>
          <w:rFonts w:cs="Arial"/>
          <w:b/>
          <w:bCs/>
          <w:szCs w:val="17"/>
        </w:rPr>
        <w:t>i</w:t>
      </w:r>
      <w:r>
        <w:rPr>
          <w:rFonts w:cs="Arial"/>
          <w:b/>
          <w:bCs/>
          <w:szCs w:val="17"/>
        </w:rPr>
        <w:t>ten innerhalb einer Anlage verbunden sind</w:t>
      </w:r>
    </w:p>
    <w:p>
      <w:pPr>
        <w:pStyle w:val="GesAbsatz"/>
        <w:tabs>
          <w:tab w:val="clear" w:pos="425"/>
          <w:tab w:val="right" w:pos="9072"/>
        </w:tabs>
        <w:jc w:val="both"/>
        <w:rPr>
          <w:rFonts w:cs="Arial"/>
          <w:sz w:val="18"/>
          <w:szCs w:val="15"/>
        </w:rPr>
      </w:pPr>
      <w:r>
        <w:rPr>
          <w:rFonts w:cs="Arial"/>
          <w:sz w:val="18"/>
          <w:szCs w:val="15"/>
        </w:rPr>
        <w:tab/>
        <w:t>(in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1811"/>
        <w:gridCol w:w="1265"/>
        <w:gridCol w:w="1404"/>
        <w:gridCol w:w="1243"/>
      </w:tblGrid>
      <w:tr>
        <w:tblPrEx>
          <w:tblCellMar>
            <w:top w:w="0" w:type="dxa"/>
            <w:bottom w:w="0" w:type="dxa"/>
          </w:tblCellMar>
        </w:tblPrEx>
        <w:trPr>
          <w:cantSplit/>
          <w:tblHeader/>
        </w:trPr>
        <w:tc>
          <w:tcPr>
            <w:tcW w:w="3756" w:type="dxa"/>
          </w:tcPr>
          <w:p>
            <w:pPr>
              <w:pStyle w:val="GesAbsatz"/>
              <w:jc w:val="center"/>
              <w:rPr>
                <w:rFonts w:cs="Arial"/>
                <w:szCs w:val="15"/>
              </w:rPr>
            </w:pPr>
            <w:r>
              <w:rPr>
                <w:rFonts w:cs="Arial"/>
                <w:szCs w:val="15"/>
              </w:rPr>
              <w:t>Beschreibung</w:t>
            </w:r>
          </w:p>
        </w:tc>
        <w:tc>
          <w:tcPr>
            <w:tcW w:w="1843" w:type="dxa"/>
          </w:tcPr>
          <w:p>
            <w:pPr>
              <w:pStyle w:val="GesAbsatz"/>
              <w:jc w:val="center"/>
              <w:rPr>
                <w:rFonts w:cs="Arial"/>
                <w:szCs w:val="15"/>
              </w:rPr>
            </w:pPr>
            <w:r>
              <w:rPr>
                <w:rFonts w:cs="Arial"/>
                <w:szCs w:val="15"/>
              </w:rPr>
              <w:t>Beispiele</w:t>
            </w:r>
          </w:p>
        </w:tc>
        <w:tc>
          <w:tcPr>
            <w:tcW w:w="3945" w:type="dxa"/>
            <w:gridSpan w:val="3"/>
          </w:tcPr>
          <w:p>
            <w:pPr>
              <w:pStyle w:val="GesAbsatz"/>
              <w:jc w:val="center"/>
              <w:rPr>
                <w:rFonts w:cs="Arial"/>
                <w:szCs w:val="15"/>
              </w:rPr>
            </w:pPr>
            <w:r>
              <w:rPr>
                <w:rFonts w:cs="Arial"/>
                <w:szCs w:val="15"/>
              </w:rPr>
              <w:t>E: CO</w:t>
            </w:r>
            <w:r>
              <w:rPr>
                <w:rFonts w:cs="Arial"/>
                <w:szCs w:val="8"/>
                <w:vertAlign w:val="subscript"/>
              </w:rPr>
              <w:t>2</w:t>
            </w:r>
            <w:r>
              <w:rPr>
                <w:rFonts w:cs="Arial"/>
                <w:szCs w:val="15"/>
              </w:rPr>
              <w:t>-Emissionen in kt pro Jahr</w:t>
            </w:r>
          </w:p>
        </w:tc>
      </w:tr>
      <w:tr>
        <w:tblPrEx>
          <w:tblCellMar>
            <w:top w:w="0" w:type="dxa"/>
            <w:bottom w:w="0" w:type="dxa"/>
          </w:tblCellMar>
        </w:tblPrEx>
        <w:trPr>
          <w:tblHeader/>
        </w:trPr>
        <w:tc>
          <w:tcPr>
            <w:tcW w:w="3756" w:type="dxa"/>
          </w:tcPr>
          <w:p>
            <w:pPr>
              <w:pStyle w:val="GesAbsatz"/>
              <w:jc w:val="center"/>
              <w:rPr>
                <w:rFonts w:cs="Arial"/>
                <w:szCs w:val="15"/>
              </w:rPr>
            </w:pPr>
          </w:p>
        </w:tc>
        <w:tc>
          <w:tcPr>
            <w:tcW w:w="1843" w:type="dxa"/>
          </w:tcPr>
          <w:p>
            <w:pPr>
              <w:pStyle w:val="GesAbsatz"/>
              <w:jc w:val="center"/>
              <w:rPr>
                <w:rFonts w:cs="Arial"/>
                <w:szCs w:val="15"/>
              </w:rPr>
            </w:pPr>
          </w:p>
        </w:tc>
        <w:tc>
          <w:tcPr>
            <w:tcW w:w="1275" w:type="dxa"/>
          </w:tcPr>
          <w:p>
            <w:pPr>
              <w:pStyle w:val="GesAbsatz"/>
              <w:jc w:val="center"/>
              <w:rPr>
                <w:rFonts w:cs="Arial"/>
                <w:szCs w:val="15"/>
                <w:lang w:val="it-IT"/>
              </w:rPr>
            </w:pPr>
            <w:r>
              <w:rPr>
                <w:rFonts w:cs="Arial"/>
                <w:szCs w:val="15"/>
                <w:lang w:val="it-IT"/>
              </w:rPr>
              <w:t>E &gt; 500</w:t>
            </w:r>
          </w:p>
        </w:tc>
        <w:tc>
          <w:tcPr>
            <w:tcW w:w="1418" w:type="dxa"/>
          </w:tcPr>
          <w:p>
            <w:pPr>
              <w:pStyle w:val="GesAbsatz"/>
              <w:jc w:val="center"/>
              <w:rPr>
                <w:rFonts w:cs="Arial"/>
                <w:szCs w:val="15"/>
                <w:lang w:val="it-IT"/>
              </w:rPr>
            </w:pPr>
            <w:r>
              <w:rPr>
                <w:rFonts w:cs="Arial"/>
                <w:szCs w:val="15"/>
                <w:lang w:val="it-IT"/>
              </w:rPr>
              <w:t>100 &lt; E</w:t>
            </w:r>
            <w:r>
              <w:rPr>
                <w:rFonts w:cs="Arial"/>
                <w:szCs w:val="15"/>
                <w:lang w:val="it-IT"/>
              </w:rPr>
              <w:br/>
              <w:t>&lt; 500</w:t>
            </w:r>
          </w:p>
        </w:tc>
        <w:tc>
          <w:tcPr>
            <w:tcW w:w="1252" w:type="dxa"/>
          </w:tcPr>
          <w:p>
            <w:pPr>
              <w:pStyle w:val="GesAbsatz"/>
              <w:jc w:val="center"/>
              <w:rPr>
                <w:rFonts w:cs="Arial"/>
                <w:szCs w:val="15"/>
                <w:lang w:val="it-IT"/>
              </w:rPr>
            </w:pPr>
            <w:r>
              <w:rPr>
                <w:rFonts w:cs="Arial"/>
                <w:szCs w:val="15"/>
                <w:lang w:val="it-IT"/>
              </w:rPr>
              <w:t>E &lt; 100</w:t>
            </w:r>
          </w:p>
        </w:tc>
      </w:tr>
      <w:tr>
        <w:tblPrEx>
          <w:tblCellMar>
            <w:top w:w="0" w:type="dxa"/>
            <w:bottom w:w="0" w:type="dxa"/>
          </w:tblCellMar>
        </w:tblPrEx>
        <w:tc>
          <w:tcPr>
            <w:tcW w:w="3756" w:type="dxa"/>
          </w:tcPr>
          <w:p>
            <w:pPr>
              <w:pStyle w:val="GesAbsatz"/>
              <w:rPr>
                <w:rFonts w:cs="Arial"/>
                <w:szCs w:val="15"/>
              </w:rPr>
            </w:pPr>
            <w:r>
              <w:rPr>
                <w:rFonts w:cs="Arial"/>
                <w:szCs w:val="17"/>
              </w:rPr>
              <w:t>Gasförmige und flüssige Brennstoffe gle</w:t>
            </w:r>
            <w:r>
              <w:rPr>
                <w:rFonts w:cs="Arial"/>
                <w:szCs w:val="17"/>
              </w:rPr>
              <w:t>i</w:t>
            </w:r>
            <w:r>
              <w:rPr>
                <w:rFonts w:cs="Arial"/>
                <w:szCs w:val="17"/>
              </w:rPr>
              <w:t>cher Qualität</w:t>
            </w:r>
          </w:p>
        </w:tc>
        <w:tc>
          <w:tcPr>
            <w:tcW w:w="1843" w:type="dxa"/>
          </w:tcPr>
          <w:p>
            <w:pPr>
              <w:pStyle w:val="GesAbsatz"/>
              <w:jc w:val="both"/>
              <w:rPr>
                <w:rFonts w:cs="Arial"/>
                <w:szCs w:val="15"/>
              </w:rPr>
            </w:pPr>
            <w:r>
              <w:rPr>
                <w:rFonts w:cs="Arial"/>
                <w:szCs w:val="17"/>
              </w:rPr>
              <w:t>Erdgas</w:t>
            </w:r>
          </w:p>
        </w:tc>
        <w:tc>
          <w:tcPr>
            <w:tcW w:w="1275" w:type="dxa"/>
          </w:tcPr>
          <w:p>
            <w:pPr>
              <w:pStyle w:val="GesAbsatz"/>
              <w:tabs>
                <w:tab w:val="clear" w:pos="425"/>
                <w:tab w:val="decimal" w:pos="638"/>
              </w:tabs>
              <w:jc w:val="both"/>
              <w:rPr>
                <w:rFonts w:cs="Arial"/>
                <w:szCs w:val="15"/>
              </w:rPr>
            </w:pPr>
            <w:r>
              <w:rPr>
                <w:rFonts w:cs="Arial"/>
                <w:szCs w:val="17"/>
              </w:rPr>
              <w:t>2,5</w:t>
            </w:r>
          </w:p>
        </w:tc>
        <w:tc>
          <w:tcPr>
            <w:tcW w:w="1418" w:type="dxa"/>
          </w:tcPr>
          <w:p>
            <w:pPr>
              <w:pStyle w:val="GesAbsatz"/>
              <w:tabs>
                <w:tab w:val="clear" w:pos="425"/>
                <w:tab w:val="decimal" w:pos="638"/>
              </w:tabs>
              <w:jc w:val="both"/>
              <w:rPr>
                <w:rFonts w:cs="Arial"/>
                <w:szCs w:val="15"/>
              </w:rPr>
            </w:pPr>
            <w:r>
              <w:rPr>
                <w:rFonts w:cs="Arial"/>
                <w:szCs w:val="17"/>
              </w:rPr>
              <w:t>3,5</w:t>
            </w:r>
          </w:p>
        </w:tc>
        <w:tc>
          <w:tcPr>
            <w:tcW w:w="1252" w:type="dxa"/>
          </w:tcPr>
          <w:p>
            <w:pPr>
              <w:pStyle w:val="GesAbsatz"/>
              <w:tabs>
                <w:tab w:val="clear" w:pos="425"/>
                <w:tab w:val="decimal" w:pos="638"/>
              </w:tabs>
              <w:jc w:val="both"/>
              <w:rPr>
                <w:rFonts w:cs="Arial"/>
                <w:szCs w:val="15"/>
              </w:rPr>
            </w:pPr>
            <w:r>
              <w:rPr>
                <w:rFonts w:cs="Arial"/>
                <w:szCs w:val="17"/>
              </w:rPr>
              <w:t>5</w:t>
            </w:r>
          </w:p>
        </w:tc>
      </w:tr>
      <w:tr>
        <w:tblPrEx>
          <w:tblCellMar>
            <w:top w:w="0" w:type="dxa"/>
            <w:bottom w:w="0" w:type="dxa"/>
          </w:tblCellMar>
        </w:tblPrEx>
        <w:tc>
          <w:tcPr>
            <w:tcW w:w="3756" w:type="dxa"/>
          </w:tcPr>
          <w:p>
            <w:pPr>
              <w:pStyle w:val="GesAbsatz"/>
              <w:rPr>
                <w:rFonts w:cs="Arial"/>
                <w:szCs w:val="17"/>
              </w:rPr>
            </w:pPr>
            <w:r>
              <w:rPr>
                <w:rFonts w:cs="Arial"/>
                <w:szCs w:val="17"/>
              </w:rPr>
              <w:t>Gasförmige und flüssige Brennsto</w:t>
            </w:r>
            <w:r>
              <w:rPr>
                <w:rFonts w:cs="Arial"/>
                <w:szCs w:val="17"/>
              </w:rPr>
              <w:t>f</w:t>
            </w:r>
            <w:r>
              <w:rPr>
                <w:rFonts w:cs="Arial"/>
                <w:szCs w:val="17"/>
              </w:rPr>
              <w:t>fe unterschiedlicher Zusammense</w:t>
            </w:r>
            <w:r>
              <w:rPr>
                <w:rFonts w:cs="Arial"/>
                <w:szCs w:val="17"/>
              </w:rPr>
              <w:t>t</w:t>
            </w:r>
            <w:r>
              <w:rPr>
                <w:rFonts w:cs="Arial"/>
                <w:szCs w:val="17"/>
              </w:rPr>
              <w:t>zung</w:t>
            </w:r>
          </w:p>
        </w:tc>
        <w:tc>
          <w:tcPr>
            <w:tcW w:w="1843" w:type="dxa"/>
          </w:tcPr>
          <w:p>
            <w:pPr>
              <w:pStyle w:val="GesAbsatz"/>
              <w:jc w:val="both"/>
              <w:rPr>
                <w:rFonts w:cs="Arial"/>
                <w:szCs w:val="17"/>
              </w:rPr>
            </w:pPr>
            <w:r>
              <w:rPr>
                <w:rFonts w:cs="Arial"/>
                <w:szCs w:val="17"/>
              </w:rPr>
              <w:t>Gasöl, Gichtgas</w:t>
            </w:r>
          </w:p>
        </w:tc>
        <w:tc>
          <w:tcPr>
            <w:tcW w:w="1275" w:type="dxa"/>
          </w:tcPr>
          <w:p>
            <w:pPr>
              <w:pStyle w:val="GesAbsatz"/>
              <w:tabs>
                <w:tab w:val="clear" w:pos="425"/>
                <w:tab w:val="decimal" w:pos="638"/>
              </w:tabs>
              <w:jc w:val="both"/>
              <w:rPr>
                <w:rFonts w:cs="Arial"/>
                <w:szCs w:val="17"/>
              </w:rPr>
            </w:pPr>
            <w:r>
              <w:rPr>
                <w:rFonts w:cs="Arial"/>
                <w:szCs w:val="17"/>
              </w:rPr>
              <w:t>3,5</w:t>
            </w:r>
          </w:p>
        </w:tc>
        <w:tc>
          <w:tcPr>
            <w:tcW w:w="1418" w:type="dxa"/>
          </w:tcPr>
          <w:p>
            <w:pPr>
              <w:pStyle w:val="GesAbsatz"/>
              <w:tabs>
                <w:tab w:val="clear" w:pos="425"/>
                <w:tab w:val="decimal" w:pos="638"/>
              </w:tabs>
              <w:jc w:val="both"/>
              <w:rPr>
                <w:rFonts w:cs="Arial"/>
                <w:szCs w:val="17"/>
              </w:rPr>
            </w:pPr>
            <w:r>
              <w:rPr>
                <w:rFonts w:cs="Arial"/>
                <w:szCs w:val="17"/>
              </w:rPr>
              <w:t>5</w:t>
            </w:r>
          </w:p>
        </w:tc>
        <w:tc>
          <w:tcPr>
            <w:tcW w:w="1252" w:type="dxa"/>
          </w:tcPr>
          <w:p>
            <w:pPr>
              <w:pStyle w:val="GesAbsatz"/>
              <w:tabs>
                <w:tab w:val="clear" w:pos="425"/>
                <w:tab w:val="decimal" w:pos="638"/>
              </w:tabs>
              <w:jc w:val="both"/>
              <w:rPr>
                <w:rFonts w:cs="Arial"/>
                <w:szCs w:val="17"/>
              </w:rPr>
            </w:pPr>
            <w:r>
              <w:rPr>
                <w:rFonts w:cs="Arial"/>
                <w:szCs w:val="17"/>
              </w:rPr>
              <w:t>10</w:t>
            </w:r>
          </w:p>
        </w:tc>
      </w:tr>
      <w:tr>
        <w:tblPrEx>
          <w:tblCellMar>
            <w:top w:w="0" w:type="dxa"/>
            <w:bottom w:w="0" w:type="dxa"/>
          </w:tblCellMar>
        </w:tblPrEx>
        <w:tc>
          <w:tcPr>
            <w:tcW w:w="3756" w:type="dxa"/>
          </w:tcPr>
          <w:p>
            <w:pPr>
              <w:pStyle w:val="GesAbsatz"/>
              <w:rPr>
                <w:rFonts w:cs="Arial"/>
                <w:szCs w:val="17"/>
              </w:rPr>
            </w:pPr>
            <w:r>
              <w:rPr>
                <w:rFonts w:cs="Arial"/>
                <w:szCs w:val="17"/>
              </w:rPr>
              <w:t>Feste Brennstoffe unterschiedlicher Z</w:t>
            </w:r>
            <w:r>
              <w:rPr>
                <w:rFonts w:cs="Arial"/>
                <w:szCs w:val="17"/>
              </w:rPr>
              <w:t>u</w:t>
            </w:r>
            <w:r>
              <w:rPr>
                <w:rFonts w:cs="Arial"/>
                <w:szCs w:val="17"/>
              </w:rPr>
              <w:t>sammensetzung</w:t>
            </w:r>
          </w:p>
        </w:tc>
        <w:tc>
          <w:tcPr>
            <w:tcW w:w="1843" w:type="dxa"/>
          </w:tcPr>
          <w:p>
            <w:pPr>
              <w:pStyle w:val="GesAbsatz"/>
              <w:jc w:val="both"/>
              <w:rPr>
                <w:rFonts w:cs="Arial"/>
                <w:szCs w:val="17"/>
              </w:rPr>
            </w:pPr>
            <w:r>
              <w:rPr>
                <w:rFonts w:cs="Arial"/>
                <w:szCs w:val="17"/>
              </w:rPr>
              <w:t>Kohle</w:t>
            </w:r>
          </w:p>
        </w:tc>
        <w:tc>
          <w:tcPr>
            <w:tcW w:w="1275" w:type="dxa"/>
          </w:tcPr>
          <w:p>
            <w:pPr>
              <w:pStyle w:val="GesAbsatz"/>
              <w:tabs>
                <w:tab w:val="clear" w:pos="425"/>
                <w:tab w:val="decimal" w:pos="638"/>
              </w:tabs>
              <w:jc w:val="both"/>
              <w:rPr>
                <w:rFonts w:cs="Arial"/>
                <w:szCs w:val="17"/>
              </w:rPr>
            </w:pPr>
            <w:r>
              <w:rPr>
                <w:rFonts w:cs="Arial"/>
                <w:szCs w:val="17"/>
              </w:rPr>
              <w:t>3</w:t>
            </w:r>
          </w:p>
        </w:tc>
        <w:tc>
          <w:tcPr>
            <w:tcW w:w="1418" w:type="dxa"/>
          </w:tcPr>
          <w:p>
            <w:pPr>
              <w:pStyle w:val="GesAbsatz"/>
              <w:tabs>
                <w:tab w:val="clear" w:pos="425"/>
                <w:tab w:val="decimal" w:pos="638"/>
              </w:tabs>
              <w:jc w:val="both"/>
              <w:rPr>
                <w:rFonts w:cs="Arial"/>
                <w:szCs w:val="17"/>
              </w:rPr>
            </w:pPr>
            <w:r>
              <w:rPr>
                <w:rFonts w:cs="Arial"/>
                <w:szCs w:val="17"/>
              </w:rPr>
              <w:t>5</w:t>
            </w:r>
          </w:p>
        </w:tc>
        <w:tc>
          <w:tcPr>
            <w:tcW w:w="1252" w:type="dxa"/>
          </w:tcPr>
          <w:p>
            <w:pPr>
              <w:pStyle w:val="GesAbsatz"/>
              <w:tabs>
                <w:tab w:val="clear" w:pos="425"/>
                <w:tab w:val="decimal" w:pos="638"/>
              </w:tabs>
              <w:jc w:val="both"/>
              <w:rPr>
                <w:rFonts w:cs="Arial"/>
                <w:szCs w:val="17"/>
              </w:rPr>
            </w:pPr>
            <w:r>
              <w:rPr>
                <w:rFonts w:cs="Arial"/>
                <w:szCs w:val="17"/>
              </w:rPr>
              <w:t>10</w:t>
            </w:r>
          </w:p>
        </w:tc>
      </w:tr>
      <w:tr>
        <w:tblPrEx>
          <w:tblCellMar>
            <w:top w:w="0" w:type="dxa"/>
            <w:bottom w:w="0" w:type="dxa"/>
          </w:tblCellMar>
        </w:tblPrEx>
        <w:tc>
          <w:tcPr>
            <w:tcW w:w="3756" w:type="dxa"/>
          </w:tcPr>
          <w:p>
            <w:pPr>
              <w:pStyle w:val="GesAbsatz"/>
              <w:rPr>
                <w:rFonts w:cs="Arial"/>
                <w:szCs w:val="17"/>
              </w:rPr>
            </w:pPr>
            <w:r>
              <w:rPr>
                <w:rFonts w:cs="Arial"/>
                <w:szCs w:val="17"/>
              </w:rPr>
              <w:t>Feste Brennstoffe sehr unterschie</w:t>
            </w:r>
            <w:r>
              <w:rPr>
                <w:rFonts w:cs="Arial"/>
                <w:szCs w:val="17"/>
              </w:rPr>
              <w:t>d</w:t>
            </w:r>
            <w:r>
              <w:rPr>
                <w:rFonts w:cs="Arial"/>
                <w:szCs w:val="17"/>
              </w:rPr>
              <w:t>licher Zusamme</w:t>
            </w:r>
            <w:r>
              <w:rPr>
                <w:rFonts w:cs="Arial"/>
                <w:szCs w:val="17"/>
              </w:rPr>
              <w:t>n</w:t>
            </w:r>
            <w:r>
              <w:rPr>
                <w:rFonts w:cs="Arial"/>
                <w:szCs w:val="17"/>
              </w:rPr>
              <w:t>setzung</w:t>
            </w:r>
          </w:p>
        </w:tc>
        <w:tc>
          <w:tcPr>
            <w:tcW w:w="1843" w:type="dxa"/>
          </w:tcPr>
          <w:p>
            <w:pPr>
              <w:pStyle w:val="GesAbsatz"/>
              <w:jc w:val="both"/>
              <w:rPr>
                <w:rFonts w:cs="Arial"/>
                <w:szCs w:val="17"/>
              </w:rPr>
            </w:pPr>
            <w:r>
              <w:rPr>
                <w:rFonts w:cs="Arial"/>
                <w:szCs w:val="17"/>
              </w:rPr>
              <w:t>Abfall</w:t>
            </w:r>
          </w:p>
        </w:tc>
        <w:tc>
          <w:tcPr>
            <w:tcW w:w="1275" w:type="dxa"/>
          </w:tcPr>
          <w:p>
            <w:pPr>
              <w:pStyle w:val="GesAbsatz"/>
              <w:tabs>
                <w:tab w:val="clear" w:pos="425"/>
                <w:tab w:val="decimal" w:pos="638"/>
              </w:tabs>
              <w:jc w:val="both"/>
              <w:rPr>
                <w:rFonts w:cs="Arial"/>
                <w:szCs w:val="17"/>
              </w:rPr>
            </w:pPr>
            <w:r>
              <w:rPr>
                <w:rFonts w:cs="Arial"/>
                <w:szCs w:val="17"/>
              </w:rPr>
              <w:t>5</w:t>
            </w:r>
          </w:p>
        </w:tc>
        <w:tc>
          <w:tcPr>
            <w:tcW w:w="1418" w:type="dxa"/>
          </w:tcPr>
          <w:p>
            <w:pPr>
              <w:pStyle w:val="GesAbsatz"/>
              <w:tabs>
                <w:tab w:val="clear" w:pos="425"/>
                <w:tab w:val="decimal" w:pos="638"/>
              </w:tabs>
              <w:jc w:val="both"/>
              <w:rPr>
                <w:rFonts w:cs="Arial"/>
                <w:szCs w:val="17"/>
              </w:rPr>
            </w:pPr>
            <w:r>
              <w:rPr>
                <w:rFonts w:cs="Arial"/>
                <w:szCs w:val="17"/>
              </w:rPr>
              <w:t>10</w:t>
            </w:r>
          </w:p>
        </w:tc>
        <w:tc>
          <w:tcPr>
            <w:tcW w:w="1252" w:type="dxa"/>
          </w:tcPr>
          <w:p>
            <w:pPr>
              <w:pStyle w:val="GesAbsatz"/>
              <w:tabs>
                <w:tab w:val="clear" w:pos="425"/>
                <w:tab w:val="decimal" w:pos="638"/>
              </w:tabs>
              <w:jc w:val="both"/>
              <w:rPr>
                <w:rFonts w:cs="Arial"/>
                <w:szCs w:val="17"/>
              </w:rPr>
            </w:pPr>
            <w:r>
              <w:rPr>
                <w:rFonts w:cs="Arial"/>
                <w:szCs w:val="17"/>
              </w:rPr>
              <w:t>12,5</w:t>
            </w:r>
          </w:p>
        </w:tc>
      </w:tr>
      <w:tr>
        <w:tblPrEx>
          <w:tblCellMar>
            <w:top w:w="0" w:type="dxa"/>
            <w:bottom w:w="0" w:type="dxa"/>
          </w:tblCellMar>
        </w:tblPrEx>
        <w:tc>
          <w:tcPr>
            <w:tcW w:w="3756" w:type="dxa"/>
          </w:tcPr>
          <w:p>
            <w:pPr>
              <w:pStyle w:val="GesAbsatz"/>
              <w:rPr>
                <w:rFonts w:cs="Arial"/>
                <w:szCs w:val="17"/>
              </w:rPr>
            </w:pPr>
            <w:r>
              <w:rPr>
                <w:rFonts w:cs="Arial"/>
                <w:szCs w:val="17"/>
              </w:rPr>
              <w:lastRenderedPageBreak/>
              <w:t>Prozessemissionen aus festen Rohsto</w:t>
            </w:r>
            <w:r>
              <w:rPr>
                <w:rFonts w:cs="Arial"/>
                <w:szCs w:val="17"/>
              </w:rPr>
              <w:t>f</w:t>
            </w:r>
            <w:r>
              <w:rPr>
                <w:rFonts w:cs="Arial"/>
                <w:szCs w:val="17"/>
              </w:rPr>
              <w:t>fen</w:t>
            </w:r>
          </w:p>
        </w:tc>
        <w:tc>
          <w:tcPr>
            <w:tcW w:w="1843" w:type="dxa"/>
          </w:tcPr>
          <w:p>
            <w:pPr>
              <w:pStyle w:val="GesAbsatz"/>
              <w:jc w:val="both"/>
              <w:rPr>
                <w:rFonts w:cs="Arial"/>
                <w:szCs w:val="17"/>
              </w:rPr>
            </w:pPr>
            <w:r>
              <w:rPr>
                <w:rFonts w:cs="Arial"/>
                <w:szCs w:val="17"/>
              </w:rPr>
              <w:t>Kalkstein, Dolomit</w:t>
            </w:r>
          </w:p>
        </w:tc>
        <w:tc>
          <w:tcPr>
            <w:tcW w:w="1275" w:type="dxa"/>
          </w:tcPr>
          <w:p>
            <w:pPr>
              <w:pStyle w:val="GesAbsatz"/>
              <w:tabs>
                <w:tab w:val="clear" w:pos="425"/>
                <w:tab w:val="decimal" w:pos="638"/>
              </w:tabs>
              <w:jc w:val="both"/>
              <w:rPr>
                <w:rFonts w:cs="Arial"/>
                <w:szCs w:val="17"/>
              </w:rPr>
            </w:pPr>
            <w:r>
              <w:rPr>
                <w:rFonts w:cs="Arial"/>
                <w:szCs w:val="17"/>
              </w:rPr>
              <w:t>5</w:t>
            </w:r>
          </w:p>
        </w:tc>
        <w:tc>
          <w:tcPr>
            <w:tcW w:w="1418" w:type="dxa"/>
          </w:tcPr>
          <w:p>
            <w:pPr>
              <w:pStyle w:val="GesAbsatz"/>
              <w:tabs>
                <w:tab w:val="clear" w:pos="425"/>
                <w:tab w:val="decimal" w:pos="638"/>
              </w:tabs>
              <w:jc w:val="both"/>
              <w:rPr>
                <w:rFonts w:cs="Arial"/>
                <w:szCs w:val="17"/>
              </w:rPr>
            </w:pPr>
            <w:r>
              <w:rPr>
                <w:rFonts w:cs="Arial"/>
                <w:szCs w:val="17"/>
              </w:rPr>
              <w:t>7,5</w:t>
            </w:r>
          </w:p>
        </w:tc>
        <w:tc>
          <w:tcPr>
            <w:tcW w:w="1252" w:type="dxa"/>
          </w:tcPr>
          <w:p>
            <w:pPr>
              <w:pStyle w:val="GesAbsatz"/>
              <w:tabs>
                <w:tab w:val="clear" w:pos="425"/>
                <w:tab w:val="decimal" w:pos="638"/>
              </w:tabs>
              <w:jc w:val="both"/>
              <w:rPr>
                <w:rFonts w:cs="Arial"/>
                <w:szCs w:val="17"/>
              </w:rPr>
            </w:pPr>
            <w:r>
              <w:rPr>
                <w:rFonts w:cs="Arial"/>
                <w:szCs w:val="17"/>
              </w:rPr>
              <w:t>10</w:t>
            </w:r>
          </w:p>
        </w:tc>
      </w:tr>
    </w:tbl>
    <w:p>
      <w:pPr>
        <w:pStyle w:val="GesAbsatz"/>
        <w:jc w:val="both"/>
        <w:rPr>
          <w:rFonts w:cs="Arial"/>
          <w:szCs w:val="15"/>
        </w:rPr>
      </w:pPr>
    </w:p>
    <w:p>
      <w:pPr>
        <w:pStyle w:val="GesAbsatz"/>
        <w:jc w:val="both"/>
        <w:rPr>
          <w:rFonts w:cs="Arial"/>
          <w:b/>
          <w:bCs/>
          <w:szCs w:val="17"/>
        </w:rPr>
      </w:pPr>
      <w:r>
        <w:rPr>
          <w:rFonts w:cs="Arial"/>
          <w:b/>
          <w:bCs/>
          <w:szCs w:val="17"/>
        </w:rPr>
        <w:t>5. BERICHTERSTATTUNG</w:t>
      </w:r>
    </w:p>
    <w:p>
      <w:pPr>
        <w:pStyle w:val="GesAbsatz"/>
        <w:jc w:val="both"/>
        <w:rPr>
          <w:rFonts w:cs="Arial"/>
          <w:szCs w:val="17"/>
        </w:rPr>
      </w:pPr>
      <w:r>
        <w:rPr>
          <w:rFonts w:cs="Arial"/>
          <w:szCs w:val="17"/>
        </w:rPr>
        <w:t>Anhang IV der Richtlinie enthält die Auflagen, die an die Berichterstattung in Bezug auf die Anlagen g</w:t>
      </w:r>
      <w:r>
        <w:rPr>
          <w:rFonts w:cs="Arial"/>
          <w:szCs w:val="17"/>
        </w:rPr>
        <w:t>e</w:t>
      </w:r>
      <w:r>
        <w:rPr>
          <w:rFonts w:cs="Arial"/>
          <w:szCs w:val="17"/>
        </w:rPr>
        <w:t>stellt werden. Das in Abschnitt 11 dieses Anhangs beschriebene Format für die Berichterstattung ist als Grundlage für die Meldung quantitativer Daten zu verwenden. Die Prüfung des Berichts erfolgt in Überei</w:t>
      </w:r>
      <w:r>
        <w:rPr>
          <w:rFonts w:cs="Arial"/>
          <w:szCs w:val="17"/>
        </w:rPr>
        <w:t>n</w:t>
      </w:r>
      <w:r>
        <w:rPr>
          <w:rFonts w:cs="Arial"/>
          <w:szCs w:val="17"/>
        </w:rPr>
        <w:t>stimmung mit den Rechts- und Verwaltungsvorschriften, die von den Mitgliedstaaten gemäß Anhang V erarbeitet werden. Der Betreiber legt der zuständigen Behörde bis zum 31. März eines jeden Jahres e</w:t>
      </w:r>
      <w:r>
        <w:rPr>
          <w:rFonts w:cs="Arial"/>
          <w:szCs w:val="17"/>
        </w:rPr>
        <w:t>i</w:t>
      </w:r>
      <w:r>
        <w:rPr>
          <w:rFonts w:cs="Arial"/>
          <w:szCs w:val="17"/>
        </w:rPr>
        <w:t>nen verifizierten B</w:t>
      </w:r>
      <w:r>
        <w:rPr>
          <w:rFonts w:cs="Arial"/>
          <w:szCs w:val="17"/>
        </w:rPr>
        <w:t>e</w:t>
      </w:r>
      <w:r>
        <w:rPr>
          <w:rFonts w:cs="Arial"/>
          <w:szCs w:val="17"/>
        </w:rPr>
        <w:t>richt über die Emissionen des Vorjahres vor.</w:t>
      </w:r>
    </w:p>
    <w:p>
      <w:pPr>
        <w:pStyle w:val="GesAbsatz"/>
        <w:jc w:val="both"/>
        <w:rPr>
          <w:rFonts w:cs="Arial"/>
          <w:szCs w:val="17"/>
        </w:rPr>
      </w:pPr>
      <w:r>
        <w:rPr>
          <w:rFonts w:cs="Arial"/>
          <w:szCs w:val="17"/>
        </w:rPr>
        <w:t>Die Emissionsberichte, die der zuständigen Behörde vorliegen, sind der Öffentlichkeit durch diese in Ei</w:t>
      </w:r>
      <w:r>
        <w:rPr>
          <w:rFonts w:cs="Arial"/>
          <w:szCs w:val="17"/>
        </w:rPr>
        <w:t>n</w:t>
      </w:r>
      <w:r>
        <w:rPr>
          <w:rFonts w:cs="Arial"/>
          <w:szCs w:val="17"/>
        </w:rPr>
        <w:t>klang mit den Bestimmungen der Richtlinie 2003/4/EG des Europäischen Parlaments und des Rates vom 28. Januar 2003 über den Zugang der Öffentlichkeit zu Umweltinformationen und zur Aufhebung der Richtlinie 90/313/EWG des Rates</w:t>
      </w:r>
      <w:r>
        <w:rPr>
          <w:rStyle w:val="Funotenzeichen"/>
          <w:rFonts w:cs="Arial"/>
          <w:szCs w:val="17"/>
        </w:rPr>
        <w:footnoteReference w:id="5"/>
      </w:r>
      <w:r>
        <w:rPr>
          <w:rFonts w:cs="Arial"/>
          <w:szCs w:val="17"/>
        </w:rPr>
        <w:t xml:space="preserve"> zugänglich zu machen. Was die Anwendung der Ausnahmereg</w:t>
      </w:r>
      <w:r>
        <w:rPr>
          <w:rFonts w:cs="Arial"/>
          <w:szCs w:val="17"/>
        </w:rPr>
        <w:t>e</w:t>
      </w:r>
      <w:r>
        <w:rPr>
          <w:rFonts w:cs="Arial"/>
          <w:szCs w:val="17"/>
        </w:rPr>
        <w:t>lung gemäß Artikel 4 Absatz 2 Buchstabe d) dieser Richtlinie betrifft, so können die Betreiber in ihren Emiss</w:t>
      </w:r>
      <w:r>
        <w:rPr>
          <w:rFonts w:cs="Arial"/>
          <w:szCs w:val="17"/>
        </w:rPr>
        <w:t>i</w:t>
      </w:r>
      <w:r>
        <w:rPr>
          <w:rFonts w:cs="Arial"/>
          <w:szCs w:val="17"/>
        </w:rPr>
        <w:t>onsberichten die Informationen kennzeichnen, die ihrer Auffassung nach als Geschäfts- oder Betriebsg</w:t>
      </w:r>
      <w:r>
        <w:rPr>
          <w:rFonts w:cs="Arial"/>
          <w:szCs w:val="17"/>
        </w:rPr>
        <w:t>e</w:t>
      </w:r>
      <w:r>
        <w:rPr>
          <w:rFonts w:cs="Arial"/>
          <w:szCs w:val="17"/>
        </w:rPr>
        <w:t>heimnis zu b</w:t>
      </w:r>
      <w:r>
        <w:rPr>
          <w:rFonts w:cs="Arial"/>
          <w:szCs w:val="17"/>
        </w:rPr>
        <w:t>e</w:t>
      </w:r>
      <w:r>
        <w:rPr>
          <w:rFonts w:cs="Arial"/>
          <w:szCs w:val="17"/>
        </w:rPr>
        <w:t>trachten sind.</w:t>
      </w:r>
    </w:p>
    <w:p>
      <w:pPr>
        <w:pStyle w:val="GesAbsatz"/>
        <w:jc w:val="both"/>
        <w:rPr>
          <w:rFonts w:cs="Arial"/>
          <w:szCs w:val="17"/>
        </w:rPr>
      </w:pPr>
      <w:r>
        <w:rPr>
          <w:rFonts w:cs="Arial"/>
          <w:szCs w:val="17"/>
        </w:rPr>
        <w:t>Alle Betreiber müssen die folgenden Informationen in ihre Berichte über Anlagen aufnehmen:</w:t>
      </w:r>
    </w:p>
    <w:p>
      <w:pPr>
        <w:pStyle w:val="GesAbsatz"/>
        <w:ind w:left="426" w:hanging="426"/>
        <w:jc w:val="both"/>
        <w:rPr>
          <w:rFonts w:cs="Arial"/>
          <w:szCs w:val="17"/>
        </w:rPr>
      </w:pPr>
      <w:r>
        <w:rPr>
          <w:rFonts w:cs="Arial"/>
          <w:szCs w:val="17"/>
        </w:rPr>
        <w:t>1)</w:t>
      </w:r>
      <w:r>
        <w:rPr>
          <w:rFonts w:cs="Arial"/>
          <w:szCs w:val="17"/>
        </w:rPr>
        <w:tab/>
        <w:t>die Anlagedaten gemäß Anhang IV der Richtlinie und die Genehmigungsnummer der betreffenden Anlage;</w:t>
      </w:r>
    </w:p>
    <w:p>
      <w:pPr>
        <w:pStyle w:val="GesAbsatz"/>
        <w:ind w:left="426" w:hanging="426"/>
        <w:jc w:val="both"/>
        <w:rPr>
          <w:rFonts w:cs="Arial"/>
          <w:szCs w:val="17"/>
        </w:rPr>
      </w:pPr>
      <w:r>
        <w:rPr>
          <w:rFonts w:cs="Arial"/>
          <w:szCs w:val="17"/>
        </w:rPr>
        <w:t>2)</w:t>
      </w:r>
      <w:r>
        <w:rPr>
          <w:rFonts w:cs="Arial"/>
          <w:szCs w:val="17"/>
        </w:rPr>
        <w:tab/>
        <w:t>die Gesamtemissionen, den gewählten Ansatz (Messung oder Berechnung), das gewählte Ebene</w:t>
      </w:r>
      <w:r>
        <w:rPr>
          <w:rFonts w:cs="Arial"/>
          <w:szCs w:val="17"/>
        </w:rPr>
        <w:t>n</w:t>
      </w:r>
      <w:r>
        <w:rPr>
          <w:rFonts w:cs="Arial"/>
          <w:szCs w:val="17"/>
        </w:rPr>
        <w:t>konzept sowie die gewählten Methoden (gegebenenfalls), Tätigkeitsdaten</w:t>
      </w:r>
      <w:r>
        <w:rPr>
          <w:rStyle w:val="Funotenzeichen"/>
          <w:rFonts w:cs="Arial"/>
          <w:szCs w:val="17"/>
        </w:rPr>
        <w:footnoteReference w:id="6"/>
      </w:r>
      <w:r>
        <w:rPr>
          <w:rFonts w:cs="Arial"/>
          <w:szCs w:val="17"/>
        </w:rPr>
        <w:t>, Emissionsfaktoren</w:t>
      </w:r>
      <w:r>
        <w:rPr>
          <w:rStyle w:val="Funotenzeichen"/>
          <w:rFonts w:cs="Arial"/>
          <w:szCs w:val="17"/>
        </w:rPr>
        <w:footnoteReference w:id="7"/>
      </w:r>
      <w:r>
        <w:rPr>
          <w:rFonts w:cs="Arial"/>
          <w:szCs w:val="17"/>
        </w:rPr>
        <w:t xml:space="preserve"> und Oxidations-/Umsetzungsfaktoren</w:t>
      </w:r>
      <w:r>
        <w:rPr>
          <w:rStyle w:val="Funotenzeichen"/>
          <w:rFonts w:cs="Arial"/>
          <w:szCs w:val="17"/>
        </w:rPr>
        <w:footnoteReference w:id="8"/>
      </w:r>
      <w:r>
        <w:rPr>
          <w:rFonts w:cs="Arial"/>
          <w:szCs w:val="17"/>
        </w:rPr>
        <w:t>. Bei Anwendung eines Massenbilanz</w:t>
      </w:r>
      <w:r>
        <w:rPr>
          <w:rFonts w:cs="Arial"/>
          <w:szCs w:val="17"/>
        </w:rPr>
        <w:softHyphen/>
        <w:t>ansatzes muss der Betreiber den Masse</w:t>
      </w:r>
      <w:r>
        <w:rPr>
          <w:rFonts w:cs="Arial"/>
          <w:szCs w:val="17"/>
        </w:rPr>
        <w:t>n</w:t>
      </w:r>
      <w:r>
        <w:rPr>
          <w:rFonts w:cs="Arial"/>
          <w:szCs w:val="17"/>
        </w:rPr>
        <w:t>strom, den Kohlenstoff- und Energiegehalt eines jeden Brennstoff- und Materialstroms in die bzw. aus der Anl</w:t>
      </w:r>
      <w:r>
        <w:rPr>
          <w:rFonts w:cs="Arial"/>
          <w:szCs w:val="17"/>
        </w:rPr>
        <w:t>a</w:t>
      </w:r>
      <w:r>
        <w:rPr>
          <w:rFonts w:cs="Arial"/>
          <w:szCs w:val="17"/>
        </w:rPr>
        <w:t>ge sowie die Lagerbestände in seinem Bericht angeben;</w:t>
      </w:r>
    </w:p>
    <w:p>
      <w:pPr>
        <w:pStyle w:val="GesAbsatz"/>
        <w:ind w:left="426" w:hanging="426"/>
        <w:jc w:val="both"/>
        <w:rPr>
          <w:rFonts w:cs="Arial"/>
          <w:szCs w:val="17"/>
        </w:rPr>
      </w:pPr>
      <w:r>
        <w:rPr>
          <w:rFonts w:cs="Arial"/>
          <w:szCs w:val="17"/>
        </w:rPr>
        <w:t>3)</w:t>
      </w:r>
      <w:r>
        <w:rPr>
          <w:rFonts w:cs="Arial"/>
          <w:szCs w:val="17"/>
        </w:rPr>
        <w:tab/>
        <w:t>Angaben zu zeitweiligen oder dauerhaften Änderungen in Bezug auf das gewählte Ebenenkonzept, die Gründe für die Änderungen, den Zeitpunkt des Beginns bzw. des Endes der zeitweiligen Änd</w:t>
      </w:r>
      <w:r>
        <w:rPr>
          <w:rFonts w:cs="Arial"/>
          <w:szCs w:val="17"/>
        </w:rPr>
        <w:t>e</w:t>
      </w:r>
      <w:r>
        <w:rPr>
          <w:rFonts w:cs="Arial"/>
          <w:szCs w:val="17"/>
        </w:rPr>
        <w:t>rungen;</w:t>
      </w:r>
    </w:p>
    <w:p>
      <w:pPr>
        <w:pStyle w:val="GesAbsatz"/>
        <w:ind w:left="426" w:hanging="426"/>
        <w:jc w:val="both"/>
        <w:rPr>
          <w:rFonts w:cs="Arial"/>
          <w:szCs w:val="17"/>
        </w:rPr>
      </w:pPr>
      <w:r>
        <w:rPr>
          <w:rFonts w:cs="Arial"/>
          <w:szCs w:val="17"/>
        </w:rPr>
        <w:t>4)</w:t>
      </w:r>
      <w:r>
        <w:rPr>
          <w:rFonts w:cs="Arial"/>
          <w:szCs w:val="17"/>
        </w:rPr>
        <w:tab/>
        <w:t>alle anderen Änderungen, die während des Berichtszeitraums an der Anlage vorgenommen wurden und die für den Emissionsbericht von Bedeutung sein können.</w:t>
      </w:r>
    </w:p>
    <w:p>
      <w:pPr>
        <w:pStyle w:val="GesAbsatz"/>
        <w:jc w:val="both"/>
        <w:rPr>
          <w:rFonts w:cs="Arial"/>
          <w:szCs w:val="17"/>
        </w:rPr>
      </w:pPr>
      <w:r>
        <w:rPr>
          <w:rFonts w:cs="Arial"/>
          <w:szCs w:val="17"/>
        </w:rPr>
        <w:t>Die Informationen, die zu den Punkten 3 und 4 zu liefern sind, bzw. die zusätzlichen Informationen zu Punkt 2 können nicht in tabellarischer Form entsprechend dem Berichtsformat übermittelt werden. Sie sind dem jährlichen Emissionsbericht daher auf einem gesonderten Blatt beizufügen.</w:t>
      </w:r>
    </w:p>
    <w:p>
      <w:pPr>
        <w:pStyle w:val="GesAbsatz"/>
        <w:jc w:val="both"/>
        <w:rPr>
          <w:rFonts w:cs="Arial"/>
          <w:szCs w:val="17"/>
        </w:rPr>
      </w:pPr>
      <w:r>
        <w:rPr>
          <w:rFonts w:cs="Arial"/>
          <w:szCs w:val="17"/>
        </w:rPr>
        <w:t>Die folgenden Informationen, deren Angabe nicht unter „Emissionen“ vorgesehen ist, sind in Form von Memo-Items zu melden:</w:t>
      </w:r>
    </w:p>
    <w:p>
      <w:pPr>
        <w:pStyle w:val="GesAbsatz"/>
        <w:jc w:val="both"/>
        <w:rPr>
          <w:rFonts w:cs="Arial"/>
          <w:szCs w:val="17"/>
        </w:rPr>
      </w:pPr>
      <w:r>
        <w:rPr>
          <w:rFonts w:cs="Arial"/>
          <w:szCs w:val="17"/>
        </w:rPr>
        <w:t>-</w:t>
      </w:r>
      <w:r>
        <w:rPr>
          <w:rFonts w:cs="Arial"/>
          <w:szCs w:val="17"/>
        </w:rPr>
        <w:tab/>
        <w:t>Menge der verbrannten [TJ] oder in den Prozessen eingesetzten Biomasse [t oder m</w:t>
      </w:r>
      <w:r>
        <w:rPr>
          <w:rFonts w:cs="Arial"/>
          <w:szCs w:val="10"/>
          <w:vertAlign w:val="superscript"/>
        </w:rPr>
        <w:t>3</w:t>
      </w:r>
      <w:r>
        <w:rPr>
          <w:rFonts w:cs="Arial"/>
          <w:szCs w:val="17"/>
        </w:rPr>
        <w:t>],</w:t>
      </w:r>
    </w:p>
    <w:p>
      <w:pPr>
        <w:pStyle w:val="GesAbsatz"/>
        <w:ind w:left="426" w:hanging="426"/>
        <w:jc w:val="both"/>
        <w:rPr>
          <w:rFonts w:cs="Arial"/>
          <w:szCs w:val="17"/>
        </w:rPr>
      </w:pPr>
      <w:r>
        <w:rPr>
          <w:rFonts w:cs="Arial"/>
          <w:szCs w:val="17"/>
        </w:rPr>
        <w:t>-</w:t>
      </w:r>
      <w:r>
        <w:rPr>
          <w:rFonts w:cs="Arial"/>
          <w:szCs w:val="17"/>
        </w:rPr>
        <w:tab/>
        <w:t>CO</w:t>
      </w:r>
      <w:r>
        <w:rPr>
          <w:rFonts w:cs="Arial"/>
          <w:szCs w:val="10"/>
          <w:vertAlign w:val="subscript"/>
        </w:rPr>
        <w:t>2</w:t>
      </w:r>
      <w:r>
        <w:rPr>
          <w:rFonts w:cs="Arial"/>
          <w:szCs w:val="17"/>
        </w:rPr>
        <w:t>-Emissionen [t CO</w:t>
      </w:r>
      <w:r>
        <w:rPr>
          <w:rFonts w:cs="Arial"/>
          <w:szCs w:val="10"/>
          <w:vertAlign w:val="subscript"/>
        </w:rPr>
        <w:t>2</w:t>
      </w:r>
      <w:r>
        <w:rPr>
          <w:rFonts w:cs="Arial"/>
          <w:szCs w:val="17"/>
        </w:rPr>
        <w:t>] aus Biomasse, sofern die Emissionen anhand von Messungen ermittelt we</w:t>
      </w:r>
      <w:r>
        <w:rPr>
          <w:rFonts w:cs="Arial"/>
          <w:szCs w:val="17"/>
        </w:rPr>
        <w:t>r</w:t>
      </w:r>
      <w:r>
        <w:rPr>
          <w:rFonts w:cs="Arial"/>
          <w:szCs w:val="17"/>
        </w:rPr>
        <w:t>den,</w:t>
      </w:r>
    </w:p>
    <w:p>
      <w:pPr>
        <w:pStyle w:val="GesAbsatz"/>
        <w:ind w:left="426" w:hanging="426"/>
        <w:jc w:val="both"/>
        <w:rPr>
          <w:rFonts w:cs="Arial"/>
          <w:szCs w:val="17"/>
        </w:rPr>
      </w:pPr>
      <w:r>
        <w:rPr>
          <w:rFonts w:cs="Arial"/>
          <w:szCs w:val="17"/>
        </w:rPr>
        <w:lastRenderedPageBreak/>
        <w:t>-</w:t>
      </w:r>
      <w:r>
        <w:rPr>
          <w:rFonts w:cs="Arial"/>
          <w:szCs w:val="17"/>
        </w:rPr>
        <w:tab/>
        <w:t>in andere Anlagen weitergeleitetes CO</w:t>
      </w:r>
      <w:r>
        <w:rPr>
          <w:rFonts w:cs="Arial"/>
          <w:szCs w:val="10"/>
          <w:vertAlign w:val="subscript"/>
        </w:rPr>
        <w:t>2</w:t>
      </w:r>
      <w:r>
        <w:rPr>
          <w:rFonts w:cs="Arial"/>
          <w:szCs w:val="10"/>
        </w:rPr>
        <w:t xml:space="preserve"> </w:t>
      </w:r>
      <w:r>
        <w:rPr>
          <w:rFonts w:cs="Arial"/>
          <w:szCs w:val="17"/>
        </w:rPr>
        <w:t>[t CO</w:t>
      </w:r>
      <w:r>
        <w:rPr>
          <w:rFonts w:cs="Arial"/>
          <w:szCs w:val="10"/>
          <w:vertAlign w:val="subscript"/>
        </w:rPr>
        <w:t>2</w:t>
      </w:r>
      <w:r>
        <w:rPr>
          <w:rFonts w:cs="Arial"/>
          <w:szCs w:val="17"/>
        </w:rPr>
        <w:t>] sowie die Angabe, in welchen Verbindungen dies g</w:t>
      </w:r>
      <w:r>
        <w:rPr>
          <w:rFonts w:cs="Arial"/>
          <w:szCs w:val="17"/>
        </w:rPr>
        <w:t>e</w:t>
      </w:r>
      <w:r>
        <w:rPr>
          <w:rFonts w:cs="Arial"/>
          <w:szCs w:val="17"/>
        </w:rPr>
        <w:t>schehen ist.</w:t>
      </w:r>
    </w:p>
    <w:p>
      <w:pPr>
        <w:pStyle w:val="GesAbsatz"/>
        <w:jc w:val="both"/>
        <w:rPr>
          <w:rFonts w:cs="Arial"/>
          <w:szCs w:val="17"/>
        </w:rPr>
      </w:pPr>
      <w:r>
        <w:rPr>
          <w:rFonts w:cs="Arial"/>
          <w:szCs w:val="17"/>
        </w:rPr>
        <w:t>Brennstoffe und die daraus resultierenden Emissionen werden unter Verwendung der IPCC-Brennstoffkategorien (siehe Abschnitt 8 dieses Anhangs) gemeldet, die auf den Definitionen der Internat</w:t>
      </w:r>
      <w:r>
        <w:rPr>
          <w:rFonts w:cs="Arial"/>
          <w:szCs w:val="17"/>
        </w:rPr>
        <w:t>i</w:t>
      </w:r>
      <w:r>
        <w:rPr>
          <w:rFonts w:cs="Arial"/>
          <w:szCs w:val="17"/>
        </w:rPr>
        <w:t>onalen Energie-Agentur (http://www.iea.org/stats/defs/defs.htm) beruhen. In dem Fall, dass der für den Betreiber ma</w:t>
      </w:r>
      <w:r>
        <w:rPr>
          <w:rFonts w:cs="Arial"/>
          <w:szCs w:val="17"/>
        </w:rPr>
        <w:t>ß</w:t>
      </w:r>
      <w:r>
        <w:rPr>
          <w:rFonts w:cs="Arial"/>
          <w:szCs w:val="17"/>
        </w:rPr>
        <w:t>gebliche Mitgliedstaat eine Liste mit Brennstoffkategorien einschließlich Definitionen und Emissionsfaktoren verö</w:t>
      </w:r>
      <w:r>
        <w:rPr>
          <w:rFonts w:cs="Arial"/>
          <w:szCs w:val="17"/>
        </w:rPr>
        <w:t>f</w:t>
      </w:r>
      <w:r>
        <w:rPr>
          <w:rFonts w:cs="Arial"/>
          <w:szCs w:val="17"/>
        </w:rPr>
        <w:t>fentlicht hat, die bereits für das jüngste Nationale Treibhausgasinventar, das dem Sekretariat der Klimarahmenkonvention der Vereinten Nationen übermittelt wurde, zugrunde gelegt wo</w:t>
      </w:r>
      <w:r>
        <w:rPr>
          <w:rFonts w:cs="Arial"/>
          <w:szCs w:val="17"/>
        </w:rPr>
        <w:t>r</w:t>
      </w:r>
      <w:r>
        <w:rPr>
          <w:rFonts w:cs="Arial"/>
          <w:szCs w:val="17"/>
        </w:rPr>
        <w:t>den waren, so sind diese Kategorien und Emissionsfaktoren zu verwenden, sofern sie für die einschlägige Überwachungsmethode zulässig sind.</w:t>
      </w:r>
    </w:p>
    <w:p>
      <w:pPr>
        <w:pStyle w:val="GesAbsatz"/>
        <w:jc w:val="both"/>
        <w:rPr>
          <w:rFonts w:cs="Arial"/>
          <w:szCs w:val="17"/>
        </w:rPr>
      </w:pPr>
      <w:r>
        <w:rPr>
          <w:rFonts w:cs="Arial"/>
          <w:szCs w:val="17"/>
        </w:rPr>
        <w:t>Darüber hinaus müssen die Abfallarten sowie die Emissionen, die aus ihrem Einsatz als Brennstoff oder Einsatzstoff entstehen, gemeldet werden. Die Abfallarten sind unter Verwendung der Klassifikation des „Europäischen Abfallverzeichnisses“ (Entscheidung der Kommission 2000/532/EG vom 3. Mai 2000 zur Ersetzung der Entscheidung 94/3/EG über ein Abfallverzeichnis gemäß Artikel 1 Buchstabe a) der Richtl</w:t>
      </w:r>
      <w:r>
        <w:rPr>
          <w:rFonts w:cs="Arial"/>
          <w:szCs w:val="17"/>
        </w:rPr>
        <w:t>i</w:t>
      </w:r>
      <w:r>
        <w:rPr>
          <w:rFonts w:cs="Arial"/>
          <w:szCs w:val="17"/>
        </w:rPr>
        <w:t>nie 75/442/EWG des Rates über Abfälle und der Entscheidung 94/904/EG des Rates über ein Verzeic</w:t>
      </w:r>
      <w:r>
        <w:rPr>
          <w:rFonts w:cs="Arial"/>
          <w:szCs w:val="17"/>
        </w:rPr>
        <w:t>h</w:t>
      </w:r>
      <w:r>
        <w:rPr>
          <w:rFonts w:cs="Arial"/>
          <w:szCs w:val="17"/>
        </w:rPr>
        <w:t>nis gefährlicher Abfälle im Sinne von Artikel 1 Absatz 4 der Richtlinie 91/689/EWG über gefährliche A</w:t>
      </w:r>
      <w:r>
        <w:rPr>
          <w:rFonts w:cs="Arial"/>
          <w:szCs w:val="17"/>
        </w:rPr>
        <w:t>b</w:t>
      </w:r>
      <w:r>
        <w:rPr>
          <w:rFonts w:cs="Arial"/>
          <w:szCs w:val="17"/>
        </w:rPr>
        <w:t>fälle</w:t>
      </w:r>
      <w:r>
        <w:rPr>
          <w:rStyle w:val="Funotenzeichen"/>
          <w:rFonts w:cs="Arial"/>
          <w:szCs w:val="17"/>
        </w:rPr>
        <w:footnoteReference w:id="9"/>
      </w:r>
      <w:r>
        <w:rPr>
          <w:rFonts w:cs="Arial"/>
          <w:szCs w:val="17"/>
        </w:rPr>
        <w:t>: http://europa.eu.int/comm/environment/waste/legislation/a.htm zu melden. Der jeweilige sechsstellige Code ist den Bezeichnungen der Abfallarten hinzuzufügen, die in der Anlage verwendet werden.</w:t>
      </w:r>
    </w:p>
    <w:p>
      <w:pPr>
        <w:pStyle w:val="GesAbsatz"/>
        <w:jc w:val="both"/>
        <w:rPr>
          <w:rFonts w:cs="Arial"/>
          <w:szCs w:val="17"/>
        </w:rPr>
      </w:pPr>
      <w:r>
        <w:rPr>
          <w:rFonts w:cs="Arial"/>
          <w:szCs w:val="17"/>
        </w:rPr>
        <w:t>Emissionen, die innerhalb einer Anlage aus verschiedenen Quellen austreten, aber ein und derselben Tätigkeit zuzuordnen sind, können in aggregierter Form für die jeweilige Tätigkeit gemeldet werden.</w:t>
      </w:r>
    </w:p>
    <w:p>
      <w:pPr>
        <w:pStyle w:val="GesAbsatz"/>
        <w:jc w:val="both"/>
        <w:rPr>
          <w:rFonts w:cs="Arial"/>
          <w:szCs w:val="17"/>
        </w:rPr>
      </w:pPr>
      <w:r>
        <w:rPr>
          <w:rFonts w:cs="Arial"/>
          <w:szCs w:val="17"/>
        </w:rPr>
        <w:t>Die Emissionen werden gerundet in Form von Tonnen CO</w:t>
      </w:r>
      <w:r>
        <w:rPr>
          <w:rFonts w:cs="Arial"/>
          <w:szCs w:val="10"/>
          <w:vertAlign w:val="subscript"/>
        </w:rPr>
        <w:t>2</w:t>
      </w:r>
      <w:r>
        <w:rPr>
          <w:rFonts w:cs="Arial"/>
          <w:szCs w:val="10"/>
        </w:rPr>
        <w:t xml:space="preserve"> </w:t>
      </w:r>
      <w:r>
        <w:rPr>
          <w:rFonts w:cs="Arial"/>
          <w:szCs w:val="17"/>
        </w:rPr>
        <w:t>gemeldet (zum Beispiel 1 245 978 Tonnen). Die Tätigkeitsdaten, Emissionsfaktoren und Oxidations- oder Umsetzungsfaktoren, die für die Emission</w:t>
      </w:r>
      <w:r>
        <w:rPr>
          <w:rFonts w:cs="Arial"/>
          <w:szCs w:val="17"/>
        </w:rPr>
        <w:t>s</w:t>
      </w:r>
      <w:r>
        <w:rPr>
          <w:rFonts w:cs="Arial"/>
          <w:szCs w:val="17"/>
        </w:rPr>
        <w:t>berechnung bzw. Berichterstattung benötigt werden, sind so zu runden, dass die Werte - bei einem Uns</w:t>
      </w:r>
      <w:r>
        <w:rPr>
          <w:rFonts w:cs="Arial"/>
          <w:szCs w:val="17"/>
        </w:rPr>
        <w:t>i</w:t>
      </w:r>
      <w:r>
        <w:rPr>
          <w:rFonts w:cs="Arial"/>
          <w:szCs w:val="17"/>
        </w:rPr>
        <w:t>cherheitsfa</w:t>
      </w:r>
      <w:r>
        <w:rPr>
          <w:rFonts w:cs="Arial"/>
          <w:szCs w:val="17"/>
        </w:rPr>
        <w:t>k</w:t>
      </w:r>
      <w:r>
        <w:rPr>
          <w:rFonts w:cs="Arial"/>
          <w:szCs w:val="17"/>
        </w:rPr>
        <w:t>tor von ± 0,01 % - insgesamt nur fünf Stellen (z. B. 1,2369) aufweisen.</w:t>
      </w:r>
    </w:p>
    <w:p>
      <w:pPr>
        <w:pStyle w:val="GesAbsatz"/>
        <w:jc w:val="both"/>
        <w:rPr>
          <w:rFonts w:cs="Arial"/>
          <w:szCs w:val="17"/>
        </w:rPr>
      </w:pPr>
      <w:r>
        <w:rPr>
          <w:rFonts w:cs="Arial"/>
          <w:szCs w:val="17"/>
        </w:rPr>
        <w:t>Um zu erreichen, dass die gemäß der Richtlinie gemeldeten Daten mit denen übereinstimmen, die die Mitgliedstaaten unter der Klimarahmenkonvention der Vereinten Nationen bzw. im Zusammenhang mit dem Europäischen Schadstoffemissionsregister (EPER) melden, sind alle in einer Anlage durchgeführten T</w:t>
      </w:r>
      <w:r>
        <w:rPr>
          <w:rFonts w:cs="Arial"/>
          <w:szCs w:val="17"/>
        </w:rPr>
        <w:t>ä</w:t>
      </w:r>
      <w:r>
        <w:rPr>
          <w:rFonts w:cs="Arial"/>
          <w:szCs w:val="17"/>
        </w:rPr>
        <w:t>tigkeiten mit den Codes der beiden folgenden Berichterstattungssysteme zu kennzeichnen:</w:t>
      </w:r>
    </w:p>
    <w:p>
      <w:pPr>
        <w:pStyle w:val="GesAbsatz"/>
        <w:ind w:left="426" w:hanging="426"/>
        <w:jc w:val="both"/>
        <w:rPr>
          <w:rFonts w:cs="Arial"/>
          <w:szCs w:val="17"/>
        </w:rPr>
      </w:pPr>
      <w:r>
        <w:rPr>
          <w:rFonts w:cs="Arial"/>
          <w:szCs w:val="17"/>
        </w:rPr>
        <w:t>1)</w:t>
      </w:r>
      <w:r>
        <w:rPr>
          <w:rFonts w:cs="Arial"/>
          <w:szCs w:val="17"/>
        </w:rPr>
        <w:tab/>
        <w:t>den Codes des „Common Reporting Format“ für nationale Treibhausgasinventare, das von den z</w:t>
      </w:r>
      <w:r>
        <w:rPr>
          <w:rFonts w:cs="Arial"/>
          <w:szCs w:val="17"/>
        </w:rPr>
        <w:t>u</w:t>
      </w:r>
      <w:r>
        <w:rPr>
          <w:rFonts w:cs="Arial"/>
          <w:szCs w:val="17"/>
        </w:rPr>
        <w:t>ständigen Stellen der Klimarahmenkonvention der Vereinten Nationen angenommen wurde (siehe Abschnitt 12.1. dieses Anhangs);</w:t>
      </w:r>
    </w:p>
    <w:p>
      <w:pPr>
        <w:pStyle w:val="GesAbsatz"/>
        <w:ind w:left="426" w:hanging="426"/>
        <w:jc w:val="both"/>
        <w:rPr>
          <w:rFonts w:cs="Arial"/>
          <w:szCs w:val="17"/>
        </w:rPr>
      </w:pPr>
      <w:r>
        <w:rPr>
          <w:rFonts w:cs="Arial"/>
          <w:szCs w:val="17"/>
        </w:rPr>
        <w:t>2)</w:t>
      </w:r>
      <w:r>
        <w:rPr>
          <w:rFonts w:cs="Arial"/>
          <w:szCs w:val="17"/>
        </w:rPr>
        <w:tab/>
        <w:t>den IPPC-Codes in Anhang A3 des Europäischen Schadstoffemissionsregisters (EPER) (siehe A</w:t>
      </w:r>
      <w:r>
        <w:rPr>
          <w:rFonts w:cs="Arial"/>
          <w:szCs w:val="17"/>
        </w:rPr>
        <w:t>b</w:t>
      </w:r>
      <w:r>
        <w:rPr>
          <w:rFonts w:cs="Arial"/>
          <w:szCs w:val="17"/>
        </w:rPr>
        <w:t>schnitt 12.2 dieses Anhangs).</w:t>
      </w:r>
    </w:p>
    <w:p>
      <w:pPr>
        <w:pStyle w:val="GesAbsatz"/>
        <w:jc w:val="both"/>
        <w:rPr>
          <w:rFonts w:cs="Arial"/>
          <w:b/>
          <w:szCs w:val="17"/>
        </w:rPr>
      </w:pPr>
      <w:r>
        <w:rPr>
          <w:rFonts w:cs="Arial"/>
          <w:b/>
          <w:szCs w:val="17"/>
        </w:rPr>
        <w:t>6. AUFBEWAHRUNG DER INFORMATIONEN</w:t>
      </w:r>
    </w:p>
    <w:p>
      <w:pPr>
        <w:pStyle w:val="GesAbsatz"/>
        <w:jc w:val="both"/>
        <w:rPr>
          <w:rFonts w:cs="Arial"/>
          <w:szCs w:val="17"/>
        </w:rPr>
      </w:pPr>
      <w:r>
        <w:rPr>
          <w:rFonts w:cs="Arial"/>
          <w:szCs w:val="17"/>
        </w:rPr>
        <w:t>Der Betreiber einer Anlage dokumentiert und archiviert die Daten aus der Überwachung der Treibhau</w:t>
      </w:r>
      <w:r>
        <w:rPr>
          <w:rFonts w:cs="Arial"/>
          <w:szCs w:val="17"/>
        </w:rPr>
        <w:t>s</w:t>
      </w:r>
      <w:r>
        <w:rPr>
          <w:rFonts w:cs="Arial"/>
          <w:szCs w:val="17"/>
        </w:rPr>
        <w:t>gasemissionen aus allen Quellen einer Anlage, die durch die in Anhang I der Richtlinie aufgeführten Täti</w:t>
      </w:r>
      <w:r>
        <w:rPr>
          <w:rFonts w:cs="Arial"/>
          <w:szCs w:val="17"/>
        </w:rPr>
        <w:t>g</w:t>
      </w:r>
      <w:r>
        <w:rPr>
          <w:rFonts w:cs="Arial"/>
          <w:szCs w:val="17"/>
        </w:rPr>
        <w:t>keiten entstehen.</w:t>
      </w:r>
    </w:p>
    <w:p>
      <w:pPr>
        <w:pStyle w:val="GesAbsatz"/>
        <w:jc w:val="both"/>
        <w:rPr>
          <w:rFonts w:cs="Arial"/>
          <w:szCs w:val="17"/>
        </w:rPr>
      </w:pPr>
      <w:r>
        <w:rPr>
          <w:rFonts w:cs="Arial"/>
          <w:szCs w:val="17"/>
        </w:rPr>
        <w:t>Die dokumentierten und archivierten Überwachungsdaten müssen eine Prüfung des jährlichen Emission</w:t>
      </w:r>
      <w:r>
        <w:rPr>
          <w:rFonts w:cs="Arial"/>
          <w:szCs w:val="17"/>
        </w:rPr>
        <w:t>s</w:t>
      </w:r>
      <w:r>
        <w:rPr>
          <w:rFonts w:cs="Arial"/>
          <w:szCs w:val="17"/>
        </w:rPr>
        <w:t>berichts (der vom Betreiber einer Anlage gemäß Artikel 14 Absatz 3 der Richtlinie in Bezug auf die Emiss</w:t>
      </w:r>
      <w:r>
        <w:rPr>
          <w:rFonts w:cs="Arial"/>
          <w:szCs w:val="17"/>
        </w:rPr>
        <w:t>i</w:t>
      </w:r>
      <w:r>
        <w:rPr>
          <w:rFonts w:cs="Arial"/>
          <w:szCs w:val="17"/>
        </w:rPr>
        <w:t>onen dieser Anlage vorzulegen ist) in Einklang mit den Kriterien des Anhangs V der Richtlinie ermögl</w:t>
      </w:r>
      <w:r>
        <w:rPr>
          <w:rFonts w:cs="Arial"/>
          <w:szCs w:val="17"/>
        </w:rPr>
        <w:t>i</w:t>
      </w:r>
      <w:r>
        <w:rPr>
          <w:rFonts w:cs="Arial"/>
          <w:szCs w:val="17"/>
        </w:rPr>
        <w:t>chen.</w:t>
      </w:r>
    </w:p>
    <w:p>
      <w:pPr>
        <w:pStyle w:val="GesAbsatz"/>
        <w:jc w:val="both"/>
        <w:rPr>
          <w:rFonts w:cs="Arial"/>
          <w:szCs w:val="17"/>
        </w:rPr>
      </w:pPr>
      <w:r>
        <w:rPr>
          <w:rFonts w:cs="Arial"/>
          <w:szCs w:val="17"/>
        </w:rPr>
        <w:t>Daten, die nicht im Rahmen des jährlichen Emissionsberichts zu nennen sind, müssen nicht gemeldet oder in sonstiger Weise veröffentlicht werden.</w:t>
      </w:r>
    </w:p>
    <w:p>
      <w:pPr>
        <w:pStyle w:val="GesAbsatz"/>
        <w:jc w:val="both"/>
        <w:rPr>
          <w:rFonts w:cs="Arial"/>
          <w:szCs w:val="17"/>
        </w:rPr>
      </w:pPr>
      <w:r>
        <w:rPr>
          <w:rFonts w:cs="Arial"/>
          <w:szCs w:val="17"/>
        </w:rPr>
        <w:t>Um die Bestimmung der Emissionen für die prüfende Instanz oder sonstige Dritte nachvollziehbar zu m</w:t>
      </w:r>
      <w:r>
        <w:rPr>
          <w:rFonts w:cs="Arial"/>
          <w:szCs w:val="17"/>
        </w:rPr>
        <w:t>a</w:t>
      </w:r>
      <w:r>
        <w:rPr>
          <w:rFonts w:cs="Arial"/>
          <w:szCs w:val="17"/>
        </w:rPr>
        <w:t>chen, bewahrt der Betreiber einer Anlage sämtliche Berichte über alle Berichtsjahre auf, und zwar für mi</w:t>
      </w:r>
      <w:r>
        <w:rPr>
          <w:rFonts w:cs="Arial"/>
          <w:szCs w:val="17"/>
        </w:rPr>
        <w:t>n</w:t>
      </w:r>
      <w:r>
        <w:rPr>
          <w:rFonts w:cs="Arial"/>
          <w:szCs w:val="17"/>
        </w:rPr>
        <w:t>destens zehn Jahre nach der Übermittlung des Berichts an die zuständige Behörde gemäß Artikel 14 A</w:t>
      </w:r>
      <w:r>
        <w:rPr>
          <w:rFonts w:cs="Arial"/>
          <w:szCs w:val="17"/>
        </w:rPr>
        <w:t>b</w:t>
      </w:r>
      <w:r>
        <w:rPr>
          <w:rFonts w:cs="Arial"/>
          <w:szCs w:val="17"/>
        </w:rPr>
        <w:t>satz 3 der Richtlinie.</w:t>
      </w:r>
    </w:p>
    <w:p>
      <w:pPr>
        <w:pStyle w:val="GesAbsatz"/>
        <w:jc w:val="both"/>
        <w:rPr>
          <w:rFonts w:cs="Arial"/>
          <w:szCs w:val="17"/>
        </w:rPr>
      </w:pPr>
      <w:r>
        <w:rPr>
          <w:rFonts w:cs="Arial"/>
          <w:szCs w:val="17"/>
        </w:rPr>
        <w:t>Bei einer Ermittlung der Emissionen aufgrund von Berechnungen:</w:t>
      </w:r>
    </w:p>
    <w:p>
      <w:pPr>
        <w:pStyle w:val="GesAbsatz"/>
        <w:jc w:val="both"/>
        <w:rPr>
          <w:rFonts w:cs="Arial"/>
          <w:szCs w:val="17"/>
        </w:rPr>
      </w:pPr>
      <w:r>
        <w:rPr>
          <w:rFonts w:cs="Arial"/>
          <w:szCs w:val="17"/>
        </w:rPr>
        <w:lastRenderedPageBreak/>
        <w:t>-</w:t>
      </w:r>
      <w:r>
        <w:rPr>
          <w:rFonts w:cs="Arial"/>
          <w:szCs w:val="17"/>
        </w:rPr>
        <w:tab/>
        <w:t>die Liste aller überwachten Quellen;</w:t>
      </w:r>
    </w:p>
    <w:p>
      <w:pPr>
        <w:pStyle w:val="GesAbsatz"/>
        <w:ind w:left="426" w:hanging="426"/>
        <w:jc w:val="both"/>
        <w:rPr>
          <w:rFonts w:cs="Arial"/>
          <w:szCs w:val="17"/>
        </w:rPr>
      </w:pPr>
      <w:r>
        <w:rPr>
          <w:rFonts w:cs="Arial"/>
          <w:szCs w:val="17"/>
        </w:rPr>
        <w:t>-</w:t>
      </w:r>
      <w:r>
        <w:rPr>
          <w:rFonts w:cs="Arial"/>
          <w:szCs w:val="17"/>
        </w:rPr>
        <w:tab/>
        <w:t>die Tätigkeitsdaten, die für die Berechnung der Treibhausgasemissionen aus den verschiedenen Que</w:t>
      </w:r>
      <w:r>
        <w:rPr>
          <w:rFonts w:cs="Arial"/>
          <w:szCs w:val="17"/>
        </w:rPr>
        <w:t>l</w:t>
      </w:r>
      <w:r>
        <w:rPr>
          <w:rFonts w:cs="Arial"/>
          <w:szCs w:val="17"/>
        </w:rPr>
        <w:t>len zugrunde gelegt wurden (klassifiziert nach Prozessen und Brennstoffarten);</w:t>
      </w:r>
    </w:p>
    <w:p>
      <w:pPr>
        <w:pStyle w:val="GesAbsatz"/>
        <w:ind w:left="426" w:hanging="426"/>
        <w:jc w:val="both"/>
        <w:rPr>
          <w:rFonts w:cs="Arial"/>
          <w:szCs w:val="17"/>
        </w:rPr>
      </w:pPr>
      <w:r>
        <w:rPr>
          <w:rFonts w:cs="Arial"/>
          <w:szCs w:val="17"/>
        </w:rPr>
        <w:t>-</w:t>
      </w:r>
      <w:r>
        <w:rPr>
          <w:rFonts w:cs="Arial"/>
          <w:szCs w:val="17"/>
        </w:rPr>
        <w:tab/>
        <w:t>die Dokumente, die die Auswahl der jeweiligen Überwachungsmethode begründen, sowie entspr</w:t>
      </w:r>
      <w:r>
        <w:rPr>
          <w:rFonts w:cs="Arial"/>
          <w:szCs w:val="17"/>
        </w:rPr>
        <w:t>e</w:t>
      </w:r>
      <w:r>
        <w:rPr>
          <w:rFonts w:cs="Arial"/>
          <w:szCs w:val="17"/>
        </w:rPr>
        <w:t>chende Nachweise in Bezug auf alle zeitweiligen oder dauerhaften Änderungen im Zusammenhang mit der Überwachungsmethode bzw. der gewählten Ebenenkonzepte, wie sie von der zuständigen Behörde genehmigt wurden; auch die Gründe für diese Änderungen sind entsprechend zu dokume</w:t>
      </w:r>
      <w:r>
        <w:rPr>
          <w:rFonts w:cs="Arial"/>
          <w:szCs w:val="17"/>
        </w:rPr>
        <w:t>n</w:t>
      </w:r>
      <w:r>
        <w:rPr>
          <w:rFonts w:cs="Arial"/>
          <w:szCs w:val="17"/>
        </w:rPr>
        <w:t>tieren;</w:t>
      </w:r>
    </w:p>
    <w:p>
      <w:pPr>
        <w:pStyle w:val="GesAbsatz"/>
        <w:ind w:left="426" w:hanging="426"/>
        <w:jc w:val="both"/>
        <w:rPr>
          <w:rFonts w:cs="Arial"/>
          <w:szCs w:val="17"/>
        </w:rPr>
      </w:pPr>
      <w:r>
        <w:rPr>
          <w:rFonts w:cs="Arial"/>
          <w:szCs w:val="17"/>
        </w:rPr>
        <w:t>-</w:t>
      </w:r>
      <w:r>
        <w:rPr>
          <w:rFonts w:cs="Arial"/>
          <w:szCs w:val="17"/>
        </w:rPr>
        <w:tab/>
        <w:t>Unterlagen zu der Überwachungsmethode und den Ergebnissen der Ermittlung der tätigkeitsspezif</w:t>
      </w:r>
      <w:r>
        <w:rPr>
          <w:rFonts w:cs="Arial"/>
          <w:szCs w:val="17"/>
        </w:rPr>
        <w:t>i</w:t>
      </w:r>
      <w:r>
        <w:rPr>
          <w:rFonts w:cs="Arial"/>
          <w:szCs w:val="17"/>
        </w:rPr>
        <w:t>schen Emissionsfaktoren, der Biomasseanteile spezifischer Brennstoffe und der Oxidations- oder Umsetzungsfaktoren; ferner geeignete Nachweise für die Genehmigung durch die zuständige Behö</w:t>
      </w:r>
      <w:r>
        <w:rPr>
          <w:rFonts w:cs="Arial"/>
          <w:szCs w:val="17"/>
        </w:rPr>
        <w:t>r</w:t>
      </w:r>
      <w:r>
        <w:rPr>
          <w:rFonts w:cs="Arial"/>
          <w:szCs w:val="17"/>
        </w:rPr>
        <w:t>de;</w:t>
      </w:r>
    </w:p>
    <w:p>
      <w:pPr>
        <w:pStyle w:val="GesAbsatz"/>
        <w:ind w:left="426" w:hanging="426"/>
        <w:jc w:val="both"/>
        <w:rPr>
          <w:rFonts w:cs="Arial"/>
          <w:szCs w:val="17"/>
        </w:rPr>
      </w:pPr>
      <w:r>
        <w:rPr>
          <w:rFonts w:cs="Arial"/>
          <w:szCs w:val="17"/>
        </w:rPr>
        <w:t>-</w:t>
      </w:r>
      <w:r>
        <w:rPr>
          <w:rFonts w:cs="Arial"/>
          <w:szCs w:val="17"/>
        </w:rPr>
        <w:tab/>
        <w:t>Dokumentation des Verfahrens zur Erhebung der Tätigkeitsdaten für die Anlage und entsprechende Unterlagen über die jeweiligen Quellen;</w:t>
      </w:r>
    </w:p>
    <w:p>
      <w:pPr>
        <w:pStyle w:val="GesAbsatz"/>
        <w:ind w:left="426" w:hanging="426"/>
        <w:jc w:val="both"/>
        <w:rPr>
          <w:rFonts w:cs="Arial"/>
          <w:szCs w:val="17"/>
        </w:rPr>
      </w:pPr>
      <w:r>
        <w:rPr>
          <w:rFonts w:cs="Arial"/>
          <w:szCs w:val="17"/>
        </w:rPr>
        <w:t>-</w:t>
      </w:r>
      <w:r>
        <w:rPr>
          <w:rFonts w:cs="Arial"/>
          <w:szCs w:val="17"/>
        </w:rPr>
        <w:tab/>
        <w:t>die Tätigkeitsdaten, die Emissions-, Oxidations- oder Umsetzungsfaktoren, die der zuständigen B</w:t>
      </w:r>
      <w:r>
        <w:rPr>
          <w:rFonts w:cs="Arial"/>
          <w:szCs w:val="17"/>
        </w:rPr>
        <w:t>e</w:t>
      </w:r>
      <w:r>
        <w:rPr>
          <w:rFonts w:cs="Arial"/>
          <w:szCs w:val="17"/>
        </w:rPr>
        <w:t>hörde zur Erstellung des nationalen Zuteilungsplans für die Jahre vor dem Zeitraum übermittelt wu</w:t>
      </w:r>
      <w:r>
        <w:rPr>
          <w:rFonts w:cs="Arial"/>
          <w:szCs w:val="17"/>
        </w:rPr>
        <w:t>r</w:t>
      </w:r>
      <w:r>
        <w:rPr>
          <w:rFonts w:cs="Arial"/>
          <w:szCs w:val="17"/>
        </w:rPr>
        <w:t>den, der durch das Handelssystem erfasst wird;</w:t>
      </w:r>
    </w:p>
    <w:p>
      <w:pPr>
        <w:pStyle w:val="GesAbsatz"/>
        <w:ind w:left="426" w:hanging="426"/>
        <w:jc w:val="both"/>
        <w:rPr>
          <w:rFonts w:cs="Arial"/>
          <w:szCs w:val="17"/>
        </w:rPr>
      </w:pPr>
      <w:r>
        <w:rPr>
          <w:rFonts w:cs="Arial"/>
          <w:szCs w:val="17"/>
        </w:rPr>
        <w:t>-</w:t>
      </w:r>
      <w:r>
        <w:rPr>
          <w:rFonts w:cs="Arial"/>
          <w:szCs w:val="17"/>
        </w:rPr>
        <w:tab/>
        <w:t>Dokumentation der im Zusammenhang mit der Emissionsüberwachung festgelegten Zuständigke</w:t>
      </w:r>
      <w:r>
        <w:rPr>
          <w:rFonts w:cs="Arial"/>
          <w:szCs w:val="17"/>
        </w:rPr>
        <w:t>i</w:t>
      </w:r>
      <w:r>
        <w:rPr>
          <w:rFonts w:cs="Arial"/>
          <w:szCs w:val="17"/>
        </w:rPr>
        <w:t>ten;</w:t>
      </w:r>
    </w:p>
    <w:p>
      <w:pPr>
        <w:pStyle w:val="GesAbsatz"/>
        <w:jc w:val="both"/>
        <w:rPr>
          <w:rFonts w:cs="Arial"/>
          <w:szCs w:val="17"/>
        </w:rPr>
      </w:pPr>
      <w:r>
        <w:rPr>
          <w:rFonts w:cs="Arial"/>
          <w:szCs w:val="17"/>
        </w:rPr>
        <w:t>-</w:t>
      </w:r>
      <w:r>
        <w:rPr>
          <w:rFonts w:cs="Arial"/>
          <w:szCs w:val="17"/>
        </w:rPr>
        <w:tab/>
        <w:t>den jährlichen Emissionsbericht und</w:t>
      </w:r>
    </w:p>
    <w:p>
      <w:pPr>
        <w:pStyle w:val="GesAbsatz"/>
        <w:ind w:left="426" w:hanging="426"/>
        <w:jc w:val="both"/>
        <w:rPr>
          <w:rFonts w:cs="Arial"/>
          <w:szCs w:val="17"/>
        </w:rPr>
      </w:pPr>
      <w:r>
        <w:rPr>
          <w:rFonts w:cs="Arial"/>
          <w:szCs w:val="17"/>
        </w:rPr>
        <w:t>-</w:t>
      </w:r>
      <w:r>
        <w:rPr>
          <w:rFonts w:cs="Arial"/>
          <w:szCs w:val="17"/>
        </w:rPr>
        <w:tab/>
        <w:t>alle anderen Information, die für die Prüfung des jährlichen Emissionsberichts als erforderlich b</w:t>
      </w:r>
      <w:r>
        <w:rPr>
          <w:rFonts w:cs="Arial"/>
          <w:szCs w:val="17"/>
        </w:rPr>
        <w:t>e</w:t>
      </w:r>
      <w:r>
        <w:rPr>
          <w:rFonts w:cs="Arial"/>
          <w:szCs w:val="17"/>
        </w:rPr>
        <w:t>trachtet werden.</w:t>
      </w:r>
    </w:p>
    <w:p>
      <w:pPr>
        <w:pStyle w:val="GesAbsatz"/>
        <w:jc w:val="both"/>
        <w:rPr>
          <w:rFonts w:cs="Arial"/>
          <w:szCs w:val="17"/>
        </w:rPr>
      </w:pPr>
      <w:r>
        <w:rPr>
          <w:rFonts w:cs="Arial"/>
          <w:szCs w:val="17"/>
        </w:rPr>
        <w:t>Die folgenden zusätzlichen Informationen müssen aufbewahrt werden, wenn die Ermittlung der Emissi</w:t>
      </w:r>
      <w:r>
        <w:rPr>
          <w:rFonts w:cs="Arial"/>
          <w:szCs w:val="17"/>
        </w:rPr>
        <w:t>o</w:t>
      </w:r>
      <w:r>
        <w:rPr>
          <w:rFonts w:cs="Arial"/>
          <w:szCs w:val="17"/>
        </w:rPr>
        <w:t>nen auf der Grundlage von Messungen erfolgt:</w:t>
      </w:r>
    </w:p>
    <w:p>
      <w:pPr>
        <w:pStyle w:val="GesAbsatz"/>
        <w:ind w:left="426" w:hanging="426"/>
        <w:jc w:val="both"/>
        <w:rPr>
          <w:rFonts w:cs="Arial"/>
          <w:szCs w:val="17"/>
        </w:rPr>
      </w:pPr>
      <w:r>
        <w:rPr>
          <w:rFonts w:cs="Arial"/>
          <w:szCs w:val="17"/>
        </w:rPr>
        <w:t>-</w:t>
      </w:r>
      <w:r>
        <w:rPr>
          <w:rFonts w:cs="Arial"/>
          <w:szCs w:val="17"/>
        </w:rPr>
        <w:tab/>
        <w:t>Dokumentation der Gründe für die Entscheidung, die Emissionen auf der Grundlagen von Messu</w:t>
      </w:r>
      <w:r>
        <w:rPr>
          <w:rFonts w:cs="Arial"/>
          <w:szCs w:val="17"/>
        </w:rPr>
        <w:t>n</w:t>
      </w:r>
      <w:r>
        <w:rPr>
          <w:rFonts w:cs="Arial"/>
          <w:szCs w:val="17"/>
        </w:rPr>
        <w:t>gen zu überwachen;</w:t>
      </w:r>
    </w:p>
    <w:p>
      <w:pPr>
        <w:pStyle w:val="GesAbsatz"/>
        <w:ind w:left="426" w:hanging="426"/>
        <w:jc w:val="both"/>
        <w:rPr>
          <w:rFonts w:cs="Arial"/>
          <w:szCs w:val="17"/>
        </w:rPr>
      </w:pPr>
      <w:r>
        <w:rPr>
          <w:rFonts w:cs="Arial"/>
          <w:szCs w:val="17"/>
        </w:rPr>
        <w:t>-</w:t>
      </w:r>
      <w:r>
        <w:rPr>
          <w:rFonts w:cs="Arial"/>
          <w:szCs w:val="17"/>
        </w:rPr>
        <w:tab/>
        <w:t>die Daten, die für die Unsicherheitsanalyse in Bezug auf die Treibhausgasemissionen aus den ve</w:t>
      </w:r>
      <w:r>
        <w:rPr>
          <w:rFonts w:cs="Arial"/>
          <w:szCs w:val="17"/>
        </w:rPr>
        <w:t>r</w:t>
      </w:r>
      <w:r>
        <w:rPr>
          <w:rFonts w:cs="Arial"/>
          <w:szCs w:val="17"/>
        </w:rPr>
        <w:t>schiedenen Quellen zugrunde gelegt wurden (klassifiziert nach Prozessen und Brennstoffarten);</w:t>
      </w:r>
    </w:p>
    <w:p>
      <w:pPr>
        <w:pStyle w:val="GesAbsatz"/>
        <w:ind w:left="426" w:hanging="426"/>
        <w:jc w:val="both"/>
        <w:rPr>
          <w:rFonts w:cs="Arial"/>
          <w:szCs w:val="17"/>
        </w:rPr>
      </w:pPr>
      <w:r>
        <w:rPr>
          <w:rFonts w:cs="Arial"/>
          <w:szCs w:val="17"/>
        </w:rPr>
        <w:t>-</w:t>
      </w:r>
      <w:r>
        <w:rPr>
          <w:rFonts w:cs="Arial"/>
          <w:szCs w:val="17"/>
        </w:rPr>
        <w:tab/>
        <w:t>eine detaillierte Beschreibung des kontinuierlichen Messsystems, u. a. auch der Nachweis der G</w:t>
      </w:r>
      <w:r>
        <w:rPr>
          <w:rFonts w:cs="Arial"/>
          <w:szCs w:val="17"/>
        </w:rPr>
        <w:t>e</w:t>
      </w:r>
      <w:r>
        <w:rPr>
          <w:rFonts w:cs="Arial"/>
          <w:szCs w:val="17"/>
        </w:rPr>
        <w:t>nehmigung durch die zuständige Behörde;</w:t>
      </w:r>
    </w:p>
    <w:p>
      <w:pPr>
        <w:pStyle w:val="GesAbsatz"/>
        <w:ind w:left="426" w:hanging="426"/>
        <w:jc w:val="both"/>
        <w:rPr>
          <w:rFonts w:cs="Arial"/>
          <w:szCs w:val="17"/>
        </w:rPr>
      </w:pPr>
      <w:r>
        <w:rPr>
          <w:rFonts w:cs="Arial"/>
          <w:szCs w:val="17"/>
        </w:rPr>
        <w:t>-</w:t>
      </w:r>
      <w:r>
        <w:rPr>
          <w:rFonts w:cs="Arial"/>
          <w:szCs w:val="17"/>
        </w:rPr>
        <w:tab/>
        <w:t>rohe und aggregierte Daten aus dem kontinuierlichen Messsystem, darunter Dokumentation von Zeitänderungen, das Protokoll zu den durchgeführten Tests, Stillstandszeiten, Kalibrierungen, Se</w:t>
      </w:r>
      <w:r>
        <w:rPr>
          <w:rFonts w:cs="Arial"/>
          <w:szCs w:val="17"/>
        </w:rPr>
        <w:t>r</w:t>
      </w:r>
      <w:r>
        <w:rPr>
          <w:rFonts w:cs="Arial"/>
          <w:szCs w:val="17"/>
        </w:rPr>
        <w:t>vice- und Wartungsarbeiten;</w:t>
      </w:r>
    </w:p>
    <w:p>
      <w:pPr>
        <w:pStyle w:val="GesAbsatz"/>
        <w:jc w:val="both"/>
        <w:rPr>
          <w:rFonts w:cs="Arial"/>
          <w:szCs w:val="17"/>
        </w:rPr>
      </w:pPr>
      <w:r>
        <w:rPr>
          <w:rFonts w:cs="Arial"/>
          <w:szCs w:val="17"/>
        </w:rPr>
        <w:t>-</w:t>
      </w:r>
      <w:r>
        <w:rPr>
          <w:rFonts w:cs="Arial"/>
          <w:szCs w:val="17"/>
        </w:rPr>
        <w:tab/>
        <w:t>Dokumentation aller Änderungen im Zusammenhang mit dem Messsystem.</w:t>
      </w:r>
    </w:p>
    <w:p>
      <w:pPr>
        <w:pStyle w:val="GesAbsatz"/>
        <w:jc w:val="both"/>
        <w:rPr>
          <w:rFonts w:cs="Arial"/>
          <w:b/>
          <w:bCs/>
          <w:szCs w:val="17"/>
        </w:rPr>
      </w:pPr>
      <w:r>
        <w:rPr>
          <w:rFonts w:cs="Arial"/>
          <w:b/>
          <w:bCs/>
          <w:szCs w:val="17"/>
        </w:rPr>
        <w:t>7. QUALITÄTSSICHERUNG UND -KONTROLLE</w:t>
      </w:r>
    </w:p>
    <w:p>
      <w:pPr>
        <w:pStyle w:val="GesAbsatz"/>
        <w:jc w:val="both"/>
        <w:rPr>
          <w:rFonts w:cs="Arial"/>
          <w:b/>
          <w:bCs/>
          <w:szCs w:val="17"/>
        </w:rPr>
      </w:pPr>
      <w:r>
        <w:rPr>
          <w:rFonts w:cs="Arial"/>
          <w:b/>
          <w:bCs/>
          <w:szCs w:val="17"/>
        </w:rPr>
        <w:t>7.1. Allgemeine Auflagen</w:t>
      </w:r>
    </w:p>
    <w:p>
      <w:pPr>
        <w:pStyle w:val="GesAbsatz"/>
        <w:jc w:val="both"/>
        <w:rPr>
          <w:rFonts w:cs="Arial"/>
          <w:szCs w:val="17"/>
        </w:rPr>
      </w:pPr>
      <w:r>
        <w:rPr>
          <w:rFonts w:cs="Arial"/>
          <w:szCs w:val="17"/>
        </w:rPr>
        <w:t>Für die Überwachung und Berichterstattung betreffend Treibhausgasemissionen in Übereinstimmung mit diesen Leitlinien richtet der Betreiber ein effektives Datenverwaltungssystem ein, das er entsprechend dokumentiert, implementiert und pflegt. Die Einrichtung des Datenverwaltungssystems erfolgt vor Beginn des Berichtszeitraums, um zu gewährleisten, dass alle für die Prüfung erforderlichen Daten ordnungsg</w:t>
      </w:r>
      <w:r>
        <w:rPr>
          <w:rFonts w:cs="Arial"/>
          <w:szCs w:val="17"/>
        </w:rPr>
        <w:t>e</w:t>
      </w:r>
      <w:r>
        <w:rPr>
          <w:rFonts w:cs="Arial"/>
          <w:szCs w:val="17"/>
        </w:rPr>
        <w:t>mäß erfasst und kontrolliert werden. Die im Datenverwaltungssystem gespeicherten Informationen mü</w:t>
      </w:r>
      <w:r>
        <w:rPr>
          <w:rFonts w:cs="Arial"/>
          <w:szCs w:val="17"/>
        </w:rPr>
        <w:t>s</w:t>
      </w:r>
      <w:r>
        <w:rPr>
          <w:rFonts w:cs="Arial"/>
          <w:szCs w:val="17"/>
        </w:rPr>
        <w:t>sen die in Abschnitt 6 genannten Angaben umfassen.</w:t>
      </w:r>
    </w:p>
    <w:p>
      <w:pPr>
        <w:pStyle w:val="GesAbsatz"/>
        <w:jc w:val="both"/>
        <w:rPr>
          <w:rFonts w:cs="Arial"/>
          <w:szCs w:val="17"/>
        </w:rPr>
      </w:pPr>
      <w:r>
        <w:rPr>
          <w:rFonts w:cs="Arial"/>
          <w:szCs w:val="17"/>
        </w:rPr>
        <w:t>Die erforderlichen Maßnahmen zur Qualitätssicherung und -kontrolle können im Rahmen des Gemei</w:t>
      </w:r>
      <w:r>
        <w:rPr>
          <w:rFonts w:cs="Arial"/>
          <w:szCs w:val="17"/>
        </w:rPr>
        <w:t>n</w:t>
      </w:r>
      <w:r>
        <w:rPr>
          <w:rFonts w:cs="Arial"/>
          <w:szCs w:val="17"/>
        </w:rPr>
        <w:t>schaftssystems für das Umweltmanagement und die Umweltbetriebsprüfung (EMAS) oder anderer U</w:t>
      </w:r>
      <w:r>
        <w:rPr>
          <w:rFonts w:cs="Arial"/>
          <w:szCs w:val="17"/>
        </w:rPr>
        <w:t>m</w:t>
      </w:r>
      <w:r>
        <w:rPr>
          <w:rFonts w:cs="Arial"/>
          <w:szCs w:val="17"/>
        </w:rPr>
        <w:t>weltmanagemen</w:t>
      </w:r>
      <w:r>
        <w:rPr>
          <w:rFonts w:cs="Arial"/>
          <w:szCs w:val="17"/>
        </w:rPr>
        <w:t>t</w:t>
      </w:r>
      <w:r>
        <w:rPr>
          <w:rFonts w:cs="Arial"/>
          <w:szCs w:val="17"/>
        </w:rPr>
        <w:t>systeme, darunter ISO 14001:1996 („Umweltmanagementsysteme - Spezifikationen mit Anleitung zur Anwendung“) durchgeführt werden.</w:t>
      </w:r>
    </w:p>
    <w:p>
      <w:pPr>
        <w:pStyle w:val="GesAbsatz"/>
        <w:jc w:val="both"/>
        <w:rPr>
          <w:rFonts w:cs="Arial"/>
          <w:szCs w:val="17"/>
        </w:rPr>
      </w:pPr>
      <w:r>
        <w:rPr>
          <w:rFonts w:cs="Arial"/>
          <w:szCs w:val="17"/>
        </w:rPr>
        <w:t>Die Maßnahmen zur Qualitätssicherung und -kontrolle sollen auf die Verfahren, die für die Überwachung und Berichterstattung betreffend Treibhausgase benötigt werden, sowie auf die Anwendung dieser Verfa</w:t>
      </w:r>
      <w:r>
        <w:rPr>
          <w:rFonts w:cs="Arial"/>
          <w:szCs w:val="17"/>
        </w:rPr>
        <w:t>h</w:t>
      </w:r>
      <w:r>
        <w:rPr>
          <w:rFonts w:cs="Arial"/>
          <w:szCs w:val="17"/>
        </w:rPr>
        <w:t>ren innerhalb der Anlage ausgerichtet sein. Dazu zählen u. a.:</w:t>
      </w:r>
    </w:p>
    <w:p>
      <w:pPr>
        <w:pStyle w:val="GesAbsatz"/>
        <w:ind w:left="426" w:hanging="426"/>
        <w:jc w:val="both"/>
        <w:rPr>
          <w:rFonts w:cs="Arial"/>
          <w:szCs w:val="17"/>
        </w:rPr>
      </w:pPr>
      <w:r>
        <w:rPr>
          <w:rFonts w:cs="Arial"/>
          <w:szCs w:val="17"/>
        </w:rPr>
        <w:lastRenderedPageBreak/>
        <w:t>-</w:t>
      </w:r>
      <w:r>
        <w:rPr>
          <w:rFonts w:cs="Arial"/>
          <w:szCs w:val="17"/>
        </w:rPr>
        <w:tab/>
        <w:t>die Ermittlung der Quellen von Treibhausgasen, die in der Übersicht in Anhang I der Richtlinie g</w:t>
      </w:r>
      <w:r>
        <w:rPr>
          <w:rFonts w:cs="Arial"/>
          <w:szCs w:val="17"/>
        </w:rPr>
        <w:t>e</w:t>
      </w:r>
      <w:r>
        <w:rPr>
          <w:rFonts w:cs="Arial"/>
          <w:szCs w:val="17"/>
        </w:rPr>
        <w:t>nannt sind,</w:t>
      </w:r>
    </w:p>
    <w:p>
      <w:pPr>
        <w:pStyle w:val="GesAbsatz"/>
        <w:jc w:val="both"/>
        <w:rPr>
          <w:rFonts w:cs="Arial"/>
          <w:szCs w:val="17"/>
        </w:rPr>
      </w:pPr>
      <w:r>
        <w:rPr>
          <w:rFonts w:cs="Arial"/>
          <w:szCs w:val="17"/>
        </w:rPr>
        <w:t>-</w:t>
      </w:r>
      <w:r>
        <w:rPr>
          <w:rFonts w:cs="Arial"/>
          <w:szCs w:val="17"/>
        </w:rPr>
        <w:tab/>
        <w:t>die Abfolge und die Interaktion von Überwachungs- und Berichterstattungsverfahren,</w:t>
      </w:r>
    </w:p>
    <w:p>
      <w:pPr>
        <w:pStyle w:val="GesAbsatz"/>
        <w:jc w:val="both"/>
        <w:rPr>
          <w:rFonts w:cs="Arial"/>
          <w:szCs w:val="17"/>
        </w:rPr>
      </w:pPr>
      <w:r>
        <w:rPr>
          <w:rFonts w:cs="Arial"/>
          <w:szCs w:val="17"/>
        </w:rPr>
        <w:t>-</w:t>
      </w:r>
      <w:r>
        <w:rPr>
          <w:rFonts w:cs="Arial"/>
          <w:szCs w:val="17"/>
        </w:rPr>
        <w:tab/>
        <w:t>Verantwortlichkeiten und Kompetenz,</w:t>
      </w:r>
    </w:p>
    <w:p>
      <w:pPr>
        <w:pStyle w:val="GesAbsatz"/>
        <w:jc w:val="both"/>
        <w:rPr>
          <w:rFonts w:cs="Arial"/>
          <w:szCs w:val="17"/>
        </w:rPr>
      </w:pPr>
      <w:r>
        <w:rPr>
          <w:rFonts w:cs="Arial"/>
          <w:szCs w:val="17"/>
        </w:rPr>
        <w:t>-</w:t>
      </w:r>
      <w:r>
        <w:rPr>
          <w:rFonts w:cs="Arial"/>
          <w:szCs w:val="17"/>
        </w:rPr>
        <w:tab/>
        <w:t>die angewandten Berechnungs- oder Messverfahren,</w:t>
      </w:r>
    </w:p>
    <w:p>
      <w:pPr>
        <w:pStyle w:val="GesAbsatz"/>
        <w:jc w:val="both"/>
        <w:rPr>
          <w:rFonts w:cs="Arial"/>
          <w:szCs w:val="17"/>
        </w:rPr>
      </w:pPr>
      <w:r>
        <w:rPr>
          <w:rFonts w:cs="Arial"/>
          <w:szCs w:val="17"/>
        </w:rPr>
        <w:t>-</w:t>
      </w:r>
      <w:r>
        <w:rPr>
          <w:rFonts w:cs="Arial"/>
          <w:szCs w:val="17"/>
        </w:rPr>
        <w:tab/>
        <w:t>die Messeinrichtung (gegebenenfalls),</w:t>
      </w:r>
    </w:p>
    <w:p>
      <w:pPr>
        <w:pStyle w:val="GesAbsatz"/>
        <w:jc w:val="both"/>
        <w:rPr>
          <w:rFonts w:cs="Arial"/>
          <w:szCs w:val="17"/>
        </w:rPr>
      </w:pPr>
      <w:r>
        <w:rPr>
          <w:rFonts w:cs="Arial"/>
          <w:szCs w:val="17"/>
        </w:rPr>
        <w:t>-</w:t>
      </w:r>
      <w:r>
        <w:rPr>
          <w:rFonts w:cs="Arial"/>
          <w:szCs w:val="17"/>
        </w:rPr>
        <w:tab/>
        <w:t>Berichterstattung und Aufzeichnungen,</w:t>
      </w:r>
    </w:p>
    <w:p>
      <w:pPr>
        <w:pStyle w:val="GesAbsatz"/>
        <w:jc w:val="both"/>
        <w:rPr>
          <w:rFonts w:cs="Arial"/>
          <w:szCs w:val="17"/>
        </w:rPr>
      </w:pPr>
      <w:r>
        <w:rPr>
          <w:rFonts w:cs="Arial"/>
          <w:szCs w:val="17"/>
        </w:rPr>
        <w:t>-</w:t>
      </w:r>
      <w:r>
        <w:rPr>
          <w:rFonts w:cs="Arial"/>
          <w:szCs w:val="17"/>
        </w:rPr>
        <w:tab/>
        <w:t>interne Überprüfung sowohl der aufgezeichneten Daten als auch des Qualitätssicherungssystems,</w:t>
      </w:r>
    </w:p>
    <w:p>
      <w:pPr>
        <w:pStyle w:val="GesAbsatz"/>
        <w:jc w:val="both"/>
        <w:rPr>
          <w:rFonts w:cs="Arial"/>
          <w:szCs w:val="17"/>
        </w:rPr>
      </w:pPr>
      <w:r>
        <w:rPr>
          <w:rFonts w:cs="Arial"/>
          <w:szCs w:val="17"/>
        </w:rPr>
        <w:t>-</w:t>
      </w:r>
      <w:r>
        <w:rPr>
          <w:rFonts w:cs="Arial"/>
          <w:szCs w:val="17"/>
        </w:rPr>
        <w:tab/>
        <w:t>korrigierende und präventive Maßnahmen.</w:t>
      </w:r>
    </w:p>
    <w:p>
      <w:pPr>
        <w:pStyle w:val="GesAbsatz"/>
        <w:jc w:val="both"/>
        <w:rPr>
          <w:rFonts w:cs="Arial"/>
          <w:szCs w:val="17"/>
        </w:rPr>
      </w:pPr>
      <w:r>
        <w:rPr>
          <w:rFonts w:cs="Arial"/>
          <w:szCs w:val="17"/>
        </w:rPr>
        <w:t xml:space="preserve">Entscheidet sich ein Betreiber, bestimmte Verfahren auszulagern, die der Qualitätssicherung und </w:t>
      </w:r>
      <w:r>
        <w:rPr>
          <w:rFonts w:cs="Arial"/>
          <w:szCs w:val="17"/>
        </w:rPr>
        <w:noBreakHyphen/>
        <w:t>kontrolle unterliegen, so ist der Betreiber verpflichtet, die Kontrolle dieser Verfahren und deren Transp</w:t>
      </w:r>
      <w:r>
        <w:rPr>
          <w:rFonts w:cs="Arial"/>
          <w:szCs w:val="17"/>
        </w:rPr>
        <w:t>a</w:t>
      </w:r>
      <w:r>
        <w:rPr>
          <w:rFonts w:cs="Arial"/>
          <w:szCs w:val="17"/>
        </w:rPr>
        <w:t xml:space="preserve">renz zu gewährleisten. Die einschlägigen Maßnahmen zur Kontrolle und zur Wahrung der Transparenz solcher ausgelagerten Verfahren werden im Rahmen der Maßnahmen zur Qualitätssicherung und </w:t>
      </w:r>
      <w:r>
        <w:rPr>
          <w:rFonts w:cs="Arial"/>
          <w:szCs w:val="17"/>
        </w:rPr>
        <w:noBreakHyphen/>
        <w:t>kontrolle fes</w:t>
      </w:r>
      <w:r>
        <w:rPr>
          <w:rFonts w:cs="Arial"/>
          <w:szCs w:val="17"/>
        </w:rPr>
        <w:t>t</w:t>
      </w:r>
      <w:r>
        <w:rPr>
          <w:rFonts w:cs="Arial"/>
          <w:szCs w:val="17"/>
        </w:rPr>
        <w:t>gelegt.</w:t>
      </w:r>
    </w:p>
    <w:p>
      <w:pPr>
        <w:pStyle w:val="GesAbsatz"/>
        <w:jc w:val="both"/>
        <w:rPr>
          <w:rFonts w:cs="Arial"/>
          <w:b/>
          <w:bCs/>
          <w:szCs w:val="17"/>
        </w:rPr>
      </w:pPr>
      <w:r>
        <w:rPr>
          <w:rFonts w:cs="Arial"/>
          <w:b/>
          <w:bCs/>
          <w:szCs w:val="17"/>
        </w:rPr>
        <w:t>7.2. Messverfahren und -geräte</w:t>
      </w:r>
    </w:p>
    <w:p>
      <w:pPr>
        <w:pStyle w:val="GesAbsatz"/>
        <w:jc w:val="both"/>
        <w:rPr>
          <w:rFonts w:cs="Arial"/>
          <w:szCs w:val="17"/>
        </w:rPr>
      </w:pPr>
      <w:r>
        <w:rPr>
          <w:rFonts w:cs="Arial"/>
          <w:szCs w:val="17"/>
        </w:rPr>
        <w:t>Der Betreiber stellt sicher, dass alle relevanten Messgeräte in regelmäßigen Abständen kalibriert, justiert und kontrolliert werden (auch direkt vor ihrem Einsatz). Darüber hinaus sind sie anhand von Messsta</w:t>
      </w:r>
      <w:r>
        <w:rPr>
          <w:rFonts w:cs="Arial"/>
          <w:szCs w:val="17"/>
        </w:rPr>
        <w:t>n</w:t>
      </w:r>
      <w:r>
        <w:rPr>
          <w:rFonts w:cs="Arial"/>
          <w:szCs w:val="17"/>
        </w:rPr>
        <w:t>dards zu kontrollieren, die auf internationalen Messstandards beruhen. Darüber hinaus bewertet der B</w:t>
      </w:r>
      <w:r>
        <w:rPr>
          <w:rFonts w:cs="Arial"/>
          <w:szCs w:val="17"/>
        </w:rPr>
        <w:t>e</w:t>
      </w:r>
      <w:r>
        <w:rPr>
          <w:rFonts w:cs="Arial"/>
          <w:szCs w:val="17"/>
        </w:rPr>
        <w:t>treiber die Validität der früheren Messergebnisse und zeichnet diese auf für den Fall, dass sich herau</w:t>
      </w:r>
      <w:r>
        <w:rPr>
          <w:rFonts w:cs="Arial"/>
          <w:szCs w:val="17"/>
        </w:rPr>
        <w:t>s</w:t>
      </w:r>
      <w:r>
        <w:rPr>
          <w:rFonts w:cs="Arial"/>
          <w:szCs w:val="17"/>
        </w:rPr>
        <w:t>stellt, das die Messeinrichtung nicht den Anforderungen entspricht. Wenn sich herausstellt, dass die Me</w:t>
      </w:r>
      <w:r>
        <w:rPr>
          <w:rFonts w:cs="Arial"/>
          <w:szCs w:val="17"/>
        </w:rPr>
        <w:t>s</w:t>
      </w:r>
      <w:r>
        <w:rPr>
          <w:rFonts w:cs="Arial"/>
          <w:szCs w:val="17"/>
        </w:rPr>
        <w:t>seinrichtung nicht den Anforderungen entspricht, muss der Betreiber unverzüglich entsprechende Ma</w:t>
      </w:r>
      <w:r>
        <w:rPr>
          <w:rFonts w:cs="Arial"/>
          <w:szCs w:val="17"/>
        </w:rPr>
        <w:t>ß</w:t>
      </w:r>
      <w:r>
        <w:rPr>
          <w:rFonts w:cs="Arial"/>
          <w:szCs w:val="17"/>
        </w:rPr>
        <w:t>nahmen einleiten. Die Aufzeichnungen der Ergebnisse der Kalibrierung und Authentifikation sind aufzub</w:t>
      </w:r>
      <w:r>
        <w:rPr>
          <w:rFonts w:cs="Arial"/>
          <w:szCs w:val="17"/>
        </w:rPr>
        <w:t>e</w:t>
      </w:r>
      <w:r>
        <w:rPr>
          <w:rFonts w:cs="Arial"/>
          <w:szCs w:val="17"/>
        </w:rPr>
        <w:t>wahren.</w:t>
      </w:r>
    </w:p>
    <w:p>
      <w:pPr>
        <w:pStyle w:val="GesAbsatz"/>
        <w:jc w:val="both"/>
        <w:rPr>
          <w:rFonts w:cs="Arial"/>
          <w:szCs w:val="17"/>
        </w:rPr>
      </w:pPr>
      <w:r>
        <w:rPr>
          <w:rFonts w:cs="Arial"/>
          <w:szCs w:val="17"/>
        </w:rPr>
        <w:t>Arbeitet der Betreiber mit einem kontinuierlichen Emissionsmesssystem, so muss er die Vorgaben der EN 14181 („Emissionen aus stationären Quellen - Qualitätssicherung für automatische Messeinrichtu</w:t>
      </w:r>
      <w:r>
        <w:rPr>
          <w:rFonts w:cs="Arial"/>
          <w:szCs w:val="17"/>
        </w:rPr>
        <w:t>n</w:t>
      </w:r>
      <w:r>
        <w:rPr>
          <w:rFonts w:cs="Arial"/>
          <w:szCs w:val="17"/>
        </w:rPr>
        <w:t>gen“) und der EN ISO 14956:2002 („Luftbeschaffenheit - Beurteilung der Eignung eines Messverfahrens durch Vergleich mit einer geforderten Messunsicherheit“) erfüllen.</w:t>
      </w:r>
    </w:p>
    <w:p>
      <w:pPr>
        <w:pStyle w:val="GesAbsatz"/>
        <w:jc w:val="both"/>
        <w:rPr>
          <w:rFonts w:cs="Arial"/>
          <w:szCs w:val="17"/>
        </w:rPr>
      </w:pPr>
      <w:r>
        <w:rPr>
          <w:rFonts w:cs="Arial"/>
          <w:szCs w:val="17"/>
        </w:rPr>
        <w:t>Alternativ hierzu können unabhängige und akkreditierte Prüflaboratorien mit den Messungen, mit der Au</w:t>
      </w:r>
      <w:r>
        <w:rPr>
          <w:rFonts w:cs="Arial"/>
          <w:szCs w:val="17"/>
        </w:rPr>
        <w:t>s</w:t>
      </w:r>
      <w:r>
        <w:rPr>
          <w:rFonts w:cs="Arial"/>
          <w:szCs w:val="17"/>
        </w:rPr>
        <w:t>wertung der Daten, der Überwachung und der Berichterstattung beauftragt werden. In diesem Fall muss das betreffende Prüflabor zusätzlich nach EN ISO 17025:2000 („Allgemeine Anforderungen an die Komp</w:t>
      </w:r>
      <w:r>
        <w:rPr>
          <w:rFonts w:cs="Arial"/>
          <w:szCs w:val="17"/>
        </w:rPr>
        <w:t>e</w:t>
      </w:r>
      <w:r>
        <w:rPr>
          <w:rFonts w:cs="Arial"/>
          <w:szCs w:val="17"/>
        </w:rPr>
        <w:t>tenz von Prüf- und Kalibrierlaboratorien“) akkreditiert sein.</w:t>
      </w:r>
    </w:p>
    <w:p>
      <w:pPr>
        <w:pStyle w:val="GesAbsatz"/>
        <w:jc w:val="both"/>
        <w:rPr>
          <w:rFonts w:cs="Arial"/>
          <w:b/>
          <w:bCs/>
          <w:szCs w:val="17"/>
        </w:rPr>
      </w:pPr>
      <w:r>
        <w:rPr>
          <w:rFonts w:cs="Arial"/>
          <w:b/>
          <w:bCs/>
          <w:szCs w:val="17"/>
        </w:rPr>
        <w:t>7.3. Datenverwaltung</w:t>
      </w:r>
    </w:p>
    <w:p>
      <w:pPr>
        <w:pStyle w:val="GesAbsatz"/>
        <w:jc w:val="both"/>
        <w:rPr>
          <w:rFonts w:cs="Arial"/>
          <w:szCs w:val="17"/>
        </w:rPr>
      </w:pPr>
      <w:r>
        <w:rPr>
          <w:rFonts w:cs="Arial"/>
          <w:szCs w:val="17"/>
        </w:rPr>
        <w:t>Der Betreiber führt Maßnahmen zur Sicherung und Kontrolle der Qualität seiner Datenverwaltung durch, um Auslassungen, Falschdarstellungen und Fehler zu vermeiden. Diese Maßnahmen werden vom Betre</w:t>
      </w:r>
      <w:r>
        <w:rPr>
          <w:rFonts w:cs="Arial"/>
          <w:szCs w:val="17"/>
        </w:rPr>
        <w:t>i</w:t>
      </w:r>
      <w:r>
        <w:rPr>
          <w:rFonts w:cs="Arial"/>
          <w:szCs w:val="17"/>
        </w:rPr>
        <w:t>ber entsprechend der Komplexität der Datensätze erarbeitet. Die Maßnahmen zur Sicherung und Kontro</w:t>
      </w:r>
      <w:r>
        <w:rPr>
          <w:rFonts w:cs="Arial"/>
          <w:szCs w:val="17"/>
        </w:rPr>
        <w:t>l</w:t>
      </w:r>
      <w:r>
        <w:rPr>
          <w:rFonts w:cs="Arial"/>
          <w:szCs w:val="17"/>
        </w:rPr>
        <w:t>le der Qualität der Datenverwaltung werden aufgezeichnet. Die diesbezüglichen Aufzeichnungen werden der prüfenden Instanz zur Verfügung gestellt.</w:t>
      </w:r>
    </w:p>
    <w:p>
      <w:pPr>
        <w:pStyle w:val="GesAbsatz"/>
        <w:jc w:val="both"/>
        <w:rPr>
          <w:rFonts w:cs="Arial"/>
          <w:szCs w:val="17"/>
        </w:rPr>
      </w:pPr>
      <w:r>
        <w:rPr>
          <w:rFonts w:cs="Arial"/>
          <w:szCs w:val="17"/>
        </w:rPr>
        <w:t>Auf der betrieblichen Ebene kann eine einfache und effektive Sicherung und Kontrolle der Datenqualität realisiert werden, indem die im Rahmen der Überwachung erfassten Werte über einen vertikalen oder horizontalen Ansatz miteinander verglichen werden.</w:t>
      </w:r>
    </w:p>
    <w:p>
      <w:pPr>
        <w:pStyle w:val="GesAbsatz"/>
        <w:jc w:val="both"/>
        <w:rPr>
          <w:rFonts w:cs="Arial"/>
          <w:szCs w:val="17"/>
        </w:rPr>
      </w:pPr>
      <w:r>
        <w:rPr>
          <w:rFonts w:cs="Arial"/>
          <w:szCs w:val="17"/>
        </w:rPr>
        <w:t>Beim vertikalen Ansatz werden die Emissionsdaten verschiedener Jahre miteinander verglichen, die in ein und derselben Anlage in eben diesen Jahren erfasst wurden. Ein Überwachungsfehler ist wahrschei</w:t>
      </w:r>
      <w:r>
        <w:rPr>
          <w:rFonts w:cs="Arial"/>
          <w:szCs w:val="17"/>
        </w:rPr>
        <w:t>n</w:t>
      </w:r>
      <w:r>
        <w:rPr>
          <w:rFonts w:cs="Arial"/>
          <w:szCs w:val="17"/>
        </w:rPr>
        <w:t>lich, wenn die Abweichungen zwischen den in den verschiedenen Jahren gemessenen Daten nicht erklärt we</w:t>
      </w:r>
      <w:r>
        <w:rPr>
          <w:rFonts w:cs="Arial"/>
          <w:szCs w:val="17"/>
        </w:rPr>
        <w:t>r</w:t>
      </w:r>
      <w:r>
        <w:rPr>
          <w:rFonts w:cs="Arial"/>
          <w:szCs w:val="17"/>
        </w:rPr>
        <w:t>den kö</w:t>
      </w:r>
      <w:r>
        <w:rPr>
          <w:rFonts w:cs="Arial"/>
          <w:szCs w:val="17"/>
        </w:rPr>
        <w:t>n</w:t>
      </w:r>
      <w:r>
        <w:rPr>
          <w:rFonts w:cs="Arial"/>
          <w:szCs w:val="17"/>
        </w:rPr>
        <w:t>nen durch:</w:t>
      </w:r>
    </w:p>
    <w:p>
      <w:pPr>
        <w:pStyle w:val="GesAbsatz"/>
        <w:jc w:val="both"/>
        <w:rPr>
          <w:rFonts w:cs="Arial"/>
          <w:szCs w:val="17"/>
        </w:rPr>
      </w:pPr>
      <w:r>
        <w:rPr>
          <w:rFonts w:cs="Arial"/>
          <w:szCs w:val="17"/>
        </w:rPr>
        <w:t>-</w:t>
      </w:r>
      <w:r>
        <w:rPr>
          <w:rFonts w:cs="Arial"/>
          <w:szCs w:val="17"/>
        </w:rPr>
        <w:tab/>
        <w:t>Veränderungen im Tätigkeitsniveau,</w:t>
      </w:r>
    </w:p>
    <w:p>
      <w:pPr>
        <w:pStyle w:val="GesAbsatz"/>
        <w:jc w:val="both"/>
        <w:rPr>
          <w:rFonts w:cs="Arial"/>
          <w:szCs w:val="17"/>
        </w:rPr>
      </w:pPr>
      <w:r>
        <w:rPr>
          <w:rFonts w:cs="Arial"/>
          <w:szCs w:val="17"/>
        </w:rPr>
        <w:t>-</w:t>
      </w:r>
      <w:r>
        <w:rPr>
          <w:rFonts w:cs="Arial"/>
          <w:szCs w:val="17"/>
        </w:rPr>
        <w:tab/>
        <w:t>Veränderungen bei den Brennstoffen oder Einsatzstoffen,</w:t>
      </w:r>
    </w:p>
    <w:p>
      <w:pPr>
        <w:pStyle w:val="GesAbsatz"/>
        <w:jc w:val="both"/>
        <w:rPr>
          <w:rFonts w:cs="Arial"/>
          <w:szCs w:val="17"/>
        </w:rPr>
      </w:pPr>
      <w:r>
        <w:rPr>
          <w:rFonts w:cs="Arial"/>
          <w:szCs w:val="17"/>
        </w:rPr>
        <w:t>-</w:t>
      </w:r>
      <w:r>
        <w:rPr>
          <w:rFonts w:cs="Arial"/>
          <w:szCs w:val="17"/>
        </w:rPr>
        <w:tab/>
        <w:t>Veränderungen bei den Emissionsprozessen (z. B. Verbesserung der Energieeffizienz).</w:t>
      </w:r>
    </w:p>
    <w:p>
      <w:pPr>
        <w:pStyle w:val="GesAbsatz"/>
        <w:jc w:val="both"/>
        <w:rPr>
          <w:rFonts w:cs="Arial"/>
          <w:szCs w:val="17"/>
        </w:rPr>
      </w:pPr>
      <w:r>
        <w:rPr>
          <w:rFonts w:cs="Arial"/>
          <w:szCs w:val="17"/>
        </w:rPr>
        <w:t>Beim horizontalen Ansatz werden verschiedene Werte, die im Rahmen der betrieblichen Organisation erfasst werden, miteinander verglichen.</w:t>
      </w:r>
    </w:p>
    <w:p>
      <w:pPr>
        <w:pStyle w:val="GesAbsatz"/>
        <w:ind w:left="426" w:hanging="426"/>
        <w:jc w:val="both"/>
        <w:rPr>
          <w:rFonts w:cs="Arial"/>
          <w:szCs w:val="17"/>
        </w:rPr>
      </w:pPr>
      <w:r>
        <w:rPr>
          <w:rFonts w:cs="Arial"/>
          <w:szCs w:val="17"/>
        </w:rPr>
        <w:lastRenderedPageBreak/>
        <w:t>-</w:t>
      </w:r>
      <w:r>
        <w:rPr>
          <w:rFonts w:cs="Arial"/>
          <w:szCs w:val="17"/>
        </w:rPr>
        <w:tab/>
        <w:t>Vergleich der Daten über den Brennstoff- oder Einsatzstoffverbrauch spezifischer Quellen mit den Daten über den Brennstoffankauf bzw. den Daten über Lagerbestandsveränderungen,</w:t>
      </w:r>
    </w:p>
    <w:p>
      <w:pPr>
        <w:pStyle w:val="GesAbsatz"/>
        <w:ind w:left="426" w:hanging="426"/>
        <w:jc w:val="both"/>
        <w:rPr>
          <w:rFonts w:cs="Arial"/>
          <w:szCs w:val="17"/>
        </w:rPr>
      </w:pPr>
      <w:r>
        <w:rPr>
          <w:rFonts w:cs="Arial"/>
          <w:szCs w:val="17"/>
        </w:rPr>
        <w:t>-</w:t>
      </w:r>
      <w:r>
        <w:rPr>
          <w:rFonts w:cs="Arial"/>
          <w:szCs w:val="17"/>
        </w:rPr>
        <w:tab/>
        <w:t>Vergleich der Daten über den Gesamtverbrauch an Brennstoffen oder Einsatzstoffen mit den Daten über den Brennstoffankauf bzw. mit den Daten über Lagerbestandsveränderungen,</w:t>
      </w:r>
    </w:p>
    <w:p>
      <w:pPr>
        <w:pStyle w:val="GesAbsatz"/>
        <w:ind w:left="426" w:hanging="426"/>
        <w:jc w:val="both"/>
        <w:rPr>
          <w:rFonts w:cs="Arial"/>
          <w:szCs w:val="17"/>
        </w:rPr>
      </w:pPr>
      <w:r>
        <w:rPr>
          <w:rFonts w:cs="Arial"/>
          <w:szCs w:val="17"/>
        </w:rPr>
        <w:t>-</w:t>
      </w:r>
      <w:r>
        <w:rPr>
          <w:rFonts w:cs="Arial"/>
          <w:szCs w:val="17"/>
        </w:rPr>
        <w:tab/>
        <w:t>Vergleich der Emissionsfaktoren, die berechnet oder vom Lieferanten bereitgestellt wurden, mit nati</w:t>
      </w:r>
      <w:r>
        <w:rPr>
          <w:rFonts w:cs="Arial"/>
          <w:szCs w:val="17"/>
        </w:rPr>
        <w:t>o</w:t>
      </w:r>
      <w:r>
        <w:rPr>
          <w:rFonts w:cs="Arial"/>
          <w:szCs w:val="17"/>
        </w:rPr>
        <w:t>nalen oder internationalen Referenzemissionsfaktoren vergleichbarer Brennstoffe,</w:t>
      </w:r>
    </w:p>
    <w:p>
      <w:pPr>
        <w:pStyle w:val="GesAbsatz"/>
        <w:ind w:left="426" w:hanging="426"/>
        <w:jc w:val="both"/>
        <w:rPr>
          <w:rFonts w:cs="Arial"/>
          <w:szCs w:val="17"/>
        </w:rPr>
      </w:pPr>
      <w:r>
        <w:rPr>
          <w:rFonts w:cs="Arial"/>
          <w:szCs w:val="17"/>
        </w:rPr>
        <w:t>-</w:t>
      </w:r>
      <w:r>
        <w:rPr>
          <w:rFonts w:cs="Arial"/>
          <w:szCs w:val="17"/>
        </w:rPr>
        <w:tab/>
        <w:t>Vergleich der anhand von Brennstoffanalysen ermittelten Emissionsfaktoren mit nationalen oder i</w:t>
      </w:r>
      <w:r>
        <w:rPr>
          <w:rFonts w:cs="Arial"/>
          <w:szCs w:val="17"/>
        </w:rPr>
        <w:t>n</w:t>
      </w:r>
      <w:r>
        <w:rPr>
          <w:rFonts w:cs="Arial"/>
          <w:szCs w:val="17"/>
        </w:rPr>
        <w:t>ternationalen Referenzemissionsfaktoren vergleichbarer Brennstoffe,</w:t>
      </w:r>
    </w:p>
    <w:p>
      <w:pPr>
        <w:pStyle w:val="GesAbsatz"/>
        <w:jc w:val="both"/>
        <w:rPr>
          <w:rFonts w:cs="Arial"/>
          <w:szCs w:val="17"/>
        </w:rPr>
      </w:pPr>
      <w:r>
        <w:rPr>
          <w:rFonts w:cs="Arial"/>
          <w:szCs w:val="17"/>
        </w:rPr>
        <w:t>-</w:t>
      </w:r>
      <w:r>
        <w:rPr>
          <w:rFonts w:cs="Arial"/>
          <w:szCs w:val="17"/>
        </w:rPr>
        <w:tab/>
        <w:t>Vergleich der gemessenen und der berechneten Emissionen.</w:t>
      </w:r>
    </w:p>
    <w:p>
      <w:pPr>
        <w:pStyle w:val="GesAbsatz"/>
        <w:jc w:val="both"/>
        <w:rPr>
          <w:rFonts w:cs="Arial"/>
          <w:b/>
          <w:bCs/>
          <w:szCs w:val="17"/>
        </w:rPr>
      </w:pPr>
      <w:r>
        <w:rPr>
          <w:rFonts w:cs="Arial"/>
          <w:b/>
          <w:bCs/>
          <w:szCs w:val="17"/>
        </w:rPr>
        <w:t>7.4. Prüfung und Wesentlichkeit</w:t>
      </w:r>
    </w:p>
    <w:p>
      <w:pPr>
        <w:pStyle w:val="GesAbsatz"/>
        <w:jc w:val="both"/>
        <w:rPr>
          <w:rFonts w:cs="Arial"/>
          <w:szCs w:val="17"/>
        </w:rPr>
      </w:pPr>
      <w:r>
        <w:rPr>
          <w:rFonts w:cs="Arial"/>
          <w:szCs w:val="17"/>
        </w:rPr>
        <w:t>Der Betreiber legt der prüfenden Instanz den Emissionsbericht, eine Kopie der Betriebsgenehmigungen der einzelnen Anlagen sowie alle weiteren Informationen vor, die für die prüfende Instanz von Interesse sind. Die prüfende Instanz beurteilt, ob die vom Betreiber angewandte Überwachungsmethode mit der von der zuständigen Behörde genehmigten Methode der betreffenden Anlage, mit den in Abschnitt 3 dargele</w:t>
      </w:r>
      <w:r>
        <w:rPr>
          <w:rFonts w:cs="Arial"/>
          <w:szCs w:val="17"/>
        </w:rPr>
        <w:t>g</w:t>
      </w:r>
      <w:r>
        <w:rPr>
          <w:rFonts w:cs="Arial"/>
          <w:szCs w:val="17"/>
        </w:rPr>
        <w:t>ten Grundsätzen für die Überwachung und Berichterstattung sowie mit den Leitlinien überei</w:t>
      </w:r>
      <w:r>
        <w:rPr>
          <w:rFonts w:cs="Arial"/>
          <w:szCs w:val="17"/>
        </w:rPr>
        <w:t>n</w:t>
      </w:r>
      <w:r>
        <w:rPr>
          <w:rFonts w:cs="Arial"/>
          <w:szCs w:val="17"/>
        </w:rPr>
        <w:t>stimmt, die in diesem und in den folgenden Anhängen festgelegt sind. Aufgrund der Ergebnisse dieser Prüfung beurteilt die prüfende Instanz, ob im Emissionsbericht Auslassungen, Falschdarstellungen und Fehler enthalten sind, die zur Folge haben können, dass der Bericht wesentlich falsche Angaben enthält.</w:t>
      </w:r>
    </w:p>
    <w:p>
      <w:pPr>
        <w:pStyle w:val="GesAbsatz"/>
        <w:jc w:val="both"/>
        <w:rPr>
          <w:rFonts w:cs="Arial"/>
          <w:szCs w:val="17"/>
        </w:rPr>
      </w:pPr>
      <w:r>
        <w:rPr>
          <w:rFonts w:cs="Arial"/>
          <w:szCs w:val="17"/>
        </w:rPr>
        <w:t>Was das Prüfungsverfahren betrifft, so muss die prüfende Instanz vor allem</w:t>
      </w:r>
    </w:p>
    <w:p>
      <w:pPr>
        <w:pStyle w:val="GesAbsatz"/>
        <w:ind w:left="426" w:hanging="426"/>
        <w:jc w:val="both"/>
        <w:rPr>
          <w:rFonts w:cs="Arial"/>
          <w:szCs w:val="17"/>
        </w:rPr>
      </w:pPr>
      <w:r>
        <w:rPr>
          <w:rFonts w:cs="Arial"/>
          <w:szCs w:val="17"/>
        </w:rPr>
        <w:t>-</w:t>
      </w:r>
      <w:r>
        <w:rPr>
          <w:rFonts w:cs="Arial"/>
          <w:szCs w:val="17"/>
        </w:rPr>
        <w:tab/>
        <w:t>alle in der Anlage durchgeführten Tätigkeiten kennen sowie ferner die Emissionsquellen innerhalb der Anlage, die für die Überwachung oder Ermittlung der Tätigkeitsdaten eingesetzte Messeinrichtung, die Herkunft und Anwendung der Emissionsfaktoren und Oxidations-/Umsetzungsfaktoren s</w:t>
      </w:r>
      <w:r>
        <w:rPr>
          <w:rFonts w:cs="Arial"/>
          <w:szCs w:val="17"/>
        </w:rPr>
        <w:t>o</w:t>
      </w:r>
      <w:r>
        <w:rPr>
          <w:rFonts w:cs="Arial"/>
          <w:szCs w:val="17"/>
        </w:rPr>
        <w:t>wie die Umg</w:t>
      </w:r>
      <w:r>
        <w:rPr>
          <w:rFonts w:cs="Arial"/>
          <w:szCs w:val="17"/>
        </w:rPr>
        <w:t>e</w:t>
      </w:r>
      <w:r>
        <w:rPr>
          <w:rFonts w:cs="Arial"/>
          <w:szCs w:val="17"/>
        </w:rPr>
        <w:t>bung, in der die Anlage betrieben wird;</w:t>
      </w:r>
    </w:p>
    <w:p>
      <w:pPr>
        <w:pStyle w:val="GesAbsatz"/>
        <w:ind w:left="426" w:hanging="426"/>
        <w:jc w:val="both"/>
        <w:rPr>
          <w:rFonts w:cs="Arial"/>
          <w:szCs w:val="17"/>
        </w:rPr>
      </w:pPr>
      <w:r>
        <w:rPr>
          <w:rFonts w:cs="Arial"/>
          <w:szCs w:val="17"/>
        </w:rPr>
        <w:t>-</w:t>
      </w:r>
      <w:r>
        <w:rPr>
          <w:rFonts w:cs="Arial"/>
          <w:szCs w:val="17"/>
        </w:rPr>
        <w:tab/>
        <w:t>das Datenverwaltungssystem des Betreibers sowie die gesamte Organisation in Bezug auf die Übe</w:t>
      </w:r>
      <w:r>
        <w:rPr>
          <w:rFonts w:cs="Arial"/>
          <w:szCs w:val="17"/>
        </w:rPr>
        <w:t>r</w:t>
      </w:r>
      <w:r>
        <w:rPr>
          <w:rFonts w:cs="Arial"/>
          <w:szCs w:val="17"/>
        </w:rPr>
        <w:t>wachung und Berichterstattung kennen. Der prüfenden Instanz sind alle im Datenverwaltungssy</w:t>
      </w:r>
      <w:r>
        <w:rPr>
          <w:rFonts w:cs="Arial"/>
          <w:szCs w:val="17"/>
        </w:rPr>
        <w:t>s</w:t>
      </w:r>
      <w:r>
        <w:rPr>
          <w:rFonts w:cs="Arial"/>
          <w:szCs w:val="17"/>
        </w:rPr>
        <w:t>tem gespeicherten Daten zur Verfügung zu stellen, die diese dann analysieren und prüfen wird;</w:t>
      </w:r>
    </w:p>
    <w:p>
      <w:pPr>
        <w:pStyle w:val="GesAbsatz"/>
        <w:ind w:left="426" w:hanging="426"/>
        <w:jc w:val="both"/>
        <w:rPr>
          <w:rFonts w:cs="Arial"/>
          <w:szCs w:val="17"/>
        </w:rPr>
      </w:pPr>
      <w:r>
        <w:rPr>
          <w:rFonts w:cs="Arial"/>
          <w:szCs w:val="17"/>
        </w:rPr>
        <w:t>-</w:t>
      </w:r>
      <w:r>
        <w:rPr>
          <w:rFonts w:cs="Arial"/>
          <w:szCs w:val="17"/>
        </w:rPr>
        <w:tab/>
        <w:t>entsprechend der Art und der Komplexität der Emissionsquellen sowie der Tätigkeiten in der Anlage festlegen, inwieweit falsche Angaben noch akzeptabel sind;</w:t>
      </w:r>
    </w:p>
    <w:p>
      <w:pPr>
        <w:pStyle w:val="GesAbsatz"/>
        <w:ind w:left="426" w:hanging="426"/>
        <w:jc w:val="both"/>
        <w:rPr>
          <w:rFonts w:cs="Arial"/>
          <w:szCs w:val="17"/>
        </w:rPr>
      </w:pPr>
      <w:r>
        <w:rPr>
          <w:rFonts w:cs="Arial"/>
          <w:szCs w:val="17"/>
        </w:rPr>
        <w:t>-</w:t>
      </w:r>
      <w:r>
        <w:rPr>
          <w:rFonts w:cs="Arial"/>
          <w:szCs w:val="17"/>
        </w:rPr>
        <w:tab/>
        <w:t>aufgrund ihrer professionellen Erfahrungen und der Angaben des Betreibers feststellen, inwieweit fe</w:t>
      </w:r>
      <w:r>
        <w:rPr>
          <w:rFonts w:cs="Arial"/>
          <w:szCs w:val="17"/>
        </w:rPr>
        <w:t>h</w:t>
      </w:r>
      <w:r>
        <w:rPr>
          <w:rFonts w:cs="Arial"/>
          <w:szCs w:val="17"/>
        </w:rPr>
        <w:t>lerhafte Daten zu wesentlich falschen Angaben im Emissionsbericht führen können;</w:t>
      </w:r>
    </w:p>
    <w:p>
      <w:pPr>
        <w:pStyle w:val="GesAbsatz"/>
        <w:ind w:left="426" w:hanging="426"/>
        <w:jc w:val="both"/>
        <w:rPr>
          <w:rFonts w:cs="Arial"/>
          <w:szCs w:val="17"/>
        </w:rPr>
      </w:pPr>
      <w:r>
        <w:rPr>
          <w:rFonts w:cs="Arial"/>
          <w:szCs w:val="17"/>
        </w:rPr>
        <w:t>-</w:t>
      </w:r>
      <w:r>
        <w:rPr>
          <w:rFonts w:cs="Arial"/>
          <w:szCs w:val="17"/>
        </w:rPr>
        <w:tab/>
        <w:t>einen Prüfplan erstellen, der dem Ergebnis der Risikoanalyse und dem Umfang bzw. der Komplex</w:t>
      </w:r>
      <w:r>
        <w:rPr>
          <w:rFonts w:cs="Arial"/>
          <w:szCs w:val="17"/>
        </w:rPr>
        <w:t>i</w:t>
      </w:r>
      <w:r>
        <w:rPr>
          <w:rFonts w:cs="Arial"/>
          <w:szCs w:val="17"/>
        </w:rPr>
        <w:t>tät der Tätigkeiten und der Emissionsquellen gerecht wird. In diesem Prüfplan werden die Probenahm</w:t>
      </w:r>
      <w:r>
        <w:rPr>
          <w:rFonts w:cs="Arial"/>
          <w:szCs w:val="17"/>
        </w:rPr>
        <w:t>e</w:t>
      </w:r>
      <w:r>
        <w:rPr>
          <w:rFonts w:cs="Arial"/>
          <w:szCs w:val="17"/>
        </w:rPr>
        <w:t>verfahren definiert, die in den Anlagen des Betreibers vorzunehmen sind;</w:t>
      </w:r>
    </w:p>
    <w:p>
      <w:pPr>
        <w:pStyle w:val="GesAbsatz"/>
        <w:ind w:left="426" w:hanging="426"/>
        <w:jc w:val="both"/>
        <w:rPr>
          <w:rFonts w:cs="Arial"/>
          <w:szCs w:val="17"/>
        </w:rPr>
      </w:pPr>
      <w:r>
        <w:rPr>
          <w:rFonts w:cs="Arial"/>
          <w:szCs w:val="17"/>
        </w:rPr>
        <w:t>-</w:t>
      </w:r>
      <w:r>
        <w:rPr>
          <w:rFonts w:cs="Arial"/>
          <w:szCs w:val="17"/>
        </w:rPr>
        <w:tab/>
        <w:t>den Prüfplan umsetzen, indem entsprechend dem definierten Probenahmeverfahren Daten sowie alle weiteren relevanten Informationen gesammelt werden, die die prüfende Instanz für ihren abschli</w:t>
      </w:r>
      <w:r>
        <w:rPr>
          <w:rFonts w:cs="Arial"/>
          <w:szCs w:val="17"/>
        </w:rPr>
        <w:t>e</w:t>
      </w:r>
      <w:r>
        <w:rPr>
          <w:rFonts w:cs="Arial"/>
          <w:szCs w:val="17"/>
        </w:rPr>
        <w:t>ßenden Bericht zugrunde legen wird;</w:t>
      </w:r>
    </w:p>
    <w:p>
      <w:pPr>
        <w:pStyle w:val="GesAbsatz"/>
        <w:ind w:left="426" w:hanging="426"/>
        <w:jc w:val="both"/>
        <w:rPr>
          <w:rFonts w:cs="Arial"/>
          <w:szCs w:val="17"/>
        </w:rPr>
      </w:pPr>
      <w:r>
        <w:rPr>
          <w:rFonts w:cs="Arial"/>
          <w:szCs w:val="17"/>
        </w:rPr>
        <w:t>-</w:t>
      </w:r>
      <w:r>
        <w:rPr>
          <w:rFonts w:cs="Arial"/>
          <w:szCs w:val="17"/>
        </w:rPr>
        <w:tab/>
        <w:t>überprüfen, ob die in der Genehmigung spezifizierte Überwachungsmethode Ergebnisse gebracht hat, die - was ihre Genauigkeit betrifft - dem definierten Ebenenkonzept entspricht;</w:t>
      </w:r>
    </w:p>
    <w:p>
      <w:pPr>
        <w:pStyle w:val="GesAbsatz"/>
        <w:ind w:left="426" w:hanging="426"/>
        <w:jc w:val="both"/>
        <w:rPr>
          <w:rFonts w:cs="Arial"/>
          <w:szCs w:val="17"/>
        </w:rPr>
      </w:pPr>
      <w:r>
        <w:rPr>
          <w:rFonts w:cs="Arial"/>
          <w:szCs w:val="17"/>
        </w:rPr>
        <w:t>-</w:t>
      </w:r>
      <w:r>
        <w:rPr>
          <w:rFonts w:cs="Arial"/>
          <w:szCs w:val="17"/>
        </w:rPr>
        <w:tab/>
        <w:t>den Betreiber auffordern, alle fehlenden Daten oder fehlende Teile des Prüfpfads vorzulegen, Abwe</w:t>
      </w:r>
      <w:r>
        <w:rPr>
          <w:rFonts w:cs="Arial"/>
          <w:szCs w:val="17"/>
        </w:rPr>
        <w:t>i</w:t>
      </w:r>
      <w:r>
        <w:rPr>
          <w:rFonts w:cs="Arial"/>
          <w:szCs w:val="17"/>
        </w:rPr>
        <w:t>chungen in den Emissionsdaten zu erklären oder Berechnungen erneut durchzuführen, bevor sie zu einem endgültigen Prüfergebnis kommt.</w:t>
      </w:r>
    </w:p>
    <w:p>
      <w:pPr>
        <w:pStyle w:val="GesAbsatz"/>
        <w:jc w:val="both"/>
        <w:rPr>
          <w:rFonts w:cs="Arial"/>
          <w:szCs w:val="17"/>
        </w:rPr>
      </w:pPr>
      <w:r>
        <w:rPr>
          <w:rFonts w:cs="Arial"/>
          <w:szCs w:val="17"/>
        </w:rPr>
        <w:t>Während des gesamten Prüfungsverfahrens wird die prüfende Instanz nach fehlerhaften Angaben s</w:t>
      </w:r>
      <w:r>
        <w:rPr>
          <w:rFonts w:cs="Arial"/>
          <w:szCs w:val="17"/>
        </w:rPr>
        <w:t>u</w:t>
      </w:r>
      <w:r>
        <w:rPr>
          <w:rFonts w:cs="Arial"/>
          <w:szCs w:val="17"/>
        </w:rPr>
        <w:t>chen, indem sie prüft, ob</w:t>
      </w:r>
    </w:p>
    <w:p>
      <w:pPr>
        <w:pStyle w:val="GesAbsatz"/>
        <w:ind w:left="426" w:hanging="426"/>
        <w:jc w:val="both"/>
        <w:rPr>
          <w:rFonts w:cs="Arial"/>
          <w:szCs w:val="17"/>
        </w:rPr>
      </w:pPr>
      <w:r>
        <w:rPr>
          <w:rFonts w:cs="Arial"/>
          <w:szCs w:val="17"/>
        </w:rPr>
        <w:t>-</w:t>
      </w:r>
      <w:r>
        <w:rPr>
          <w:rFonts w:cs="Arial"/>
          <w:szCs w:val="17"/>
        </w:rPr>
        <w:tab/>
        <w:t>die in den Abschnitten 7.1, 7.2 und 7.3 beschriebenen Verfahren zur Qualitätssicherung und -kontrolle umgesetzt wurden;</w:t>
      </w:r>
    </w:p>
    <w:p>
      <w:pPr>
        <w:pStyle w:val="GesAbsatz"/>
        <w:ind w:left="426" w:hanging="426"/>
        <w:jc w:val="both"/>
        <w:rPr>
          <w:rFonts w:cs="Arial"/>
          <w:szCs w:val="17"/>
        </w:rPr>
      </w:pPr>
      <w:r>
        <w:rPr>
          <w:rFonts w:cs="Arial"/>
          <w:szCs w:val="17"/>
        </w:rPr>
        <w:t>-</w:t>
      </w:r>
      <w:r>
        <w:rPr>
          <w:rFonts w:cs="Arial"/>
          <w:szCs w:val="17"/>
        </w:rPr>
        <w:tab/>
        <w:t>sich aus den gesammelten Daten objektive und eindeutige Anhaltspunkte dafür ergeben, dass fehle</w:t>
      </w:r>
      <w:r>
        <w:rPr>
          <w:rFonts w:cs="Arial"/>
          <w:szCs w:val="17"/>
        </w:rPr>
        <w:t>r</w:t>
      </w:r>
      <w:r>
        <w:rPr>
          <w:rFonts w:cs="Arial"/>
          <w:szCs w:val="17"/>
        </w:rPr>
        <w:t>hafte Angaben gemacht wurden.</w:t>
      </w:r>
    </w:p>
    <w:p>
      <w:pPr>
        <w:pStyle w:val="GesAbsatz"/>
        <w:jc w:val="both"/>
        <w:rPr>
          <w:rFonts w:cs="Arial"/>
          <w:szCs w:val="17"/>
        </w:rPr>
      </w:pPr>
      <w:r>
        <w:rPr>
          <w:rFonts w:cs="Arial"/>
          <w:szCs w:val="17"/>
        </w:rPr>
        <w:lastRenderedPageBreak/>
        <w:t>Die prüfende Instanz bewertet die Wesentlichkeit einzelner fehlerhafter Angaben wie auch der Gesam</w:t>
      </w:r>
      <w:r>
        <w:rPr>
          <w:rFonts w:cs="Arial"/>
          <w:szCs w:val="17"/>
        </w:rPr>
        <w:t>t</w:t>
      </w:r>
      <w:r>
        <w:rPr>
          <w:rFonts w:cs="Arial"/>
          <w:szCs w:val="17"/>
        </w:rPr>
        <w:t>heit der nicht berichtigten fehlerhaften Angaben unter Berücksichtigung aller Auslassungen, Falschdarstellu</w:t>
      </w:r>
      <w:r>
        <w:rPr>
          <w:rFonts w:cs="Arial"/>
          <w:szCs w:val="17"/>
        </w:rPr>
        <w:t>n</w:t>
      </w:r>
      <w:r>
        <w:rPr>
          <w:rFonts w:cs="Arial"/>
          <w:szCs w:val="17"/>
        </w:rPr>
        <w:t>gen oder Fehler, die zu wesentlich falschen Angaben führen können (so z. B. bei einem Datenverwa</w:t>
      </w:r>
      <w:r>
        <w:rPr>
          <w:rFonts w:cs="Arial"/>
          <w:szCs w:val="17"/>
        </w:rPr>
        <w:t>l</w:t>
      </w:r>
      <w:r>
        <w:rPr>
          <w:rFonts w:cs="Arial"/>
          <w:szCs w:val="17"/>
        </w:rPr>
        <w:t>tungssystem, das nicht transparente, verzerrte oder uneinheitliche Zahlen liefert). Das Maß der G</w:t>
      </w:r>
      <w:r>
        <w:rPr>
          <w:rFonts w:cs="Arial"/>
          <w:szCs w:val="17"/>
        </w:rPr>
        <w:t>e</w:t>
      </w:r>
      <w:r>
        <w:rPr>
          <w:rFonts w:cs="Arial"/>
          <w:szCs w:val="17"/>
        </w:rPr>
        <w:t>wissheit sollte mit der Annäherung an die Grenze einhergehen, die für die betreffende Anlage in Bezug auf die Wesentlichkeit falscher Angaben festgesetzt wurde.</w:t>
      </w:r>
    </w:p>
    <w:p>
      <w:pPr>
        <w:pStyle w:val="GesAbsatz"/>
        <w:jc w:val="both"/>
        <w:rPr>
          <w:rFonts w:cs="Arial"/>
          <w:szCs w:val="17"/>
        </w:rPr>
      </w:pPr>
      <w:r>
        <w:rPr>
          <w:rFonts w:cs="Arial"/>
          <w:szCs w:val="17"/>
        </w:rPr>
        <w:t>Zum Ende des Prüfungsverfahrens beurteilt die prüfende Instanz, ob der Emissionsbericht irgendwelche wesentlich falschen Angaben enthält. Kommt die prüfende Instanz zu dem Schluss, dass der Emission</w:t>
      </w:r>
      <w:r>
        <w:rPr>
          <w:rFonts w:cs="Arial"/>
          <w:szCs w:val="17"/>
        </w:rPr>
        <w:t>s</w:t>
      </w:r>
      <w:r>
        <w:rPr>
          <w:rFonts w:cs="Arial"/>
          <w:szCs w:val="17"/>
        </w:rPr>
        <w:t>bericht keine wesentlich falschen Angaben enthält, kann der Betreiber den Emissionsbericht gemäß Art</w:t>
      </w:r>
      <w:r>
        <w:rPr>
          <w:rFonts w:cs="Arial"/>
          <w:szCs w:val="17"/>
        </w:rPr>
        <w:t>i</w:t>
      </w:r>
      <w:r>
        <w:rPr>
          <w:rFonts w:cs="Arial"/>
          <w:szCs w:val="17"/>
        </w:rPr>
        <w:t>kel 14 Absatz 3 der Richtlinie an die zuständige Behörde übermitteln. Kommt die prüfende Instanz zu dem Schluss, dass der Emissionsbericht wesentlich falsche Angaben enthält, wird der Bericht des Betre</w:t>
      </w:r>
      <w:r>
        <w:rPr>
          <w:rFonts w:cs="Arial"/>
          <w:szCs w:val="17"/>
        </w:rPr>
        <w:t>i</w:t>
      </w:r>
      <w:r>
        <w:rPr>
          <w:rFonts w:cs="Arial"/>
          <w:szCs w:val="17"/>
        </w:rPr>
        <w:t>bers als nicht zufrieden stellend bewertet. In Übereinstimmung mit Artikel 15 der Richtlinie stellen die Mitglie</w:t>
      </w:r>
      <w:r>
        <w:rPr>
          <w:rFonts w:cs="Arial"/>
          <w:szCs w:val="17"/>
        </w:rPr>
        <w:t>d</w:t>
      </w:r>
      <w:r>
        <w:rPr>
          <w:rFonts w:cs="Arial"/>
          <w:szCs w:val="17"/>
        </w:rPr>
        <w:t>staaten sicher, dass ein Betreiber, dessen Bericht - was die Emissionen des Vorjahres betrifft - bis zum 31. März des folgenden Jahres nicht als zufrieden stellend bewertet wurde, keine weiteren Zertifikate übe</w:t>
      </w:r>
      <w:r>
        <w:rPr>
          <w:rFonts w:cs="Arial"/>
          <w:szCs w:val="17"/>
        </w:rPr>
        <w:t>r</w:t>
      </w:r>
      <w:r>
        <w:rPr>
          <w:rFonts w:cs="Arial"/>
          <w:szCs w:val="17"/>
        </w:rPr>
        <w:t>tragen kann, und zwar solange bis dieser Betreiber einen Bericht vorlegt, der als zufrieden stellend bewe</w:t>
      </w:r>
      <w:r>
        <w:rPr>
          <w:rFonts w:cs="Arial"/>
          <w:szCs w:val="17"/>
        </w:rPr>
        <w:t>r</w:t>
      </w:r>
      <w:r>
        <w:rPr>
          <w:rFonts w:cs="Arial"/>
          <w:szCs w:val="17"/>
        </w:rPr>
        <w:t>tet wird. Gemäß Artikel 16 der Richtlinie legen die Mitgliedstaaten entsprechende Sankti</w:t>
      </w:r>
      <w:r>
        <w:rPr>
          <w:rFonts w:cs="Arial"/>
          <w:szCs w:val="17"/>
        </w:rPr>
        <w:t>o</w:t>
      </w:r>
      <w:r>
        <w:rPr>
          <w:rFonts w:cs="Arial"/>
          <w:szCs w:val="17"/>
        </w:rPr>
        <w:t>nen fest.</w:t>
      </w:r>
    </w:p>
    <w:p>
      <w:pPr>
        <w:pStyle w:val="GesAbsatz"/>
        <w:jc w:val="both"/>
        <w:rPr>
          <w:rFonts w:cs="Arial"/>
          <w:szCs w:val="17"/>
        </w:rPr>
      </w:pPr>
      <w:r>
        <w:rPr>
          <w:rFonts w:cs="Arial"/>
          <w:szCs w:val="17"/>
        </w:rPr>
        <w:t>Anhand der im Emissionsbericht, der als zufrieden stellend bewertet wurde, für die Gesamtemissionen ausgewiesenen Zahl prüft die zuständige Behörde dann, ob der Betreiber für die betreffende Anlage eine genügende Anzahl Zertifikate abgegeben hat.</w:t>
      </w:r>
    </w:p>
    <w:p>
      <w:pPr>
        <w:pStyle w:val="GesAbsatz"/>
        <w:jc w:val="both"/>
        <w:rPr>
          <w:rFonts w:cs="Arial"/>
          <w:szCs w:val="17"/>
        </w:rPr>
      </w:pPr>
      <w:r>
        <w:rPr>
          <w:rFonts w:cs="Arial"/>
          <w:szCs w:val="17"/>
        </w:rPr>
        <w:t>Die Mitgliedstaaten stellen sicher, dass Auffassungsunterschiede zwischen dem Betreiber, der prüfenden Instanz und der zuständigen Behörde einer ordnungsgemäßen Berichterstattung nicht im Wege stehen und dass diese in Einklang mit der Richtlinie, mit diesen Leitlinien sowie mit den von den Mitgliedstaaten gemäß Anhang V erarbeiteten Rechts- und Verwaltungsvorschriften und den einschlägigen nationalen Verfahren beseitigt werden.</w:t>
      </w:r>
    </w:p>
    <w:p>
      <w:pPr>
        <w:pStyle w:val="GesAbsatz"/>
        <w:jc w:val="both"/>
        <w:rPr>
          <w:rFonts w:cs="Arial"/>
          <w:b/>
          <w:bCs/>
          <w:szCs w:val="17"/>
        </w:rPr>
      </w:pPr>
      <w:r>
        <w:rPr>
          <w:rFonts w:cs="Arial"/>
          <w:b/>
          <w:bCs/>
          <w:szCs w:val="17"/>
        </w:rPr>
        <w:t>8. EMISSIONSFAKTOREN</w:t>
      </w:r>
    </w:p>
    <w:p>
      <w:pPr>
        <w:pStyle w:val="GesAbsatz"/>
        <w:jc w:val="both"/>
        <w:rPr>
          <w:rFonts w:cs="Arial"/>
          <w:szCs w:val="17"/>
        </w:rPr>
      </w:pPr>
      <w:r>
        <w:rPr>
          <w:rFonts w:cs="Arial"/>
          <w:szCs w:val="17"/>
        </w:rPr>
        <w:t>In diesem Abschnitt werden Referenzemissionsfaktoren für den Ebene-1-Ansatz genannt, durch die eine Verwendung nicht tätigkeitsspezifischer Emissionsfaktoren ermöglicht wird. Sollte ein Brennstoff keiner bestehenden Kategorie angehören, so kann der Betreiber den verwendeten Brennstoff entsprechend se</w:t>
      </w:r>
      <w:r>
        <w:rPr>
          <w:rFonts w:cs="Arial"/>
          <w:szCs w:val="17"/>
        </w:rPr>
        <w:t>i</w:t>
      </w:r>
      <w:r>
        <w:rPr>
          <w:rFonts w:cs="Arial"/>
          <w:szCs w:val="17"/>
        </w:rPr>
        <w:t>nes Fachwissens einer verwandten Brennstoffkategorie zuordnen. Allerdings muss dies durch die zustä</w:t>
      </w:r>
      <w:r>
        <w:rPr>
          <w:rFonts w:cs="Arial"/>
          <w:szCs w:val="17"/>
        </w:rPr>
        <w:t>n</w:t>
      </w:r>
      <w:r>
        <w:rPr>
          <w:rFonts w:cs="Arial"/>
          <w:szCs w:val="17"/>
        </w:rPr>
        <w:t>dige Behörde genehmigt werden.</w:t>
      </w:r>
    </w:p>
    <w:p>
      <w:pPr>
        <w:pStyle w:val="GesAbsatz"/>
        <w:jc w:val="both"/>
        <w:rPr>
          <w:rFonts w:cs="Arial"/>
          <w:b/>
          <w:bCs/>
          <w:szCs w:val="17"/>
        </w:rPr>
      </w:pPr>
      <w:r>
        <w:rPr>
          <w:rFonts w:cs="Arial"/>
          <w:b/>
          <w:bCs/>
          <w:szCs w:val="17"/>
        </w:rPr>
        <w:br w:type="page"/>
      </w:r>
      <w:r>
        <w:rPr>
          <w:rFonts w:cs="Arial"/>
          <w:b/>
          <w:bCs/>
          <w:szCs w:val="17"/>
        </w:rPr>
        <w:lastRenderedPageBreak/>
        <w:t>TABELLE 4</w:t>
      </w:r>
    </w:p>
    <w:p>
      <w:pPr>
        <w:pStyle w:val="GesAbsatz"/>
        <w:jc w:val="both"/>
        <w:rPr>
          <w:rFonts w:cs="Arial"/>
          <w:b/>
          <w:bCs/>
          <w:szCs w:val="17"/>
        </w:rPr>
      </w:pPr>
      <w:r>
        <w:rPr>
          <w:rFonts w:cs="Arial"/>
          <w:b/>
          <w:bCs/>
          <w:szCs w:val="17"/>
        </w:rPr>
        <w:t>Emissionsfaktoren fossiler Brennstoffe - ermittelt anhand des spezifischen Heizwerts, ohne Oxid</w:t>
      </w:r>
      <w:r>
        <w:rPr>
          <w:rFonts w:cs="Arial"/>
          <w:b/>
          <w:bCs/>
          <w:szCs w:val="17"/>
        </w:rPr>
        <w:t>a</w:t>
      </w:r>
      <w:r>
        <w:rPr>
          <w:rFonts w:cs="Arial"/>
          <w:b/>
          <w:bCs/>
          <w:szCs w:val="17"/>
        </w:rPr>
        <w:t>tionsfaktoren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3"/>
        <w:gridCol w:w="2097"/>
        <w:gridCol w:w="3604"/>
      </w:tblGrid>
      <w:tr>
        <w:tblPrEx>
          <w:tblCellMar>
            <w:top w:w="0" w:type="dxa"/>
            <w:bottom w:w="0" w:type="dxa"/>
          </w:tblCellMar>
        </w:tblPrEx>
        <w:trPr>
          <w:tblHeader/>
        </w:trPr>
        <w:tc>
          <w:tcPr>
            <w:tcW w:w="3756" w:type="dxa"/>
          </w:tcPr>
          <w:p>
            <w:pPr>
              <w:pStyle w:val="GesAbsatz"/>
              <w:jc w:val="center"/>
              <w:rPr>
                <w:rFonts w:cs="Arial"/>
                <w:szCs w:val="15"/>
              </w:rPr>
            </w:pPr>
            <w:r>
              <w:rPr>
                <w:rFonts w:cs="Arial"/>
                <w:szCs w:val="15"/>
              </w:rPr>
              <w:t>Brennstoff</w:t>
            </w:r>
          </w:p>
        </w:tc>
        <w:tc>
          <w:tcPr>
            <w:tcW w:w="2126" w:type="dxa"/>
          </w:tcPr>
          <w:p>
            <w:pPr>
              <w:pStyle w:val="GesAbsatz"/>
              <w:jc w:val="center"/>
              <w:rPr>
                <w:rFonts w:cs="Arial"/>
                <w:szCs w:val="15"/>
              </w:rPr>
            </w:pPr>
            <w:r>
              <w:rPr>
                <w:rFonts w:cs="Arial"/>
                <w:szCs w:val="15"/>
              </w:rPr>
              <w:t>CO</w:t>
            </w:r>
            <w:r>
              <w:rPr>
                <w:rFonts w:cs="Arial"/>
                <w:szCs w:val="8"/>
                <w:vertAlign w:val="subscript"/>
              </w:rPr>
              <w:t>2</w:t>
            </w:r>
            <w:r>
              <w:rPr>
                <w:rFonts w:cs="Arial"/>
                <w:szCs w:val="15"/>
              </w:rPr>
              <w:t>-Emissionsfaktor</w:t>
            </w:r>
            <w:r>
              <w:rPr>
                <w:rFonts w:cs="Arial"/>
                <w:szCs w:val="15"/>
              </w:rPr>
              <w:br/>
              <w:t>(t CO</w:t>
            </w:r>
            <w:r>
              <w:rPr>
                <w:rFonts w:cs="Arial"/>
                <w:szCs w:val="8"/>
                <w:vertAlign w:val="subscript"/>
              </w:rPr>
              <w:t>2</w:t>
            </w:r>
            <w:r>
              <w:rPr>
                <w:rFonts w:cs="Arial"/>
                <w:szCs w:val="15"/>
              </w:rPr>
              <w:t>/TJ)</w:t>
            </w:r>
          </w:p>
        </w:tc>
        <w:tc>
          <w:tcPr>
            <w:tcW w:w="3662" w:type="dxa"/>
          </w:tcPr>
          <w:p>
            <w:pPr>
              <w:pStyle w:val="GesAbsatz"/>
              <w:jc w:val="center"/>
              <w:rPr>
                <w:rFonts w:cs="Arial"/>
                <w:szCs w:val="15"/>
              </w:rPr>
            </w:pPr>
            <w:r>
              <w:rPr>
                <w:rFonts w:cs="Arial"/>
                <w:szCs w:val="15"/>
              </w:rPr>
              <w:t>Quelle des Emissionsfaktors</w:t>
            </w:r>
          </w:p>
        </w:tc>
      </w:tr>
      <w:tr>
        <w:tblPrEx>
          <w:tblCellMar>
            <w:top w:w="0" w:type="dxa"/>
            <w:bottom w:w="0" w:type="dxa"/>
          </w:tblCellMar>
        </w:tblPrEx>
        <w:trPr>
          <w:cantSplit/>
        </w:trPr>
        <w:tc>
          <w:tcPr>
            <w:tcW w:w="5882" w:type="dxa"/>
            <w:gridSpan w:val="2"/>
          </w:tcPr>
          <w:p>
            <w:pPr>
              <w:pStyle w:val="GesAbsatz"/>
              <w:jc w:val="both"/>
              <w:rPr>
                <w:rFonts w:cs="Arial"/>
                <w:szCs w:val="15"/>
              </w:rPr>
            </w:pPr>
            <w:r>
              <w:rPr>
                <w:rFonts w:cs="Arial"/>
                <w:szCs w:val="17"/>
              </w:rPr>
              <w:t>A. Flüssige fossile Brennstoffe</w:t>
            </w:r>
          </w:p>
        </w:tc>
        <w:tc>
          <w:tcPr>
            <w:tcW w:w="3662" w:type="dxa"/>
          </w:tcPr>
          <w:p>
            <w:pPr>
              <w:pStyle w:val="GesAbsatz"/>
              <w:jc w:val="both"/>
              <w:rPr>
                <w:rFonts w:cs="Arial"/>
                <w:szCs w:val="15"/>
              </w:rPr>
            </w:pPr>
          </w:p>
        </w:tc>
      </w:tr>
      <w:tr>
        <w:tblPrEx>
          <w:tblCellMar>
            <w:top w:w="0" w:type="dxa"/>
            <w:bottom w:w="0" w:type="dxa"/>
          </w:tblCellMar>
        </w:tblPrEx>
        <w:trPr>
          <w:cantSplit/>
        </w:trPr>
        <w:tc>
          <w:tcPr>
            <w:tcW w:w="5882" w:type="dxa"/>
            <w:gridSpan w:val="2"/>
          </w:tcPr>
          <w:p>
            <w:pPr>
              <w:pStyle w:val="GesAbsatz"/>
              <w:jc w:val="both"/>
              <w:rPr>
                <w:rFonts w:cs="Arial"/>
                <w:szCs w:val="15"/>
              </w:rPr>
            </w:pPr>
            <w:r>
              <w:rPr>
                <w:rFonts w:cs="Arial"/>
                <w:szCs w:val="17"/>
              </w:rPr>
              <w:t>Primäre Brennstoffe</w:t>
            </w:r>
          </w:p>
        </w:tc>
        <w:tc>
          <w:tcPr>
            <w:tcW w:w="3662" w:type="dxa"/>
          </w:tcPr>
          <w:p>
            <w:pPr>
              <w:pStyle w:val="GesAbsatz"/>
              <w:jc w:val="both"/>
              <w:rPr>
                <w:rFonts w:cs="Arial"/>
                <w:szCs w:val="15"/>
              </w:rPr>
            </w:pPr>
          </w:p>
        </w:tc>
      </w:tr>
      <w:tr>
        <w:tblPrEx>
          <w:tblCellMar>
            <w:top w:w="0" w:type="dxa"/>
            <w:bottom w:w="0" w:type="dxa"/>
          </w:tblCellMar>
        </w:tblPrEx>
        <w:tc>
          <w:tcPr>
            <w:tcW w:w="3756" w:type="dxa"/>
          </w:tcPr>
          <w:p>
            <w:pPr>
              <w:pStyle w:val="GesAbsatz"/>
              <w:jc w:val="both"/>
              <w:rPr>
                <w:rFonts w:cs="Arial"/>
                <w:szCs w:val="15"/>
              </w:rPr>
            </w:pPr>
            <w:r>
              <w:rPr>
                <w:rFonts w:cs="Arial"/>
                <w:szCs w:val="17"/>
              </w:rPr>
              <w:t>Rohöl</w:t>
            </w:r>
          </w:p>
        </w:tc>
        <w:tc>
          <w:tcPr>
            <w:tcW w:w="2126" w:type="dxa"/>
          </w:tcPr>
          <w:p>
            <w:pPr>
              <w:pStyle w:val="GesAbsatz"/>
              <w:jc w:val="both"/>
              <w:rPr>
                <w:rFonts w:cs="Arial"/>
                <w:szCs w:val="15"/>
                <w:lang w:val="fr-FR"/>
              </w:rPr>
            </w:pPr>
            <w:r>
              <w:rPr>
                <w:rFonts w:cs="Arial"/>
                <w:szCs w:val="17"/>
                <w:lang w:val="fr-FR"/>
              </w:rPr>
              <w:t>73,3</w:t>
            </w:r>
          </w:p>
        </w:tc>
        <w:tc>
          <w:tcPr>
            <w:tcW w:w="3662" w:type="dxa"/>
          </w:tcPr>
          <w:p>
            <w:pPr>
              <w:pStyle w:val="GesAbsatz"/>
              <w:jc w:val="both"/>
              <w:rPr>
                <w:rFonts w:cs="Arial"/>
                <w:szCs w:val="15"/>
                <w:lang w:val="fr-FR"/>
              </w:rPr>
            </w:pPr>
            <w:r>
              <w:rPr>
                <w:rFonts w:cs="Arial"/>
                <w:szCs w:val="17"/>
                <w:lang w:val="fr-FR"/>
              </w:rPr>
              <w:t>IPCC, 1996</w:t>
            </w:r>
            <w:r>
              <w:rPr>
                <w:rStyle w:val="Funotenzeichen"/>
                <w:rFonts w:cs="Arial"/>
                <w:szCs w:val="17"/>
              </w:rPr>
              <w:footnoteReference w:id="10"/>
            </w:r>
          </w:p>
        </w:tc>
      </w:tr>
      <w:tr>
        <w:tblPrEx>
          <w:tblCellMar>
            <w:top w:w="0" w:type="dxa"/>
            <w:bottom w:w="0" w:type="dxa"/>
          </w:tblCellMar>
        </w:tblPrEx>
        <w:tc>
          <w:tcPr>
            <w:tcW w:w="3756" w:type="dxa"/>
          </w:tcPr>
          <w:p>
            <w:pPr>
              <w:pStyle w:val="GesAbsatz"/>
              <w:jc w:val="both"/>
              <w:rPr>
                <w:rFonts w:cs="Arial"/>
                <w:szCs w:val="17"/>
                <w:lang w:val="fr-FR"/>
              </w:rPr>
            </w:pPr>
            <w:r>
              <w:rPr>
                <w:rFonts w:cs="Arial"/>
                <w:szCs w:val="17"/>
                <w:lang w:val="fr-FR"/>
              </w:rPr>
              <w:t>Orimulsion</w:t>
            </w:r>
          </w:p>
        </w:tc>
        <w:tc>
          <w:tcPr>
            <w:tcW w:w="2126" w:type="dxa"/>
          </w:tcPr>
          <w:p>
            <w:pPr>
              <w:pStyle w:val="GesAbsatz"/>
              <w:jc w:val="both"/>
              <w:rPr>
                <w:rFonts w:cs="Arial"/>
                <w:szCs w:val="17"/>
                <w:lang w:val="fr-FR"/>
              </w:rPr>
            </w:pPr>
            <w:r>
              <w:rPr>
                <w:rFonts w:cs="Arial"/>
                <w:szCs w:val="17"/>
                <w:lang w:val="fr-FR"/>
              </w:rPr>
              <w:t>80,7</w:t>
            </w:r>
          </w:p>
        </w:tc>
        <w:tc>
          <w:tcPr>
            <w:tcW w:w="3662" w:type="dxa"/>
          </w:tcPr>
          <w:p>
            <w:pPr>
              <w:pStyle w:val="GesAbsatz"/>
              <w:jc w:val="both"/>
              <w:rPr>
                <w:rFonts w:cs="Arial"/>
                <w:szCs w:val="17"/>
                <w:lang w:val="fr-FR"/>
              </w:rPr>
            </w:pPr>
            <w:r>
              <w:rPr>
                <w:rFonts w:cs="Arial"/>
                <w:szCs w:val="17"/>
                <w:lang w:val="fr-FR"/>
              </w:rPr>
              <w:t>IPCC, 1996</w:t>
            </w:r>
          </w:p>
        </w:tc>
      </w:tr>
      <w:tr>
        <w:tblPrEx>
          <w:tblCellMar>
            <w:top w:w="0" w:type="dxa"/>
            <w:bottom w:w="0" w:type="dxa"/>
          </w:tblCellMar>
        </w:tblPrEx>
        <w:tc>
          <w:tcPr>
            <w:tcW w:w="3756" w:type="dxa"/>
          </w:tcPr>
          <w:p>
            <w:pPr>
              <w:pStyle w:val="GesAbsatz"/>
              <w:jc w:val="both"/>
              <w:rPr>
                <w:rFonts w:cs="Arial"/>
                <w:szCs w:val="17"/>
              </w:rPr>
            </w:pPr>
            <w:r>
              <w:rPr>
                <w:rFonts w:cs="Arial"/>
                <w:szCs w:val="17"/>
              </w:rPr>
              <w:t>Flüssigerdgas</w:t>
            </w:r>
          </w:p>
        </w:tc>
        <w:tc>
          <w:tcPr>
            <w:tcW w:w="2126" w:type="dxa"/>
          </w:tcPr>
          <w:p>
            <w:pPr>
              <w:pStyle w:val="GesAbsatz"/>
              <w:jc w:val="both"/>
              <w:rPr>
                <w:rFonts w:cs="Arial"/>
                <w:szCs w:val="17"/>
              </w:rPr>
            </w:pPr>
            <w:r>
              <w:rPr>
                <w:rFonts w:cs="Arial"/>
                <w:szCs w:val="17"/>
              </w:rPr>
              <w:t>63,1</w:t>
            </w:r>
          </w:p>
        </w:tc>
        <w:tc>
          <w:tcPr>
            <w:tcW w:w="3662" w:type="dxa"/>
          </w:tcPr>
          <w:p>
            <w:pPr>
              <w:pStyle w:val="GesAbsatz"/>
              <w:jc w:val="both"/>
              <w:rPr>
                <w:rFonts w:cs="Arial"/>
                <w:szCs w:val="17"/>
              </w:rPr>
            </w:pPr>
            <w:r>
              <w:rPr>
                <w:rFonts w:cs="Arial"/>
                <w:szCs w:val="17"/>
              </w:rPr>
              <w:t>IPCC, 1996</w:t>
            </w:r>
          </w:p>
        </w:tc>
      </w:tr>
      <w:tr>
        <w:tblPrEx>
          <w:tblCellMar>
            <w:top w:w="0" w:type="dxa"/>
            <w:bottom w:w="0" w:type="dxa"/>
          </w:tblCellMar>
        </w:tblPrEx>
        <w:trPr>
          <w:cantSplit/>
        </w:trPr>
        <w:tc>
          <w:tcPr>
            <w:tcW w:w="5882" w:type="dxa"/>
            <w:gridSpan w:val="2"/>
          </w:tcPr>
          <w:p>
            <w:pPr>
              <w:pStyle w:val="GesAbsatz"/>
              <w:jc w:val="both"/>
              <w:rPr>
                <w:rFonts w:cs="Arial"/>
                <w:szCs w:val="17"/>
              </w:rPr>
            </w:pPr>
            <w:r>
              <w:rPr>
                <w:rFonts w:cs="Arial"/>
                <w:szCs w:val="17"/>
              </w:rPr>
              <w:t>Sekundäre Brennstoffe/Produkte</w:t>
            </w:r>
          </w:p>
        </w:tc>
        <w:tc>
          <w:tcPr>
            <w:tcW w:w="3662" w:type="dxa"/>
          </w:tcPr>
          <w:p>
            <w:pPr>
              <w:pStyle w:val="GesAbsatz"/>
              <w:jc w:val="both"/>
              <w:rPr>
                <w:rFonts w:cs="Arial"/>
                <w:szCs w:val="17"/>
              </w:rPr>
            </w:pPr>
          </w:p>
        </w:tc>
      </w:tr>
      <w:tr>
        <w:tblPrEx>
          <w:tblCellMar>
            <w:top w:w="0" w:type="dxa"/>
            <w:bottom w:w="0" w:type="dxa"/>
          </w:tblCellMar>
        </w:tblPrEx>
        <w:tc>
          <w:tcPr>
            <w:tcW w:w="3756" w:type="dxa"/>
          </w:tcPr>
          <w:p>
            <w:pPr>
              <w:pStyle w:val="GesAbsatz"/>
              <w:jc w:val="both"/>
              <w:rPr>
                <w:rFonts w:cs="Arial"/>
                <w:szCs w:val="17"/>
                <w:lang w:val="it-IT"/>
              </w:rPr>
            </w:pPr>
            <w:r>
              <w:rPr>
                <w:rFonts w:cs="Arial"/>
                <w:szCs w:val="17"/>
                <w:lang w:val="it-IT"/>
              </w:rPr>
              <w:t>Benzin</w:t>
            </w:r>
          </w:p>
        </w:tc>
        <w:tc>
          <w:tcPr>
            <w:tcW w:w="2126" w:type="dxa"/>
          </w:tcPr>
          <w:p>
            <w:pPr>
              <w:pStyle w:val="GesAbsatz"/>
              <w:jc w:val="both"/>
              <w:rPr>
                <w:rFonts w:cs="Arial"/>
                <w:szCs w:val="17"/>
                <w:lang w:val="it-IT"/>
              </w:rPr>
            </w:pPr>
            <w:r>
              <w:rPr>
                <w:rFonts w:cs="Arial"/>
                <w:szCs w:val="17"/>
                <w:lang w:val="it-IT"/>
              </w:rPr>
              <w:t>69,3</w:t>
            </w:r>
          </w:p>
        </w:tc>
        <w:tc>
          <w:tcPr>
            <w:tcW w:w="3662" w:type="dxa"/>
          </w:tcPr>
          <w:p>
            <w:pPr>
              <w:pStyle w:val="GesAbsatz"/>
              <w:jc w:val="both"/>
              <w:rPr>
                <w:rFonts w:cs="Arial"/>
                <w:szCs w:val="17"/>
                <w:lang w:val="it-IT"/>
              </w:rPr>
            </w:pPr>
            <w:r>
              <w:rPr>
                <w:rFonts w:cs="Arial"/>
                <w:szCs w:val="17"/>
                <w:lang w:val="it-IT"/>
              </w:rPr>
              <w:t>IPCC, 1996</w:t>
            </w:r>
          </w:p>
        </w:tc>
      </w:tr>
      <w:tr>
        <w:tblPrEx>
          <w:tblCellMar>
            <w:top w:w="0" w:type="dxa"/>
            <w:bottom w:w="0" w:type="dxa"/>
          </w:tblCellMar>
        </w:tblPrEx>
        <w:tc>
          <w:tcPr>
            <w:tcW w:w="3756" w:type="dxa"/>
          </w:tcPr>
          <w:p>
            <w:pPr>
              <w:pStyle w:val="GesAbsatz"/>
              <w:jc w:val="both"/>
              <w:rPr>
                <w:rFonts w:cs="Arial"/>
                <w:szCs w:val="17"/>
                <w:lang w:val="it-IT"/>
              </w:rPr>
            </w:pPr>
            <w:r>
              <w:rPr>
                <w:rFonts w:cs="Arial"/>
                <w:szCs w:val="17"/>
                <w:lang w:val="it-IT"/>
              </w:rPr>
              <w:t>Kerosin</w:t>
            </w:r>
            <w:r>
              <w:rPr>
                <w:rStyle w:val="Funotenzeichen"/>
                <w:rFonts w:cs="Arial"/>
                <w:szCs w:val="17"/>
              </w:rPr>
              <w:footnoteReference w:id="11"/>
            </w:r>
          </w:p>
        </w:tc>
        <w:tc>
          <w:tcPr>
            <w:tcW w:w="2126" w:type="dxa"/>
          </w:tcPr>
          <w:p>
            <w:pPr>
              <w:pStyle w:val="GesAbsatz"/>
              <w:jc w:val="both"/>
              <w:rPr>
                <w:rFonts w:cs="Arial"/>
                <w:szCs w:val="17"/>
              </w:rPr>
            </w:pPr>
            <w:r>
              <w:rPr>
                <w:rFonts w:cs="Arial"/>
                <w:szCs w:val="17"/>
              </w:rPr>
              <w:t>71,9</w:t>
            </w:r>
          </w:p>
        </w:tc>
        <w:tc>
          <w:tcPr>
            <w:tcW w:w="3662" w:type="dxa"/>
          </w:tcPr>
          <w:p>
            <w:pPr>
              <w:pStyle w:val="GesAbsatz"/>
              <w:jc w:val="both"/>
              <w:rPr>
                <w:rFonts w:cs="Arial"/>
                <w:szCs w:val="17"/>
              </w:rPr>
            </w:pPr>
            <w:r>
              <w:rPr>
                <w:rFonts w:cs="Arial"/>
                <w:szCs w:val="17"/>
              </w:rPr>
              <w:t>IPCC, 1996</w:t>
            </w:r>
          </w:p>
        </w:tc>
      </w:tr>
      <w:tr>
        <w:tblPrEx>
          <w:tblCellMar>
            <w:top w:w="0" w:type="dxa"/>
            <w:bottom w:w="0" w:type="dxa"/>
          </w:tblCellMar>
        </w:tblPrEx>
        <w:tc>
          <w:tcPr>
            <w:tcW w:w="3756" w:type="dxa"/>
          </w:tcPr>
          <w:p>
            <w:pPr>
              <w:pStyle w:val="GesAbsatz"/>
              <w:jc w:val="both"/>
              <w:rPr>
                <w:rFonts w:cs="Arial"/>
                <w:szCs w:val="17"/>
              </w:rPr>
            </w:pPr>
            <w:r>
              <w:rPr>
                <w:rFonts w:cs="Arial"/>
                <w:szCs w:val="17"/>
              </w:rPr>
              <w:t>Schieferöl</w:t>
            </w:r>
          </w:p>
        </w:tc>
        <w:tc>
          <w:tcPr>
            <w:tcW w:w="2126" w:type="dxa"/>
          </w:tcPr>
          <w:p>
            <w:pPr>
              <w:pStyle w:val="GesAbsatz"/>
              <w:jc w:val="both"/>
              <w:rPr>
                <w:rFonts w:cs="Arial"/>
                <w:szCs w:val="17"/>
              </w:rPr>
            </w:pPr>
            <w:r>
              <w:rPr>
                <w:rFonts w:cs="Arial"/>
                <w:szCs w:val="17"/>
              </w:rPr>
              <w:t>77,4</w:t>
            </w:r>
          </w:p>
        </w:tc>
        <w:tc>
          <w:tcPr>
            <w:tcW w:w="3662" w:type="dxa"/>
          </w:tcPr>
          <w:p>
            <w:pPr>
              <w:pStyle w:val="GesAbsatz"/>
              <w:jc w:val="both"/>
              <w:rPr>
                <w:rFonts w:cs="Arial"/>
                <w:szCs w:val="17"/>
              </w:rPr>
            </w:pPr>
            <w:r>
              <w:rPr>
                <w:rFonts w:cs="Arial"/>
                <w:szCs w:val="17"/>
              </w:rPr>
              <w:t>National Communication Estonia, 2002</w:t>
            </w:r>
          </w:p>
        </w:tc>
      </w:tr>
      <w:tr>
        <w:tblPrEx>
          <w:tblCellMar>
            <w:top w:w="0" w:type="dxa"/>
            <w:bottom w:w="0" w:type="dxa"/>
          </w:tblCellMar>
        </w:tblPrEx>
        <w:tc>
          <w:tcPr>
            <w:tcW w:w="3756" w:type="dxa"/>
          </w:tcPr>
          <w:p>
            <w:pPr>
              <w:pStyle w:val="GesAbsatz"/>
              <w:jc w:val="both"/>
              <w:rPr>
                <w:rFonts w:cs="Arial"/>
                <w:szCs w:val="17"/>
              </w:rPr>
            </w:pPr>
            <w:r>
              <w:rPr>
                <w:rFonts w:cs="Arial"/>
                <w:szCs w:val="17"/>
              </w:rPr>
              <w:t>Gas/Dieselkraftstoff</w:t>
            </w:r>
          </w:p>
        </w:tc>
        <w:tc>
          <w:tcPr>
            <w:tcW w:w="2126" w:type="dxa"/>
          </w:tcPr>
          <w:p>
            <w:pPr>
              <w:pStyle w:val="GesAbsatz"/>
              <w:jc w:val="both"/>
              <w:rPr>
                <w:rFonts w:cs="Arial"/>
                <w:szCs w:val="17"/>
              </w:rPr>
            </w:pPr>
            <w:r>
              <w:rPr>
                <w:rFonts w:cs="Arial"/>
                <w:szCs w:val="17"/>
              </w:rPr>
              <w:t>74,1</w:t>
            </w:r>
          </w:p>
        </w:tc>
        <w:tc>
          <w:tcPr>
            <w:tcW w:w="3662" w:type="dxa"/>
          </w:tcPr>
          <w:p>
            <w:pPr>
              <w:pStyle w:val="GesAbsatz"/>
              <w:jc w:val="both"/>
              <w:rPr>
                <w:rFonts w:cs="Arial"/>
                <w:szCs w:val="17"/>
              </w:rPr>
            </w:pPr>
            <w:r>
              <w:rPr>
                <w:rFonts w:cs="Arial"/>
                <w:szCs w:val="17"/>
              </w:rPr>
              <w:t>IPCC, 1996</w:t>
            </w:r>
          </w:p>
        </w:tc>
      </w:tr>
      <w:tr>
        <w:tblPrEx>
          <w:tblCellMar>
            <w:top w:w="0" w:type="dxa"/>
            <w:bottom w:w="0" w:type="dxa"/>
          </w:tblCellMar>
        </w:tblPrEx>
        <w:tc>
          <w:tcPr>
            <w:tcW w:w="3756" w:type="dxa"/>
          </w:tcPr>
          <w:p>
            <w:pPr>
              <w:pStyle w:val="GesAbsatz"/>
              <w:jc w:val="both"/>
              <w:rPr>
                <w:rFonts w:cs="Arial"/>
                <w:szCs w:val="17"/>
              </w:rPr>
            </w:pPr>
            <w:r>
              <w:rPr>
                <w:rFonts w:cs="Arial"/>
                <w:szCs w:val="17"/>
              </w:rPr>
              <w:t>Rückstandsöl</w:t>
            </w:r>
          </w:p>
        </w:tc>
        <w:tc>
          <w:tcPr>
            <w:tcW w:w="2126" w:type="dxa"/>
          </w:tcPr>
          <w:p>
            <w:pPr>
              <w:pStyle w:val="GesAbsatz"/>
              <w:jc w:val="both"/>
              <w:rPr>
                <w:rFonts w:cs="Arial"/>
                <w:szCs w:val="17"/>
              </w:rPr>
            </w:pPr>
            <w:r>
              <w:rPr>
                <w:rFonts w:cs="Arial"/>
                <w:szCs w:val="17"/>
              </w:rPr>
              <w:t>77,4</w:t>
            </w:r>
          </w:p>
        </w:tc>
        <w:tc>
          <w:tcPr>
            <w:tcW w:w="3662" w:type="dxa"/>
          </w:tcPr>
          <w:p>
            <w:pPr>
              <w:pStyle w:val="GesAbsatz"/>
              <w:jc w:val="both"/>
              <w:rPr>
                <w:rFonts w:cs="Arial"/>
                <w:szCs w:val="17"/>
              </w:rPr>
            </w:pPr>
            <w:r>
              <w:rPr>
                <w:rFonts w:cs="Arial"/>
                <w:szCs w:val="17"/>
              </w:rPr>
              <w:t>IPCC, 1996</w:t>
            </w:r>
          </w:p>
        </w:tc>
      </w:tr>
      <w:tr>
        <w:tblPrEx>
          <w:tblCellMar>
            <w:top w:w="0" w:type="dxa"/>
            <w:bottom w:w="0" w:type="dxa"/>
          </w:tblCellMar>
        </w:tblPrEx>
        <w:tc>
          <w:tcPr>
            <w:tcW w:w="3756" w:type="dxa"/>
          </w:tcPr>
          <w:p>
            <w:pPr>
              <w:pStyle w:val="GesAbsatz"/>
              <w:jc w:val="both"/>
              <w:rPr>
                <w:rFonts w:cs="Arial"/>
                <w:szCs w:val="17"/>
                <w:lang w:val="en-GB"/>
              </w:rPr>
            </w:pPr>
            <w:r>
              <w:rPr>
                <w:rFonts w:cs="Arial"/>
                <w:szCs w:val="17"/>
                <w:lang w:val="en-GB"/>
              </w:rPr>
              <w:t>Flüssiggas</w:t>
            </w:r>
          </w:p>
        </w:tc>
        <w:tc>
          <w:tcPr>
            <w:tcW w:w="2126" w:type="dxa"/>
          </w:tcPr>
          <w:p>
            <w:pPr>
              <w:pStyle w:val="GesAbsatz"/>
              <w:jc w:val="both"/>
              <w:rPr>
                <w:rFonts w:cs="Arial"/>
                <w:szCs w:val="17"/>
                <w:lang w:val="en-GB"/>
              </w:rPr>
            </w:pPr>
            <w:r>
              <w:rPr>
                <w:rFonts w:cs="Arial"/>
                <w:szCs w:val="17"/>
                <w:lang w:val="en-GB"/>
              </w:rPr>
              <w:t>63,1</w:t>
            </w:r>
          </w:p>
        </w:tc>
        <w:tc>
          <w:tcPr>
            <w:tcW w:w="3662" w:type="dxa"/>
          </w:tcPr>
          <w:p>
            <w:pPr>
              <w:pStyle w:val="GesAbsatz"/>
              <w:jc w:val="both"/>
              <w:rPr>
                <w:rFonts w:cs="Arial"/>
                <w:szCs w:val="17"/>
                <w:lang w:val="en-GB"/>
              </w:rPr>
            </w:pPr>
            <w:r>
              <w:rPr>
                <w:rFonts w:cs="Arial"/>
                <w:szCs w:val="17"/>
                <w:lang w:val="en-GB"/>
              </w:rPr>
              <w:t>IPCC, 1996</w:t>
            </w:r>
          </w:p>
        </w:tc>
      </w:tr>
      <w:tr>
        <w:tblPrEx>
          <w:tblCellMar>
            <w:top w:w="0" w:type="dxa"/>
            <w:bottom w:w="0" w:type="dxa"/>
          </w:tblCellMar>
        </w:tblPrEx>
        <w:tc>
          <w:tcPr>
            <w:tcW w:w="3756" w:type="dxa"/>
          </w:tcPr>
          <w:p>
            <w:pPr>
              <w:pStyle w:val="GesAbsatz"/>
              <w:jc w:val="both"/>
              <w:rPr>
                <w:rFonts w:cs="Arial"/>
                <w:szCs w:val="17"/>
                <w:lang w:val="en-GB"/>
              </w:rPr>
            </w:pPr>
            <w:r>
              <w:rPr>
                <w:rFonts w:cs="Arial"/>
                <w:szCs w:val="17"/>
                <w:lang w:val="en-GB"/>
              </w:rPr>
              <w:t>Ethan</w:t>
            </w:r>
          </w:p>
        </w:tc>
        <w:tc>
          <w:tcPr>
            <w:tcW w:w="2126" w:type="dxa"/>
          </w:tcPr>
          <w:p>
            <w:pPr>
              <w:pStyle w:val="GesAbsatz"/>
              <w:jc w:val="both"/>
              <w:rPr>
                <w:rFonts w:cs="Arial"/>
                <w:szCs w:val="17"/>
                <w:lang w:val="en-GB"/>
              </w:rPr>
            </w:pPr>
            <w:r>
              <w:rPr>
                <w:rFonts w:cs="Arial"/>
                <w:szCs w:val="17"/>
                <w:lang w:val="en-GB"/>
              </w:rPr>
              <w:t>61,6</w:t>
            </w:r>
          </w:p>
        </w:tc>
        <w:tc>
          <w:tcPr>
            <w:tcW w:w="3662" w:type="dxa"/>
          </w:tcPr>
          <w:p>
            <w:pPr>
              <w:pStyle w:val="GesAbsatz"/>
              <w:jc w:val="both"/>
              <w:rPr>
                <w:rFonts w:cs="Arial"/>
                <w:szCs w:val="17"/>
                <w:lang w:val="en-GB"/>
              </w:rPr>
            </w:pPr>
            <w:r>
              <w:rPr>
                <w:rFonts w:cs="Arial"/>
                <w:szCs w:val="17"/>
                <w:lang w:val="en-GB"/>
              </w:rPr>
              <w:t>IPCC, 1996</w:t>
            </w:r>
          </w:p>
        </w:tc>
      </w:tr>
      <w:tr>
        <w:tblPrEx>
          <w:tblCellMar>
            <w:top w:w="0" w:type="dxa"/>
            <w:bottom w:w="0" w:type="dxa"/>
          </w:tblCellMar>
        </w:tblPrEx>
        <w:tc>
          <w:tcPr>
            <w:tcW w:w="3756" w:type="dxa"/>
          </w:tcPr>
          <w:p>
            <w:pPr>
              <w:pStyle w:val="GesAbsatz"/>
              <w:jc w:val="both"/>
              <w:rPr>
                <w:rFonts w:cs="Arial"/>
                <w:szCs w:val="17"/>
              </w:rPr>
            </w:pPr>
            <w:r>
              <w:rPr>
                <w:rFonts w:cs="Arial"/>
                <w:szCs w:val="17"/>
              </w:rPr>
              <w:t>Rohbenzin</w:t>
            </w:r>
          </w:p>
        </w:tc>
        <w:tc>
          <w:tcPr>
            <w:tcW w:w="2126" w:type="dxa"/>
          </w:tcPr>
          <w:p>
            <w:pPr>
              <w:pStyle w:val="GesAbsatz"/>
              <w:jc w:val="both"/>
              <w:rPr>
                <w:rFonts w:cs="Arial"/>
                <w:szCs w:val="17"/>
              </w:rPr>
            </w:pPr>
            <w:r>
              <w:rPr>
                <w:rFonts w:cs="Arial"/>
                <w:szCs w:val="17"/>
              </w:rPr>
              <w:t>73,3</w:t>
            </w:r>
          </w:p>
        </w:tc>
        <w:tc>
          <w:tcPr>
            <w:tcW w:w="3662" w:type="dxa"/>
          </w:tcPr>
          <w:p>
            <w:pPr>
              <w:pStyle w:val="GesAbsatz"/>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Bitumen</w:t>
            </w:r>
          </w:p>
        </w:tc>
        <w:tc>
          <w:tcPr>
            <w:tcW w:w="2126" w:type="dxa"/>
          </w:tcPr>
          <w:p>
            <w:pPr>
              <w:pStyle w:val="GesAbsatz"/>
              <w:tabs>
                <w:tab w:val="clear" w:pos="425"/>
              </w:tabs>
              <w:jc w:val="both"/>
              <w:rPr>
                <w:rFonts w:cs="Arial"/>
                <w:szCs w:val="17"/>
              </w:rPr>
            </w:pPr>
            <w:r>
              <w:rPr>
                <w:rFonts w:cs="Arial"/>
                <w:szCs w:val="17"/>
              </w:rPr>
              <w:t>80,7</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Schmieröl</w:t>
            </w:r>
          </w:p>
        </w:tc>
        <w:tc>
          <w:tcPr>
            <w:tcW w:w="2126" w:type="dxa"/>
          </w:tcPr>
          <w:p>
            <w:pPr>
              <w:pStyle w:val="GesAbsatz"/>
              <w:tabs>
                <w:tab w:val="clear" w:pos="425"/>
              </w:tabs>
              <w:jc w:val="both"/>
              <w:rPr>
                <w:rFonts w:cs="Arial"/>
                <w:szCs w:val="17"/>
              </w:rPr>
            </w:pPr>
            <w:r>
              <w:rPr>
                <w:rFonts w:cs="Arial"/>
                <w:szCs w:val="17"/>
              </w:rPr>
              <w:t>73,3</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Petrolkoks</w:t>
            </w:r>
          </w:p>
        </w:tc>
        <w:tc>
          <w:tcPr>
            <w:tcW w:w="2126" w:type="dxa"/>
          </w:tcPr>
          <w:p>
            <w:pPr>
              <w:pStyle w:val="GesAbsatz"/>
              <w:tabs>
                <w:tab w:val="clear" w:pos="425"/>
              </w:tabs>
              <w:jc w:val="both"/>
              <w:rPr>
                <w:rFonts w:cs="Arial"/>
                <w:szCs w:val="17"/>
              </w:rPr>
            </w:pPr>
            <w:r>
              <w:rPr>
                <w:rFonts w:cs="Arial"/>
                <w:szCs w:val="17"/>
              </w:rPr>
              <w:t>100,8</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Raffinerie-/Halbfertigerzeugnisse</w:t>
            </w:r>
          </w:p>
        </w:tc>
        <w:tc>
          <w:tcPr>
            <w:tcW w:w="2126" w:type="dxa"/>
          </w:tcPr>
          <w:p>
            <w:pPr>
              <w:pStyle w:val="GesAbsatz"/>
              <w:tabs>
                <w:tab w:val="clear" w:pos="425"/>
              </w:tabs>
              <w:jc w:val="both"/>
              <w:rPr>
                <w:rFonts w:cs="Arial"/>
                <w:szCs w:val="17"/>
              </w:rPr>
            </w:pPr>
            <w:r>
              <w:rPr>
                <w:rFonts w:cs="Arial"/>
                <w:szCs w:val="17"/>
              </w:rPr>
              <w:t>73,3</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Sonstige Öle</w:t>
            </w:r>
          </w:p>
        </w:tc>
        <w:tc>
          <w:tcPr>
            <w:tcW w:w="2126" w:type="dxa"/>
          </w:tcPr>
          <w:p>
            <w:pPr>
              <w:pStyle w:val="GesAbsatz"/>
              <w:tabs>
                <w:tab w:val="clear" w:pos="425"/>
              </w:tabs>
              <w:jc w:val="both"/>
              <w:rPr>
                <w:rFonts w:cs="Arial"/>
                <w:szCs w:val="17"/>
              </w:rPr>
            </w:pPr>
            <w:r>
              <w:rPr>
                <w:rFonts w:cs="Arial"/>
                <w:szCs w:val="17"/>
              </w:rPr>
              <w:t>73,3</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9544" w:type="dxa"/>
            <w:gridSpan w:val="3"/>
          </w:tcPr>
          <w:p>
            <w:pPr>
              <w:pStyle w:val="GesAbsatz"/>
              <w:tabs>
                <w:tab w:val="clear" w:pos="425"/>
              </w:tabs>
              <w:jc w:val="both"/>
              <w:rPr>
                <w:rFonts w:cs="Arial"/>
                <w:szCs w:val="17"/>
              </w:rPr>
            </w:pPr>
            <w:r>
              <w:rPr>
                <w:rFonts w:cs="Arial"/>
                <w:szCs w:val="17"/>
              </w:rPr>
              <w:t>B. Feste fossile Brennstoffe</w:t>
            </w:r>
          </w:p>
        </w:tc>
      </w:tr>
      <w:tr>
        <w:tblPrEx>
          <w:tblCellMar>
            <w:top w:w="0" w:type="dxa"/>
            <w:bottom w:w="0" w:type="dxa"/>
          </w:tblCellMar>
        </w:tblPrEx>
        <w:trPr>
          <w:cantSplit/>
        </w:trPr>
        <w:tc>
          <w:tcPr>
            <w:tcW w:w="5882" w:type="dxa"/>
            <w:gridSpan w:val="2"/>
          </w:tcPr>
          <w:p>
            <w:pPr>
              <w:pStyle w:val="GesAbsatz"/>
              <w:tabs>
                <w:tab w:val="clear" w:pos="425"/>
              </w:tabs>
              <w:jc w:val="both"/>
              <w:rPr>
                <w:rFonts w:cs="Arial"/>
                <w:szCs w:val="17"/>
              </w:rPr>
            </w:pPr>
            <w:r>
              <w:rPr>
                <w:rFonts w:cs="Arial"/>
                <w:szCs w:val="17"/>
              </w:rPr>
              <w:t>Primäre Brennstoffe</w:t>
            </w:r>
          </w:p>
        </w:tc>
        <w:tc>
          <w:tcPr>
            <w:tcW w:w="3662" w:type="dxa"/>
          </w:tcPr>
          <w:p>
            <w:pPr>
              <w:pStyle w:val="GesAbsatz"/>
              <w:tabs>
                <w:tab w:val="clear" w:pos="425"/>
              </w:tabs>
              <w:jc w:val="both"/>
              <w:rPr>
                <w:rFonts w:cs="Arial"/>
                <w:szCs w:val="17"/>
              </w:rPr>
            </w:pP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Anthrazit</w:t>
            </w:r>
          </w:p>
        </w:tc>
        <w:tc>
          <w:tcPr>
            <w:tcW w:w="2126" w:type="dxa"/>
          </w:tcPr>
          <w:p>
            <w:pPr>
              <w:pStyle w:val="GesAbsatz"/>
              <w:tabs>
                <w:tab w:val="clear" w:pos="425"/>
              </w:tabs>
              <w:jc w:val="both"/>
              <w:rPr>
                <w:rFonts w:cs="Arial"/>
                <w:szCs w:val="17"/>
              </w:rPr>
            </w:pPr>
            <w:r>
              <w:rPr>
                <w:rFonts w:cs="Arial"/>
                <w:szCs w:val="17"/>
              </w:rPr>
              <w:t>98,3</w:t>
            </w:r>
          </w:p>
        </w:tc>
        <w:tc>
          <w:tcPr>
            <w:tcW w:w="3662" w:type="dxa"/>
          </w:tcPr>
          <w:p>
            <w:pPr>
              <w:pStyle w:val="GesAbsatz"/>
              <w:tabs>
                <w:tab w:val="clear" w:pos="425"/>
              </w:tabs>
              <w:jc w:val="both"/>
              <w:rPr>
                <w:rFonts w:cs="Arial"/>
                <w:szCs w:val="17"/>
              </w:rPr>
            </w:pPr>
            <w:r>
              <w:rPr>
                <w:rFonts w:cs="Arial"/>
                <w:szCs w:val="17"/>
              </w:rPr>
              <w:t>IPCC,1996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Kokskohle</w:t>
            </w:r>
          </w:p>
        </w:tc>
        <w:tc>
          <w:tcPr>
            <w:tcW w:w="2126" w:type="dxa"/>
          </w:tcPr>
          <w:p>
            <w:pPr>
              <w:pStyle w:val="GesAbsatz"/>
              <w:tabs>
                <w:tab w:val="clear" w:pos="425"/>
              </w:tabs>
              <w:jc w:val="both"/>
              <w:rPr>
                <w:rFonts w:cs="Arial"/>
                <w:szCs w:val="17"/>
              </w:rPr>
            </w:pPr>
            <w:r>
              <w:rPr>
                <w:rFonts w:cs="Arial"/>
                <w:szCs w:val="17"/>
              </w:rPr>
              <w:t>94,6</w:t>
            </w:r>
          </w:p>
        </w:tc>
        <w:tc>
          <w:tcPr>
            <w:tcW w:w="3662" w:type="dxa"/>
          </w:tcPr>
          <w:p>
            <w:pPr>
              <w:pStyle w:val="GesAbsatz"/>
              <w:tabs>
                <w:tab w:val="clear" w:pos="425"/>
              </w:tabs>
              <w:jc w:val="both"/>
              <w:rPr>
                <w:rFonts w:cs="Arial"/>
                <w:szCs w:val="17"/>
              </w:rPr>
            </w:pPr>
            <w:r>
              <w:rPr>
                <w:rFonts w:cs="Arial"/>
                <w:szCs w:val="17"/>
              </w:rPr>
              <w:t>IPCC,1996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Sonstige Fettkohle</w:t>
            </w:r>
          </w:p>
        </w:tc>
        <w:tc>
          <w:tcPr>
            <w:tcW w:w="2126" w:type="dxa"/>
          </w:tcPr>
          <w:p>
            <w:pPr>
              <w:pStyle w:val="GesAbsatz"/>
              <w:tabs>
                <w:tab w:val="clear" w:pos="425"/>
              </w:tabs>
              <w:jc w:val="both"/>
              <w:rPr>
                <w:rFonts w:cs="Arial"/>
                <w:szCs w:val="17"/>
              </w:rPr>
            </w:pPr>
            <w:r>
              <w:rPr>
                <w:rFonts w:cs="Arial"/>
                <w:szCs w:val="17"/>
              </w:rPr>
              <w:t>94,6</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Subbituminöse Kohle</w:t>
            </w:r>
          </w:p>
        </w:tc>
        <w:tc>
          <w:tcPr>
            <w:tcW w:w="2126" w:type="dxa"/>
          </w:tcPr>
          <w:p>
            <w:pPr>
              <w:pStyle w:val="GesAbsatz"/>
              <w:tabs>
                <w:tab w:val="clear" w:pos="425"/>
              </w:tabs>
              <w:jc w:val="both"/>
              <w:rPr>
                <w:rFonts w:cs="Arial"/>
                <w:szCs w:val="17"/>
              </w:rPr>
            </w:pPr>
            <w:r>
              <w:rPr>
                <w:rFonts w:cs="Arial"/>
                <w:szCs w:val="17"/>
              </w:rPr>
              <w:t>96,1</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Braunkohle</w:t>
            </w:r>
          </w:p>
        </w:tc>
        <w:tc>
          <w:tcPr>
            <w:tcW w:w="2126" w:type="dxa"/>
          </w:tcPr>
          <w:p>
            <w:pPr>
              <w:pStyle w:val="GesAbsatz"/>
              <w:tabs>
                <w:tab w:val="clear" w:pos="425"/>
              </w:tabs>
              <w:jc w:val="both"/>
              <w:rPr>
                <w:rFonts w:cs="Arial"/>
                <w:szCs w:val="17"/>
              </w:rPr>
            </w:pPr>
            <w:r>
              <w:rPr>
                <w:rFonts w:cs="Arial"/>
                <w:szCs w:val="17"/>
              </w:rPr>
              <w:t>101,2</w:t>
            </w:r>
          </w:p>
        </w:tc>
        <w:tc>
          <w:tcPr>
            <w:tcW w:w="3662" w:type="dxa"/>
          </w:tcPr>
          <w:p>
            <w:pPr>
              <w:pStyle w:val="GesAbsatz"/>
              <w:tabs>
                <w:tab w:val="clear" w:pos="425"/>
              </w:tabs>
              <w:jc w:val="both"/>
              <w:rPr>
                <w:rFonts w:cs="Arial"/>
                <w:szCs w:val="17"/>
              </w:rPr>
            </w:pPr>
            <w:r>
              <w:rPr>
                <w:rFonts w:cs="Arial"/>
                <w:szCs w:val="17"/>
              </w:rPr>
              <w:t>IPCC,1996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Ölschiefer</w:t>
            </w:r>
          </w:p>
        </w:tc>
        <w:tc>
          <w:tcPr>
            <w:tcW w:w="2126" w:type="dxa"/>
          </w:tcPr>
          <w:p>
            <w:pPr>
              <w:pStyle w:val="GesAbsatz"/>
              <w:tabs>
                <w:tab w:val="clear" w:pos="425"/>
              </w:tabs>
              <w:jc w:val="both"/>
              <w:rPr>
                <w:rFonts w:cs="Arial"/>
                <w:szCs w:val="17"/>
              </w:rPr>
            </w:pPr>
            <w:r>
              <w:rPr>
                <w:rFonts w:cs="Arial"/>
                <w:szCs w:val="17"/>
              </w:rPr>
              <w:t>106,7</w:t>
            </w:r>
          </w:p>
        </w:tc>
        <w:tc>
          <w:tcPr>
            <w:tcW w:w="3662" w:type="dxa"/>
          </w:tcPr>
          <w:p>
            <w:pPr>
              <w:pStyle w:val="GesAbsatz"/>
              <w:tabs>
                <w:tab w:val="clear" w:pos="425"/>
              </w:tabs>
              <w:jc w:val="both"/>
              <w:rPr>
                <w:rFonts w:cs="Arial"/>
                <w:szCs w:val="17"/>
              </w:rPr>
            </w:pPr>
            <w:r>
              <w:rPr>
                <w:rFonts w:cs="Arial"/>
                <w:szCs w:val="17"/>
              </w:rPr>
              <w:t>IPCC,1996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Torf</w:t>
            </w:r>
          </w:p>
        </w:tc>
        <w:tc>
          <w:tcPr>
            <w:tcW w:w="2126" w:type="dxa"/>
          </w:tcPr>
          <w:p>
            <w:pPr>
              <w:pStyle w:val="GesAbsatz"/>
              <w:tabs>
                <w:tab w:val="clear" w:pos="425"/>
              </w:tabs>
              <w:jc w:val="both"/>
              <w:rPr>
                <w:rFonts w:cs="Arial"/>
                <w:szCs w:val="17"/>
              </w:rPr>
            </w:pPr>
            <w:r>
              <w:rPr>
                <w:rFonts w:cs="Arial"/>
                <w:szCs w:val="17"/>
              </w:rPr>
              <w:t>106,0</w:t>
            </w:r>
          </w:p>
        </w:tc>
        <w:tc>
          <w:tcPr>
            <w:tcW w:w="3662" w:type="dxa"/>
          </w:tcPr>
          <w:p>
            <w:pPr>
              <w:pStyle w:val="GesAbsatz"/>
              <w:tabs>
                <w:tab w:val="clear" w:pos="425"/>
              </w:tabs>
              <w:jc w:val="both"/>
              <w:rPr>
                <w:rFonts w:cs="Arial"/>
                <w:szCs w:val="17"/>
              </w:rPr>
            </w:pPr>
            <w:r>
              <w:rPr>
                <w:rFonts w:cs="Arial"/>
                <w:szCs w:val="17"/>
              </w:rPr>
              <w:t>IPCC,1996</w:t>
            </w:r>
          </w:p>
        </w:tc>
      </w:tr>
      <w:tr>
        <w:tblPrEx>
          <w:tblCellMar>
            <w:top w:w="0" w:type="dxa"/>
            <w:bottom w:w="0" w:type="dxa"/>
          </w:tblCellMar>
        </w:tblPrEx>
        <w:trPr>
          <w:cantSplit/>
        </w:trPr>
        <w:tc>
          <w:tcPr>
            <w:tcW w:w="5882" w:type="dxa"/>
            <w:gridSpan w:val="2"/>
          </w:tcPr>
          <w:p>
            <w:pPr>
              <w:pStyle w:val="GesAbsatz"/>
              <w:tabs>
                <w:tab w:val="clear" w:pos="425"/>
              </w:tabs>
              <w:jc w:val="both"/>
              <w:rPr>
                <w:rFonts w:cs="Arial"/>
                <w:szCs w:val="17"/>
              </w:rPr>
            </w:pPr>
            <w:r>
              <w:rPr>
                <w:rFonts w:cs="Arial"/>
                <w:szCs w:val="17"/>
              </w:rPr>
              <w:t>Sekundäre Brennstoffe</w:t>
            </w:r>
          </w:p>
        </w:tc>
        <w:tc>
          <w:tcPr>
            <w:tcW w:w="3662" w:type="dxa"/>
          </w:tcPr>
          <w:p>
            <w:pPr>
              <w:pStyle w:val="GesAbsatz"/>
              <w:tabs>
                <w:tab w:val="clear" w:pos="425"/>
              </w:tabs>
              <w:jc w:val="both"/>
              <w:rPr>
                <w:rFonts w:cs="Arial"/>
                <w:szCs w:val="17"/>
              </w:rPr>
            </w:pP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BKB- und Steinkohlenbriketts</w:t>
            </w:r>
          </w:p>
        </w:tc>
        <w:tc>
          <w:tcPr>
            <w:tcW w:w="2126" w:type="dxa"/>
          </w:tcPr>
          <w:p>
            <w:pPr>
              <w:pStyle w:val="GesAbsatz"/>
              <w:tabs>
                <w:tab w:val="clear" w:pos="425"/>
              </w:tabs>
              <w:jc w:val="both"/>
              <w:rPr>
                <w:rFonts w:cs="Arial"/>
                <w:szCs w:val="17"/>
              </w:rPr>
            </w:pPr>
            <w:r>
              <w:rPr>
                <w:rFonts w:cs="Arial"/>
                <w:szCs w:val="17"/>
              </w:rPr>
              <w:t>94,6</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lastRenderedPageBreak/>
              <w:t>Koksofen / Gaskoks</w:t>
            </w:r>
          </w:p>
        </w:tc>
        <w:tc>
          <w:tcPr>
            <w:tcW w:w="2126" w:type="dxa"/>
          </w:tcPr>
          <w:p>
            <w:pPr>
              <w:pStyle w:val="GesAbsatz"/>
              <w:tabs>
                <w:tab w:val="clear" w:pos="425"/>
              </w:tabs>
              <w:jc w:val="both"/>
              <w:rPr>
                <w:rFonts w:cs="Arial"/>
                <w:szCs w:val="17"/>
              </w:rPr>
            </w:pPr>
            <w:r>
              <w:rPr>
                <w:rFonts w:cs="Arial"/>
                <w:szCs w:val="17"/>
              </w:rPr>
              <w:t>108,2</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9544" w:type="dxa"/>
            <w:gridSpan w:val="3"/>
          </w:tcPr>
          <w:p>
            <w:pPr>
              <w:pStyle w:val="GesAbsatz"/>
              <w:tabs>
                <w:tab w:val="clear" w:pos="425"/>
              </w:tabs>
              <w:jc w:val="both"/>
              <w:rPr>
                <w:rFonts w:cs="Arial"/>
                <w:szCs w:val="17"/>
              </w:rPr>
            </w:pPr>
            <w:r>
              <w:rPr>
                <w:rFonts w:cs="Arial"/>
                <w:szCs w:val="17"/>
              </w:rPr>
              <w:t>C. Gasförmige fossile Brennstoffe</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Kohlenmonoxid</w:t>
            </w:r>
          </w:p>
        </w:tc>
        <w:tc>
          <w:tcPr>
            <w:tcW w:w="2126" w:type="dxa"/>
          </w:tcPr>
          <w:p>
            <w:pPr>
              <w:pStyle w:val="GesAbsatz"/>
              <w:tabs>
                <w:tab w:val="clear" w:pos="425"/>
              </w:tabs>
              <w:jc w:val="both"/>
              <w:rPr>
                <w:rFonts w:cs="Arial"/>
                <w:szCs w:val="17"/>
              </w:rPr>
            </w:pPr>
            <w:r>
              <w:rPr>
                <w:rFonts w:cs="Arial"/>
                <w:szCs w:val="17"/>
              </w:rPr>
              <w:t>155,2</w:t>
            </w:r>
          </w:p>
        </w:tc>
        <w:tc>
          <w:tcPr>
            <w:tcW w:w="3662" w:type="dxa"/>
          </w:tcPr>
          <w:p>
            <w:pPr>
              <w:pStyle w:val="GesAbsatz"/>
              <w:tabs>
                <w:tab w:val="clear" w:pos="425"/>
              </w:tabs>
              <w:jc w:val="both"/>
              <w:rPr>
                <w:rFonts w:cs="Arial"/>
                <w:szCs w:val="17"/>
              </w:rPr>
            </w:pPr>
            <w:r>
              <w:rPr>
                <w:rFonts w:cs="Arial"/>
                <w:szCs w:val="17"/>
              </w:rPr>
              <w:t>Anhand eines Hu von 10.12 TJ/t</w:t>
            </w:r>
            <w:r>
              <w:rPr>
                <w:rStyle w:val="Funotenzeichen"/>
                <w:rFonts w:cs="Arial"/>
                <w:szCs w:val="17"/>
              </w:rPr>
              <w:footnoteReference w:id="12"/>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Erdgas (trocken)</w:t>
            </w:r>
          </w:p>
        </w:tc>
        <w:tc>
          <w:tcPr>
            <w:tcW w:w="2126" w:type="dxa"/>
          </w:tcPr>
          <w:p>
            <w:pPr>
              <w:pStyle w:val="GesAbsatz"/>
              <w:tabs>
                <w:tab w:val="clear" w:pos="425"/>
              </w:tabs>
              <w:jc w:val="both"/>
              <w:rPr>
                <w:rFonts w:cs="Arial"/>
                <w:szCs w:val="17"/>
              </w:rPr>
            </w:pPr>
            <w:r>
              <w:rPr>
                <w:rFonts w:cs="Arial"/>
                <w:szCs w:val="17"/>
              </w:rPr>
              <w:t>56,1</w:t>
            </w:r>
          </w:p>
        </w:tc>
        <w:tc>
          <w:tcPr>
            <w:tcW w:w="3662" w:type="dxa"/>
          </w:tcPr>
          <w:p>
            <w:pPr>
              <w:pStyle w:val="GesAbsatz"/>
              <w:tabs>
                <w:tab w:val="clear" w:pos="425"/>
              </w:tabs>
              <w:jc w:val="both"/>
              <w:rPr>
                <w:rFonts w:cs="Arial"/>
                <w:szCs w:val="17"/>
              </w:rPr>
            </w:pPr>
            <w:r>
              <w:rPr>
                <w:rFonts w:cs="Arial"/>
                <w:szCs w:val="17"/>
              </w:rPr>
              <w:t>IPCC, 1996</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Methan</w:t>
            </w:r>
          </w:p>
        </w:tc>
        <w:tc>
          <w:tcPr>
            <w:tcW w:w="2126" w:type="dxa"/>
          </w:tcPr>
          <w:p>
            <w:pPr>
              <w:pStyle w:val="GesAbsatz"/>
              <w:tabs>
                <w:tab w:val="clear" w:pos="425"/>
              </w:tabs>
              <w:jc w:val="both"/>
              <w:rPr>
                <w:rFonts w:cs="Arial"/>
                <w:szCs w:val="17"/>
              </w:rPr>
            </w:pPr>
            <w:r>
              <w:rPr>
                <w:rFonts w:cs="Arial"/>
                <w:szCs w:val="17"/>
              </w:rPr>
              <w:t>54,9</w:t>
            </w:r>
          </w:p>
        </w:tc>
        <w:tc>
          <w:tcPr>
            <w:tcW w:w="3662" w:type="dxa"/>
          </w:tcPr>
          <w:p>
            <w:pPr>
              <w:pStyle w:val="GesAbsatz"/>
              <w:tabs>
                <w:tab w:val="clear" w:pos="425"/>
              </w:tabs>
              <w:jc w:val="both"/>
              <w:rPr>
                <w:rFonts w:cs="Arial"/>
                <w:szCs w:val="17"/>
              </w:rPr>
            </w:pPr>
            <w:r>
              <w:rPr>
                <w:rFonts w:cs="Arial"/>
                <w:szCs w:val="17"/>
              </w:rPr>
              <w:t>Anhand eines Hu von 50.01 TJ/t</w:t>
            </w:r>
            <w:r>
              <w:rPr>
                <w:rStyle w:val="Funotenzeichen"/>
                <w:rFonts w:cs="Arial"/>
                <w:szCs w:val="17"/>
              </w:rPr>
              <w:footnoteReference w:id="13"/>
            </w:r>
            <w:r>
              <w:rPr>
                <w:rFonts w:cs="Arial"/>
                <w:szCs w:val="17"/>
              </w:rPr>
              <w:t xml:space="preserve"> (</w:t>
            </w:r>
            <w:r>
              <w:rPr>
                <w:rFonts w:cs="Arial"/>
                <w:szCs w:val="10"/>
              </w:rPr>
              <w:t>11</w:t>
            </w:r>
            <w:r>
              <w:rPr>
                <w:rFonts w:cs="Arial"/>
                <w:szCs w:val="17"/>
              </w:rPr>
              <w:t>)</w:t>
            </w:r>
          </w:p>
        </w:tc>
      </w:tr>
      <w:tr>
        <w:tblPrEx>
          <w:tblCellMar>
            <w:top w:w="0" w:type="dxa"/>
            <w:bottom w:w="0" w:type="dxa"/>
          </w:tblCellMar>
        </w:tblPrEx>
        <w:trPr>
          <w:cantSplit/>
        </w:trPr>
        <w:tc>
          <w:tcPr>
            <w:tcW w:w="3756" w:type="dxa"/>
          </w:tcPr>
          <w:p>
            <w:pPr>
              <w:pStyle w:val="GesAbsatz"/>
              <w:tabs>
                <w:tab w:val="clear" w:pos="425"/>
              </w:tabs>
              <w:jc w:val="both"/>
              <w:rPr>
                <w:rFonts w:cs="Arial"/>
                <w:szCs w:val="17"/>
              </w:rPr>
            </w:pPr>
            <w:r>
              <w:rPr>
                <w:rFonts w:cs="Arial"/>
                <w:szCs w:val="17"/>
              </w:rPr>
              <w:t>Wasserstoff</w:t>
            </w:r>
          </w:p>
        </w:tc>
        <w:tc>
          <w:tcPr>
            <w:tcW w:w="2126" w:type="dxa"/>
          </w:tcPr>
          <w:p>
            <w:pPr>
              <w:pStyle w:val="GesAbsatz"/>
              <w:tabs>
                <w:tab w:val="clear" w:pos="425"/>
              </w:tabs>
              <w:jc w:val="both"/>
              <w:rPr>
                <w:rFonts w:cs="Arial"/>
                <w:szCs w:val="17"/>
              </w:rPr>
            </w:pPr>
            <w:r>
              <w:rPr>
                <w:rFonts w:cs="Arial"/>
                <w:szCs w:val="17"/>
              </w:rPr>
              <w:t>0</w:t>
            </w:r>
          </w:p>
        </w:tc>
        <w:tc>
          <w:tcPr>
            <w:tcW w:w="3662" w:type="dxa"/>
          </w:tcPr>
          <w:p>
            <w:pPr>
              <w:pStyle w:val="GesAbsatz"/>
              <w:tabs>
                <w:tab w:val="clear" w:pos="425"/>
              </w:tabs>
              <w:jc w:val="both"/>
              <w:rPr>
                <w:rFonts w:cs="Arial"/>
                <w:szCs w:val="17"/>
              </w:rPr>
            </w:pPr>
            <w:r>
              <w:rPr>
                <w:rFonts w:cs="Arial"/>
                <w:szCs w:val="17"/>
              </w:rPr>
              <w:t>Kohlenstofffreier Stoff</w:t>
            </w:r>
          </w:p>
        </w:tc>
      </w:tr>
    </w:tbl>
    <w:p>
      <w:pPr>
        <w:pStyle w:val="GesAbsatz"/>
        <w:jc w:val="both"/>
        <w:rPr>
          <w:rFonts w:cs="Arial"/>
          <w:szCs w:val="17"/>
        </w:rPr>
      </w:pPr>
    </w:p>
    <w:p>
      <w:pPr>
        <w:pStyle w:val="GesAbsatz"/>
        <w:jc w:val="both"/>
        <w:rPr>
          <w:rFonts w:cs="Arial"/>
          <w:b/>
          <w:szCs w:val="17"/>
        </w:rPr>
      </w:pPr>
      <w:r>
        <w:rPr>
          <w:rFonts w:cs="Arial"/>
          <w:b/>
          <w:szCs w:val="17"/>
        </w:rPr>
        <w:t>9. LISTE CO</w:t>
      </w:r>
      <w:r>
        <w:rPr>
          <w:rFonts w:cs="Arial"/>
          <w:b/>
          <w:szCs w:val="10"/>
          <w:vertAlign w:val="subscript"/>
        </w:rPr>
        <w:t>2</w:t>
      </w:r>
      <w:r>
        <w:rPr>
          <w:rFonts w:cs="Arial"/>
          <w:b/>
          <w:szCs w:val="17"/>
        </w:rPr>
        <w:t>-NEUTRALER BIOMASSE</w:t>
      </w:r>
    </w:p>
    <w:p>
      <w:pPr>
        <w:pStyle w:val="GesAbsatz"/>
        <w:jc w:val="both"/>
        <w:rPr>
          <w:rFonts w:cs="Arial"/>
          <w:szCs w:val="17"/>
        </w:rPr>
      </w:pPr>
      <w:r>
        <w:rPr>
          <w:rFonts w:cs="Arial"/>
          <w:szCs w:val="17"/>
        </w:rPr>
        <w:t>Die im Folgenden aufgeführte, nicht erschöpfende Beispielliste nennt eine Reihe von Stoffen, die im Si</w:t>
      </w:r>
      <w:r>
        <w:rPr>
          <w:rFonts w:cs="Arial"/>
          <w:szCs w:val="17"/>
        </w:rPr>
        <w:t>n</w:t>
      </w:r>
      <w:r>
        <w:rPr>
          <w:rFonts w:cs="Arial"/>
          <w:szCs w:val="17"/>
        </w:rPr>
        <w:t>ne dieser Leitlinien als Biomasse betrachtet werden. Sie werden mit einem Emissionsfaktor von 0 [t CO</w:t>
      </w:r>
      <w:r>
        <w:rPr>
          <w:rFonts w:cs="Arial"/>
          <w:szCs w:val="10"/>
          <w:vertAlign w:val="subscript"/>
        </w:rPr>
        <w:t>2</w:t>
      </w:r>
      <w:r>
        <w:rPr>
          <w:rFonts w:cs="Arial"/>
          <w:szCs w:val="17"/>
        </w:rPr>
        <w:t>/TJ oder t oder m</w:t>
      </w:r>
      <w:r>
        <w:rPr>
          <w:rFonts w:cs="Arial"/>
          <w:szCs w:val="10"/>
          <w:vertAlign w:val="superscript"/>
        </w:rPr>
        <w:t>3</w:t>
      </w:r>
      <w:r>
        <w:rPr>
          <w:rFonts w:cs="Arial"/>
          <w:szCs w:val="17"/>
        </w:rPr>
        <w:t>] gewichtet. Torf und fossile Anteile der unten aufgeführten Stoffe sind nicht als Biomasse zu betrachten.</w:t>
      </w:r>
    </w:p>
    <w:p>
      <w:pPr>
        <w:pStyle w:val="GesAbsatz"/>
        <w:jc w:val="both"/>
        <w:rPr>
          <w:rFonts w:cs="Arial"/>
          <w:szCs w:val="17"/>
        </w:rPr>
      </w:pPr>
      <w:r>
        <w:rPr>
          <w:rFonts w:cs="Arial"/>
          <w:szCs w:val="17"/>
        </w:rPr>
        <w:t>1)</w:t>
      </w:r>
      <w:r>
        <w:rPr>
          <w:rFonts w:cs="Arial"/>
          <w:szCs w:val="17"/>
        </w:rPr>
        <w:tab/>
        <w:t>Pflanzen und Pflanzenteile, u. a.:</w:t>
      </w:r>
    </w:p>
    <w:p>
      <w:pPr>
        <w:pStyle w:val="GesAbsatz"/>
        <w:tabs>
          <w:tab w:val="left" w:pos="851"/>
        </w:tabs>
        <w:jc w:val="both"/>
        <w:rPr>
          <w:rFonts w:cs="Arial"/>
          <w:szCs w:val="17"/>
        </w:rPr>
      </w:pPr>
      <w:r>
        <w:rPr>
          <w:rFonts w:cs="Arial"/>
          <w:szCs w:val="17"/>
        </w:rPr>
        <w:tab/>
        <w:t>-</w:t>
      </w:r>
      <w:r>
        <w:rPr>
          <w:rFonts w:cs="Arial"/>
          <w:szCs w:val="17"/>
        </w:rPr>
        <w:tab/>
        <w:t>Stroh,</w:t>
      </w:r>
    </w:p>
    <w:p>
      <w:pPr>
        <w:pStyle w:val="GesAbsatz"/>
        <w:tabs>
          <w:tab w:val="left" w:pos="851"/>
        </w:tabs>
        <w:jc w:val="both"/>
        <w:rPr>
          <w:rFonts w:cs="Arial"/>
          <w:szCs w:val="17"/>
        </w:rPr>
      </w:pPr>
      <w:r>
        <w:rPr>
          <w:rFonts w:cs="Arial"/>
          <w:szCs w:val="17"/>
        </w:rPr>
        <w:tab/>
        <w:t>-</w:t>
      </w:r>
      <w:r>
        <w:rPr>
          <w:rFonts w:cs="Arial"/>
          <w:szCs w:val="17"/>
        </w:rPr>
        <w:tab/>
        <w:t>Heu und Gras,</w:t>
      </w:r>
    </w:p>
    <w:p>
      <w:pPr>
        <w:pStyle w:val="GesAbsatz"/>
        <w:tabs>
          <w:tab w:val="left" w:pos="851"/>
        </w:tabs>
        <w:jc w:val="both"/>
        <w:rPr>
          <w:rFonts w:cs="Arial"/>
          <w:szCs w:val="17"/>
        </w:rPr>
      </w:pPr>
      <w:r>
        <w:rPr>
          <w:rFonts w:cs="Arial"/>
          <w:szCs w:val="17"/>
        </w:rPr>
        <w:tab/>
        <w:t>-</w:t>
      </w:r>
      <w:r>
        <w:rPr>
          <w:rFonts w:cs="Arial"/>
          <w:szCs w:val="17"/>
        </w:rPr>
        <w:tab/>
        <w:t>Blätter, Holz, Wurzeln, Baumstümpfe, Rinde,</w:t>
      </w:r>
    </w:p>
    <w:p>
      <w:pPr>
        <w:pStyle w:val="GesAbsatz"/>
        <w:tabs>
          <w:tab w:val="left" w:pos="851"/>
        </w:tabs>
        <w:jc w:val="both"/>
        <w:rPr>
          <w:rFonts w:cs="Arial"/>
          <w:szCs w:val="17"/>
        </w:rPr>
      </w:pPr>
      <w:r>
        <w:rPr>
          <w:rFonts w:cs="Arial"/>
          <w:szCs w:val="17"/>
        </w:rPr>
        <w:tab/>
        <w:t>-</w:t>
      </w:r>
      <w:r>
        <w:rPr>
          <w:rFonts w:cs="Arial"/>
          <w:szCs w:val="17"/>
        </w:rPr>
        <w:tab/>
        <w:t>Kulturpflanzen, z. B. Mais und Triticale.</w:t>
      </w:r>
    </w:p>
    <w:p>
      <w:pPr>
        <w:pStyle w:val="GesAbsatz"/>
        <w:jc w:val="both"/>
        <w:rPr>
          <w:rFonts w:cs="Arial"/>
          <w:szCs w:val="17"/>
        </w:rPr>
      </w:pPr>
      <w:r>
        <w:rPr>
          <w:rFonts w:cs="Arial"/>
          <w:szCs w:val="17"/>
        </w:rPr>
        <w:t>2)</w:t>
      </w:r>
      <w:r>
        <w:rPr>
          <w:rFonts w:cs="Arial"/>
          <w:szCs w:val="17"/>
        </w:rPr>
        <w:tab/>
        <w:t>Biomasse-Abfälle, -Erzeugnisse und -Nebenerzeugnisse, u. a.:</w:t>
      </w:r>
    </w:p>
    <w:p>
      <w:pPr>
        <w:pStyle w:val="GesAbsatz"/>
        <w:ind w:left="851" w:hanging="851"/>
        <w:jc w:val="both"/>
        <w:rPr>
          <w:rFonts w:cs="Arial"/>
          <w:szCs w:val="17"/>
        </w:rPr>
      </w:pPr>
      <w:r>
        <w:rPr>
          <w:rFonts w:cs="Arial"/>
          <w:szCs w:val="17"/>
        </w:rPr>
        <w:tab/>
        <w:t>-</w:t>
      </w:r>
      <w:r>
        <w:rPr>
          <w:rFonts w:cs="Arial"/>
          <w:szCs w:val="17"/>
        </w:rPr>
        <w:tab/>
        <w:t>industrielle Holzabfälle (Abfallholz aus der Holzbearbeitung und -verarbeitung sowie Abfallholz aus der Holzwerkstoffindustrie),</w:t>
      </w:r>
    </w:p>
    <w:p>
      <w:pPr>
        <w:pStyle w:val="GesAbsatz"/>
        <w:ind w:left="851" w:hanging="851"/>
        <w:jc w:val="both"/>
        <w:rPr>
          <w:rFonts w:cs="Arial"/>
          <w:szCs w:val="17"/>
        </w:rPr>
      </w:pPr>
      <w:r>
        <w:rPr>
          <w:rFonts w:cs="Arial"/>
          <w:szCs w:val="17"/>
        </w:rPr>
        <w:tab/>
        <w:t>-</w:t>
      </w:r>
      <w:r>
        <w:rPr>
          <w:rFonts w:cs="Arial"/>
          <w:szCs w:val="17"/>
        </w:rPr>
        <w:tab/>
        <w:t>Gebrauchtholz (gebrauchte Erzeugnisse aus Holz, Holzwerkstoffen) sowie Erzeugnisse und Nebene</w:t>
      </w:r>
      <w:r>
        <w:rPr>
          <w:rFonts w:cs="Arial"/>
          <w:szCs w:val="17"/>
        </w:rPr>
        <w:t>r</w:t>
      </w:r>
      <w:r>
        <w:rPr>
          <w:rFonts w:cs="Arial"/>
          <w:szCs w:val="17"/>
        </w:rPr>
        <w:t>zeugnisse aus der Holzverarbeitung,</w:t>
      </w:r>
    </w:p>
    <w:p>
      <w:pPr>
        <w:pStyle w:val="GesAbsatz"/>
        <w:tabs>
          <w:tab w:val="left" w:pos="851"/>
        </w:tabs>
        <w:jc w:val="both"/>
        <w:rPr>
          <w:rFonts w:cs="Arial"/>
          <w:szCs w:val="17"/>
        </w:rPr>
      </w:pPr>
      <w:r>
        <w:rPr>
          <w:rFonts w:cs="Arial"/>
          <w:szCs w:val="17"/>
        </w:rPr>
        <w:tab/>
        <w:t>-</w:t>
      </w:r>
      <w:r>
        <w:rPr>
          <w:rFonts w:cs="Arial"/>
          <w:szCs w:val="17"/>
        </w:rPr>
        <w:tab/>
        <w:t>holzartige Abfälle aus der Zellstoff- und Papierindustrie, z. B. Schwarzlauge,</w:t>
      </w:r>
    </w:p>
    <w:p>
      <w:pPr>
        <w:pStyle w:val="GesAbsatz"/>
        <w:tabs>
          <w:tab w:val="left" w:pos="851"/>
        </w:tabs>
        <w:jc w:val="both"/>
        <w:rPr>
          <w:rFonts w:cs="Arial"/>
          <w:szCs w:val="17"/>
        </w:rPr>
      </w:pPr>
      <w:r>
        <w:rPr>
          <w:rFonts w:cs="Arial"/>
          <w:szCs w:val="17"/>
        </w:rPr>
        <w:tab/>
        <w:t>-</w:t>
      </w:r>
      <w:r>
        <w:rPr>
          <w:rFonts w:cs="Arial"/>
          <w:szCs w:val="17"/>
        </w:rPr>
        <w:tab/>
        <w:t>forstwirtschaftliche Rückstände,</w:t>
      </w:r>
    </w:p>
    <w:p>
      <w:pPr>
        <w:pStyle w:val="GesAbsatz"/>
        <w:tabs>
          <w:tab w:val="left" w:pos="851"/>
        </w:tabs>
        <w:jc w:val="both"/>
        <w:rPr>
          <w:rFonts w:cs="Arial"/>
          <w:szCs w:val="17"/>
        </w:rPr>
      </w:pPr>
      <w:r>
        <w:rPr>
          <w:rFonts w:cs="Arial"/>
          <w:szCs w:val="17"/>
        </w:rPr>
        <w:tab/>
        <w:t>-</w:t>
      </w:r>
      <w:r>
        <w:rPr>
          <w:rFonts w:cs="Arial"/>
          <w:szCs w:val="17"/>
        </w:rPr>
        <w:tab/>
        <w:t>Tier-, Fisch- und Lebensmittelmehl, Fett, Öl und Talg,</w:t>
      </w:r>
    </w:p>
    <w:p>
      <w:pPr>
        <w:pStyle w:val="GesAbsatz"/>
        <w:tabs>
          <w:tab w:val="left" w:pos="851"/>
        </w:tabs>
        <w:jc w:val="both"/>
        <w:rPr>
          <w:rFonts w:cs="Arial"/>
          <w:szCs w:val="17"/>
        </w:rPr>
      </w:pPr>
      <w:r>
        <w:rPr>
          <w:rFonts w:cs="Arial"/>
          <w:szCs w:val="17"/>
        </w:rPr>
        <w:tab/>
        <w:t>-</w:t>
      </w:r>
      <w:r>
        <w:rPr>
          <w:rFonts w:cs="Arial"/>
          <w:szCs w:val="17"/>
        </w:rPr>
        <w:tab/>
        <w:t>Primärrückstände aus der Lebensmittel- und Getränkeindustrie,</w:t>
      </w:r>
    </w:p>
    <w:p>
      <w:pPr>
        <w:pStyle w:val="GesAbsatz"/>
        <w:tabs>
          <w:tab w:val="left" w:pos="851"/>
        </w:tabs>
        <w:jc w:val="both"/>
        <w:rPr>
          <w:rFonts w:cs="Arial"/>
          <w:szCs w:val="17"/>
        </w:rPr>
      </w:pPr>
      <w:r>
        <w:rPr>
          <w:rFonts w:cs="Arial"/>
          <w:szCs w:val="17"/>
        </w:rPr>
        <w:tab/>
        <w:t>-</w:t>
      </w:r>
      <w:r>
        <w:rPr>
          <w:rFonts w:cs="Arial"/>
          <w:szCs w:val="17"/>
        </w:rPr>
        <w:tab/>
        <w:t>Dung,</w:t>
      </w:r>
    </w:p>
    <w:p>
      <w:pPr>
        <w:pStyle w:val="GesAbsatz"/>
        <w:tabs>
          <w:tab w:val="left" w:pos="851"/>
        </w:tabs>
        <w:jc w:val="both"/>
        <w:rPr>
          <w:rFonts w:cs="Arial"/>
          <w:szCs w:val="17"/>
        </w:rPr>
      </w:pPr>
      <w:r>
        <w:rPr>
          <w:rFonts w:cs="Arial"/>
          <w:szCs w:val="17"/>
        </w:rPr>
        <w:tab/>
        <w:t>-</w:t>
      </w:r>
      <w:r>
        <w:rPr>
          <w:rFonts w:cs="Arial"/>
          <w:szCs w:val="17"/>
        </w:rPr>
        <w:tab/>
        <w:t>Rückstände landwirtschaftlicher Nutzpflanzen,</w:t>
      </w:r>
    </w:p>
    <w:p>
      <w:pPr>
        <w:pStyle w:val="GesAbsatz"/>
        <w:tabs>
          <w:tab w:val="left" w:pos="851"/>
        </w:tabs>
        <w:jc w:val="both"/>
        <w:rPr>
          <w:rFonts w:cs="Arial"/>
          <w:szCs w:val="17"/>
        </w:rPr>
      </w:pPr>
      <w:r>
        <w:rPr>
          <w:rFonts w:cs="Arial"/>
          <w:szCs w:val="17"/>
        </w:rPr>
        <w:tab/>
        <w:t>-</w:t>
      </w:r>
      <w:r>
        <w:rPr>
          <w:rFonts w:cs="Arial"/>
          <w:szCs w:val="17"/>
        </w:rPr>
        <w:tab/>
        <w:t>Klärschlamm,</w:t>
      </w:r>
    </w:p>
    <w:p>
      <w:pPr>
        <w:pStyle w:val="GesAbsatz"/>
        <w:tabs>
          <w:tab w:val="left" w:pos="851"/>
        </w:tabs>
        <w:jc w:val="both"/>
        <w:rPr>
          <w:rFonts w:cs="Arial"/>
          <w:szCs w:val="17"/>
        </w:rPr>
      </w:pPr>
      <w:r>
        <w:rPr>
          <w:rFonts w:cs="Arial"/>
          <w:szCs w:val="17"/>
        </w:rPr>
        <w:tab/>
        <w:t>-</w:t>
      </w:r>
      <w:r>
        <w:rPr>
          <w:rFonts w:cs="Arial"/>
          <w:szCs w:val="17"/>
        </w:rPr>
        <w:tab/>
        <w:t>Biogas aus der Faulung, Gärung oder Vergasung von Biomasse,</w:t>
      </w:r>
    </w:p>
    <w:p>
      <w:pPr>
        <w:pStyle w:val="GesAbsatz"/>
        <w:tabs>
          <w:tab w:val="left" w:pos="851"/>
        </w:tabs>
        <w:jc w:val="both"/>
        <w:rPr>
          <w:rFonts w:cs="Arial"/>
          <w:szCs w:val="17"/>
        </w:rPr>
      </w:pPr>
      <w:r>
        <w:rPr>
          <w:rFonts w:cs="Arial"/>
          <w:szCs w:val="17"/>
        </w:rPr>
        <w:tab/>
        <w:t>-</w:t>
      </w:r>
      <w:r>
        <w:rPr>
          <w:rFonts w:cs="Arial"/>
          <w:szCs w:val="17"/>
        </w:rPr>
        <w:tab/>
        <w:t>Hafenschlamm und andere Schlämme und Sedimente aus Gewässern,</w:t>
      </w:r>
    </w:p>
    <w:p>
      <w:pPr>
        <w:pStyle w:val="GesAbsatz"/>
        <w:tabs>
          <w:tab w:val="left" w:pos="851"/>
        </w:tabs>
        <w:jc w:val="both"/>
        <w:rPr>
          <w:rFonts w:cs="Arial"/>
          <w:szCs w:val="17"/>
        </w:rPr>
      </w:pPr>
      <w:r>
        <w:rPr>
          <w:rFonts w:cs="Arial"/>
          <w:szCs w:val="17"/>
        </w:rPr>
        <w:tab/>
        <w:t>-</w:t>
      </w:r>
      <w:r>
        <w:rPr>
          <w:rFonts w:cs="Arial"/>
          <w:szCs w:val="17"/>
        </w:rPr>
        <w:tab/>
        <w:t>Deponiegas.</w:t>
      </w:r>
    </w:p>
    <w:p>
      <w:pPr>
        <w:pStyle w:val="GesAbsatz"/>
        <w:jc w:val="both"/>
        <w:rPr>
          <w:rFonts w:cs="Arial"/>
          <w:szCs w:val="17"/>
        </w:rPr>
      </w:pPr>
      <w:r>
        <w:rPr>
          <w:rFonts w:cs="Arial"/>
          <w:szCs w:val="17"/>
        </w:rPr>
        <w:t>3)</w:t>
      </w:r>
      <w:r>
        <w:rPr>
          <w:rFonts w:cs="Arial"/>
          <w:szCs w:val="17"/>
        </w:rPr>
        <w:tab/>
        <w:t>Biomasse-Anteile von Mischstoffen u. a.:</w:t>
      </w:r>
    </w:p>
    <w:p>
      <w:pPr>
        <w:pStyle w:val="GesAbsatz"/>
        <w:tabs>
          <w:tab w:val="left" w:pos="851"/>
        </w:tabs>
        <w:jc w:val="both"/>
        <w:rPr>
          <w:rFonts w:cs="Arial"/>
          <w:szCs w:val="17"/>
        </w:rPr>
      </w:pPr>
      <w:r>
        <w:rPr>
          <w:rFonts w:cs="Arial"/>
          <w:szCs w:val="17"/>
        </w:rPr>
        <w:tab/>
        <w:t>-</w:t>
      </w:r>
      <w:r>
        <w:rPr>
          <w:rFonts w:cs="Arial"/>
          <w:szCs w:val="17"/>
        </w:rPr>
        <w:tab/>
        <w:t>der Biomasseanteil von Treibgut aus der Wasserwirtschaft,</w:t>
      </w:r>
    </w:p>
    <w:p>
      <w:pPr>
        <w:pStyle w:val="GesAbsatz"/>
        <w:tabs>
          <w:tab w:val="left" w:pos="851"/>
        </w:tabs>
        <w:ind w:left="851" w:hanging="851"/>
        <w:jc w:val="both"/>
        <w:rPr>
          <w:rFonts w:cs="Arial"/>
          <w:szCs w:val="17"/>
        </w:rPr>
      </w:pPr>
      <w:r>
        <w:rPr>
          <w:rFonts w:cs="Arial"/>
          <w:szCs w:val="17"/>
        </w:rPr>
        <w:tab/>
        <w:t>-</w:t>
      </w:r>
      <w:r>
        <w:rPr>
          <w:rFonts w:cs="Arial"/>
          <w:szCs w:val="17"/>
        </w:rPr>
        <w:tab/>
        <w:t>der Biomasseanteil von gemischten Rückständen aus der Lebensmittel- und Getränkeherste</w:t>
      </w:r>
      <w:r>
        <w:rPr>
          <w:rFonts w:cs="Arial"/>
          <w:szCs w:val="17"/>
        </w:rPr>
        <w:t>l</w:t>
      </w:r>
      <w:r>
        <w:rPr>
          <w:rFonts w:cs="Arial"/>
          <w:szCs w:val="17"/>
        </w:rPr>
        <w:t>lung,</w:t>
      </w:r>
    </w:p>
    <w:p>
      <w:pPr>
        <w:pStyle w:val="GesAbsatz"/>
        <w:tabs>
          <w:tab w:val="left" w:pos="851"/>
        </w:tabs>
        <w:jc w:val="both"/>
        <w:rPr>
          <w:rFonts w:cs="Arial"/>
          <w:szCs w:val="17"/>
        </w:rPr>
      </w:pPr>
      <w:r>
        <w:rPr>
          <w:rFonts w:cs="Arial"/>
          <w:szCs w:val="17"/>
        </w:rPr>
        <w:lastRenderedPageBreak/>
        <w:tab/>
        <w:t>-</w:t>
      </w:r>
      <w:r>
        <w:rPr>
          <w:rFonts w:cs="Arial"/>
          <w:szCs w:val="17"/>
        </w:rPr>
        <w:tab/>
        <w:t>der Biomasseanteil von Verbundwerkstoffen mit Holzanteil,</w:t>
      </w:r>
    </w:p>
    <w:p>
      <w:pPr>
        <w:pStyle w:val="GesAbsatz"/>
        <w:tabs>
          <w:tab w:val="left" w:pos="851"/>
        </w:tabs>
        <w:jc w:val="both"/>
        <w:rPr>
          <w:rFonts w:cs="Arial"/>
          <w:szCs w:val="17"/>
        </w:rPr>
      </w:pPr>
      <w:r>
        <w:rPr>
          <w:rFonts w:cs="Arial"/>
          <w:szCs w:val="17"/>
        </w:rPr>
        <w:tab/>
        <w:t>-</w:t>
      </w:r>
      <w:r>
        <w:rPr>
          <w:rFonts w:cs="Arial"/>
          <w:szCs w:val="17"/>
        </w:rPr>
        <w:tab/>
        <w:t>der Biomasseanteil textiler Abfälle,</w:t>
      </w:r>
    </w:p>
    <w:p>
      <w:pPr>
        <w:pStyle w:val="GesAbsatz"/>
        <w:tabs>
          <w:tab w:val="left" w:pos="851"/>
        </w:tabs>
        <w:jc w:val="both"/>
        <w:rPr>
          <w:rFonts w:cs="Arial"/>
          <w:szCs w:val="17"/>
        </w:rPr>
      </w:pPr>
      <w:r>
        <w:rPr>
          <w:rFonts w:cs="Arial"/>
          <w:szCs w:val="17"/>
        </w:rPr>
        <w:tab/>
        <w:t>-</w:t>
      </w:r>
      <w:r>
        <w:rPr>
          <w:rFonts w:cs="Arial"/>
          <w:szCs w:val="17"/>
        </w:rPr>
        <w:tab/>
        <w:t>der Biomasseanteil von Papier, Karton, Pappe,</w:t>
      </w:r>
    </w:p>
    <w:p>
      <w:pPr>
        <w:pStyle w:val="GesAbsatz"/>
        <w:tabs>
          <w:tab w:val="left" w:pos="851"/>
        </w:tabs>
        <w:jc w:val="both"/>
        <w:rPr>
          <w:rFonts w:cs="Arial"/>
          <w:szCs w:val="17"/>
        </w:rPr>
      </w:pPr>
      <w:r>
        <w:rPr>
          <w:rFonts w:cs="Arial"/>
          <w:szCs w:val="17"/>
        </w:rPr>
        <w:tab/>
        <w:t>-</w:t>
      </w:r>
      <w:r>
        <w:rPr>
          <w:rFonts w:cs="Arial"/>
          <w:szCs w:val="17"/>
        </w:rPr>
        <w:tab/>
        <w:t>der Biomasseanteil von Industrie- und Siedlungsabfällen,</w:t>
      </w:r>
    </w:p>
    <w:p>
      <w:pPr>
        <w:pStyle w:val="GesAbsatz"/>
        <w:tabs>
          <w:tab w:val="left" w:pos="851"/>
        </w:tabs>
        <w:jc w:val="both"/>
        <w:rPr>
          <w:rFonts w:cs="Arial"/>
          <w:szCs w:val="17"/>
        </w:rPr>
      </w:pPr>
      <w:r>
        <w:rPr>
          <w:rFonts w:cs="Arial"/>
          <w:szCs w:val="17"/>
        </w:rPr>
        <w:tab/>
        <w:t>-</w:t>
      </w:r>
      <w:r>
        <w:rPr>
          <w:rFonts w:cs="Arial"/>
          <w:szCs w:val="17"/>
        </w:rPr>
        <w:tab/>
        <w:t>der Biomasseanteil aufbereiteter Industrie- und Siedlungsabfälle.</w:t>
      </w:r>
    </w:p>
    <w:p>
      <w:pPr>
        <w:pStyle w:val="GesAbsatz"/>
        <w:jc w:val="both"/>
        <w:rPr>
          <w:rFonts w:cs="Arial"/>
          <w:szCs w:val="17"/>
        </w:rPr>
      </w:pPr>
      <w:r>
        <w:rPr>
          <w:rFonts w:cs="Arial"/>
          <w:szCs w:val="17"/>
        </w:rPr>
        <w:t>4)</w:t>
      </w:r>
      <w:r>
        <w:rPr>
          <w:rFonts w:cs="Arial"/>
          <w:szCs w:val="17"/>
        </w:rPr>
        <w:tab/>
        <w:t>Brennstoffe, deren Bestandteile und Zwischenprodukte aus Biomasse erzeugt wurden, u. a.:</w:t>
      </w:r>
    </w:p>
    <w:p>
      <w:pPr>
        <w:pStyle w:val="GesAbsatz"/>
        <w:tabs>
          <w:tab w:val="left" w:pos="851"/>
        </w:tabs>
        <w:jc w:val="both"/>
        <w:rPr>
          <w:rFonts w:cs="Arial"/>
          <w:szCs w:val="17"/>
          <w:lang w:val="en-GB"/>
        </w:rPr>
      </w:pPr>
      <w:r>
        <w:rPr>
          <w:rFonts w:cs="Arial"/>
          <w:szCs w:val="17"/>
        </w:rPr>
        <w:tab/>
      </w:r>
      <w:r>
        <w:rPr>
          <w:rFonts w:cs="Arial"/>
          <w:szCs w:val="17"/>
          <w:lang w:val="en-GB"/>
        </w:rPr>
        <w:t>-</w:t>
      </w:r>
      <w:r>
        <w:rPr>
          <w:rFonts w:cs="Arial"/>
          <w:szCs w:val="17"/>
          <w:lang w:val="en-GB"/>
        </w:rPr>
        <w:tab/>
        <w:t>Bioethanol,</w:t>
      </w:r>
    </w:p>
    <w:p>
      <w:pPr>
        <w:pStyle w:val="GesAbsatz"/>
        <w:tabs>
          <w:tab w:val="left" w:pos="851"/>
        </w:tabs>
        <w:jc w:val="both"/>
        <w:rPr>
          <w:rFonts w:cs="Arial"/>
          <w:szCs w:val="17"/>
          <w:lang w:val="en-GB"/>
        </w:rPr>
      </w:pPr>
      <w:r>
        <w:rPr>
          <w:rFonts w:cs="Arial"/>
          <w:szCs w:val="17"/>
          <w:lang w:val="en-GB"/>
        </w:rPr>
        <w:tab/>
        <w:t>-</w:t>
      </w:r>
      <w:r>
        <w:rPr>
          <w:rFonts w:cs="Arial"/>
          <w:szCs w:val="17"/>
          <w:lang w:val="en-GB"/>
        </w:rPr>
        <w:tab/>
        <w:t>Biodiesel,</w:t>
      </w:r>
    </w:p>
    <w:p>
      <w:pPr>
        <w:pStyle w:val="GesAbsatz"/>
        <w:tabs>
          <w:tab w:val="left" w:pos="851"/>
        </w:tabs>
        <w:jc w:val="both"/>
        <w:rPr>
          <w:rFonts w:cs="Arial"/>
          <w:szCs w:val="17"/>
          <w:lang w:val="en-GB"/>
        </w:rPr>
      </w:pPr>
      <w:r>
        <w:rPr>
          <w:rFonts w:cs="Arial"/>
          <w:szCs w:val="17"/>
          <w:lang w:val="en-GB"/>
        </w:rPr>
        <w:tab/>
        <w:t>-</w:t>
      </w:r>
      <w:r>
        <w:rPr>
          <w:rFonts w:cs="Arial"/>
          <w:szCs w:val="17"/>
          <w:lang w:val="en-GB"/>
        </w:rPr>
        <w:tab/>
        <w:t>ETBE/Bioethanol,</w:t>
      </w:r>
    </w:p>
    <w:p>
      <w:pPr>
        <w:pStyle w:val="GesAbsatz"/>
        <w:tabs>
          <w:tab w:val="left" w:pos="851"/>
        </w:tabs>
        <w:jc w:val="both"/>
        <w:rPr>
          <w:rFonts w:cs="Arial"/>
          <w:szCs w:val="17"/>
          <w:lang w:val="en-GB"/>
        </w:rPr>
      </w:pPr>
      <w:r>
        <w:rPr>
          <w:rFonts w:cs="Arial"/>
          <w:szCs w:val="17"/>
          <w:lang w:val="en-GB"/>
        </w:rPr>
        <w:tab/>
        <w:t>-</w:t>
      </w:r>
      <w:r>
        <w:rPr>
          <w:rFonts w:cs="Arial"/>
          <w:szCs w:val="17"/>
          <w:lang w:val="en-GB"/>
        </w:rPr>
        <w:tab/>
        <w:t>Biomethanol,</w:t>
      </w:r>
    </w:p>
    <w:p>
      <w:pPr>
        <w:pStyle w:val="GesAbsatz"/>
        <w:tabs>
          <w:tab w:val="left" w:pos="851"/>
        </w:tabs>
        <w:jc w:val="both"/>
        <w:rPr>
          <w:rFonts w:cs="Arial"/>
          <w:szCs w:val="17"/>
        </w:rPr>
      </w:pPr>
      <w:r>
        <w:rPr>
          <w:rFonts w:cs="Arial"/>
          <w:szCs w:val="17"/>
          <w:lang w:val="en-GB"/>
        </w:rPr>
        <w:tab/>
      </w:r>
      <w:r>
        <w:rPr>
          <w:rFonts w:cs="Arial"/>
          <w:szCs w:val="17"/>
        </w:rPr>
        <w:t>-</w:t>
      </w:r>
      <w:r>
        <w:rPr>
          <w:rFonts w:cs="Arial"/>
          <w:szCs w:val="17"/>
        </w:rPr>
        <w:tab/>
        <w:t>Biodimethylether,</w:t>
      </w:r>
    </w:p>
    <w:p>
      <w:pPr>
        <w:pStyle w:val="GesAbsatz"/>
        <w:tabs>
          <w:tab w:val="left" w:pos="851"/>
        </w:tabs>
        <w:jc w:val="both"/>
        <w:rPr>
          <w:rFonts w:cs="Arial"/>
          <w:szCs w:val="17"/>
        </w:rPr>
      </w:pPr>
      <w:r>
        <w:rPr>
          <w:rFonts w:cs="Arial"/>
          <w:szCs w:val="17"/>
        </w:rPr>
        <w:tab/>
        <w:t>-</w:t>
      </w:r>
      <w:r>
        <w:rPr>
          <w:rFonts w:cs="Arial"/>
          <w:szCs w:val="17"/>
        </w:rPr>
        <w:tab/>
        <w:t>Bioöl (ein Pyrolyse-Heizöl) und Biogas.</w:t>
      </w:r>
    </w:p>
    <w:p>
      <w:pPr>
        <w:pStyle w:val="GesAbsatz"/>
        <w:jc w:val="both"/>
        <w:rPr>
          <w:rFonts w:cs="Arial"/>
          <w:b/>
          <w:szCs w:val="17"/>
        </w:rPr>
      </w:pPr>
      <w:r>
        <w:rPr>
          <w:rFonts w:cs="Arial"/>
          <w:b/>
          <w:szCs w:val="17"/>
        </w:rPr>
        <w:t>10. ERMITTLUNG TÄTIGKEITSSPEZIFISCHER DATEN UND FAKTOREN</w:t>
      </w:r>
    </w:p>
    <w:p>
      <w:pPr>
        <w:pStyle w:val="GesAbsatz"/>
        <w:jc w:val="both"/>
        <w:rPr>
          <w:rFonts w:cs="Arial"/>
          <w:bCs/>
          <w:szCs w:val="17"/>
        </w:rPr>
      </w:pPr>
      <w:r>
        <w:rPr>
          <w:rFonts w:cs="Arial"/>
          <w:b/>
          <w:bCs/>
          <w:szCs w:val="17"/>
        </w:rPr>
        <w:t>10.1. Ermittlung der spezifischen Heizwerte und der Emissionsfaktoren von Brennstoffen</w:t>
      </w:r>
    </w:p>
    <w:p>
      <w:pPr>
        <w:pStyle w:val="GesAbsatz"/>
        <w:jc w:val="both"/>
        <w:rPr>
          <w:rFonts w:cs="Arial"/>
          <w:szCs w:val="17"/>
        </w:rPr>
      </w:pPr>
      <w:r>
        <w:rPr>
          <w:rFonts w:cs="Arial"/>
          <w:szCs w:val="17"/>
        </w:rPr>
        <w:t>Welches spezifische Verfahren zur Ermittlung des tätigkeitsspezifischen Emissionsfaktors bzw. welches Probenahmeverfahren für die verschiedenen Brennstoffarten Anwendung finden soll, ist vor Beginn des jeweiligen Berichtszeitraums mit der zuständigen Behörde abzustimmen.</w:t>
      </w:r>
    </w:p>
    <w:p>
      <w:pPr>
        <w:pStyle w:val="GesAbsatz"/>
        <w:jc w:val="both"/>
        <w:rPr>
          <w:rFonts w:cs="Arial"/>
          <w:szCs w:val="17"/>
        </w:rPr>
      </w:pPr>
      <w:r>
        <w:rPr>
          <w:rFonts w:cs="Arial"/>
          <w:szCs w:val="17"/>
        </w:rPr>
        <w:t>Die Verfahren, die für die Brennstoffprobenahme und die Ermittlung des spezifischen Heizwerts, des Ko</w:t>
      </w:r>
      <w:r>
        <w:rPr>
          <w:rFonts w:cs="Arial"/>
          <w:szCs w:val="17"/>
        </w:rPr>
        <w:t>h</w:t>
      </w:r>
      <w:r>
        <w:rPr>
          <w:rFonts w:cs="Arial"/>
          <w:szCs w:val="17"/>
        </w:rPr>
        <w:t>lenstoffgehalts und des Emissionsfaktors angewandt werden, müssen den einschlägigen CEN-Normen (beispielsweise zu den Verfahren und zur Häufigkeit der Probenahme, zur Ermittlung des spez</w:t>
      </w:r>
      <w:r>
        <w:rPr>
          <w:rFonts w:cs="Arial"/>
          <w:szCs w:val="17"/>
        </w:rPr>
        <w:t>i</w:t>
      </w:r>
      <w:r>
        <w:rPr>
          <w:rFonts w:cs="Arial"/>
          <w:szCs w:val="17"/>
        </w:rPr>
        <w:t>fischen Brenn- und Heizwerts der verschiedenen Brennstoffarten) entsprechen, sofern solche verabschiedet wu</w:t>
      </w:r>
      <w:r>
        <w:rPr>
          <w:rFonts w:cs="Arial"/>
          <w:szCs w:val="17"/>
        </w:rPr>
        <w:t>r</w:t>
      </w:r>
      <w:r>
        <w:rPr>
          <w:rFonts w:cs="Arial"/>
          <w:szCs w:val="17"/>
        </w:rPr>
        <w:t>den. Sollten keine einschlägigen CEN-Normen verfügbar sein, so sind die entsprechenden ISO-Normen oder nationalen Normen anzuwenden. Gibt es keine geltenden Normen, so können gegebenenfalls Ve</w:t>
      </w:r>
      <w:r>
        <w:rPr>
          <w:rFonts w:cs="Arial"/>
          <w:szCs w:val="17"/>
        </w:rPr>
        <w:t>r</w:t>
      </w:r>
      <w:r>
        <w:rPr>
          <w:rFonts w:cs="Arial"/>
          <w:szCs w:val="17"/>
        </w:rPr>
        <w:t>fahren angewandt werden, die vorliegenden Normentwürfen oder den Leitlinien hinsichtlich der bewährte</w:t>
      </w:r>
      <w:r>
        <w:rPr>
          <w:rFonts w:cs="Arial"/>
          <w:szCs w:val="17"/>
        </w:rPr>
        <w:t>s</w:t>
      </w:r>
      <w:r>
        <w:rPr>
          <w:rFonts w:cs="Arial"/>
          <w:szCs w:val="17"/>
        </w:rPr>
        <w:t>ten Praxis („Best Practice Guidelines“) der Industrie entsprechen.</w:t>
      </w:r>
    </w:p>
    <w:p>
      <w:pPr>
        <w:pStyle w:val="GesAbsatz"/>
        <w:jc w:val="both"/>
        <w:rPr>
          <w:rFonts w:cs="Arial"/>
          <w:szCs w:val="17"/>
        </w:rPr>
      </w:pPr>
      <w:r>
        <w:rPr>
          <w:rFonts w:cs="Arial"/>
          <w:szCs w:val="17"/>
        </w:rPr>
        <w:t>Beispiele für einschlägige CEN-Normen sind:</w:t>
      </w:r>
    </w:p>
    <w:p>
      <w:pPr>
        <w:pStyle w:val="GesAbsatz"/>
        <w:ind w:left="426" w:hanging="426"/>
        <w:jc w:val="both"/>
        <w:rPr>
          <w:rFonts w:cs="Arial"/>
          <w:szCs w:val="17"/>
        </w:rPr>
      </w:pPr>
      <w:r>
        <w:rPr>
          <w:rFonts w:cs="Arial"/>
          <w:szCs w:val="17"/>
        </w:rPr>
        <w:t>-</w:t>
      </w:r>
      <w:r>
        <w:rPr>
          <w:rFonts w:cs="Arial"/>
          <w:szCs w:val="17"/>
        </w:rPr>
        <w:tab/>
        <w:t>EN ISO 4259:1996 „Mineralölerzeugnisse - Bestimmung und Anwendung der Werte für die Präz</w:t>
      </w:r>
      <w:r>
        <w:rPr>
          <w:rFonts w:cs="Arial"/>
          <w:szCs w:val="17"/>
        </w:rPr>
        <w:t>i</w:t>
      </w:r>
      <w:r>
        <w:rPr>
          <w:rFonts w:cs="Arial"/>
          <w:szCs w:val="17"/>
        </w:rPr>
        <w:t>sion von Prüfverfahren“.</w:t>
      </w:r>
    </w:p>
    <w:p>
      <w:pPr>
        <w:pStyle w:val="GesAbsatz"/>
        <w:jc w:val="both"/>
        <w:rPr>
          <w:rFonts w:cs="Arial"/>
          <w:szCs w:val="17"/>
        </w:rPr>
      </w:pPr>
      <w:r>
        <w:rPr>
          <w:rFonts w:cs="Arial"/>
          <w:szCs w:val="17"/>
        </w:rPr>
        <w:t>Beispiele für einschlägige ISO-Normen sind:</w:t>
      </w:r>
    </w:p>
    <w:p>
      <w:pPr>
        <w:pStyle w:val="GesAbsatz"/>
        <w:jc w:val="both"/>
        <w:rPr>
          <w:rFonts w:cs="Arial"/>
          <w:szCs w:val="17"/>
        </w:rPr>
      </w:pPr>
      <w:r>
        <w:rPr>
          <w:rFonts w:cs="Arial"/>
          <w:szCs w:val="17"/>
        </w:rPr>
        <w:t>-</w:t>
      </w:r>
      <w:r>
        <w:rPr>
          <w:rFonts w:cs="Arial"/>
          <w:szCs w:val="17"/>
        </w:rPr>
        <w:tab/>
        <w:t>ISO 13909-1,2,3,4: 2001 Steinkohle und Koks - Mechanische Probenahme;</w:t>
      </w:r>
    </w:p>
    <w:p>
      <w:pPr>
        <w:pStyle w:val="GesAbsatz"/>
        <w:jc w:val="both"/>
        <w:rPr>
          <w:rFonts w:cs="Arial"/>
          <w:szCs w:val="17"/>
        </w:rPr>
      </w:pPr>
      <w:r>
        <w:rPr>
          <w:rFonts w:cs="Arial"/>
          <w:szCs w:val="17"/>
        </w:rPr>
        <w:t>-</w:t>
      </w:r>
      <w:r>
        <w:rPr>
          <w:rFonts w:cs="Arial"/>
          <w:szCs w:val="17"/>
        </w:rPr>
        <w:tab/>
        <w:t>ISO 5069-1,2: 1983: Braunkohlen und Lignite; Grundsätze der Probenentnahme;</w:t>
      </w:r>
    </w:p>
    <w:p>
      <w:pPr>
        <w:pStyle w:val="GesAbsatz"/>
        <w:ind w:left="426" w:hanging="426"/>
        <w:jc w:val="both"/>
        <w:rPr>
          <w:rFonts w:cs="Arial"/>
          <w:szCs w:val="17"/>
        </w:rPr>
      </w:pPr>
      <w:r>
        <w:rPr>
          <w:rFonts w:cs="Arial"/>
          <w:szCs w:val="17"/>
        </w:rPr>
        <w:t>-</w:t>
      </w:r>
      <w:r>
        <w:rPr>
          <w:rFonts w:cs="Arial"/>
          <w:szCs w:val="17"/>
        </w:rPr>
        <w:tab/>
        <w:t>ISO 625:1996 Feste mineralische Brennstoffe - Bestimmung von Kohlenstoff und Wasserstoff - Ve</w:t>
      </w:r>
      <w:r>
        <w:rPr>
          <w:rFonts w:cs="Arial"/>
          <w:szCs w:val="17"/>
        </w:rPr>
        <w:t>r</w:t>
      </w:r>
      <w:r>
        <w:rPr>
          <w:rFonts w:cs="Arial"/>
          <w:szCs w:val="17"/>
        </w:rPr>
        <w:t>fahren nach Liebig;</w:t>
      </w:r>
    </w:p>
    <w:p>
      <w:pPr>
        <w:pStyle w:val="GesAbsatz"/>
        <w:ind w:left="426" w:hanging="426"/>
        <w:jc w:val="both"/>
        <w:rPr>
          <w:rFonts w:cs="Arial"/>
          <w:szCs w:val="17"/>
        </w:rPr>
      </w:pPr>
      <w:r>
        <w:rPr>
          <w:rFonts w:cs="Arial"/>
          <w:szCs w:val="17"/>
        </w:rPr>
        <w:t>-</w:t>
      </w:r>
      <w:r>
        <w:rPr>
          <w:rFonts w:cs="Arial"/>
          <w:szCs w:val="17"/>
        </w:rPr>
        <w:tab/>
        <w:t>ISO 925:1997 Feste Brennstoffe - Bestimmung des Carbonat-Kohlenstoff-Gehaltes - Gravimetr</w:t>
      </w:r>
      <w:r>
        <w:rPr>
          <w:rFonts w:cs="Arial"/>
          <w:szCs w:val="17"/>
        </w:rPr>
        <w:t>i</w:t>
      </w:r>
      <w:r>
        <w:rPr>
          <w:rFonts w:cs="Arial"/>
          <w:szCs w:val="17"/>
        </w:rPr>
        <w:t>sches Verfahren;</w:t>
      </w:r>
    </w:p>
    <w:p>
      <w:pPr>
        <w:pStyle w:val="GesAbsatz"/>
        <w:jc w:val="both"/>
        <w:rPr>
          <w:rFonts w:cs="Arial"/>
          <w:szCs w:val="17"/>
        </w:rPr>
      </w:pPr>
      <w:r>
        <w:rPr>
          <w:rFonts w:cs="Arial"/>
          <w:szCs w:val="17"/>
        </w:rPr>
        <w:t>-</w:t>
      </w:r>
      <w:r>
        <w:rPr>
          <w:rFonts w:cs="Arial"/>
          <w:szCs w:val="17"/>
        </w:rPr>
        <w:tab/>
        <w:t>ISO 9300-1990: Durchflussmessung von Gasen mit Venturidüsen bei kritischer Strömung;</w:t>
      </w:r>
    </w:p>
    <w:p>
      <w:pPr>
        <w:pStyle w:val="GesAbsatz"/>
        <w:jc w:val="both"/>
        <w:rPr>
          <w:rFonts w:cs="Arial"/>
          <w:szCs w:val="17"/>
        </w:rPr>
      </w:pPr>
      <w:r>
        <w:rPr>
          <w:rFonts w:cs="Arial"/>
          <w:szCs w:val="17"/>
        </w:rPr>
        <w:t>-</w:t>
      </w:r>
      <w:r>
        <w:rPr>
          <w:rFonts w:cs="Arial"/>
          <w:szCs w:val="17"/>
        </w:rPr>
        <w:tab/>
        <w:t>ISO 9951-1993/94: Gasdurchflussmessung in geschlossenen Leitungen; Turbinenradzähler.</w:t>
      </w:r>
    </w:p>
    <w:p>
      <w:pPr>
        <w:pStyle w:val="GesAbsatz"/>
        <w:jc w:val="both"/>
        <w:rPr>
          <w:rFonts w:cs="Arial"/>
          <w:szCs w:val="17"/>
        </w:rPr>
      </w:pPr>
      <w:r>
        <w:rPr>
          <w:rFonts w:cs="Arial"/>
          <w:szCs w:val="17"/>
        </w:rPr>
        <w:t>Als ergänzende nationale Normen für die Kennzeichnung von Brennstoffen sind zu nennen:</w:t>
      </w:r>
    </w:p>
    <w:p>
      <w:pPr>
        <w:pStyle w:val="GesAbsatz"/>
        <w:ind w:left="426" w:hanging="426"/>
        <w:jc w:val="both"/>
        <w:rPr>
          <w:rFonts w:cs="Arial"/>
          <w:szCs w:val="17"/>
        </w:rPr>
      </w:pPr>
      <w:r>
        <w:rPr>
          <w:rFonts w:cs="Arial"/>
          <w:szCs w:val="17"/>
        </w:rPr>
        <w:t>-</w:t>
      </w:r>
      <w:r>
        <w:rPr>
          <w:rFonts w:cs="Arial"/>
          <w:szCs w:val="17"/>
        </w:rPr>
        <w:tab/>
        <w:t>DIN 51900-1:2000 „Prüfung fester und flüssiger Brennstoffe - Bestimmung des Brennwertes mit dem Bomben-Kalorimeter und Berechnung des Heizwertes - Teil 1: Allgemeine Angaben, Grundgeräte, Grundverfahren“;</w:t>
      </w:r>
    </w:p>
    <w:p>
      <w:pPr>
        <w:pStyle w:val="GesAbsatz"/>
        <w:ind w:left="426" w:hanging="426"/>
        <w:jc w:val="both"/>
        <w:rPr>
          <w:rFonts w:cs="Arial"/>
          <w:szCs w:val="17"/>
        </w:rPr>
      </w:pPr>
      <w:r>
        <w:rPr>
          <w:rFonts w:cs="Arial"/>
          <w:szCs w:val="17"/>
        </w:rPr>
        <w:t>-</w:t>
      </w:r>
      <w:r>
        <w:rPr>
          <w:rFonts w:cs="Arial"/>
          <w:szCs w:val="17"/>
        </w:rPr>
        <w:tab/>
        <w:t>DIN 51857:1997 „Gasförmige Brennstoffe und sonstige Gase - Berechnung von Brennwert, Hei</w:t>
      </w:r>
      <w:r>
        <w:rPr>
          <w:rFonts w:cs="Arial"/>
          <w:szCs w:val="17"/>
        </w:rPr>
        <w:t>z</w:t>
      </w:r>
      <w:r>
        <w:rPr>
          <w:rFonts w:cs="Arial"/>
          <w:szCs w:val="17"/>
        </w:rPr>
        <w:t>wert, Dichte, relativer Dichte und Wobbeindex von Gas und Gasgemischen“;</w:t>
      </w:r>
    </w:p>
    <w:p>
      <w:pPr>
        <w:pStyle w:val="GesAbsatz"/>
        <w:ind w:left="426" w:hanging="426"/>
        <w:jc w:val="both"/>
        <w:rPr>
          <w:rFonts w:cs="Arial"/>
          <w:szCs w:val="17"/>
        </w:rPr>
      </w:pPr>
      <w:r>
        <w:rPr>
          <w:rFonts w:cs="Arial"/>
          <w:szCs w:val="17"/>
        </w:rPr>
        <w:lastRenderedPageBreak/>
        <w:t>-</w:t>
      </w:r>
      <w:r>
        <w:rPr>
          <w:rFonts w:cs="Arial"/>
          <w:szCs w:val="17"/>
        </w:rPr>
        <w:tab/>
        <w:t>DIN 51612:1980 Prüfung von Flüssiggas; Berechnung des Heizwertes;</w:t>
      </w:r>
    </w:p>
    <w:p>
      <w:pPr>
        <w:pStyle w:val="GesAbsatz"/>
        <w:ind w:left="426" w:hanging="426"/>
        <w:jc w:val="both"/>
        <w:rPr>
          <w:rFonts w:cs="Arial"/>
          <w:szCs w:val="17"/>
        </w:rPr>
      </w:pPr>
      <w:r>
        <w:rPr>
          <w:rFonts w:cs="Arial"/>
          <w:szCs w:val="17"/>
        </w:rPr>
        <w:t>-</w:t>
      </w:r>
      <w:r>
        <w:rPr>
          <w:rFonts w:cs="Arial"/>
          <w:szCs w:val="17"/>
        </w:rPr>
        <w:tab/>
        <w:t>DIN 51721:2001 „Prüfung fester Brennstoffe - Bestimmung des Gehaltes an Kohlenstoff und Wa</w:t>
      </w:r>
      <w:r>
        <w:rPr>
          <w:rFonts w:cs="Arial"/>
          <w:szCs w:val="17"/>
        </w:rPr>
        <w:t>s</w:t>
      </w:r>
      <w:r>
        <w:rPr>
          <w:rFonts w:cs="Arial"/>
          <w:szCs w:val="17"/>
        </w:rPr>
        <w:t>serstoff“ (gilt auch für flüssige Brennstoffe).</w:t>
      </w:r>
    </w:p>
    <w:p>
      <w:pPr>
        <w:pStyle w:val="GesAbsatz"/>
        <w:jc w:val="both"/>
        <w:rPr>
          <w:rFonts w:cs="Arial"/>
          <w:szCs w:val="17"/>
        </w:rPr>
      </w:pPr>
      <w:r>
        <w:rPr>
          <w:rFonts w:cs="Arial"/>
          <w:szCs w:val="17"/>
        </w:rPr>
        <w:t>Das Laboratorium, das mit der Ermittlung des Emissionsfaktors, des Kohlenstoffgehalts und dem spezif</w:t>
      </w:r>
      <w:r>
        <w:rPr>
          <w:rFonts w:cs="Arial"/>
          <w:szCs w:val="17"/>
        </w:rPr>
        <w:t>i</w:t>
      </w:r>
      <w:r>
        <w:rPr>
          <w:rFonts w:cs="Arial"/>
          <w:szCs w:val="17"/>
        </w:rPr>
        <w:t>schen Heizwert beauftragt wird, muss nach EN ISO 17025 („Allgemeine Anforderungen an die Komp</w:t>
      </w:r>
      <w:r>
        <w:rPr>
          <w:rFonts w:cs="Arial"/>
          <w:szCs w:val="17"/>
        </w:rPr>
        <w:t>e</w:t>
      </w:r>
      <w:r>
        <w:rPr>
          <w:rFonts w:cs="Arial"/>
          <w:szCs w:val="17"/>
        </w:rPr>
        <w:t>tenz von Prüf- und Kalibrierlaboratorien“) akkreditiert sein.</w:t>
      </w:r>
    </w:p>
    <w:p>
      <w:pPr>
        <w:pStyle w:val="GesAbsatz"/>
        <w:jc w:val="both"/>
        <w:rPr>
          <w:rFonts w:cs="Arial"/>
          <w:szCs w:val="17"/>
        </w:rPr>
      </w:pPr>
      <w:r>
        <w:rPr>
          <w:rFonts w:cs="Arial"/>
          <w:szCs w:val="17"/>
        </w:rPr>
        <w:t>Wichtig ist zu beachten, dass für die Ermittlung genauer tätigkeitsspezifischer Emissionsfaktoren - n</w:t>
      </w:r>
      <w:r>
        <w:rPr>
          <w:rFonts w:cs="Arial"/>
          <w:szCs w:val="17"/>
        </w:rPr>
        <w:t>e</w:t>
      </w:r>
      <w:r>
        <w:rPr>
          <w:rFonts w:cs="Arial"/>
          <w:szCs w:val="17"/>
        </w:rPr>
        <w:t>ben einem hinreichend genauen Analyseverfahren zur Bestimmung des Kohlenstoffgehalts und des spezif</w:t>
      </w:r>
      <w:r>
        <w:rPr>
          <w:rFonts w:cs="Arial"/>
          <w:szCs w:val="17"/>
        </w:rPr>
        <w:t>i</w:t>
      </w:r>
      <w:r>
        <w:rPr>
          <w:rFonts w:cs="Arial"/>
          <w:szCs w:val="17"/>
        </w:rPr>
        <w:t>schen Heizwerts - vor allem das Verfahren und die Häufigkeit der Probenahme sowie die Vorbereitung der Probe von entscheidender Bedeutung sind. Wie diese konkret aussehen, hängt in hohem Maß von dem Z</w:t>
      </w:r>
      <w:r>
        <w:rPr>
          <w:rFonts w:cs="Arial"/>
          <w:szCs w:val="17"/>
        </w:rPr>
        <w:t>u</w:t>
      </w:r>
      <w:r>
        <w:rPr>
          <w:rFonts w:cs="Arial"/>
          <w:szCs w:val="17"/>
        </w:rPr>
        <w:t>stand und der Homogenität des Brennstoffs/Eingangsmaterials ab. Bei heterogenen Stoffen (wie festen Siedlungsabfällen) wird eine sehr viel höhere Zahl von Proben erforderlich sein. Bei den meisten komme</w:t>
      </w:r>
      <w:r>
        <w:rPr>
          <w:rFonts w:cs="Arial"/>
          <w:szCs w:val="17"/>
        </w:rPr>
        <w:t>r</w:t>
      </w:r>
      <w:r>
        <w:rPr>
          <w:rFonts w:cs="Arial"/>
          <w:szCs w:val="17"/>
        </w:rPr>
        <w:t>ziellen gasförmigen oder flüssigen Brennstoffen dagegen wird die erforderliche Probenzahl sehr viel geri</w:t>
      </w:r>
      <w:r>
        <w:rPr>
          <w:rFonts w:cs="Arial"/>
          <w:szCs w:val="17"/>
        </w:rPr>
        <w:t>n</w:t>
      </w:r>
      <w:r>
        <w:rPr>
          <w:rFonts w:cs="Arial"/>
          <w:szCs w:val="17"/>
        </w:rPr>
        <w:t>ger sein.</w:t>
      </w:r>
    </w:p>
    <w:p>
      <w:pPr>
        <w:pStyle w:val="GesAbsatz"/>
        <w:jc w:val="both"/>
        <w:rPr>
          <w:rFonts w:cs="Arial"/>
          <w:szCs w:val="17"/>
        </w:rPr>
      </w:pPr>
      <w:r>
        <w:rPr>
          <w:rFonts w:cs="Arial"/>
          <w:szCs w:val="17"/>
        </w:rPr>
        <w:t>Die Bestimmung des Kohlenstoffgehalts, der spezifischen Heizwerte und der Emissionsfaktoren für Brennstoffchargen sollte in der Regel der gängigen Praxis für repräsentative Probenahmen entsprechen. Der Betreiber muss den Nachweis erbringen, dass es sich bei dem errechneten Kohlenstoffgehalt sowie bei den ermittelten Brennwerten und Emissionsfaktoren um repräsentative und unverzerrte Werte ha</w:t>
      </w:r>
      <w:r>
        <w:rPr>
          <w:rFonts w:cs="Arial"/>
          <w:szCs w:val="17"/>
        </w:rPr>
        <w:t>n</w:t>
      </w:r>
      <w:r>
        <w:rPr>
          <w:rFonts w:cs="Arial"/>
          <w:szCs w:val="17"/>
        </w:rPr>
        <w:t>delt.</w:t>
      </w:r>
    </w:p>
    <w:p>
      <w:pPr>
        <w:pStyle w:val="GesAbsatz"/>
        <w:jc w:val="both"/>
        <w:rPr>
          <w:rFonts w:cs="Arial"/>
          <w:szCs w:val="17"/>
        </w:rPr>
      </w:pPr>
      <w:r>
        <w:rPr>
          <w:rFonts w:cs="Arial"/>
          <w:szCs w:val="17"/>
        </w:rPr>
        <w:t>Der jeweilige Emissionsfaktor findet nur auf die Brennstoffcharge Anwendung, für die er ermittelt wurde.</w:t>
      </w:r>
    </w:p>
    <w:p>
      <w:pPr>
        <w:pStyle w:val="GesAbsatz"/>
        <w:jc w:val="both"/>
        <w:rPr>
          <w:rFonts w:cs="Arial"/>
          <w:szCs w:val="17"/>
        </w:rPr>
      </w:pPr>
      <w:r>
        <w:rPr>
          <w:rFonts w:cs="Arial"/>
          <w:szCs w:val="17"/>
        </w:rPr>
        <w:t>Die in dem jeweiligen mit der Ermittlung des Emissionsfaktors beauftragten Labor angewandten Verfa</w:t>
      </w:r>
      <w:r>
        <w:rPr>
          <w:rFonts w:cs="Arial"/>
          <w:szCs w:val="17"/>
        </w:rPr>
        <w:t>h</w:t>
      </w:r>
      <w:r>
        <w:rPr>
          <w:rFonts w:cs="Arial"/>
          <w:szCs w:val="17"/>
        </w:rPr>
        <w:t>ren sowie alle Ergebnisse sind umfassend zu dokumentieren und aufzubewahren. Die Unterlagen werden der Instanz, die den Emissionsbericht prüft, zur Verfügung gestellt.</w:t>
      </w:r>
    </w:p>
    <w:p>
      <w:pPr>
        <w:pStyle w:val="GesAbsatz"/>
        <w:jc w:val="both"/>
        <w:rPr>
          <w:rFonts w:cs="Arial"/>
          <w:b/>
          <w:bCs/>
          <w:szCs w:val="17"/>
        </w:rPr>
      </w:pPr>
      <w:r>
        <w:rPr>
          <w:rFonts w:cs="Arial"/>
          <w:b/>
          <w:bCs/>
          <w:szCs w:val="17"/>
        </w:rPr>
        <w:t>10.2. Ermittlung der tätigkeitsspezifischen Oxidationsfaktoren</w:t>
      </w:r>
    </w:p>
    <w:p>
      <w:pPr>
        <w:pStyle w:val="GesAbsatz"/>
        <w:jc w:val="both"/>
        <w:rPr>
          <w:rFonts w:cs="Arial"/>
          <w:szCs w:val="17"/>
        </w:rPr>
      </w:pPr>
      <w:r>
        <w:rPr>
          <w:rFonts w:cs="Arial"/>
          <w:szCs w:val="17"/>
        </w:rPr>
        <w:t>Welches spezifische Verfahren zur Ermittlung des tätigkeitsspezifischen Oxidationsfaktors bzw. welches Probenahmeverfahren für eine spezifische Brennstoffart Anwendung finden soll, ist vor Beginn des jeweil</w:t>
      </w:r>
      <w:r>
        <w:rPr>
          <w:rFonts w:cs="Arial"/>
          <w:szCs w:val="17"/>
        </w:rPr>
        <w:t>i</w:t>
      </w:r>
      <w:r>
        <w:rPr>
          <w:rFonts w:cs="Arial"/>
          <w:szCs w:val="17"/>
        </w:rPr>
        <w:t>gen Berichtszeitraums mit der zuständigen Behörde abzustimmen.</w:t>
      </w:r>
    </w:p>
    <w:p>
      <w:pPr>
        <w:pStyle w:val="GesAbsatz"/>
        <w:jc w:val="both"/>
        <w:rPr>
          <w:rFonts w:cs="Arial"/>
          <w:szCs w:val="17"/>
        </w:rPr>
      </w:pPr>
      <w:r>
        <w:rPr>
          <w:rFonts w:cs="Arial"/>
          <w:szCs w:val="17"/>
        </w:rPr>
        <w:t>Die Verfahren, die zur Ermittlung tätigkeitsspezifischer Oxidationsfaktoren (z. B. mittels des Kohlenstof</w:t>
      </w:r>
      <w:r>
        <w:rPr>
          <w:rFonts w:cs="Arial"/>
          <w:szCs w:val="17"/>
        </w:rPr>
        <w:t>f</w:t>
      </w:r>
      <w:r>
        <w:rPr>
          <w:rFonts w:cs="Arial"/>
          <w:szCs w:val="17"/>
        </w:rPr>
        <w:t>gehalts von Ruß, Asche, Abwässern und sonstigen Abfällen oder Nebenprodukten) für eine spezifische Tätigkeit angewandt werden, müssen den einschlägigen CEN-Normen entsprechen, sofern solche vera</w:t>
      </w:r>
      <w:r>
        <w:rPr>
          <w:rFonts w:cs="Arial"/>
          <w:szCs w:val="17"/>
        </w:rPr>
        <w:t>b</w:t>
      </w:r>
      <w:r>
        <w:rPr>
          <w:rFonts w:cs="Arial"/>
          <w:szCs w:val="17"/>
        </w:rPr>
        <w:t>schiedet wurden. Sollten keine einschlägigen CEN-Normen verfügbar sein, so sind die entsprechenden ISO-Normen oder nationalen Normen anzuwenden. Gibt es keine geltenden Normen, so können gegeb</w:t>
      </w:r>
      <w:r>
        <w:rPr>
          <w:rFonts w:cs="Arial"/>
          <w:szCs w:val="17"/>
        </w:rPr>
        <w:t>e</w:t>
      </w:r>
      <w:r>
        <w:rPr>
          <w:rFonts w:cs="Arial"/>
          <w:szCs w:val="17"/>
        </w:rPr>
        <w:t>nenfalls Verfahren angewandt werden, die vorliegenden Normentwürfen oder den Leitlinien hinsichtlich der bewährtesten Praxis („Best Practice Guidelines“) der Industrie entsprechen.</w:t>
      </w:r>
    </w:p>
    <w:p>
      <w:pPr>
        <w:pStyle w:val="GesAbsatz"/>
        <w:jc w:val="both"/>
        <w:rPr>
          <w:rFonts w:cs="Arial"/>
          <w:szCs w:val="17"/>
        </w:rPr>
      </w:pPr>
      <w:r>
        <w:rPr>
          <w:rFonts w:cs="Arial"/>
          <w:szCs w:val="17"/>
        </w:rPr>
        <w:t>Das Laboratorium, das mit der Bestimmung des Oxidationsfaktors bzw. mit der Ermittlung der zugrunde liegenden Daten beauftragt wird, muss nach EN ISO 17025 („Allgemeine Anforderungen an die Komp</w:t>
      </w:r>
      <w:r>
        <w:rPr>
          <w:rFonts w:cs="Arial"/>
          <w:szCs w:val="17"/>
        </w:rPr>
        <w:t>e</w:t>
      </w:r>
      <w:r>
        <w:rPr>
          <w:rFonts w:cs="Arial"/>
          <w:szCs w:val="17"/>
        </w:rPr>
        <w:t>tenz von Prüf- und Kalibrierlaboratorien“) akkreditiert sein.</w:t>
      </w:r>
    </w:p>
    <w:p>
      <w:pPr>
        <w:pStyle w:val="GesAbsatz"/>
        <w:jc w:val="both"/>
        <w:rPr>
          <w:rFonts w:cs="Arial"/>
          <w:szCs w:val="17"/>
        </w:rPr>
      </w:pPr>
      <w:r>
        <w:rPr>
          <w:rFonts w:cs="Arial"/>
          <w:szCs w:val="17"/>
        </w:rPr>
        <w:t>Die Bestimmung der tätigkeitsspezifischen Oxidationsfaktoren anhand von Einsatzstoffchargen sollte in der Regel der gängigen Praxis für repräsentative Probenahmen entsprechen. Der Betreiber muss den Nac</w:t>
      </w:r>
      <w:r>
        <w:rPr>
          <w:rFonts w:cs="Arial"/>
          <w:szCs w:val="17"/>
        </w:rPr>
        <w:t>h</w:t>
      </w:r>
      <w:r>
        <w:rPr>
          <w:rFonts w:cs="Arial"/>
          <w:szCs w:val="17"/>
        </w:rPr>
        <w:t>weis erbringen, dass es sich bei ermittelten Oxidationsfaktoren um repräsentative und unverzerrte Werte ha</w:t>
      </w:r>
      <w:r>
        <w:rPr>
          <w:rFonts w:cs="Arial"/>
          <w:szCs w:val="17"/>
        </w:rPr>
        <w:t>n</w:t>
      </w:r>
      <w:r>
        <w:rPr>
          <w:rFonts w:cs="Arial"/>
          <w:szCs w:val="17"/>
        </w:rPr>
        <w:t>delt.</w:t>
      </w:r>
    </w:p>
    <w:p>
      <w:pPr>
        <w:pStyle w:val="GesAbsatz"/>
        <w:jc w:val="both"/>
        <w:rPr>
          <w:rFonts w:cs="Arial"/>
          <w:szCs w:val="17"/>
        </w:rPr>
      </w:pPr>
      <w:r>
        <w:rPr>
          <w:rFonts w:cs="Arial"/>
          <w:szCs w:val="17"/>
        </w:rPr>
        <w:t>Die in dem jeweiligen mit der Ermittlung der Oxidationsfaktoren beauftragten Labor angewandten Verfa</w:t>
      </w:r>
      <w:r>
        <w:rPr>
          <w:rFonts w:cs="Arial"/>
          <w:szCs w:val="17"/>
        </w:rPr>
        <w:t>h</w:t>
      </w:r>
      <w:r>
        <w:rPr>
          <w:rFonts w:cs="Arial"/>
          <w:szCs w:val="17"/>
        </w:rPr>
        <w:t>ren sowie alle Ergebnisse sind umfassend zu dokumentieren und aufzubewahren. Die Unterlagen werden der Instanz, die den Emissionsbericht prüft, zur Verfügung gestellt</w:t>
      </w:r>
    </w:p>
    <w:p>
      <w:pPr>
        <w:pStyle w:val="GesAbsatz"/>
        <w:jc w:val="both"/>
        <w:rPr>
          <w:rFonts w:cs="Arial"/>
          <w:b/>
          <w:bCs/>
          <w:szCs w:val="17"/>
        </w:rPr>
      </w:pPr>
      <w:r>
        <w:rPr>
          <w:rFonts w:cs="Arial"/>
          <w:b/>
          <w:bCs/>
          <w:szCs w:val="17"/>
        </w:rPr>
        <w:t>10.3. Bestimmung der Prozessemissionsfaktoren und der Zusammensetzungsdaten</w:t>
      </w:r>
    </w:p>
    <w:p>
      <w:pPr>
        <w:pStyle w:val="GesAbsatz"/>
        <w:jc w:val="both"/>
        <w:rPr>
          <w:rFonts w:cs="Arial"/>
          <w:szCs w:val="17"/>
        </w:rPr>
      </w:pPr>
      <w:r>
        <w:rPr>
          <w:rFonts w:cs="Arial"/>
          <w:szCs w:val="17"/>
        </w:rPr>
        <w:t>Welches spezifische Verfahren zur Ermittlung des tätigkeitsspezifischen Emissionsfaktors bzw. welches Probenahmeverfahren für die verschiedenen Eingangsmaterialarten Anwendung finden soll, ist vor B</w:t>
      </w:r>
      <w:r>
        <w:rPr>
          <w:rFonts w:cs="Arial"/>
          <w:szCs w:val="17"/>
        </w:rPr>
        <w:t>e</w:t>
      </w:r>
      <w:r>
        <w:rPr>
          <w:rFonts w:cs="Arial"/>
          <w:szCs w:val="17"/>
        </w:rPr>
        <w:t>ginn des jeweiligen Berichtszeitraums mit der zuständigen Behörde abzustimmen.</w:t>
      </w:r>
    </w:p>
    <w:p>
      <w:pPr>
        <w:pStyle w:val="GesAbsatz"/>
        <w:jc w:val="both"/>
        <w:rPr>
          <w:rFonts w:cs="Arial"/>
          <w:szCs w:val="17"/>
        </w:rPr>
      </w:pPr>
      <w:r>
        <w:rPr>
          <w:rFonts w:cs="Arial"/>
          <w:szCs w:val="17"/>
        </w:rPr>
        <w:lastRenderedPageBreak/>
        <w:t>Die Verfahren, die für die Probenahme bzw. die Ermittlung der Zusammensetzung des betreffenden Ei</w:t>
      </w:r>
      <w:r>
        <w:rPr>
          <w:rFonts w:cs="Arial"/>
          <w:szCs w:val="17"/>
        </w:rPr>
        <w:t>n</w:t>
      </w:r>
      <w:r>
        <w:rPr>
          <w:rFonts w:cs="Arial"/>
          <w:szCs w:val="17"/>
        </w:rPr>
        <w:t>gangsmaterials oder für die Ableitung eines Prozessemissionsfaktors angewandt werden, müssen den einschlägigen CEN-Normen entsprechen, sofern solche verabschiedet wurden. Sollten keine einschläg</w:t>
      </w:r>
      <w:r>
        <w:rPr>
          <w:rFonts w:cs="Arial"/>
          <w:szCs w:val="17"/>
        </w:rPr>
        <w:t>i</w:t>
      </w:r>
      <w:r>
        <w:rPr>
          <w:rFonts w:cs="Arial"/>
          <w:szCs w:val="17"/>
        </w:rPr>
        <w:t>gen CEN-Normen verfügbar sein, so sind die entsprechenden ISO-Normen oder nationalen Normen a</w:t>
      </w:r>
      <w:r>
        <w:rPr>
          <w:rFonts w:cs="Arial"/>
          <w:szCs w:val="17"/>
        </w:rPr>
        <w:t>n</w:t>
      </w:r>
      <w:r>
        <w:rPr>
          <w:rFonts w:cs="Arial"/>
          <w:szCs w:val="17"/>
        </w:rPr>
        <w:t>zuwenden. Gibt es keine geltenden Normen, so können gegebenenfalls Verfahren angewandt werden, die vorliegenden Normentwürfen oder den Leitlinien hinsichtlich der bewährtesten Praxis („Best Practice Gu</w:t>
      </w:r>
      <w:r>
        <w:rPr>
          <w:rFonts w:cs="Arial"/>
          <w:szCs w:val="17"/>
        </w:rPr>
        <w:t>i</w:t>
      </w:r>
      <w:r>
        <w:rPr>
          <w:rFonts w:cs="Arial"/>
          <w:szCs w:val="17"/>
        </w:rPr>
        <w:t>delines“) der Industrie entsprechen.</w:t>
      </w:r>
    </w:p>
    <w:p>
      <w:pPr>
        <w:pStyle w:val="GesAbsatz"/>
        <w:jc w:val="both"/>
        <w:rPr>
          <w:rFonts w:cs="Arial"/>
          <w:szCs w:val="17"/>
        </w:rPr>
      </w:pPr>
      <w:r>
        <w:rPr>
          <w:rFonts w:cs="Arial"/>
          <w:szCs w:val="17"/>
        </w:rPr>
        <w:t>Das Laboratorium, das mit der Ermittlung der Zusammensetzung oder des Emissionsfaktors beauftragt wird, muss nach EN ISO 17025 („Allgemeine Anforderungen an die Kompetenz von Prüf- und Kalibrierl</w:t>
      </w:r>
      <w:r>
        <w:rPr>
          <w:rFonts w:cs="Arial"/>
          <w:szCs w:val="17"/>
        </w:rPr>
        <w:t>a</w:t>
      </w:r>
      <w:r>
        <w:rPr>
          <w:rFonts w:cs="Arial"/>
          <w:szCs w:val="17"/>
        </w:rPr>
        <w:t>bor</w:t>
      </w:r>
      <w:r>
        <w:rPr>
          <w:rFonts w:cs="Arial"/>
          <w:szCs w:val="17"/>
        </w:rPr>
        <w:t>a</w:t>
      </w:r>
      <w:r>
        <w:rPr>
          <w:rFonts w:cs="Arial"/>
          <w:szCs w:val="17"/>
        </w:rPr>
        <w:t>torien“) akkreditiert sein.</w:t>
      </w:r>
    </w:p>
    <w:p>
      <w:pPr>
        <w:pStyle w:val="GesAbsatz"/>
        <w:jc w:val="both"/>
        <w:rPr>
          <w:rFonts w:cs="Arial"/>
          <w:szCs w:val="17"/>
        </w:rPr>
      </w:pPr>
      <w:r>
        <w:rPr>
          <w:rFonts w:cs="Arial"/>
          <w:szCs w:val="17"/>
        </w:rPr>
        <w:t>Die Bestimmung der Prozessemissionsfaktoren und der Zusammensetzungsdaten von Materialchargen sollte in der Regel der gängigen Praxis für repräsentative Probenahmen entsprechen. Der Betreiber muss den Nachweis erbringen, dass es sich bei dem ermittelten Prozessemissionsfaktor und den Zusamme</w:t>
      </w:r>
      <w:r>
        <w:rPr>
          <w:rFonts w:cs="Arial"/>
          <w:szCs w:val="17"/>
        </w:rPr>
        <w:t>n</w:t>
      </w:r>
      <w:r>
        <w:rPr>
          <w:rFonts w:cs="Arial"/>
          <w:szCs w:val="17"/>
        </w:rPr>
        <w:t>setzungsdaten um repräsentative und unverzerrte Angaben handelt.</w:t>
      </w:r>
    </w:p>
    <w:p>
      <w:pPr>
        <w:pStyle w:val="GesAbsatz"/>
        <w:jc w:val="both"/>
        <w:rPr>
          <w:rFonts w:cs="Arial"/>
          <w:szCs w:val="17"/>
        </w:rPr>
      </w:pPr>
      <w:r>
        <w:rPr>
          <w:rFonts w:cs="Arial"/>
          <w:szCs w:val="17"/>
        </w:rPr>
        <w:t>Der jeweilige Wert findet nur auf die Materialcharge Anwendung, für die er ermittelt wurde.</w:t>
      </w:r>
    </w:p>
    <w:p>
      <w:pPr>
        <w:pStyle w:val="GesAbsatz"/>
        <w:jc w:val="both"/>
        <w:rPr>
          <w:rFonts w:cs="Arial"/>
          <w:szCs w:val="17"/>
        </w:rPr>
      </w:pPr>
      <w:r>
        <w:rPr>
          <w:rFonts w:cs="Arial"/>
          <w:szCs w:val="17"/>
        </w:rPr>
        <w:t>Die in der jeweiligen mit der Bestimmung des Emissionsfaktors bzw. der Ermittlung der Zusammense</w:t>
      </w:r>
      <w:r>
        <w:rPr>
          <w:rFonts w:cs="Arial"/>
          <w:szCs w:val="17"/>
        </w:rPr>
        <w:t>t</w:t>
      </w:r>
      <w:r>
        <w:rPr>
          <w:rFonts w:cs="Arial"/>
          <w:szCs w:val="17"/>
        </w:rPr>
        <w:t>zungsdaten beauftragten Einrichtung angewandten Verfahren sowie alle Ergebnisse sind umfassend zu dokumenti</w:t>
      </w:r>
      <w:r>
        <w:rPr>
          <w:rFonts w:cs="Arial"/>
          <w:szCs w:val="17"/>
        </w:rPr>
        <w:t>e</w:t>
      </w:r>
      <w:r>
        <w:rPr>
          <w:rFonts w:cs="Arial"/>
          <w:szCs w:val="17"/>
        </w:rPr>
        <w:t>ren und aufzubewahren. Die Unterlagen werden der Instanz, die den Emissionsbericht prüft, zur Verfügung gestellt.</w:t>
      </w:r>
    </w:p>
    <w:p>
      <w:pPr>
        <w:pStyle w:val="GesAbsatz"/>
        <w:jc w:val="both"/>
        <w:rPr>
          <w:rFonts w:cs="Arial"/>
          <w:b/>
          <w:bCs/>
          <w:szCs w:val="17"/>
        </w:rPr>
      </w:pPr>
      <w:r>
        <w:rPr>
          <w:rFonts w:cs="Arial"/>
          <w:b/>
          <w:bCs/>
          <w:szCs w:val="17"/>
        </w:rPr>
        <w:t>10.4. Ermittlung des Biomasse-Anteils</w:t>
      </w:r>
    </w:p>
    <w:p>
      <w:pPr>
        <w:pStyle w:val="GesAbsatz"/>
        <w:jc w:val="both"/>
        <w:rPr>
          <w:rFonts w:cs="Arial"/>
          <w:szCs w:val="17"/>
        </w:rPr>
      </w:pPr>
      <w:r>
        <w:rPr>
          <w:rFonts w:cs="Arial"/>
          <w:szCs w:val="17"/>
        </w:rPr>
        <w:t>Der Begriff „Biomasse-Anteil“ im Sinne dieser Leitlinien meint entsprechend der Definition von Bioma</w:t>
      </w:r>
      <w:r>
        <w:rPr>
          <w:rFonts w:cs="Arial"/>
          <w:szCs w:val="17"/>
        </w:rPr>
        <w:t>s</w:t>
      </w:r>
      <w:r>
        <w:rPr>
          <w:rFonts w:cs="Arial"/>
          <w:szCs w:val="17"/>
        </w:rPr>
        <w:t>se (siehe die Abschnitte 2 und 9 dieses Anhangs) den prozentualen Anteil des brennbaren Biomasse-Kohlenstoffs am gesamten Kohlenstoffgehalt eines Brennstoffgemischs.</w:t>
      </w:r>
    </w:p>
    <w:p>
      <w:pPr>
        <w:pStyle w:val="GesAbsatz"/>
        <w:jc w:val="both"/>
        <w:rPr>
          <w:rFonts w:cs="Arial"/>
          <w:szCs w:val="17"/>
        </w:rPr>
      </w:pPr>
      <w:r>
        <w:rPr>
          <w:rFonts w:cs="Arial"/>
          <w:szCs w:val="17"/>
        </w:rPr>
        <w:t>Welches spezifische Verfahren zur Ermittlung des Biomasse-Anteils bzw. welches Probenahmeverfahren für die verschiedenen Brennstoffarten Anwendung finden soll, ist vor Beginn des jeweiligen Berichtszei</w:t>
      </w:r>
      <w:r>
        <w:rPr>
          <w:rFonts w:cs="Arial"/>
          <w:szCs w:val="17"/>
        </w:rPr>
        <w:t>t</w:t>
      </w:r>
      <w:r>
        <w:rPr>
          <w:rFonts w:cs="Arial"/>
          <w:szCs w:val="17"/>
        </w:rPr>
        <w:t>raums mit der zuständigen Behörde abzustimmen.</w:t>
      </w:r>
    </w:p>
    <w:p>
      <w:pPr>
        <w:pStyle w:val="GesAbsatz"/>
        <w:jc w:val="both"/>
        <w:rPr>
          <w:rFonts w:cs="Arial"/>
          <w:szCs w:val="17"/>
        </w:rPr>
      </w:pPr>
      <w:r>
        <w:rPr>
          <w:rFonts w:cs="Arial"/>
          <w:szCs w:val="17"/>
        </w:rPr>
        <w:t>Die Verfahren die für die Brennstoffprobenahme und die Ermittlung des Biomasse-Anteils angewandt we</w:t>
      </w:r>
      <w:r>
        <w:rPr>
          <w:rFonts w:cs="Arial"/>
          <w:szCs w:val="17"/>
        </w:rPr>
        <w:t>r</w:t>
      </w:r>
      <w:r>
        <w:rPr>
          <w:rFonts w:cs="Arial"/>
          <w:szCs w:val="17"/>
        </w:rPr>
        <w:t>den, müssen den einschlägigen CEN-Normen entsprechen, sofern solche verabschiedet wurden. Sollten keine einschlägigen CEN-Normen verfügbar sein, so sind die entsprechenden ISO-Normen oder nation</w:t>
      </w:r>
      <w:r>
        <w:rPr>
          <w:rFonts w:cs="Arial"/>
          <w:szCs w:val="17"/>
        </w:rPr>
        <w:t>a</w:t>
      </w:r>
      <w:r>
        <w:rPr>
          <w:rFonts w:cs="Arial"/>
          <w:szCs w:val="17"/>
        </w:rPr>
        <w:t>len Normen anzuwenden. Gibt es keine geltenden Normen, so können gegebenenfalls Verfahren ang</w:t>
      </w:r>
      <w:r>
        <w:rPr>
          <w:rFonts w:cs="Arial"/>
          <w:szCs w:val="17"/>
        </w:rPr>
        <w:t>e</w:t>
      </w:r>
      <w:r>
        <w:rPr>
          <w:rFonts w:cs="Arial"/>
          <w:szCs w:val="17"/>
        </w:rPr>
        <w:t>wandt werden, die vorliegenden Normentwürfen oder den Leitlinien hinsichtlich der bewährtesten Praxis („Best Practice Guidelines“) der Industrie entsprechen</w:t>
      </w:r>
      <w:r>
        <w:rPr>
          <w:rStyle w:val="Funotenzeichen"/>
          <w:rFonts w:cs="Arial"/>
          <w:szCs w:val="17"/>
        </w:rPr>
        <w:footnoteReference w:id="14"/>
      </w:r>
      <w:r>
        <w:rPr>
          <w:rFonts w:cs="Arial"/>
          <w:szCs w:val="17"/>
        </w:rPr>
        <w:t>.</w:t>
      </w:r>
    </w:p>
    <w:p>
      <w:pPr>
        <w:pStyle w:val="GesAbsatz"/>
        <w:jc w:val="both"/>
        <w:rPr>
          <w:rFonts w:cs="Arial"/>
          <w:szCs w:val="17"/>
        </w:rPr>
      </w:pPr>
      <w:r>
        <w:rPr>
          <w:rFonts w:cs="Arial"/>
          <w:szCs w:val="17"/>
        </w:rPr>
        <w:t>Für die Ermittlung des Biomasse-Anteils eines Brennstoffs bieten sich verschiedene Methoden an, die von einer manuellen Sortierung der Bestandteile gemischter Stoffe über differenzielle Methoden, die die Hei</w:t>
      </w:r>
      <w:r>
        <w:rPr>
          <w:rFonts w:cs="Arial"/>
          <w:szCs w:val="17"/>
        </w:rPr>
        <w:t>z</w:t>
      </w:r>
      <w:r>
        <w:rPr>
          <w:rFonts w:cs="Arial"/>
          <w:szCs w:val="17"/>
        </w:rPr>
        <w:t>werte einer binären Mischung und deren beiden reinen Bestandteile bestimmen, bis zu einer Kohle</w:t>
      </w:r>
      <w:r>
        <w:rPr>
          <w:rFonts w:cs="Arial"/>
          <w:szCs w:val="17"/>
        </w:rPr>
        <w:t>n</w:t>
      </w:r>
      <w:r>
        <w:rPr>
          <w:rFonts w:cs="Arial"/>
          <w:szCs w:val="17"/>
        </w:rPr>
        <w:t>stoff-14-Isotopenanalyse. Die Wahl der Methode hängt von der Art der in Frage stehenden Brennstoffm</w:t>
      </w:r>
      <w:r>
        <w:rPr>
          <w:rFonts w:cs="Arial"/>
          <w:szCs w:val="17"/>
        </w:rPr>
        <w:t>i</w:t>
      </w:r>
      <w:r>
        <w:rPr>
          <w:rFonts w:cs="Arial"/>
          <w:szCs w:val="17"/>
        </w:rPr>
        <w:t>schung ab.</w:t>
      </w:r>
    </w:p>
    <w:p>
      <w:pPr>
        <w:pStyle w:val="GesAbsatz"/>
        <w:jc w:val="both"/>
        <w:rPr>
          <w:rFonts w:cs="Arial"/>
          <w:szCs w:val="17"/>
        </w:rPr>
      </w:pPr>
      <w:r>
        <w:rPr>
          <w:rFonts w:cs="Arial"/>
          <w:szCs w:val="17"/>
        </w:rPr>
        <w:t>Das Laboratorium, das mit der Bestimmung des Biomasse-Anteils beauftragt wird, muss nach EN ISO 17025 („Allgemeine Anforderungen an die Kompetenz von Prüf- und Kalibrierlaboratorien“) akkred</w:t>
      </w:r>
      <w:r>
        <w:rPr>
          <w:rFonts w:cs="Arial"/>
          <w:szCs w:val="17"/>
        </w:rPr>
        <w:t>i</w:t>
      </w:r>
      <w:r>
        <w:rPr>
          <w:rFonts w:cs="Arial"/>
          <w:szCs w:val="17"/>
        </w:rPr>
        <w:t>tiert sein.</w:t>
      </w:r>
    </w:p>
    <w:p>
      <w:pPr>
        <w:pStyle w:val="GesAbsatz"/>
        <w:jc w:val="both"/>
        <w:rPr>
          <w:rFonts w:cs="Arial"/>
          <w:szCs w:val="17"/>
        </w:rPr>
      </w:pPr>
      <w:r>
        <w:rPr>
          <w:rFonts w:cs="Arial"/>
          <w:szCs w:val="17"/>
        </w:rPr>
        <w:t>Die Bestimmung des Biomasse-Anteils der Eingangsmaterialchargen erfolgt in der Regel der allgemeinen Praxis für repräsentative Probenahmen. Der Betreiber muss den Nachweis erbringen, dass es sich bei den abgeleiteten Werten um repräsentative und unverzerrte Werte handelt.</w:t>
      </w:r>
    </w:p>
    <w:p>
      <w:pPr>
        <w:pStyle w:val="GesAbsatz"/>
        <w:jc w:val="both"/>
        <w:rPr>
          <w:rFonts w:cs="Arial"/>
          <w:szCs w:val="17"/>
        </w:rPr>
      </w:pPr>
      <w:r>
        <w:rPr>
          <w:rFonts w:cs="Arial"/>
          <w:szCs w:val="17"/>
        </w:rPr>
        <w:t>Der jeweilige Wert findet nur auf die Materialcharge Anwendung, für die er ermittelt wurde.</w:t>
      </w:r>
    </w:p>
    <w:p>
      <w:pPr>
        <w:pStyle w:val="GesAbsatz"/>
        <w:jc w:val="both"/>
        <w:rPr>
          <w:rFonts w:cs="Arial"/>
          <w:szCs w:val="17"/>
        </w:rPr>
      </w:pPr>
      <w:r>
        <w:rPr>
          <w:rFonts w:cs="Arial"/>
          <w:szCs w:val="17"/>
        </w:rPr>
        <w:t>Die in dem jeweiligen mit der Bestimmung des Biomasse-Anteils beauftragten Labor angewandten Verfa</w:t>
      </w:r>
      <w:r>
        <w:rPr>
          <w:rFonts w:cs="Arial"/>
          <w:szCs w:val="17"/>
        </w:rPr>
        <w:t>h</w:t>
      </w:r>
      <w:r>
        <w:rPr>
          <w:rFonts w:cs="Arial"/>
          <w:szCs w:val="17"/>
        </w:rPr>
        <w:t>ren sowie alle Ergebnisse sind umfassend zu dokumentieren und aufzubewahren. Die Unterlagen werden der Instanz, die den Emissionsbericht prüft, zur Verfügung gestellt.</w:t>
      </w:r>
    </w:p>
    <w:p>
      <w:pPr>
        <w:pStyle w:val="GesAbsatz"/>
        <w:jc w:val="both"/>
        <w:rPr>
          <w:rFonts w:cs="Arial"/>
          <w:szCs w:val="17"/>
        </w:rPr>
      </w:pPr>
      <w:r>
        <w:rPr>
          <w:rFonts w:cs="Arial"/>
          <w:szCs w:val="17"/>
        </w:rPr>
        <w:lastRenderedPageBreak/>
        <w:t>Ist eine Bestimmung des Biomasse-Anteils eines Brennstoffgemischs aus technischen Gründen nicht möglich oder würde eine solche Analyse unverhältnismäßig hohe Kosten verursachen, so muss der B</w:t>
      </w:r>
      <w:r>
        <w:rPr>
          <w:rFonts w:cs="Arial"/>
          <w:szCs w:val="17"/>
        </w:rPr>
        <w:t>e</w:t>
      </w:r>
      <w:r>
        <w:rPr>
          <w:rFonts w:cs="Arial"/>
          <w:szCs w:val="17"/>
        </w:rPr>
        <w:t>treiber entweder einen Biomasse-Anteil von 0 % zugrunde legen (d. h. er muss annehmen, dass der in dem in Frage st</w:t>
      </w:r>
      <w:r>
        <w:rPr>
          <w:rFonts w:cs="Arial"/>
          <w:szCs w:val="17"/>
        </w:rPr>
        <w:t>e</w:t>
      </w:r>
      <w:r>
        <w:rPr>
          <w:rFonts w:cs="Arial"/>
          <w:szCs w:val="17"/>
        </w:rPr>
        <w:t>henden Brennstoff enthaltene Kohlenstoff vollständig fossiler Natur ist) oder eine von der zuständigen Behörde zu genehmigende Schätzmethode vorschlagen.</w:t>
      </w:r>
    </w:p>
    <w:p>
      <w:pPr>
        <w:pStyle w:val="GesAbsatz"/>
        <w:jc w:val="both"/>
        <w:rPr>
          <w:rFonts w:cs="Arial"/>
          <w:b/>
          <w:szCs w:val="17"/>
        </w:rPr>
      </w:pPr>
      <w:r>
        <w:rPr>
          <w:rFonts w:cs="Arial"/>
          <w:b/>
          <w:szCs w:val="17"/>
        </w:rPr>
        <w:t>11. BERICHTSFORMAT</w:t>
      </w:r>
    </w:p>
    <w:p>
      <w:pPr>
        <w:pStyle w:val="GesAbsatz"/>
        <w:jc w:val="both"/>
        <w:rPr>
          <w:rFonts w:cs="Arial"/>
          <w:szCs w:val="17"/>
        </w:rPr>
      </w:pPr>
      <w:r>
        <w:rPr>
          <w:rFonts w:cs="Arial"/>
          <w:szCs w:val="17"/>
        </w:rPr>
        <w:t>Die folgende Tabelle ist für die Berichterstattung zugrunde zu legen. Sie kann entsprechend der Anzahl der Tätigkeiten, der Art der Anlagen, der Brennstoffe und der überwachten Prozesse angepasst werden.</w:t>
      </w:r>
    </w:p>
    <w:p>
      <w:pPr>
        <w:pStyle w:val="GesAbsatz"/>
        <w:jc w:val="both"/>
        <w:rPr>
          <w:rFonts w:cs="Arial"/>
          <w:b/>
          <w:bCs/>
          <w:szCs w:val="17"/>
        </w:rPr>
      </w:pPr>
      <w:r>
        <w:rPr>
          <w:rFonts w:cs="Arial"/>
          <w:b/>
          <w:bCs/>
          <w:szCs w:val="17"/>
        </w:rPr>
        <w:t>11.1. Anlagedaten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2"/>
        <w:gridCol w:w="2386"/>
      </w:tblGrid>
      <w:tr>
        <w:tblPrEx>
          <w:tblCellMar>
            <w:top w:w="0" w:type="dxa"/>
            <w:bottom w:w="0" w:type="dxa"/>
          </w:tblCellMar>
        </w:tblPrEx>
        <w:trPr>
          <w:tblHeader/>
          <w:jc w:val="center"/>
        </w:trPr>
        <w:tc>
          <w:tcPr>
            <w:tcW w:w="4772" w:type="dxa"/>
          </w:tcPr>
          <w:p>
            <w:pPr>
              <w:pStyle w:val="GesAbsatz"/>
              <w:jc w:val="both"/>
              <w:rPr>
                <w:rFonts w:cs="Arial"/>
                <w:szCs w:val="15"/>
              </w:rPr>
            </w:pPr>
            <w:r>
              <w:rPr>
                <w:rFonts w:cs="Arial"/>
                <w:szCs w:val="15"/>
              </w:rPr>
              <w:t>Anlagedaten</w:t>
            </w:r>
          </w:p>
        </w:tc>
        <w:tc>
          <w:tcPr>
            <w:tcW w:w="2386" w:type="dxa"/>
          </w:tcPr>
          <w:p>
            <w:pPr>
              <w:pStyle w:val="GesAbsatz"/>
              <w:jc w:val="both"/>
              <w:rPr>
                <w:rFonts w:cs="Arial"/>
                <w:szCs w:val="15"/>
              </w:rPr>
            </w:pPr>
            <w:r>
              <w:rPr>
                <w:rFonts w:cs="Arial"/>
                <w:szCs w:val="15"/>
              </w:rPr>
              <w:t>Antwort</w:t>
            </w:r>
          </w:p>
        </w:tc>
      </w:tr>
      <w:tr>
        <w:tblPrEx>
          <w:tblCellMar>
            <w:top w:w="0" w:type="dxa"/>
            <w:bottom w:w="0" w:type="dxa"/>
          </w:tblCellMar>
        </w:tblPrEx>
        <w:trPr>
          <w:jc w:val="center"/>
        </w:trPr>
        <w:tc>
          <w:tcPr>
            <w:tcW w:w="4772" w:type="dxa"/>
          </w:tcPr>
          <w:p>
            <w:pPr>
              <w:pStyle w:val="GesAbsatz"/>
              <w:jc w:val="both"/>
              <w:rPr>
                <w:rFonts w:cs="Arial"/>
                <w:szCs w:val="15"/>
              </w:rPr>
            </w:pPr>
            <w:r>
              <w:rPr>
                <w:rFonts w:cs="Arial"/>
                <w:szCs w:val="17"/>
              </w:rPr>
              <w:t>1. Name der Muttergesellschaft</w:t>
            </w:r>
          </w:p>
        </w:tc>
        <w:tc>
          <w:tcPr>
            <w:tcW w:w="2386" w:type="dxa"/>
          </w:tcPr>
          <w:p>
            <w:pPr>
              <w:pStyle w:val="GesAbsatz"/>
              <w:jc w:val="both"/>
              <w:rPr>
                <w:rFonts w:cs="Arial"/>
                <w:szCs w:val="15"/>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2. Name der Tochtergesellschaft</w:t>
            </w:r>
          </w:p>
        </w:tc>
        <w:tc>
          <w:tcPr>
            <w:tcW w:w="2386" w:type="dxa"/>
          </w:tcPr>
          <w:p>
            <w:pPr>
              <w:pStyle w:val="GesAbsatz"/>
              <w:jc w:val="both"/>
              <w:rPr>
                <w:rFonts w:cs="Arial"/>
                <w:szCs w:val="15"/>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3. Anlagebetreiber</w:t>
            </w:r>
          </w:p>
        </w:tc>
        <w:tc>
          <w:tcPr>
            <w:tcW w:w="2386" w:type="dxa"/>
          </w:tcPr>
          <w:p>
            <w:pPr>
              <w:pStyle w:val="GesAbsatz"/>
              <w:jc w:val="both"/>
              <w:rPr>
                <w:rFonts w:cs="Arial"/>
                <w:szCs w:val="15"/>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 Anlage:</w:t>
            </w:r>
          </w:p>
        </w:tc>
        <w:tc>
          <w:tcPr>
            <w:tcW w:w="2386" w:type="dxa"/>
          </w:tcPr>
          <w:p>
            <w:pPr>
              <w:pStyle w:val="GesAbsatz"/>
              <w:jc w:val="both"/>
              <w:rPr>
                <w:rFonts w:cs="Arial"/>
                <w:szCs w:val="15"/>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4.1. Name</w:t>
            </w:r>
          </w:p>
        </w:tc>
        <w:tc>
          <w:tcPr>
            <w:tcW w:w="2386" w:type="dxa"/>
          </w:tcPr>
          <w:p>
            <w:pPr>
              <w:pStyle w:val="GesAbsatz"/>
              <w:jc w:val="both"/>
              <w:rPr>
                <w:rFonts w:cs="Arial"/>
                <w:szCs w:val="15"/>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4.2. Nummer der Genehmigung</w:t>
            </w:r>
            <w:r>
              <w:rPr>
                <w:rStyle w:val="Funotenzeichen"/>
                <w:rFonts w:cs="Arial"/>
                <w:szCs w:val="17"/>
              </w:rPr>
              <w:footnoteReference w:id="15"/>
            </w:r>
          </w:p>
        </w:tc>
        <w:tc>
          <w:tcPr>
            <w:tcW w:w="2386" w:type="dxa"/>
          </w:tcPr>
          <w:p>
            <w:pPr>
              <w:pStyle w:val="GesAbsatz"/>
              <w:jc w:val="both"/>
              <w:rPr>
                <w:rFonts w:cs="Arial"/>
                <w:szCs w:val="15"/>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4.3. EPER-Meldepflicht?</w:t>
            </w:r>
          </w:p>
        </w:tc>
        <w:tc>
          <w:tcPr>
            <w:tcW w:w="2386" w:type="dxa"/>
          </w:tcPr>
          <w:p>
            <w:pPr>
              <w:pStyle w:val="GesAbsatz"/>
              <w:jc w:val="both"/>
              <w:rPr>
                <w:rFonts w:cs="Arial"/>
                <w:szCs w:val="15"/>
              </w:rPr>
            </w:pPr>
            <w:r>
              <w:rPr>
                <w:rFonts w:cs="Arial"/>
                <w:szCs w:val="17"/>
              </w:rPr>
              <w:t>Ja/Nein</w:t>
            </w: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4.4. EPER-Identifikationsnummer</w:t>
            </w:r>
            <w:r>
              <w:rPr>
                <w:rStyle w:val="Funotenzeichen"/>
                <w:rFonts w:cs="Arial"/>
                <w:szCs w:val="17"/>
              </w:rPr>
              <w:footnoteReference w:id="16"/>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4.5. Anschrift/Stadt des Anlagestandorts</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4.6. Postleitzahl/Land</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4.7. Anschrift des Standorts</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5. Ansprechpartner:</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5.1. Name</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5.2. Anschrift/PLZ/Ort/Land</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lang w:val="it-IT"/>
              </w:rPr>
            </w:pPr>
            <w:r>
              <w:rPr>
                <w:rFonts w:cs="Arial"/>
                <w:szCs w:val="17"/>
                <w:lang w:val="it-IT"/>
              </w:rPr>
              <w:t>5.3. Telefon</w:t>
            </w:r>
          </w:p>
        </w:tc>
        <w:tc>
          <w:tcPr>
            <w:tcW w:w="2386" w:type="dxa"/>
          </w:tcPr>
          <w:p>
            <w:pPr>
              <w:pStyle w:val="GesAbsatz"/>
              <w:jc w:val="both"/>
              <w:rPr>
                <w:rFonts w:cs="Arial"/>
                <w:szCs w:val="17"/>
                <w:lang w:val="it-IT"/>
              </w:rPr>
            </w:pPr>
          </w:p>
        </w:tc>
      </w:tr>
      <w:tr>
        <w:tblPrEx>
          <w:tblCellMar>
            <w:top w:w="0" w:type="dxa"/>
            <w:bottom w:w="0" w:type="dxa"/>
          </w:tblCellMar>
        </w:tblPrEx>
        <w:trPr>
          <w:jc w:val="center"/>
        </w:trPr>
        <w:tc>
          <w:tcPr>
            <w:tcW w:w="4772" w:type="dxa"/>
          </w:tcPr>
          <w:p>
            <w:pPr>
              <w:pStyle w:val="GesAbsatz"/>
              <w:jc w:val="both"/>
              <w:rPr>
                <w:rFonts w:cs="Arial"/>
                <w:szCs w:val="17"/>
                <w:lang w:val="it-IT"/>
              </w:rPr>
            </w:pPr>
            <w:r>
              <w:rPr>
                <w:rFonts w:cs="Arial"/>
                <w:szCs w:val="17"/>
                <w:lang w:val="it-IT"/>
              </w:rPr>
              <w:t>5.4. Fax</w:t>
            </w:r>
          </w:p>
        </w:tc>
        <w:tc>
          <w:tcPr>
            <w:tcW w:w="2386" w:type="dxa"/>
          </w:tcPr>
          <w:p>
            <w:pPr>
              <w:pStyle w:val="GesAbsatz"/>
              <w:jc w:val="both"/>
              <w:rPr>
                <w:rFonts w:cs="Arial"/>
                <w:szCs w:val="17"/>
                <w:lang w:val="it-IT"/>
              </w:rPr>
            </w:pPr>
          </w:p>
        </w:tc>
      </w:tr>
      <w:tr>
        <w:tblPrEx>
          <w:tblCellMar>
            <w:top w:w="0" w:type="dxa"/>
            <w:bottom w:w="0" w:type="dxa"/>
          </w:tblCellMar>
        </w:tblPrEx>
        <w:trPr>
          <w:jc w:val="center"/>
        </w:trPr>
        <w:tc>
          <w:tcPr>
            <w:tcW w:w="4772" w:type="dxa"/>
          </w:tcPr>
          <w:p>
            <w:pPr>
              <w:pStyle w:val="GesAbsatz"/>
              <w:jc w:val="both"/>
              <w:rPr>
                <w:rFonts w:cs="Arial"/>
                <w:szCs w:val="17"/>
                <w:lang w:val="it-IT"/>
              </w:rPr>
            </w:pPr>
            <w:r>
              <w:rPr>
                <w:rFonts w:cs="Arial"/>
                <w:szCs w:val="17"/>
                <w:lang w:val="it-IT"/>
              </w:rPr>
              <w:t>5.5. E-Mail</w:t>
            </w:r>
          </w:p>
        </w:tc>
        <w:tc>
          <w:tcPr>
            <w:tcW w:w="2386" w:type="dxa"/>
          </w:tcPr>
          <w:p>
            <w:pPr>
              <w:pStyle w:val="GesAbsatz"/>
              <w:jc w:val="both"/>
              <w:rPr>
                <w:rFonts w:cs="Arial"/>
                <w:szCs w:val="17"/>
                <w:lang w:val="it-IT"/>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6. Berichtsjahr</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7. 7. Durchgeführte Anhang I-Tätigkeit</w:t>
            </w:r>
            <w:r>
              <w:rPr>
                <w:rStyle w:val="Funotenzeichen"/>
                <w:rFonts w:cs="Arial"/>
                <w:szCs w:val="17"/>
              </w:rPr>
              <w:footnoteReference w:id="17"/>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Tätigkeit 1</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Tätigkeit 2</w:t>
            </w:r>
          </w:p>
        </w:tc>
        <w:tc>
          <w:tcPr>
            <w:tcW w:w="2386" w:type="dxa"/>
          </w:tcPr>
          <w:p>
            <w:pPr>
              <w:pStyle w:val="GesAbsatz"/>
              <w:jc w:val="both"/>
              <w:rPr>
                <w:rFonts w:cs="Arial"/>
                <w:szCs w:val="17"/>
              </w:rPr>
            </w:pPr>
          </w:p>
        </w:tc>
      </w:tr>
      <w:tr>
        <w:tblPrEx>
          <w:tblCellMar>
            <w:top w:w="0" w:type="dxa"/>
            <w:bottom w:w="0" w:type="dxa"/>
          </w:tblCellMar>
        </w:tblPrEx>
        <w:trPr>
          <w:jc w:val="center"/>
        </w:trPr>
        <w:tc>
          <w:tcPr>
            <w:tcW w:w="4772" w:type="dxa"/>
          </w:tcPr>
          <w:p>
            <w:pPr>
              <w:pStyle w:val="GesAbsatz"/>
              <w:jc w:val="both"/>
              <w:rPr>
                <w:rFonts w:cs="Arial"/>
                <w:szCs w:val="17"/>
              </w:rPr>
            </w:pPr>
            <w:r>
              <w:rPr>
                <w:rFonts w:cs="Arial"/>
                <w:szCs w:val="17"/>
              </w:rPr>
              <w:t>Tätigkeit N</w:t>
            </w:r>
          </w:p>
        </w:tc>
        <w:tc>
          <w:tcPr>
            <w:tcW w:w="2386" w:type="dxa"/>
          </w:tcPr>
          <w:p>
            <w:pPr>
              <w:pStyle w:val="GesAbsatz"/>
              <w:jc w:val="both"/>
              <w:rPr>
                <w:rFonts w:cs="Arial"/>
                <w:szCs w:val="17"/>
              </w:rPr>
            </w:pPr>
          </w:p>
        </w:tc>
      </w:tr>
    </w:tbl>
    <w:p>
      <w:pPr>
        <w:pStyle w:val="GesAbsatz"/>
        <w:jc w:val="both"/>
        <w:rPr>
          <w:rFonts w:cs="Arial"/>
          <w:szCs w:val="17"/>
        </w:rPr>
      </w:pPr>
    </w:p>
    <w:p>
      <w:pPr>
        <w:pStyle w:val="GesAbsatz"/>
        <w:jc w:val="both"/>
        <w:rPr>
          <w:rFonts w:cs="Arial"/>
          <w:b/>
          <w:bCs/>
          <w:szCs w:val="17"/>
        </w:rPr>
      </w:pPr>
      <w:r>
        <w:rPr>
          <w:rFonts w:cs="Arial"/>
          <w:b/>
          <w:bCs/>
          <w:szCs w:val="17"/>
        </w:rPr>
        <w:t>11.2. Übersicht - Tätigkeiten und Emissionen innerhalb einer Anlage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417"/>
        <w:gridCol w:w="1276"/>
        <w:gridCol w:w="1559"/>
        <w:gridCol w:w="1276"/>
        <w:gridCol w:w="1276"/>
        <w:gridCol w:w="1252"/>
      </w:tblGrid>
      <w:tr>
        <w:tblPrEx>
          <w:tblCellMar>
            <w:top w:w="0" w:type="dxa"/>
            <w:bottom w:w="0" w:type="dxa"/>
          </w:tblCellMar>
        </w:tblPrEx>
        <w:trPr>
          <w:cantSplit/>
        </w:trPr>
        <w:tc>
          <w:tcPr>
            <w:tcW w:w="7016" w:type="dxa"/>
            <w:gridSpan w:val="5"/>
          </w:tcPr>
          <w:p>
            <w:pPr>
              <w:pStyle w:val="GesAbsatz"/>
              <w:jc w:val="center"/>
              <w:rPr>
                <w:rFonts w:cs="Arial"/>
                <w:szCs w:val="15"/>
              </w:rPr>
            </w:pPr>
            <w:r>
              <w:rPr>
                <w:rFonts w:cs="Arial"/>
                <w:szCs w:val="15"/>
              </w:rPr>
              <w:t>Emissionen aus Anhang-I-Tätigkeiten</w:t>
            </w:r>
          </w:p>
        </w:tc>
        <w:tc>
          <w:tcPr>
            <w:tcW w:w="2528" w:type="dxa"/>
            <w:gridSpan w:val="2"/>
          </w:tcPr>
          <w:p>
            <w:pPr>
              <w:pStyle w:val="GesAbsatz"/>
              <w:jc w:val="both"/>
              <w:rPr>
                <w:rFonts w:cs="Arial"/>
                <w:szCs w:val="15"/>
              </w:rPr>
            </w:pPr>
          </w:p>
        </w:tc>
      </w:tr>
      <w:tr>
        <w:tblPrEx>
          <w:tblCellMar>
            <w:top w:w="0" w:type="dxa"/>
            <w:bottom w:w="0" w:type="dxa"/>
          </w:tblCellMar>
        </w:tblPrEx>
        <w:tc>
          <w:tcPr>
            <w:tcW w:w="1488" w:type="dxa"/>
            <w:tcBorders>
              <w:bottom w:val="single" w:sz="4" w:space="0" w:color="auto"/>
            </w:tcBorders>
          </w:tcPr>
          <w:p>
            <w:pPr>
              <w:pStyle w:val="GesAbsatz"/>
              <w:jc w:val="center"/>
              <w:rPr>
                <w:rFonts w:cs="Arial"/>
                <w:szCs w:val="15"/>
              </w:rPr>
            </w:pPr>
            <w:r>
              <w:rPr>
                <w:rFonts w:cs="Arial"/>
                <w:szCs w:val="15"/>
              </w:rPr>
              <w:lastRenderedPageBreak/>
              <w:t>Kategorien</w:t>
            </w:r>
          </w:p>
        </w:tc>
        <w:tc>
          <w:tcPr>
            <w:tcW w:w="1417" w:type="dxa"/>
          </w:tcPr>
          <w:p>
            <w:pPr>
              <w:pStyle w:val="GesAbsatz"/>
              <w:jc w:val="center"/>
              <w:rPr>
                <w:rFonts w:cs="Arial"/>
                <w:szCs w:val="15"/>
              </w:rPr>
            </w:pPr>
            <w:r>
              <w:rPr>
                <w:rFonts w:cs="Arial"/>
                <w:szCs w:val="15"/>
              </w:rPr>
              <w:t>IPCC CRF-Kateg</w:t>
            </w:r>
            <w:r>
              <w:rPr>
                <w:rFonts w:cs="Arial"/>
                <w:szCs w:val="15"/>
              </w:rPr>
              <w:t>o</w:t>
            </w:r>
            <w:r>
              <w:rPr>
                <w:rFonts w:cs="Arial"/>
                <w:szCs w:val="15"/>
              </w:rPr>
              <w:t>rie</w:t>
            </w:r>
            <w:r>
              <w:rPr>
                <w:rStyle w:val="Funotenzeichen"/>
                <w:rFonts w:cs="Arial"/>
                <w:szCs w:val="15"/>
              </w:rPr>
              <w:footnoteReference w:id="18"/>
            </w:r>
          </w:p>
        </w:tc>
        <w:tc>
          <w:tcPr>
            <w:tcW w:w="1276" w:type="dxa"/>
          </w:tcPr>
          <w:p>
            <w:pPr>
              <w:pStyle w:val="GesAbsatz"/>
              <w:jc w:val="center"/>
              <w:rPr>
                <w:rFonts w:cs="Arial"/>
                <w:szCs w:val="15"/>
              </w:rPr>
            </w:pPr>
            <w:r>
              <w:rPr>
                <w:rFonts w:cs="Arial"/>
                <w:szCs w:val="15"/>
              </w:rPr>
              <w:t>IPPC-Code der EPER-Kateg</w:t>
            </w:r>
            <w:r>
              <w:rPr>
                <w:rFonts w:cs="Arial"/>
                <w:szCs w:val="15"/>
              </w:rPr>
              <w:t>o</w:t>
            </w:r>
            <w:r>
              <w:rPr>
                <w:rFonts w:cs="Arial"/>
                <w:szCs w:val="15"/>
              </w:rPr>
              <w:t>rie</w:t>
            </w:r>
          </w:p>
        </w:tc>
        <w:tc>
          <w:tcPr>
            <w:tcW w:w="1559" w:type="dxa"/>
          </w:tcPr>
          <w:p>
            <w:pPr>
              <w:pStyle w:val="GesAbsatz"/>
              <w:jc w:val="center"/>
              <w:rPr>
                <w:rFonts w:cs="Arial"/>
                <w:szCs w:val="15"/>
              </w:rPr>
            </w:pPr>
            <w:r>
              <w:rPr>
                <w:rFonts w:cs="Arial"/>
                <w:szCs w:val="15"/>
              </w:rPr>
              <w:t>Angewandter A</w:t>
            </w:r>
            <w:r>
              <w:rPr>
                <w:rFonts w:cs="Arial"/>
                <w:szCs w:val="15"/>
              </w:rPr>
              <w:t>n</w:t>
            </w:r>
            <w:r>
              <w:rPr>
                <w:rFonts w:cs="Arial"/>
                <w:szCs w:val="15"/>
              </w:rPr>
              <w:t>satz?</w:t>
            </w:r>
            <w:r>
              <w:rPr>
                <w:rFonts w:cs="Arial"/>
                <w:szCs w:val="15"/>
              </w:rPr>
              <w:br/>
              <w:t>Berec</w:t>
            </w:r>
            <w:r>
              <w:rPr>
                <w:rFonts w:cs="Arial"/>
                <w:szCs w:val="15"/>
              </w:rPr>
              <w:t>h</w:t>
            </w:r>
            <w:r>
              <w:rPr>
                <w:rFonts w:cs="Arial"/>
                <w:szCs w:val="15"/>
              </w:rPr>
              <w:t>nung/Messung</w:t>
            </w:r>
          </w:p>
        </w:tc>
        <w:tc>
          <w:tcPr>
            <w:tcW w:w="1276" w:type="dxa"/>
          </w:tcPr>
          <w:p>
            <w:pPr>
              <w:pStyle w:val="GesAbsatz"/>
              <w:jc w:val="center"/>
              <w:rPr>
                <w:rFonts w:cs="Arial"/>
                <w:szCs w:val="15"/>
              </w:rPr>
            </w:pPr>
            <w:r>
              <w:rPr>
                <w:rFonts w:cs="Arial"/>
                <w:szCs w:val="15"/>
              </w:rPr>
              <w:t>Unsicherheit (bei Me</w:t>
            </w:r>
            <w:r>
              <w:rPr>
                <w:rFonts w:cs="Arial"/>
                <w:szCs w:val="15"/>
              </w:rPr>
              <w:t>s</w:t>
            </w:r>
            <w:r>
              <w:rPr>
                <w:rFonts w:cs="Arial"/>
                <w:szCs w:val="15"/>
              </w:rPr>
              <w:t xml:space="preserve">sung) </w:t>
            </w:r>
            <w:r>
              <w:rPr>
                <w:rStyle w:val="Funotenzeichen"/>
                <w:rFonts w:cs="Arial"/>
                <w:szCs w:val="15"/>
              </w:rPr>
              <w:footnoteReference w:id="19"/>
            </w:r>
          </w:p>
        </w:tc>
        <w:tc>
          <w:tcPr>
            <w:tcW w:w="1276" w:type="dxa"/>
          </w:tcPr>
          <w:p>
            <w:pPr>
              <w:pStyle w:val="GesAbsatz"/>
              <w:jc w:val="center"/>
              <w:rPr>
                <w:rFonts w:cs="Arial"/>
                <w:szCs w:val="15"/>
              </w:rPr>
            </w:pPr>
            <w:r>
              <w:rPr>
                <w:rFonts w:cs="Arial"/>
                <w:szCs w:val="15"/>
              </w:rPr>
              <w:t>Ebenenko</w:t>
            </w:r>
            <w:r>
              <w:rPr>
                <w:rFonts w:cs="Arial"/>
                <w:szCs w:val="15"/>
              </w:rPr>
              <w:t>n</w:t>
            </w:r>
            <w:r>
              <w:rPr>
                <w:rFonts w:cs="Arial"/>
                <w:szCs w:val="15"/>
              </w:rPr>
              <w:t>zept geä</w:t>
            </w:r>
            <w:r>
              <w:rPr>
                <w:rFonts w:cs="Arial"/>
                <w:szCs w:val="15"/>
              </w:rPr>
              <w:t>n</w:t>
            </w:r>
            <w:r>
              <w:rPr>
                <w:rFonts w:cs="Arial"/>
                <w:szCs w:val="15"/>
              </w:rPr>
              <w:t>dert? Ja/Nein</w:t>
            </w:r>
          </w:p>
        </w:tc>
        <w:tc>
          <w:tcPr>
            <w:tcW w:w="1252" w:type="dxa"/>
          </w:tcPr>
          <w:p>
            <w:pPr>
              <w:pStyle w:val="GesAbsatz"/>
              <w:jc w:val="center"/>
              <w:rPr>
                <w:rFonts w:cs="Arial"/>
                <w:szCs w:val="15"/>
              </w:rPr>
            </w:pPr>
            <w:r>
              <w:rPr>
                <w:rFonts w:cs="Arial"/>
                <w:szCs w:val="15"/>
              </w:rPr>
              <w:t>Emissi</w:t>
            </w:r>
            <w:r>
              <w:rPr>
                <w:rFonts w:cs="Arial"/>
                <w:szCs w:val="15"/>
              </w:rPr>
              <w:t>o</w:t>
            </w:r>
            <w:r>
              <w:rPr>
                <w:rFonts w:cs="Arial"/>
                <w:szCs w:val="15"/>
              </w:rPr>
              <w:t>nen</w:t>
            </w:r>
            <w:r>
              <w:rPr>
                <w:rFonts w:cs="Arial"/>
                <w:szCs w:val="15"/>
              </w:rPr>
              <w:br/>
              <w:t>t/CO</w:t>
            </w:r>
            <w:r>
              <w:rPr>
                <w:rFonts w:cs="Arial"/>
                <w:szCs w:val="8"/>
                <w:vertAlign w:val="subscript"/>
              </w:rPr>
              <w:t>2</w:t>
            </w:r>
          </w:p>
        </w:tc>
      </w:tr>
      <w:tr>
        <w:tblPrEx>
          <w:tblCellMar>
            <w:top w:w="0" w:type="dxa"/>
            <w:bottom w:w="0" w:type="dxa"/>
          </w:tblCellMar>
        </w:tblPrEx>
        <w:tc>
          <w:tcPr>
            <w:tcW w:w="1488" w:type="dxa"/>
            <w:shd w:val="clear" w:color="auto" w:fill="C0C0C0"/>
          </w:tcPr>
          <w:p>
            <w:pPr>
              <w:pStyle w:val="GesAbsatz"/>
              <w:rPr>
                <w:rFonts w:cs="Arial"/>
                <w:szCs w:val="15"/>
              </w:rPr>
            </w:pPr>
            <w:r>
              <w:rPr>
                <w:rFonts w:cs="Arial"/>
                <w:b/>
                <w:bCs/>
                <w:szCs w:val="15"/>
              </w:rPr>
              <w:t>Tätigkeiten</w:t>
            </w:r>
          </w:p>
        </w:tc>
        <w:tc>
          <w:tcPr>
            <w:tcW w:w="1417" w:type="dxa"/>
          </w:tcPr>
          <w:p>
            <w:pPr>
              <w:pStyle w:val="GesAbsatz"/>
              <w:rPr>
                <w:rFonts w:cs="Arial"/>
                <w:szCs w:val="15"/>
              </w:rPr>
            </w:pPr>
          </w:p>
        </w:tc>
        <w:tc>
          <w:tcPr>
            <w:tcW w:w="1276" w:type="dxa"/>
          </w:tcPr>
          <w:p>
            <w:pPr>
              <w:pStyle w:val="GesAbsatz"/>
              <w:rPr>
                <w:rFonts w:cs="Arial"/>
                <w:szCs w:val="15"/>
              </w:rPr>
            </w:pPr>
          </w:p>
        </w:tc>
        <w:tc>
          <w:tcPr>
            <w:tcW w:w="1559" w:type="dxa"/>
          </w:tcPr>
          <w:p>
            <w:pPr>
              <w:pStyle w:val="GesAbsatz"/>
              <w:rPr>
                <w:rFonts w:cs="Arial"/>
                <w:szCs w:val="15"/>
              </w:rPr>
            </w:pPr>
          </w:p>
        </w:tc>
        <w:tc>
          <w:tcPr>
            <w:tcW w:w="1276" w:type="dxa"/>
          </w:tcPr>
          <w:p>
            <w:pPr>
              <w:pStyle w:val="GesAbsatz"/>
              <w:rPr>
                <w:rFonts w:cs="Arial"/>
                <w:szCs w:val="15"/>
              </w:rPr>
            </w:pPr>
          </w:p>
        </w:tc>
        <w:tc>
          <w:tcPr>
            <w:tcW w:w="1276" w:type="dxa"/>
          </w:tcPr>
          <w:p>
            <w:pPr>
              <w:pStyle w:val="GesAbsatz"/>
              <w:rPr>
                <w:rFonts w:cs="Arial"/>
                <w:szCs w:val="15"/>
              </w:rPr>
            </w:pPr>
          </w:p>
        </w:tc>
        <w:tc>
          <w:tcPr>
            <w:tcW w:w="1252" w:type="dxa"/>
          </w:tcPr>
          <w:p>
            <w:pPr>
              <w:pStyle w:val="GesAbsatz"/>
              <w:rPr>
                <w:rFonts w:cs="Arial"/>
                <w:szCs w:val="15"/>
              </w:rPr>
            </w:pPr>
          </w:p>
        </w:tc>
      </w:tr>
      <w:tr>
        <w:tblPrEx>
          <w:tblCellMar>
            <w:top w:w="0" w:type="dxa"/>
            <w:bottom w:w="0" w:type="dxa"/>
          </w:tblCellMar>
        </w:tblPrEx>
        <w:tc>
          <w:tcPr>
            <w:tcW w:w="1488" w:type="dxa"/>
          </w:tcPr>
          <w:p>
            <w:pPr>
              <w:pStyle w:val="GesAbsatz"/>
              <w:rPr>
                <w:rFonts w:cs="Arial"/>
                <w:bCs/>
                <w:szCs w:val="15"/>
              </w:rPr>
            </w:pPr>
            <w:r>
              <w:rPr>
                <w:rFonts w:cs="Arial"/>
                <w:szCs w:val="17"/>
              </w:rPr>
              <w:t>Tätigkeit 1</w:t>
            </w:r>
          </w:p>
        </w:tc>
        <w:tc>
          <w:tcPr>
            <w:tcW w:w="1417" w:type="dxa"/>
          </w:tcPr>
          <w:p>
            <w:pPr>
              <w:pStyle w:val="GesAbsatz"/>
              <w:rPr>
                <w:rFonts w:cs="Arial"/>
                <w:szCs w:val="15"/>
              </w:rPr>
            </w:pPr>
          </w:p>
        </w:tc>
        <w:tc>
          <w:tcPr>
            <w:tcW w:w="1276" w:type="dxa"/>
          </w:tcPr>
          <w:p>
            <w:pPr>
              <w:pStyle w:val="GesAbsatz"/>
              <w:rPr>
                <w:rFonts w:cs="Arial"/>
                <w:szCs w:val="15"/>
              </w:rPr>
            </w:pPr>
          </w:p>
        </w:tc>
        <w:tc>
          <w:tcPr>
            <w:tcW w:w="1559" w:type="dxa"/>
          </w:tcPr>
          <w:p>
            <w:pPr>
              <w:pStyle w:val="GesAbsatz"/>
              <w:rPr>
                <w:rFonts w:cs="Arial"/>
                <w:szCs w:val="15"/>
              </w:rPr>
            </w:pPr>
          </w:p>
        </w:tc>
        <w:tc>
          <w:tcPr>
            <w:tcW w:w="1276" w:type="dxa"/>
          </w:tcPr>
          <w:p>
            <w:pPr>
              <w:pStyle w:val="GesAbsatz"/>
              <w:rPr>
                <w:rFonts w:cs="Arial"/>
                <w:szCs w:val="15"/>
              </w:rPr>
            </w:pPr>
          </w:p>
        </w:tc>
        <w:tc>
          <w:tcPr>
            <w:tcW w:w="1276" w:type="dxa"/>
          </w:tcPr>
          <w:p>
            <w:pPr>
              <w:pStyle w:val="GesAbsatz"/>
              <w:rPr>
                <w:rFonts w:cs="Arial"/>
                <w:szCs w:val="15"/>
              </w:rPr>
            </w:pPr>
          </w:p>
        </w:tc>
        <w:tc>
          <w:tcPr>
            <w:tcW w:w="1252" w:type="dxa"/>
          </w:tcPr>
          <w:p>
            <w:pPr>
              <w:pStyle w:val="GesAbsatz"/>
              <w:rPr>
                <w:rFonts w:cs="Arial"/>
                <w:szCs w:val="15"/>
              </w:rPr>
            </w:pPr>
          </w:p>
        </w:tc>
      </w:tr>
      <w:tr>
        <w:tblPrEx>
          <w:tblCellMar>
            <w:top w:w="0" w:type="dxa"/>
            <w:bottom w:w="0" w:type="dxa"/>
          </w:tblCellMar>
        </w:tblPrEx>
        <w:tc>
          <w:tcPr>
            <w:tcW w:w="1488" w:type="dxa"/>
          </w:tcPr>
          <w:p>
            <w:pPr>
              <w:pStyle w:val="GesAbsatz"/>
              <w:rPr>
                <w:rFonts w:cs="Arial"/>
                <w:szCs w:val="17"/>
              </w:rPr>
            </w:pPr>
            <w:r>
              <w:rPr>
                <w:rFonts w:cs="Arial"/>
                <w:szCs w:val="17"/>
              </w:rPr>
              <w:t>Tätigkeit 2</w:t>
            </w:r>
          </w:p>
        </w:tc>
        <w:tc>
          <w:tcPr>
            <w:tcW w:w="1417" w:type="dxa"/>
          </w:tcPr>
          <w:p>
            <w:pPr>
              <w:pStyle w:val="GesAbsatz"/>
              <w:rPr>
                <w:rFonts w:cs="Arial"/>
                <w:szCs w:val="15"/>
              </w:rPr>
            </w:pPr>
          </w:p>
        </w:tc>
        <w:tc>
          <w:tcPr>
            <w:tcW w:w="1276" w:type="dxa"/>
          </w:tcPr>
          <w:p>
            <w:pPr>
              <w:pStyle w:val="GesAbsatz"/>
              <w:rPr>
                <w:rFonts w:cs="Arial"/>
                <w:szCs w:val="15"/>
              </w:rPr>
            </w:pPr>
          </w:p>
        </w:tc>
        <w:tc>
          <w:tcPr>
            <w:tcW w:w="1559" w:type="dxa"/>
          </w:tcPr>
          <w:p>
            <w:pPr>
              <w:pStyle w:val="GesAbsatz"/>
              <w:rPr>
                <w:rFonts w:cs="Arial"/>
                <w:szCs w:val="15"/>
              </w:rPr>
            </w:pPr>
          </w:p>
        </w:tc>
        <w:tc>
          <w:tcPr>
            <w:tcW w:w="1276" w:type="dxa"/>
          </w:tcPr>
          <w:p>
            <w:pPr>
              <w:pStyle w:val="GesAbsatz"/>
              <w:rPr>
                <w:rFonts w:cs="Arial"/>
                <w:szCs w:val="15"/>
              </w:rPr>
            </w:pPr>
          </w:p>
        </w:tc>
        <w:tc>
          <w:tcPr>
            <w:tcW w:w="1276" w:type="dxa"/>
          </w:tcPr>
          <w:p>
            <w:pPr>
              <w:pStyle w:val="GesAbsatz"/>
              <w:rPr>
                <w:rFonts w:cs="Arial"/>
                <w:szCs w:val="15"/>
              </w:rPr>
            </w:pPr>
          </w:p>
        </w:tc>
        <w:tc>
          <w:tcPr>
            <w:tcW w:w="1252" w:type="dxa"/>
          </w:tcPr>
          <w:p>
            <w:pPr>
              <w:pStyle w:val="GesAbsatz"/>
              <w:rPr>
                <w:rFonts w:cs="Arial"/>
                <w:szCs w:val="15"/>
              </w:rPr>
            </w:pPr>
          </w:p>
        </w:tc>
      </w:tr>
      <w:tr>
        <w:tblPrEx>
          <w:tblCellMar>
            <w:top w:w="0" w:type="dxa"/>
            <w:bottom w:w="0" w:type="dxa"/>
          </w:tblCellMar>
        </w:tblPrEx>
        <w:tc>
          <w:tcPr>
            <w:tcW w:w="1488" w:type="dxa"/>
          </w:tcPr>
          <w:p>
            <w:pPr>
              <w:pStyle w:val="GesAbsatz"/>
              <w:rPr>
                <w:rFonts w:cs="Arial"/>
                <w:szCs w:val="17"/>
              </w:rPr>
            </w:pPr>
            <w:r>
              <w:rPr>
                <w:rFonts w:cs="Arial"/>
                <w:szCs w:val="17"/>
              </w:rPr>
              <w:t>Tätigkeit N</w:t>
            </w:r>
          </w:p>
        </w:tc>
        <w:tc>
          <w:tcPr>
            <w:tcW w:w="1417" w:type="dxa"/>
          </w:tcPr>
          <w:p>
            <w:pPr>
              <w:pStyle w:val="GesAbsatz"/>
              <w:rPr>
                <w:rFonts w:cs="Arial"/>
                <w:szCs w:val="15"/>
              </w:rPr>
            </w:pPr>
          </w:p>
        </w:tc>
        <w:tc>
          <w:tcPr>
            <w:tcW w:w="1276" w:type="dxa"/>
          </w:tcPr>
          <w:p>
            <w:pPr>
              <w:pStyle w:val="GesAbsatz"/>
              <w:rPr>
                <w:rFonts w:cs="Arial"/>
                <w:szCs w:val="15"/>
              </w:rPr>
            </w:pPr>
          </w:p>
        </w:tc>
        <w:tc>
          <w:tcPr>
            <w:tcW w:w="1559" w:type="dxa"/>
          </w:tcPr>
          <w:p>
            <w:pPr>
              <w:pStyle w:val="GesAbsatz"/>
              <w:rPr>
                <w:rFonts w:cs="Arial"/>
                <w:szCs w:val="15"/>
              </w:rPr>
            </w:pPr>
          </w:p>
        </w:tc>
        <w:tc>
          <w:tcPr>
            <w:tcW w:w="1276" w:type="dxa"/>
          </w:tcPr>
          <w:p>
            <w:pPr>
              <w:pStyle w:val="GesAbsatz"/>
              <w:rPr>
                <w:rFonts w:cs="Arial"/>
                <w:szCs w:val="15"/>
              </w:rPr>
            </w:pPr>
          </w:p>
        </w:tc>
        <w:tc>
          <w:tcPr>
            <w:tcW w:w="1276" w:type="dxa"/>
          </w:tcPr>
          <w:p>
            <w:pPr>
              <w:pStyle w:val="GesAbsatz"/>
              <w:rPr>
                <w:rFonts w:cs="Arial"/>
                <w:szCs w:val="15"/>
              </w:rPr>
            </w:pPr>
          </w:p>
        </w:tc>
        <w:tc>
          <w:tcPr>
            <w:tcW w:w="1252" w:type="dxa"/>
          </w:tcPr>
          <w:p>
            <w:pPr>
              <w:pStyle w:val="GesAbsatz"/>
              <w:rPr>
                <w:rFonts w:cs="Arial"/>
                <w:szCs w:val="15"/>
              </w:rPr>
            </w:pPr>
          </w:p>
        </w:tc>
      </w:tr>
      <w:tr>
        <w:tblPrEx>
          <w:tblCellMar>
            <w:top w:w="0" w:type="dxa"/>
            <w:bottom w:w="0" w:type="dxa"/>
          </w:tblCellMar>
        </w:tblPrEx>
        <w:tc>
          <w:tcPr>
            <w:tcW w:w="1488" w:type="dxa"/>
            <w:tcBorders>
              <w:bottom w:val="single" w:sz="4" w:space="0" w:color="auto"/>
            </w:tcBorders>
          </w:tcPr>
          <w:p>
            <w:pPr>
              <w:pStyle w:val="GesAbsatz"/>
              <w:rPr>
                <w:rFonts w:cs="Arial"/>
                <w:szCs w:val="17"/>
              </w:rPr>
            </w:pPr>
          </w:p>
        </w:tc>
        <w:tc>
          <w:tcPr>
            <w:tcW w:w="1417" w:type="dxa"/>
          </w:tcPr>
          <w:p>
            <w:pPr>
              <w:pStyle w:val="GesAbsatz"/>
              <w:rPr>
                <w:rFonts w:cs="Arial"/>
                <w:szCs w:val="15"/>
              </w:rPr>
            </w:pPr>
          </w:p>
        </w:tc>
        <w:tc>
          <w:tcPr>
            <w:tcW w:w="1276" w:type="dxa"/>
          </w:tcPr>
          <w:p>
            <w:pPr>
              <w:pStyle w:val="GesAbsatz"/>
              <w:rPr>
                <w:rFonts w:cs="Arial"/>
                <w:szCs w:val="15"/>
              </w:rPr>
            </w:pPr>
          </w:p>
        </w:tc>
        <w:tc>
          <w:tcPr>
            <w:tcW w:w="1559" w:type="dxa"/>
          </w:tcPr>
          <w:p>
            <w:pPr>
              <w:pStyle w:val="GesAbsatz"/>
              <w:rPr>
                <w:rFonts w:cs="Arial"/>
                <w:szCs w:val="15"/>
              </w:rPr>
            </w:pPr>
          </w:p>
        </w:tc>
        <w:tc>
          <w:tcPr>
            <w:tcW w:w="1276" w:type="dxa"/>
          </w:tcPr>
          <w:p>
            <w:pPr>
              <w:pStyle w:val="GesAbsatz"/>
              <w:rPr>
                <w:rFonts w:cs="Arial"/>
                <w:szCs w:val="15"/>
              </w:rPr>
            </w:pPr>
          </w:p>
        </w:tc>
        <w:tc>
          <w:tcPr>
            <w:tcW w:w="1276" w:type="dxa"/>
          </w:tcPr>
          <w:p>
            <w:pPr>
              <w:pStyle w:val="GesAbsatz"/>
              <w:rPr>
                <w:rFonts w:cs="Arial"/>
                <w:szCs w:val="15"/>
              </w:rPr>
            </w:pPr>
          </w:p>
        </w:tc>
        <w:tc>
          <w:tcPr>
            <w:tcW w:w="1252" w:type="dxa"/>
          </w:tcPr>
          <w:p>
            <w:pPr>
              <w:pStyle w:val="GesAbsatz"/>
              <w:rPr>
                <w:rFonts w:cs="Arial"/>
                <w:szCs w:val="15"/>
              </w:rPr>
            </w:pPr>
          </w:p>
        </w:tc>
      </w:tr>
      <w:tr>
        <w:tblPrEx>
          <w:tblCellMar>
            <w:top w:w="0" w:type="dxa"/>
            <w:bottom w:w="0" w:type="dxa"/>
          </w:tblCellMar>
        </w:tblPrEx>
        <w:tc>
          <w:tcPr>
            <w:tcW w:w="1488" w:type="dxa"/>
            <w:shd w:val="clear" w:color="auto" w:fill="C0C0C0"/>
          </w:tcPr>
          <w:p>
            <w:pPr>
              <w:pStyle w:val="GesAbsatz"/>
              <w:rPr>
                <w:rFonts w:cs="Arial"/>
                <w:szCs w:val="17"/>
              </w:rPr>
            </w:pPr>
            <w:r>
              <w:rPr>
                <w:rFonts w:cs="Arial"/>
                <w:b/>
                <w:bCs/>
                <w:szCs w:val="17"/>
              </w:rPr>
              <w:t>Gesamt</w:t>
            </w:r>
          </w:p>
        </w:tc>
        <w:tc>
          <w:tcPr>
            <w:tcW w:w="1417" w:type="dxa"/>
          </w:tcPr>
          <w:p>
            <w:pPr>
              <w:pStyle w:val="GesAbsatz"/>
              <w:rPr>
                <w:rFonts w:cs="Arial"/>
                <w:szCs w:val="15"/>
              </w:rPr>
            </w:pPr>
          </w:p>
        </w:tc>
        <w:tc>
          <w:tcPr>
            <w:tcW w:w="1276" w:type="dxa"/>
          </w:tcPr>
          <w:p>
            <w:pPr>
              <w:pStyle w:val="GesAbsatz"/>
              <w:rPr>
                <w:rFonts w:cs="Arial"/>
                <w:szCs w:val="15"/>
              </w:rPr>
            </w:pPr>
          </w:p>
        </w:tc>
        <w:tc>
          <w:tcPr>
            <w:tcW w:w="1559" w:type="dxa"/>
          </w:tcPr>
          <w:p>
            <w:pPr>
              <w:pStyle w:val="GesAbsatz"/>
              <w:rPr>
                <w:rFonts w:cs="Arial"/>
                <w:szCs w:val="15"/>
              </w:rPr>
            </w:pPr>
          </w:p>
        </w:tc>
        <w:tc>
          <w:tcPr>
            <w:tcW w:w="1276" w:type="dxa"/>
          </w:tcPr>
          <w:p>
            <w:pPr>
              <w:pStyle w:val="GesAbsatz"/>
              <w:rPr>
                <w:rFonts w:cs="Arial"/>
                <w:szCs w:val="15"/>
              </w:rPr>
            </w:pPr>
          </w:p>
        </w:tc>
        <w:tc>
          <w:tcPr>
            <w:tcW w:w="1276" w:type="dxa"/>
          </w:tcPr>
          <w:p>
            <w:pPr>
              <w:pStyle w:val="GesAbsatz"/>
              <w:rPr>
                <w:rFonts w:cs="Arial"/>
                <w:szCs w:val="15"/>
              </w:rPr>
            </w:pPr>
          </w:p>
        </w:tc>
        <w:tc>
          <w:tcPr>
            <w:tcW w:w="1252" w:type="dxa"/>
          </w:tcPr>
          <w:p>
            <w:pPr>
              <w:pStyle w:val="GesAbsatz"/>
              <w:rPr>
                <w:rFonts w:cs="Arial"/>
                <w:szCs w:val="15"/>
              </w:rPr>
            </w:pPr>
          </w:p>
        </w:tc>
      </w:tr>
    </w:tbl>
    <w:p>
      <w:pPr>
        <w:pStyle w:val="GesAbsatz"/>
        <w:jc w:val="both"/>
        <w:rPr>
          <w:rFonts w:cs="Arial"/>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0"/>
        <w:gridCol w:w="1590"/>
        <w:gridCol w:w="1591"/>
        <w:gridCol w:w="1591"/>
        <w:gridCol w:w="1591"/>
        <w:gridCol w:w="1591"/>
      </w:tblGrid>
      <w:tr>
        <w:tblPrEx>
          <w:tblCellMar>
            <w:top w:w="0" w:type="dxa"/>
            <w:bottom w:w="0" w:type="dxa"/>
          </w:tblCellMar>
        </w:tblPrEx>
        <w:tc>
          <w:tcPr>
            <w:tcW w:w="1590" w:type="dxa"/>
            <w:shd w:val="clear" w:color="auto" w:fill="C0C0C0"/>
          </w:tcPr>
          <w:p>
            <w:pPr>
              <w:pStyle w:val="GesAbsatz"/>
              <w:jc w:val="center"/>
              <w:rPr>
                <w:rFonts w:cs="Arial"/>
                <w:szCs w:val="15"/>
              </w:rPr>
            </w:pPr>
            <w:r>
              <w:rPr>
                <w:rFonts w:cs="Arial"/>
                <w:b/>
                <w:bCs/>
                <w:szCs w:val="15"/>
              </w:rPr>
              <w:t>Memo-Items</w:t>
            </w:r>
          </w:p>
        </w:tc>
        <w:tc>
          <w:tcPr>
            <w:tcW w:w="7954" w:type="dxa"/>
            <w:gridSpan w:val="5"/>
          </w:tcPr>
          <w:p>
            <w:pPr>
              <w:pStyle w:val="GesAbsatz"/>
              <w:jc w:val="center"/>
              <w:rPr>
                <w:rFonts w:cs="Arial"/>
                <w:szCs w:val="15"/>
              </w:rPr>
            </w:pPr>
          </w:p>
        </w:tc>
      </w:tr>
      <w:tr>
        <w:tblPrEx>
          <w:tblCellMar>
            <w:top w:w="0" w:type="dxa"/>
            <w:bottom w:w="0" w:type="dxa"/>
          </w:tblCellMar>
        </w:tblPrEx>
        <w:trPr>
          <w:cantSplit/>
        </w:trPr>
        <w:tc>
          <w:tcPr>
            <w:tcW w:w="1590" w:type="dxa"/>
          </w:tcPr>
          <w:p>
            <w:pPr>
              <w:pStyle w:val="GesAbsatz"/>
              <w:jc w:val="center"/>
              <w:rPr>
                <w:rFonts w:cs="Arial"/>
                <w:szCs w:val="15"/>
              </w:rPr>
            </w:pPr>
          </w:p>
        </w:tc>
        <w:tc>
          <w:tcPr>
            <w:tcW w:w="3181" w:type="dxa"/>
            <w:gridSpan w:val="2"/>
          </w:tcPr>
          <w:p>
            <w:pPr>
              <w:pStyle w:val="GesAbsatz"/>
              <w:jc w:val="center"/>
              <w:rPr>
                <w:rFonts w:cs="Arial"/>
                <w:szCs w:val="15"/>
              </w:rPr>
            </w:pPr>
            <w:r>
              <w:rPr>
                <w:rFonts w:cs="Arial"/>
                <w:szCs w:val="15"/>
              </w:rPr>
              <w:t>Weitergeleitetes CO</w:t>
            </w:r>
            <w:r>
              <w:rPr>
                <w:rFonts w:cs="Arial"/>
                <w:szCs w:val="8"/>
                <w:vertAlign w:val="subscript"/>
              </w:rPr>
              <w:t>2</w:t>
            </w:r>
          </w:p>
        </w:tc>
        <w:tc>
          <w:tcPr>
            <w:tcW w:w="1591" w:type="dxa"/>
            <w:vMerge w:val="restart"/>
            <w:vAlign w:val="center"/>
          </w:tcPr>
          <w:p>
            <w:pPr>
              <w:pStyle w:val="GesAbsatz"/>
              <w:jc w:val="center"/>
              <w:rPr>
                <w:rFonts w:cs="Arial"/>
                <w:szCs w:val="15"/>
              </w:rPr>
            </w:pPr>
            <w:r>
              <w:rPr>
                <w:rFonts w:cs="Arial"/>
                <w:szCs w:val="15"/>
              </w:rPr>
              <w:t>Für Verbre</w:t>
            </w:r>
            <w:r>
              <w:rPr>
                <w:rFonts w:cs="Arial"/>
                <w:szCs w:val="15"/>
              </w:rPr>
              <w:t>n</w:t>
            </w:r>
            <w:r>
              <w:rPr>
                <w:rFonts w:cs="Arial"/>
                <w:szCs w:val="15"/>
              </w:rPr>
              <w:t>nung eingeset</w:t>
            </w:r>
            <w:r>
              <w:rPr>
                <w:rFonts w:cs="Arial"/>
                <w:szCs w:val="15"/>
              </w:rPr>
              <w:t>z</w:t>
            </w:r>
            <w:r>
              <w:rPr>
                <w:rFonts w:cs="Arial"/>
                <w:szCs w:val="15"/>
              </w:rPr>
              <w:t>te Biomasse</w:t>
            </w:r>
          </w:p>
        </w:tc>
        <w:tc>
          <w:tcPr>
            <w:tcW w:w="1591" w:type="dxa"/>
            <w:vMerge w:val="restart"/>
            <w:vAlign w:val="center"/>
          </w:tcPr>
          <w:p>
            <w:pPr>
              <w:pStyle w:val="GesAbsatz"/>
              <w:jc w:val="center"/>
              <w:rPr>
                <w:rFonts w:cs="Arial"/>
                <w:szCs w:val="15"/>
              </w:rPr>
            </w:pPr>
            <w:r>
              <w:rPr>
                <w:rFonts w:cs="Arial"/>
                <w:szCs w:val="15"/>
              </w:rPr>
              <w:t>In Prozessen eingesetzte Biomasse</w:t>
            </w:r>
          </w:p>
        </w:tc>
        <w:tc>
          <w:tcPr>
            <w:tcW w:w="1591" w:type="dxa"/>
            <w:vMerge w:val="restart"/>
            <w:vAlign w:val="center"/>
          </w:tcPr>
          <w:p>
            <w:pPr>
              <w:pStyle w:val="GesAbsatz"/>
              <w:jc w:val="center"/>
              <w:rPr>
                <w:rFonts w:cs="Arial"/>
                <w:szCs w:val="15"/>
              </w:rPr>
            </w:pPr>
            <w:r>
              <w:rPr>
                <w:rFonts w:cs="Arial"/>
                <w:szCs w:val="15"/>
              </w:rPr>
              <w:t>Biomasse-Emissionen</w:t>
            </w:r>
          </w:p>
        </w:tc>
      </w:tr>
      <w:tr>
        <w:tblPrEx>
          <w:tblCellMar>
            <w:top w:w="0" w:type="dxa"/>
            <w:bottom w:w="0" w:type="dxa"/>
          </w:tblCellMar>
        </w:tblPrEx>
        <w:trPr>
          <w:cantSplit/>
        </w:trPr>
        <w:tc>
          <w:tcPr>
            <w:tcW w:w="1590" w:type="dxa"/>
          </w:tcPr>
          <w:p>
            <w:pPr>
              <w:pStyle w:val="GesAbsatz"/>
              <w:jc w:val="center"/>
              <w:rPr>
                <w:rFonts w:cs="Arial"/>
                <w:szCs w:val="15"/>
              </w:rPr>
            </w:pPr>
          </w:p>
        </w:tc>
        <w:tc>
          <w:tcPr>
            <w:tcW w:w="1590" w:type="dxa"/>
          </w:tcPr>
          <w:p>
            <w:pPr>
              <w:pStyle w:val="GesAbsatz"/>
              <w:jc w:val="center"/>
              <w:rPr>
                <w:rFonts w:cs="Arial"/>
                <w:szCs w:val="15"/>
              </w:rPr>
            </w:pPr>
            <w:r>
              <w:rPr>
                <w:rFonts w:cs="Arial"/>
                <w:szCs w:val="15"/>
              </w:rPr>
              <w:t>Weitergeleitete Menge</w:t>
            </w:r>
          </w:p>
        </w:tc>
        <w:tc>
          <w:tcPr>
            <w:tcW w:w="1591" w:type="dxa"/>
          </w:tcPr>
          <w:p>
            <w:pPr>
              <w:pStyle w:val="GesAbsatz"/>
              <w:jc w:val="center"/>
              <w:rPr>
                <w:rFonts w:cs="Arial"/>
                <w:szCs w:val="15"/>
              </w:rPr>
            </w:pPr>
            <w:r>
              <w:rPr>
                <w:rFonts w:cs="Arial"/>
                <w:szCs w:val="15"/>
              </w:rPr>
              <w:t>Weitergeleit</w:t>
            </w:r>
            <w:r>
              <w:rPr>
                <w:rFonts w:cs="Arial"/>
                <w:szCs w:val="15"/>
              </w:rPr>
              <w:t>e</w:t>
            </w:r>
            <w:r>
              <w:rPr>
                <w:rFonts w:cs="Arial"/>
                <w:szCs w:val="15"/>
              </w:rPr>
              <w:t>tes Material</w:t>
            </w:r>
          </w:p>
        </w:tc>
        <w:tc>
          <w:tcPr>
            <w:tcW w:w="1591" w:type="dxa"/>
            <w:vMerge/>
          </w:tcPr>
          <w:p>
            <w:pPr>
              <w:pStyle w:val="GesAbsatz"/>
              <w:jc w:val="center"/>
              <w:rPr>
                <w:rFonts w:cs="Arial"/>
                <w:szCs w:val="15"/>
              </w:rPr>
            </w:pPr>
          </w:p>
        </w:tc>
        <w:tc>
          <w:tcPr>
            <w:tcW w:w="1591" w:type="dxa"/>
            <w:vMerge/>
          </w:tcPr>
          <w:p>
            <w:pPr>
              <w:pStyle w:val="GesAbsatz"/>
              <w:jc w:val="center"/>
              <w:rPr>
                <w:rFonts w:cs="Arial"/>
                <w:szCs w:val="15"/>
              </w:rPr>
            </w:pPr>
          </w:p>
        </w:tc>
        <w:tc>
          <w:tcPr>
            <w:tcW w:w="1591" w:type="dxa"/>
            <w:vMerge/>
          </w:tcPr>
          <w:p>
            <w:pPr>
              <w:pStyle w:val="GesAbsatz"/>
              <w:jc w:val="center"/>
              <w:rPr>
                <w:rFonts w:cs="Arial"/>
                <w:szCs w:val="15"/>
              </w:rPr>
            </w:pPr>
          </w:p>
        </w:tc>
      </w:tr>
      <w:tr>
        <w:tblPrEx>
          <w:tblCellMar>
            <w:top w:w="0" w:type="dxa"/>
            <w:bottom w:w="0" w:type="dxa"/>
          </w:tblCellMar>
        </w:tblPrEx>
        <w:tc>
          <w:tcPr>
            <w:tcW w:w="1590" w:type="dxa"/>
          </w:tcPr>
          <w:p>
            <w:pPr>
              <w:pStyle w:val="GesAbsatz"/>
              <w:rPr>
                <w:rFonts w:cs="Arial"/>
                <w:szCs w:val="15"/>
              </w:rPr>
            </w:pPr>
            <w:r>
              <w:rPr>
                <w:rFonts w:cs="Arial"/>
                <w:szCs w:val="15"/>
              </w:rPr>
              <w:t>Einheit</w:t>
            </w:r>
          </w:p>
        </w:tc>
        <w:tc>
          <w:tcPr>
            <w:tcW w:w="1590" w:type="dxa"/>
          </w:tcPr>
          <w:p>
            <w:pPr>
              <w:pStyle w:val="GesAbsatz"/>
              <w:jc w:val="center"/>
              <w:rPr>
                <w:rFonts w:cs="Arial"/>
                <w:szCs w:val="15"/>
                <w:lang w:val="en-GB"/>
              </w:rPr>
            </w:pPr>
            <w:r>
              <w:rPr>
                <w:rFonts w:cs="Arial"/>
                <w:szCs w:val="15"/>
                <w:lang w:val="en-GB"/>
              </w:rPr>
              <w:t>[t CO</w:t>
            </w:r>
            <w:r>
              <w:rPr>
                <w:rFonts w:cs="Arial"/>
                <w:szCs w:val="8"/>
                <w:vertAlign w:val="subscript"/>
                <w:lang w:val="en-GB"/>
              </w:rPr>
              <w:t>2</w:t>
            </w:r>
            <w:r>
              <w:rPr>
                <w:rFonts w:cs="Arial"/>
                <w:szCs w:val="15"/>
                <w:lang w:val="en-GB"/>
              </w:rPr>
              <w:t>]</w:t>
            </w:r>
          </w:p>
        </w:tc>
        <w:tc>
          <w:tcPr>
            <w:tcW w:w="1591" w:type="dxa"/>
          </w:tcPr>
          <w:p>
            <w:pPr>
              <w:pStyle w:val="GesAbsatz"/>
              <w:jc w:val="center"/>
              <w:rPr>
                <w:rFonts w:cs="Arial"/>
                <w:szCs w:val="15"/>
                <w:lang w:val="en-GB"/>
              </w:rPr>
            </w:pPr>
          </w:p>
        </w:tc>
        <w:tc>
          <w:tcPr>
            <w:tcW w:w="1591" w:type="dxa"/>
          </w:tcPr>
          <w:p>
            <w:pPr>
              <w:pStyle w:val="GesAbsatz"/>
              <w:jc w:val="center"/>
              <w:rPr>
                <w:rFonts w:cs="Arial"/>
                <w:szCs w:val="15"/>
                <w:lang w:val="en-GB"/>
              </w:rPr>
            </w:pPr>
            <w:r>
              <w:rPr>
                <w:rFonts w:cs="Arial"/>
                <w:szCs w:val="15"/>
                <w:lang w:val="en-GB"/>
              </w:rPr>
              <w:t>[TJ]</w:t>
            </w:r>
          </w:p>
        </w:tc>
        <w:tc>
          <w:tcPr>
            <w:tcW w:w="1591" w:type="dxa"/>
          </w:tcPr>
          <w:p>
            <w:pPr>
              <w:pStyle w:val="GesAbsatz"/>
              <w:jc w:val="center"/>
              <w:rPr>
                <w:rFonts w:cs="Arial"/>
                <w:szCs w:val="15"/>
              </w:rPr>
            </w:pPr>
            <w:r>
              <w:rPr>
                <w:rFonts w:cs="Arial"/>
                <w:szCs w:val="15"/>
              </w:rPr>
              <w:t>[t oder m</w:t>
            </w:r>
            <w:r>
              <w:rPr>
                <w:rFonts w:cs="Arial"/>
                <w:szCs w:val="8"/>
                <w:vertAlign w:val="superscript"/>
              </w:rPr>
              <w:t>3</w:t>
            </w:r>
            <w:r>
              <w:rPr>
                <w:rFonts w:cs="Arial"/>
                <w:szCs w:val="15"/>
              </w:rPr>
              <w:t>]</w:t>
            </w:r>
          </w:p>
        </w:tc>
        <w:tc>
          <w:tcPr>
            <w:tcW w:w="1591" w:type="dxa"/>
          </w:tcPr>
          <w:p>
            <w:pPr>
              <w:pStyle w:val="GesAbsatz"/>
              <w:jc w:val="center"/>
              <w:rPr>
                <w:rFonts w:cs="Arial"/>
                <w:szCs w:val="15"/>
              </w:rPr>
            </w:pPr>
            <w:r>
              <w:rPr>
                <w:rFonts w:cs="Arial"/>
                <w:szCs w:val="15"/>
              </w:rPr>
              <w:t>[tCO</w:t>
            </w:r>
            <w:r>
              <w:rPr>
                <w:rFonts w:cs="Arial"/>
                <w:szCs w:val="8"/>
                <w:vertAlign w:val="subscript"/>
              </w:rPr>
              <w:t>2</w:t>
            </w:r>
            <w:r>
              <w:rPr>
                <w:rFonts w:cs="Arial"/>
                <w:szCs w:val="8"/>
              </w:rPr>
              <w:t xml:space="preserve"> </w:t>
            </w:r>
            <w:r>
              <w:rPr>
                <w:rFonts w:cs="Arial"/>
                <w:szCs w:val="15"/>
              </w:rPr>
              <w:t>]</w:t>
            </w:r>
            <w:r>
              <w:rPr>
                <w:rStyle w:val="Funotenzeichen"/>
                <w:rFonts w:cs="Arial"/>
                <w:szCs w:val="15"/>
              </w:rPr>
              <w:footnoteReference w:id="20"/>
            </w:r>
          </w:p>
        </w:tc>
      </w:tr>
      <w:tr>
        <w:tblPrEx>
          <w:tblCellMar>
            <w:top w:w="0" w:type="dxa"/>
            <w:bottom w:w="0" w:type="dxa"/>
          </w:tblCellMar>
        </w:tblPrEx>
        <w:tc>
          <w:tcPr>
            <w:tcW w:w="1590" w:type="dxa"/>
          </w:tcPr>
          <w:p>
            <w:pPr>
              <w:pStyle w:val="GesAbsatz"/>
              <w:rPr>
                <w:rFonts w:cs="Arial"/>
                <w:szCs w:val="15"/>
              </w:rPr>
            </w:pPr>
            <w:r>
              <w:rPr>
                <w:rFonts w:cs="Arial"/>
                <w:szCs w:val="17"/>
              </w:rPr>
              <w:t>Tätigkeit 1</w:t>
            </w:r>
          </w:p>
        </w:tc>
        <w:tc>
          <w:tcPr>
            <w:tcW w:w="1590"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r>
      <w:tr>
        <w:tblPrEx>
          <w:tblCellMar>
            <w:top w:w="0" w:type="dxa"/>
            <w:bottom w:w="0" w:type="dxa"/>
          </w:tblCellMar>
        </w:tblPrEx>
        <w:tc>
          <w:tcPr>
            <w:tcW w:w="1590" w:type="dxa"/>
          </w:tcPr>
          <w:p>
            <w:pPr>
              <w:pStyle w:val="GesAbsatz"/>
              <w:rPr>
                <w:rFonts w:cs="Arial"/>
                <w:szCs w:val="17"/>
              </w:rPr>
            </w:pPr>
            <w:r>
              <w:rPr>
                <w:rFonts w:cs="Arial"/>
                <w:szCs w:val="17"/>
              </w:rPr>
              <w:t>Tätigkeit 2</w:t>
            </w:r>
          </w:p>
        </w:tc>
        <w:tc>
          <w:tcPr>
            <w:tcW w:w="1590"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r>
      <w:tr>
        <w:tblPrEx>
          <w:tblCellMar>
            <w:top w:w="0" w:type="dxa"/>
            <w:bottom w:w="0" w:type="dxa"/>
          </w:tblCellMar>
        </w:tblPrEx>
        <w:tc>
          <w:tcPr>
            <w:tcW w:w="1590" w:type="dxa"/>
          </w:tcPr>
          <w:p>
            <w:pPr>
              <w:pStyle w:val="GesAbsatz"/>
              <w:rPr>
                <w:rFonts w:cs="Arial"/>
                <w:szCs w:val="17"/>
              </w:rPr>
            </w:pPr>
            <w:r>
              <w:rPr>
                <w:rFonts w:cs="Arial"/>
                <w:szCs w:val="17"/>
              </w:rPr>
              <w:t>Tätigkeit N</w:t>
            </w:r>
          </w:p>
        </w:tc>
        <w:tc>
          <w:tcPr>
            <w:tcW w:w="1590"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c>
          <w:tcPr>
            <w:tcW w:w="1591" w:type="dxa"/>
          </w:tcPr>
          <w:p>
            <w:pPr>
              <w:pStyle w:val="GesAbsatz"/>
              <w:rPr>
                <w:rFonts w:cs="Arial"/>
                <w:szCs w:val="15"/>
              </w:rPr>
            </w:pPr>
          </w:p>
        </w:tc>
      </w:tr>
    </w:tbl>
    <w:p>
      <w:pPr>
        <w:pStyle w:val="GesAbsatz"/>
        <w:jc w:val="both"/>
        <w:rPr>
          <w:rFonts w:cs="Arial"/>
          <w:szCs w:val="15"/>
        </w:rPr>
      </w:pPr>
    </w:p>
    <w:p>
      <w:pPr>
        <w:pStyle w:val="GesAbsatz"/>
        <w:jc w:val="both"/>
        <w:rPr>
          <w:rFonts w:cs="Arial"/>
          <w:b/>
          <w:bCs/>
          <w:szCs w:val="17"/>
        </w:rPr>
      </w:pPr>
      <w:r>
        <w:rPr>
          <w:rFonts w:cs="Arial"/>
          <w:b/>
          <w:bCs/>
          <w:szCs w:val="17"/>
        </w:rPr>
        <w:t>11.3. Emissionen aus der Verbrennung (Berechnung)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7"/>
        <w:gridCol w:w="1859"/>
        <w:gridCol w:w="1558"/>
        <w:gridCol w:w="1516"/>
        <w:gridCol w:w="1764"/>
      </w:tblGrid>
      <w:tr>
        <w:tblPrEx>
          <w:tblCellMar>
            <w:top w:w="0" w:type="dxa"/>
            <w:bottom w:w="0" w:type="dxa"/>
          </w:tblCellMar>
        </w:tblPrEx>
        <w:trPr>
          <w:cantSplit/>
        </w:trPr>
        <w:tc>
          <w:tcPr>
            <w:tcW w:w="2732" w:type="dxa"/>
            <w:shd w:val="clear" w:color="auto" w:fill="C0C0C0"/>
          </w:tcPr>
          <w:p>
            <w:pPr>
              <w:pStyle w:val="GesAbsatz"/>
              <w:jc w:val="both"/>
              <w:rPr>
                <w:rFonts w:cs="Arial"/>
                <w:bCs/>
                <w:szCs w:val="17"/>
              </w:rPr>
            </w:pPr>
            <w:r>
              <w:rPr>
                <w:rFonts w:cs="Arial"/>
                <w:b/>
                <w:bCs/>
                <w:szCs w:val="17"/>
              </w:rPr>
              <w:t>Tätigkeit N</w:t>
            </w:r>
          </w:p>
        </w:tc>
        <w:tc>
          <w:tcPr>
            <w:tcW w:w="6812" w:type="dxa"/>
            <w:gridSpan w:val="4"/>
          </w:tcPr>
          <w:p>
            <w:pPr>
              <w:pStyle w:val="GesAbsatz"/>
              <w:jc w:val="both"/>
              <w:rPr>
                <w:rFonts w:cs="Arial"/>
                <w:bCs/>
                <w:szCs w:val="17"/>
              </w:rPr>
            </w:pPr>
          </w:p>
        </w:tc>
      </w:tr>
      <w:tr>
        <w:tblPrEx>
          <w:tblCellMar>
            <w:top w:w="0" w:type="dxa"/>
            <w:bottom w:w="0" w:type="dxa"/>
          </w:tblCellMar>
        </w:tblPrEx>
        <w:trPr>
          <w:cantSplit/>
        </w:trPr>
        <w:tc>
          <w:tcPr>
            <w:tcW w:w="9544" w:type="dxa"/>
            <w:gridSpan w:val="5"/>
          </w:tcPr>
          <w:p>
            <w:pPr>
              <w:pStyle w:val="GesAbsatz"/>
              <w:jc w:val="both"/>
              <w:rPr>
                <w:rFonts w:cs="Arial"/>
                <w:bCs/>
                <w:szCs w:val="17"/>
              </w:rPr>
            </w:pPr>
            <w:r>
              <w:rPr>
                <w:rFonts w:cs="Arial"/>
                <w:szCs w:val="17"/>
              </w:rPr>
              <w:t>Anhang-I-Tätigkeit:</w:t>
            </w:r>
          </w:p>
        </w:tc>
      </w:tr>
      <w:tr>
        <w:tblPrEx>
          <w:tblCellMar>
            <w:top w:w="0" w:type="dxa"/>
            <w:bottom w:w="0" w:type="dxa"/>
          </w:tblCellMar>
        </w:tblPrEx>
        <w:trPr>
          <w:cantSplit/>
        </w:trPr>
        <w:tc>
          <w:tcPr>
            <w:tcW w:w="9544" w:type="dxa"/>
            <w:gridSpan w:val="5"/>
            <w:tcBorders>
              <w:bottom w:val="single" w:sz="4" w:space="0" w:color="auto"/>
            </w:tcBorders>
          </w:tcPr>
          <w:p>
            <w:pPr>
              <w:pStyle w:val="GesAbsatz"/>
              <w:jc w:val="both"/>
              <w:rPr>
                <w:rFonts w:cs="Arial"/>
                <w:bCs/>
                <w:szCs w:val="17"/>
              </w:rPr>
            </w:pPr>
            <w:r>
              <w:rPr>
                <w:rFonts w:cs="Arial"/>
                <w:szCs w:val="17"/>
              </w:rPr>
              <w:t>Beschreibung der Tätigkeit:</w:t>
            </w:r>
          </w:p>
        </w:tc>
      </w:tr>
      <w:tr>
        <w:tblPrEx>
          <w:tblCellMar>
            <w:top w:w="0" w:type="dxa"/>
            <w:bottom w:w="0" w:type="dxa"/>
          </w:tblCellMar>
        </w:tblPrEx>
        <w:trPr>
          <w:cantSplit/>
        </w:trPr>
        <w:tc>
          <w:tcPr>
            <w:tcW w:w="9544" w:type="dxa"/>
            <w:gridSpan w:val="5"/>
            <w:shd w:val="clear" w:color="auto" w:fill="C0C0C0"/>
          </w:tcPr>
          <w:p>
            <w:pPr>
              <w:pStyle w:val="GesAbsatz"/>
              <w:jc w:val="both"/>
              <w:rPr>
                <w:rFonts w:cs="Arial"/>
                <w:bCs/>
                <w:szCs w:val="17"/>
              </w:rPr>
            </w:pPr>
            <w:r>
              <w:rPr>
                <w:rFonts w:cs="Arial"/>
                <w:b/>
                <w:bCs/>
                <w:szCs w:val="17"/>
              </w:rPr>
              <w:t>Fossile Bren</w:t>
            </w:r>
            <w:r>
              <w:rPr>
                <w:rFonts w:cs="Arial"/>
                <w:b/>
                <w:bCs/>
                <w:szCs w:val="17"/>
              </w:rPr>
              <w:t>n</w:t>
            </w:r>
            <w:r>
              <w:rPr>
                <w:rFonts w:cs="Arial"/>
                <w:b/>
                <w:bCs/>
                <w:szCs w:val="17"/>
              </w:rPr>
              <w:t>stoffe</w:t>
            </w:r>
          </w:p>
        </w:tc>
      </w:tr>
      <w:tr>
        <w:tblPrEx>
          <w:tblCellMar>
            <w:top w:w="0" w:type="dxa"/>
            <w:bottom w:w="0" w:type="dxa"/>
          </w:tblCellMar>
        </w:tblPrEx>
        <w:trPr>
          <w:cantSplit/>
        </w:trPr>
        <w:tc>
          <w:tcPr>
            <w:tcW w:w="2732" w:type="dxa"/>
          </w:tcPr>
          <w:p>
            <w:pPr>
              <w:pStyle w:val="GesAbsatz"/>
              <w:jc w:val="both"/>
              <w:rPr>
                <w:rFonts w:cs="Arial"/>
                <w:bCs/>
                <w:szCs w:val="17"/>
              </w:rPr>
            </w:pPr>
            <w:r>
              <w:rPr>
                <w:rFonts w:cs="Arial"/>
                <w:szCs w:val="17"/>
              </w:rPr>
              <w:t>Brennstoff 1</w:t>
            </w:r>
          </w:p>
        </w:tc>
        <w:tc>
          <w:tcPr>
            <w:tcW w:w="6812" w:type="dxa"/>
            <w:gridSpan w:val="4"/>
            <w:vMerge w:val="restart"/>
          </w:tcPr>
          <w:p>
            <w:pPr>
              <w:pStyle w:val="GesAbsatz"/>
              <w:jc w:val="both"/>
              <w:rPr>
                <w:rFonts w:cs="Arial"/>
                <w:bCs/>
                <w:szCs w:val="17"/>
              </w:rPr>
            </w:pPr>
          </w:p>
        </w:tc>
      </w:tr>
      <w:tr>
        <w:tblPrEx>
          <w:tblCellMar>
            <w:top w:w="0" w:type="dxa"/>
            <w:bottom w:w="0" w:type="dxa"/>
          </w:tblCellMar>
        </w:tblPrEx>
        <w:trPr>
          <w:cantSplit/>
        </w:trPr>
        <w:tc>
          <w:tcPr>
            <w:tcW w:w="2732" w:type="dxa"/>
          </w:tcPr>
          <w:p>
            <w:pPr>
              <w:pStyle w:val="GesAbsatz"/>
              <w:jc w:val="both"/>
              <w:rPr>
                <w:rFonts w:cs="Arial"/>
                <w:bCs/>
                <w:szCs w:val="17"/>
              </w:rPr>
            </w:pPr>
            <w:r>
              <w:rPr>
                <w:rFonts w:cs="Arial"/>
                <w:szCs w:val="17"/>
              </w:rPr>
              <w:t>Fossiler Brennstoff</w:t>
            </w:r>
          </w:p>
        </w:tc>
        <w:tc>
          <w:tcPr>
            <w:tcW w:w="6812" w:type="dxa"/>
            <w:gridSpan w:val="4"/>
            <w:vMerge/>
          </w:tcPr>
          <w:p>
            <w:pPr>
              <w:pStyle w:val="GesAbsatz"/>
              <w:jc w:val="both"/>
              <w:rPr>
                <w:rFonts w:cs="Arial"/>
                <w:bCs/>
                <w:szCs w:val="17"/>
              </w:rPr>
            </w:pPr>
          </w:p>
        </w:tc>
      </w:tr>
      <w:tr>
        <w:tblPrEx>
          <w:tblCellMar>
            <w:top w:w="0" w:type="dxa"/>
            <w:bottom w:w="0" w:type="dxa"/>
          </w:tblCellMar>
        </w:tblPrEx>
        <w:trPr>
          <w:cantSplit/>
        </w:trPr>
        <w:tc>
          <w:tcPr>
            <w:tcW w:w="2732" w:type="dxa"/>
          </w:tcPr>
          <w:p>
            <w:pPr>
              <w:pStyle w:val="GesAbsatz"/>
              <w:jc w:val="both"/>
              <w:rPr>
                <w:rFonts w:cs="Arial"/>
                <w:bCs/>
                <w:szCs w:val="17"/>
              </w:rPr>
            </w:pPr>
            <w:r>
              <w:rPr>
                <w:rFonts w:cs="Arial"/>
                <w:szCs w:val="17"/>
              </w:rPr>
              <w:t>Art des Brennstoffs:</w:t>
            </w:r>
          </w:p>
        </w:tc>
        <w:tc>
          <w:tcPr>
            <w:tcW w:w="6812" w:type="dxa"/>
            <w:gridSpan w:val="4"/>
          </w:tcPr>
          <w:p>
            <w:pPr>
              <w:pStyle w:val="GesAbsatz"/>
              <w:jc w:val="both"/>
              <w:rPr>
                <w:rFonts w:cs="Arial"/>
                <w:bCs/>
                <w:szCs w:val="17"/>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p>
        </w:tc>
        <w:tc>
          <w:tcPr>
            <w:tcW w:w="1579" w:type="dxa"/>
          </w:tcPr>
          <w:p>
            <w:pPr>
              <w:pStyle w:val="GesAbsatz"/>
              <w:jc w:val="center"/>
              <w:rPr>
                <w:rFonts w:cs="Arial"/>
                <w:bCs/>
                <w:szCs w:val="17"/>
              </w:rPr>
            </w:pPr>
            <w:r>
              <w:rPr>
                <w:rFonts w:cs="Arial"/>
                <w:szCs w:val="15"/>
              </w:rPr>
              <w:t>Einheit</w:t>
            </w:r>
          </w:p>
        </w:tc>
        <w:tc>
          <w:tcPr>
            <w:tcW w:w="1544" w:type="dxa"/>
          </w:tcPr>
          <w:p>
            <w:pPr>
              <w:pStyle w:val="GesAbsatz"/>
              <w:jc w:val="center"/>
              <w:rPr>
                <w:rFonts w:cs="Arial"/>
                <w:bCs/>
                <w:szCs w:val="17"/>
              </w:rPr>
            </w:pPr>
            <w:r>
              <w:rPr>
                <w:rFonts w:cs="Arial"/>
                <w:szCs w:val="15"/>
              </w:rPr>
              <w:t>Daten</w:t>
            </w:r>
          </w:p>
        </w:tc>
        <w:tc>
          <w:tcPr>
            <w:tcW w:w="1797" w:type="dxa"/>
          </w:tcPr>
          <w:p>
            <w:pPr>
              <w:pStyle w:val="GesAbsatz"/>
              <w:jc w:val="center"/>
              <w:rPr>
                <w:rFonts w:cs="Arial"/>
                <w:bCs/>
                <w:szCs w:val="17"/>
              </w:rPr>
            </w:pPr>
            <w:r>
              <w:rPr>
                <w:rFonts w:cs="Arial"/>
                <w:szCs w:val="15"/>
              </w:rPr>
              <w:t>Ebenenkonzept</w:t>
            </w: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r>
              <w:rPr>
                <w:rFonts w:cs="Arial"/>
                <w:szCs w:val="17"/>
              </w:rPr>
              <w:t>Tätigkeitsdaten</w:t>
            </w:r>
          </w:p>
        </w:tc>
        <w:tc>
          <w:tcPr>
            <w:tcW w:w="1579" w:type="dxa"/>
          </w:tcPr>
          <w:p>
            <w:pPr>
              <w:pStyle w:val="GesAbsatz"/>
              <w:jc w:val="both"/>
              <w:rPr>
                <w:rFonts w:cs="Arial"/>
                <w:szCs w:val="15"/>
              </w:rPr>
            </w:pPr>
            <w:r>
              <w:rPr>
                <w:rFonts w:cs="Arial"/>
                <w:szCs w:val="17"/>
              </w:rPr>
              <w:t>t oder m</w:t>
            </w:r>
            <w:r>
              <w:rPr>
                <w:rFonts w:cs="Arial"/>
                <w:szCs w:val="10"/>
                <w:vertAlign w:val="superscript"/>
              </w:rPr>
              <w:t>3</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p>
        </w:tc>
        <w:tc>
          <w:tcPr>
            <w:tcW w:w="1579" w:type="dxa"/>
          </w:tcPr>
          <w:p>
            <w:pPr>
              <w:pStyle w:val="GesAbsatz"/>
              <w:jc w:val="both"/>
              <w:rPr>
                <w:rFonts w:cs="Arial"/>
                <w:szCs w:val="17"/>
              </w:rPr>
            </w:pPr>
            <w:r>
              <w:rPr>
                <w:rFonts w:cs="Arial"/>
                <w:szCs w:val="17"/>
              </w:rPr>
              <w:t>TJ</w:t>
            </w:r>
          </w:p>
        </w:tc>
        <w:tc>
          <w:tcPr>
            <w:tcW w:w="1544" w:type="dxa"/>
          </w:tcPr>
          <w:p>
            <w:pPr>
              <w:pStyle w:val="GesAbsatz"/>
              <w:jc w:val="both"/>
              <w:rPr>
                <w:rFonts w:cs="Arial"/>
                <w:szCs w:val="17"/>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r>
              <w:rPr>
                <w:rFonts w:cs="Arial"/>
                <w:szCs w:val="17"/>
              </w:rPr>
              <w:t>Emissionsfaktor</w:t>
            </w:r>
          </w:p>
        </w:tc>
        <w:tc>
          <w:tcPr>
            <w:tcW w:w="1579" w:type="dxa"/>
          </w:tcPr>
          <w:p>
            <w:pPr>
              <w:pStyle w:val="GesAbsatz"/>
              <w:jc w:val="both"/>
              <w:rPr>
                <w:rFonts w:cs="Arial"/>
                <w:szCs w:val="17"/>
              </w:rPr>
            </w:pPr>
            <w:r>
              <w:rPr>
                <w:rFonts w:cs="Arial"/>
                <w:szCs w:val="17"/>
              </w:rPr>
              <w:t>t CO</w:t>
            </w:r>
            <w:r>
              <w:rPr>
                <w:rFonts w:cs="Arial"/>
                <w:szCs w:val="10"/>
                <w:vertAlign w:val="subscript"/>
              </w:rPr>
              <w:t>2</w:t>
            </w:r>
            <w:r>
              <w:rPr>
                <w:rFonts w:cs="Arial"/>
                <w:szCs w:val="17"/>
              </w:rPr>
              <w:t>/TJ</w:t>
            </w:r>
          </w:p>
        </w:tc>
        <w:tc>
          <w:tcPr>
            <w:tcW w:w="1544" w:type="dxa"/>
          </w:tcPr>
          <w:p>
            <w:pPr>
              <w:pStyle w:val="GesAbsatz"/>
              <w:jc w:val="both"/>
              <w:rPr>
                <w:rFonts w:cs="Arial"/>
                <w:szCs w:val="17"/>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r>
              <w:rPr>
                <w:rFonts w:cs="Arial"/>
                <w:szCs w:val="17"/>
              </w:rPr>
              <w:t>Oxidationsfaktor</w:t>
            </w:r>
          </w:p>
        </w:tc>
        <w:tc>
          <w:tcPr>
            <w:tcW w:w="1579" w:type="dxa"/>
          </w:tcPr>
          <w:p>
            <w:pPr>
              <w:pStyle w:val="GesAbsatz"/>
              <w:jc w:val="both"/>
              <w:rPr>
                <w:rFonts w:cs="Arial"/>
                <w:szCs w:val="17"/>
              </w:rPr>
            </w:pPr>
            <w:r>
              <w:rPr>
                <w:rFonts w:cs="Arial"/>
                <w:szCs w:val="17"/>
              </w:rPr>
              <w:t>%</w:t>
            </w:r>
          </w:p>
        </w:tc>
        <w:tc>
          <w:tcPr>
            <w:tcW w:w="1544" w:type="dxa"/>
          </w:tcPr>
          <w:p>
            <w:pPr>
              <w:pStyle w:val="GesAbsatz"/>
              <w:jc w:val="both"/>
              <w:rPr>
                <w:rFonts w:cs="Arial"/>
                <w:szCs w:val="17"/>
              </w:rPr>
            </w:pPr>
          </w:p>
        </w:tc>
        <w:tc>
          <w:tcPr>
            <w:tcW w:w="1797" w:type="dxa"/>
            <w:tcBorders>
              <w:bottom w:val="single" w:sz="4" w:space="0" w:color="auto"/>
            </w:tcBorders>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r>
              <w:rPr>
                <w:rFonts w:cs="Arial"/>
                <w:szCs w:val="17"/>
              </w:rPr>
              <w:t>Gesamtemissionen</w:t>
            </w:r>
          </w:p>
        </w:tc>
        <w:tc>
          <w:tcPr>
            <w:tcW w:w="1579" w:type="dxa"/>
          </w:tcPr>
          <w:p>
            <w:pPr>
              <w:pStyle w:val="GesAbsatz"/>
              <w:jc w:val="both"/>
              <w:rPr>
                <w:rFonts w:cs="Arial"/>
                <w:szCs w:val="17"/>
              </w:rPr>
            </w:pPr>
            <w:r>
              <w:rPr>
                <w:rFonts w:cs="Arial"/>
                <w:szCs w:val="17"/>
              </w:rPr>
              <w:t>t CO</w:t>
            </w:r>
            <w:r>
              <w:rPr>
                <w:rFonts w:cs="Arial"/>
                <w:szCs w:val="10"/>
                <w:vertAlign w:val="subscript"/>
              </w:rPr>
              <w:t>2</w:t>
            </w:r>
          </w:p>
        </w:tc>
        <w:tc>
          <w:tcPr>
            <w:tcW w:w="1544" w:type="dxa"/>
          </w:tcPr>
          <w:p>
            <w:pPr>
              <w:pStyle w:val="GesAbsatz"/>
              <w:jc w:val="both"/>
              <w:rPr>
                <w:rFonts w:cs="Arial"/>
                <w:szCs w:val="17"/>
              </w:rPr>
            </w:pPr>
          </w:p>
        </w:tc>
        <w:tc>
          <w:tcPr>
            <w:tcW w:w="1797" w:type="dxa"/>
            <w:shd w:val="clear" w:color="auto" w:fill="C0C0C0"/>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jc w:val="both"/>
              <w:rPr>
                <w:rFonts w:cs="Arial"/>
                <w:szCs w:val="17"/>
              </w:rPr>
            </w:pPr>
            <w:r>
              <w:rPr>
                <w:rFonts w:cs="Arial"/>
                <w:szCs w:val="17"/>
              </w:rPr>
              <w:t>Brennstoff N</w:t>
            </w:r>
          </w:p>
        </w:tc>
        <w:tc>
          <w:tcPr>
            <w:tcW w:w="6812" w:type="dxa"/>
            <w:gridSpan w:val="4"/>
            <w:vMerge w:val="restart"/>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jc w:val="both"/>
              <w:rPr>
                <w:rFonts w:cs="Arial"/>
                <w:szCs w:val="17"/>
              </w:rPr>
            </w:pPr>
            <w:r>
              <w:rPr>
                <w:rFonts w:cs="Arial"/>
                <w:szCs w:val="17"/>
              </w:rPr>
              <w:lastRenderedPageBreak/>
              <w:t>Fossiler Brennstoff</w:t>
            </w:r>
          </w:p>
        </w:tc>
        <w:tc>
          <w:tcPr>
            <w:tcW w:w="6812" w:type="dxa"/>
            <w:gridSpan w:val="4"/>
            <w:vMerge/>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jc w:val="both"/>
              <w:rPr>
                <w:rFonts w:cs="Arial"/>
                <w:szCs w:val="17"/>
              </w:rPr>
            </w:pPr>
            <w:r>
              <w:rPr>
                <w:rFonts w:cs="Arial"/>
                <w:szCs w:val="17"/>
              </w:rPr>
              <w:t>Art des Brennstoffs:</w:t>
            </w:r>
          </w:p>
        </w:tc>
        <w:tc>
          <w:tcPr>
            <w:tcW w:w="6812" w:type="dxa"/>
            <w:gridSpan w:val="4"/>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p>
        </w:tc>
        <w:tc>
          <w:tcPr>
            <w:tcW w:w="1579" w:type="dxa"/>
          </w:tcPr>
          <w:p>
            <w:pPr>
              <w:pStyle w:val="GesAbsatz"/>
              <w:jc w:val="center"/>
              <w:rPr>
                <w:rFonts w:cs="Arial"/>
                <w:szCs w:val="17"/>
              </w:rPr>
            </w:pPr>
            <w:r>
              <w:rPr>
                <w:rFonts w:cs="Arial"/>
                <w:szCs w:val="15"/>
              </w:rPr>
              <w:t>Einheit</w:t>
            </w:r>
          </w:p>
        </w:tc>
        <w:tc>
          <w:tcPr>
            <w:tcW w:w="1544" w:type="dxa"/>
          </w:tcPr>
          <w:p>
            <w:pPr>
              <w:pStyle w:val="GesAbsatz"/>
              <w:jc w:val="center"/>
              <w:rPr>
                <w:rFonts w:cs="Arial"/>
                <w:szCs w:val="17"/>
              </w:rPr>
            </w:pPr>
            <w:r>
              <w:rPr>
                <w:rFonts w:cs="Arial"/>
                <w:szCs w:val="15"/>
              </w:rPr>
              <w:t>Daten</w:t>
            </w:r>
          </w:p>
        </w:tc>
        <w:tc>
          <w:tcPr>
            <w:tcW w:w="1797" w:type="dxa"/>
          </w:tcPr>
          <w:p>
            <w:pPr>
              <w:pStyle w:val="GesAbsatz"/>
              <w:jc w:val="center"/>
              <w:rPr>
                <w:rFonts w:cs="Arial"/>
                <w:szCs w:val="15"/>
              </w:rPr>
            </w:pPr>
            <w:r>
              <w:rPr>
                <w:rFonts w:cs="Arial"/>
                <w:szCs w:val="15"/>
              </w:rPr>
              <w:t>Ebenenkonzept</w:t>
            </w: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r>
              <w:rPr>
                <w:rFonts w:cs="Arial"/>
                <w:szCs w:val="17"/>
              </w:rPr>
              <w:t>Tätigkeitsdaten</w:t>
            </w:r>
          </w:p>
        </w:tc>
        <w:tc>
          <w:tcPr>
            <w:tcW w:w="1579" w:type="dxa"/>
          </w:tcPr>
          <w:p>
            <w:pPr>
              <w:pStyle w:val="GesAbsatz"/>
              <w:jc w:val="both"/>
              <w:rPr>
                <w:rFonts w:cs="Arial"/>
                <w:szCs w:val="15"/>
              </w:rPr>
            </w:pPr>
            <w:r>
              <w:rPr>
                <w:rFonts w:cs="Arial"/>
                <w:szCs w:val="17"/>
              </w:rPr>
              <w:t>t oder m</w:t>
            </w:r>
            <w:r>
              <w:rPr>
                <w:rFonts w:cs="Arial"/>
                <w:szCs w:val="10"/>
                <w:vertAlign w:val="superscript"/>
              </w:rPr>
              <w:t>3</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p>
        </w:tc>
        <w:tc>
          <w:tcPr>
            <w:tcW w:w="1579" w:type="dxa"/>
          </w:tcPr>
          <w:p>
            <w:pPr>
              <w:pStyle w:val="GesAbsatz"/>
              <w:jc w:val="both"/>
              <w:rPr>
                <w:rFonts w:cs="Arial"/>
                <w:szCs w:val="17"/>
              </w:rPr>
            </w:pPr>
            <w:r>
              <w:rPr>
                <w:rFonts w:cs="Arial"/>
                <w:szCs w:val="17"/>
              </w:rPr>
              <w:t>TJ</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Emissionsfaktor</w:t>
            </w:r>
          </w:p>
        </w:tc>
        <w:tc>
          <w:tcPr>
            <w:tcW w:w="1579" w:type="dxa"/>
          </w:tcPr>
          <w:p>
            <w:pPr>
              <w:pStyle w:val="GesAbsatz"/>
              <w:jc w:val="both"/>
              <w:rPr>
                <w:rFonts w:cs="Arial"/>
                <w:szCs w:val="17"/>
              </w:rPr>
            </w:pPr>
            <w:r>
              <w:rPr>
                <w:rFonts w:cs="Arial"/>
                <w:szCs w:val="17"/>
              </w:rPr>
              <w:t>t CO</w:t>
            </w:r>
            <w:r>
              <w:rPr>
                <w:rFonts w:cs="Arial"/>
                <w:szCs w:val="10"/>
                <w:vertAlign w:val="subscript"/>
              </w:rPr>
              <w:t>2</w:t>
            </w:r>
            <w:r>
              <w:rPr>
                <w:rFonts w:cs="Arial"/>
                <w:szCs w:val="17"/>
              </w:rPr>
              <w:t>/TJ</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Oxidationsfaktor</w:t>
            </w:r>
          </w:p>
        </w:tc>
        <w:tc>
          <w:tcPr>
            <w:tcW w:w="1579" w:type="dxa"/>
          </w:tcPr>
          <w:p>
            <w:pPr>
              <w:pStyle w:val="GesAbsatz"/>
              <w:jc w:val="both"/>
              <w:rPr>
                <w:rFonts w:cs="Arial"/>
                <w:szCs w:val="17"/>
              </w:rPr>
            </w:pPr>
            <w:r>
              <w:rPr>
                <w:rFonts w:cs="Arial"/>
                <w:szCs w:val="17"/>
              </w:rPr>
              <w:t>%</w:t>
            </w:r>
          </w:p>
        </w:tc>
        <w:tc>
          <w:tcPr>
            <w:tcW w:w="1544" w:type="dxa"/>
          </w:tcPr>
          <w:p>
            <w:pPr>
              <w:pStyle w:val="GesAbsatz"/>
              <w:jc w:val="both"/>
              <w:rPr>
                <w:rFonts w:cs="Arial"/>
                <w:szCs w:val="15"/>
              </w:rPr>
            </w:pPr>
          </w:p>
        </w:tc>
        <w:tc>
          <w:tcPr>
            <w:tcW w:w="1797" w:type="dxa"/>
            <w:tcBorders>
              <w:bottom w:val="single" w:sz="4" w:space="0" w:color="auto"/>
            </w:tcBorders>
          </w:tcPr>
          <w:p>
            <w:pPr>
              <w:pStyle w:val="GesAbsatz"/>
              <w:jc w:val="both"/>
              <w:rPr>
                <w:rFonts w:cs="Arial"/>
                <w:szCs w:val="15"/>
              </w:rPr>
            </w:pPr>
          </w:p>
        </w:tc>
      </w:tr>
      <w:tr>
        <w:tblPrEx>
          <w:tblCellMar>
            <w:top w:w="0" w:type="dxa"/>
            <w:bottom w:w="0" w:type="dxa"/>
          </w:tblCellMar>
        </w:tblPrEx>
        <w:tc>
          <w:tcPr>
            <w:tcW w:w="2732" w:type="dxa"/>
            <w:tcBorders>
              <w:bottom w:val="single" w:sz="4" w:space="0" w:color="auto"/>
            </w:tcBorders>
          </w:tcPr>
          <w:p>
            <w:pPr>
              <w:pStyle w:val="GesAbsatz"/>
              <w:jc w:val="both"/>
              <w:rPr>
                <w:rFonts w:cs="Arial"/>
                <w:szCs w:val="17"/>
              </w:rPr>
            </w:pPr>
          </w:p>
        </w:tc>
        <w:tc>
          <w:tcPr>
            <w:tcW w:w="1892" w:type="dxa"/>
            <w:tcBorders>
              <w:bottom w:val="single" w:sz="4" w:space="0" w:color="auto"/>
            </w:tcBorders>
          </w:tcPr>
          <w:p>
            <w:pPr>
              <w:pStyle w:val="GesAbsatz"/>
              <w:jc w:val="both"/>
              <w:rPr>
                <w:rFonts w:cs="Arial"/>
                <w:szCs w:val="17"/>
              </w:rPr>
            </w:pPr>
            <w:r>
              <w:rPr>
                <w:rFonts w:cs="Arial"/>
                <w:szCs w:val="17"/>
              </w:rPr>
              <w:t>Gesamtemissionen</w:t>
            </w:r>
          </w:p>
        </w:tc>
        <w:tc>
          <w:tcPr>
            <w:tcW w:w="1579" w:type="dxa"/>
            <w:tcBorders>
              <w:bottom w:val="single" w:sz="4" w:space="0" w:color="auto"/>
            </w:tcBorders>
          </w:tcPr>
          <w:p>
            <w:pPr>
              <w:pStyle w:val="GesAbsatz"/>
              <w:jc w:val="both"/>
              <w:rPr>
                <w:rFonts w:cs="Arial"/>
                <w:szCs w:val="17"/>
              </w:rPr>
            </w:pPr>
            <w:r>
              <w:rPr>
                <w:rFonts w:cs="Arial"/>
                <w:szCs w:val="17"/>
              </w:rPr>
              <w:t>t CO</w:t>
            </w:r>
            <w:r>
              <w:rPr>
                <w:rFonts w:cs="Arial"/>
                <w:szCs w:val="10"/>
                <w:vertAlign w:val="subscript"/>
              </w:rPr>
              <w:t>2</w:t>
            </w:r>
          </w:p>
        </w:tc>
        <w:tc>
          <w:tcPr>
            <w:tcW w:w="1544" w:type="dxa"/>
            <w:tcBorders>
              <w:bottom w:val="single" w:sz="4" w:space="0" w:color="auto"/>
            </w:tcBorders>
          </w:tcPr>
          <w:p>
            <w:pPr>
              <w:pStyle w:val="GesAbsatz"/>
              <w:jc w:val="both"/>
              <w:rPr>
                <w:rFonts w:cs="Arial"/>
                <w:szCs w:val="15"/>
              </w:rPr>
            </w:pPr>
          </w:p>
        </w:tc>
        <w:tc>
          <w:tcPr>
            <w:tcW w:w="1797" w:type="dxa"/>
            <w:tcBorders>
              <w:bottom w:val="single" w:sz="4" w:space="0" w:color="auto"/>
            </w:tcBorders>
            <w:shd w:val="clear" w:color="auto" w:fill="C0C0C0"/>
          </w:tcPr>
          <w:p>
            <w:pPr>
              <w:pStyle w:val="GesAbsatz"/>
              <w:jc w:val="both"/>
              <w:rPr>
                <w:rFonts w:cs="Arial"/>
                <w:szCs w:val="15"/>
              </w:rPr>
            </w:pPr>
          </w:p>
        </w:tc>
      </w:tr>
      <w:tr>
        <w:tblPrEx>
          <w:tblCellMar>
            <w:top w:w="0" w:type="dxa"/>
            <w:bottom w:w="0" w:type="dxa"/>
          </w:tblCellMar>
        </w:tblPrEx>
        <w:trPr>
          <w:cantSplit/>
        </w:trPr>
        <w:tc>
          <w:tcPr>
            <w:tcW w:w="9544" w:type="dxa"/>
            <w:gridSpan w:val="5"/>
            <w:shd w:val="clear" w:color="auto" w:fill="C0C0C0"/>
          </w:tcPr>
          <w:p>
            <w:pPr>
              <w:pStyle w:val="GesAbsatz"/>
              <w:jc w:val="both"/>
              <w:rPr>
                <w:rFonts w:cs="Arial"/>
                <w:szCs w:val="15"/>
              </w:rPr>
            </w:pPr>
            <w:r>
              <w:rPr>
                <w:rFonts w:cs="Arial"/>
                <w:b/>
                <w:bCs/>
                <w:szCs w:val="17"/>
              </w:rPr>
              <w:t>Biomasse und Brennstoffgem</w:t>
            </w:r>
            <w:r>
              <w:rPr>
                <w:rFonts w:cs="Arial"/>
                <w:b/>
                <w:bCs/>
                <w:szCs w:val="17"/>
              </w:rPr>
              <w:t>i</w:t>
            </w:r>
            <w:r>
              <w:rPr>
                <w:rFonts w:cs="Arial"/>
                <w:b/>
                <w:bCs/>
                <w:szCs w:val="17"/>
              </w:rPr>
              <w:t>sche</w:t>
            </w:r>
          </w:p>
        </w:tc>
      </w:tr>
      <w:tr>
        <w:tblPrEx>
          <w:tblCellMar>
            <w:top w:w="0" w:type="dxa"/>
            <w:bottom w:w="0" w:type="dxa"/>
          </w:tblCellMar>
        </w:tblPrEx>
        <w:trPr>
          <w:cantSplit/>
        </w:trPr>
        <w:tc>
          <w:tcPr>
            <w:tcW w:w="2732" w:type="dxa"/>
          </w:tcPr>
          <w:p>
            <w:pPr>
              <w:pStyle w:val="GesAbsatz"/>
              <w:jc w:val="both"/>
              <w:rPr>
                <w:rFonts w:cs="Arial"/>
                <w:szCs w:val="17"/>
              </w:rPr>
            </w:pPr>
            <w:r>
              <w:rPr>
                <w:rFonts w:cs="Arial"/>
                <w:szCs w:val="17"/>
              </w:rPr>
              <w:t>Brennstoff M</w:t>
            </w:r>
          </w:p>
        </w:tc>
        <w:tc>
          <w:tcPr>
            <w:tcW w:w="6812" w:type="dxa"/>
            <w:gridSpan w:val="4"/>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rPr>
                <w:rFonts w:cs="Arial"/>
                <w:szCs w:val="17"/>
              </w:rPr>
            </w:pPr>
            <w:r>
              <w:rPr>
                <w:rFonts w:cs="Arial"/>
                <w:szCs w:val="17"/>
              </w:rPr>
              <w:t>Bi</w:t>
            </w:r>
            <w:r>
              <w:rPr>
                <w:rFonts w:cs="Arial"/>
                <w:szCs w:val="17"/>
              </w:rPr>
              <w:t>o</w:t>
            </w:r>
            <w:r>
              <w:rPr>
                <w:rFonts w:cs="Arial"/>
                <w:szCs w:val="17"/>
              </w:rPr>
              <w:t>masse/Brennstoffgemisch</w:t>
            </w:r>
          </w:p>
        </w:tc>
        <w:tc>
          <w:tcPr>
            <w:tcW w:w="6812" w:type="dxa"/>
            <w:gridSpan w:val="4"/>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rPr>
                <w:rFonts w:cs="Arial"/>
                <w:szCs w:val="17"/>
              </w:rPr>
            </w:pPr>
            <w:r>
              <w:rPr>
                <w:rFonts w:cs="Arial"/>
                <w:szCs w:val="17"/>
              </w:rPr>
              <w:t>Art des Brennstoffs:</w:t>
            </w:r>
          </w:p>
        </w:tc>
        <w:tc>
          <w:tcPr>
            <w:tcW w:w="6812" w:type="dxa"/>
            <w:gridSpan w:val="4"/>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rPr>
                <w:rFonts w:cs="Arial"/>
                <w:szCs w:val="17"/>
              </w:rPr>
            </w:pPr>
            <w:r>
              <w:rPr>
                <w:rFonts w:cs="Arial"/>
                <w:szCs w:val="17"/>
              </w:rPr>
              <w:t>Biomasse-Anteil (0-100 % des Kohlenstoffgehalts):</w:t>
            </w:r>
          </w:p>
        </w:tc>
        <w:tc>
          <w:tcPr>
            <w:tcW w:w="6812" w:type="dxa"/>
            <w:gridSpan w:val="4"/>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p>
        </w:tc>
        <w:tc>
          <w:tcPr>
            <w:tcW w:w="1579" w:type="dxa"/>
          </w:tcPr>
          <w:p>
            <w:pPr>
              <w:pStyle w:val="GesAbsatz"/>
              <w:jc w:val="center"/>
              <w:rPr>
                <w:rFonts w:cs="Arial"/>
                <w:szCs w:val="17"/>
              </w:rPr>
            </w:pPr>
            <w:r>
              <w:rPr>
                <w:rFonts w:cs="Arial"/>
                <w:szCs w:val="15"/>
              </w:rPr>
              <w:t>Einheit</w:t>
            </w:r>
          </w:p>
        </w:tc>
        <w:tc>
          <w:tcPr>
            <w:tcW w:w="1544" w:type="dxa"/>
          </w:tcPr>
          <w:p>
            <w:pPr>
              <w:pStyle w:val="GesAbsatz"/>
              <w:jc w:val="center"/>
              <w:rPr>
                <w:rFonts w:cs="Arial"/>
                <w:szCs w:val="15"/>
              </w:rPr>
            </w:pPr>
            <w:r>
              <w:rPr>
                <w:rFonts w:cs="Arial"/>
                <w:szCs w:val="15"/>
              </w:rPr>
              <w:t>Daten</w:t>
            </w:r>
          </w:p>
        </w:tc>
        <w:tc>
          <w:tcPr>
            <w:tcW w:w="1797" w:type="dxa"/>
          </w:tcPr>
          <w:p>
            <w:pPr>
              <w:pStyle w:val="GesAbsatz"/>
              <w:jc w:val="center"/>
              <w:rPr>
                <w:rFonts w:cs="Arial"/>
                <w:szCs w:val="15"/>
              </w:rPr>
            </w:pPr>
            <w:r>
              <w:rPr>
                <w:rFonts w:cs="Arial"/>
                <w:szCs w:val="15"/>
              </w:rPr>
              <w:t>Ebenenkonzept</w:t>
            </w: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Tätigkeitsdaten</w:t>
            </w:r>
          </w:p>
        </w:tc>
        <w:tc>
          <w:tcPr>
            <w:tcW w:w="1579" w:type="dxa"/>
          </w:tcPr>
          <w:p>
            <w:pPr>
              <w:pStyle w:val="GesAbsatz"/>
              <w:jc w:val="both"/>
              <w:rPr>
                <w:rFonts w:cs="Arial"/>
                <w:szCs w:val="15"/>
              </w:rPr>
            </w:pPr>
            <w:r>
              <w:rPr>
                <w:rFonts w:cs="Arial"/>
                <w:szCs w:val="17"/>
              </w:rPr>
              <w:t>t oder m</w:t>
            </w:r>
            <w:r>
              <w:rPr>
                <w:rFonts w:cs="Arial"/>
                <w:szCs w:val="10"/>
                <w:vertAlign w:val="superscript"/>
              </w:rPr>
              <w:t>3</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p>
        </w:tc>
        <w:tc>
          <w:tcPr>
            <w:tcW w:w="1579" w:type="dxa"/>
          </w:tcPr>
          <w:p>
            <w:pPr>
              <w:pStyle w:val="GesAbsatz"/>
              <w:jc w:val="both"/>
              <w:rPr>
                <w:rFonts w:cs="Arial"/>
                <w:szCs w:val="17"/>
              </w:rPr>
            </w:pPr>
            <w:r>
              <w:rPr>
                <w:rFonts w:cs="Arial"/>
                <w:szCs w:val="17"/>
              </w:rPr>
              <w:t>TJ</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Emissionsfaktor</w:t>
            </w:r>
          </w:p>
        </w:tc>
        <w:tc>
          <w:tcPr>
            <w:tcW w:w="1579" w:type="dxa"/>
          </w:tcPr>
          <w:p>
            <w:pPr>
              <w:pStyle w:val="GesAbsatz"/>
              <w:jc w:val="both"/>
              <w:rPr>
                <w:rFonts w:cs="Arial"/>
                <w:szCs w:val="17"/>
              </w:rPr>
            </w:pPr>
            <w:r>
              <w:rPr>
                <w:rFonts w:cs="Arial"/>
                <w:szCs w:val="17"/>
              </w:rPr>
              <w:t>t CO</w:t>
            </w:r>
            <w:r>
              <w:rPr>
                <w:rFonts w:cs="Arial"/>
                <w:szCs w:val="10"/>
                <w:vertAlign w:val="subscript"/>
              </w:rPr>
              <w:t>2</w:t>
            </w:r>
            <w:r>
              <w:rPr>
                <w:rFonts w:cs="Arial"/>
                <w:szCs w:val="17"/>
              </w:rPr>
              <w:t>/TJ</w:t>
            </w:r>
          </w:p>
        </w:tc>
        <w:tc>
          <w:tcPr>
            <w:tcW w:w="1544" w:type="dxa"/>
          </w:tcPr>
          <w:p>
            <w:pPr>
              <w:pStyle w:val="GesAbsatz"/>
              <w:jc w:val="both"/>
              <w:rPr>
                <w:rFonts w:cs="Arial"/>
                <w:szCs w:val="15"/>
              </w:rPr>
            </w:pPr>
          </w:p>
        </w:tc>
        <w:tc>
          <w:tcPr>
            <w:tcW w:w="1797" w:type="dxa"/>
          </w:tcPr>
          <w:p>
            <w:pPr>
              <w:pStyle w:val="GesAbsatz"/>
              <w:jc w:val="both"/>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Oxidationsfaktor</w:t>
            </w:r>
          </w:p>
        </w:tc>
        <w:tc>
          <w:tcPr>
            <w:tcW w:w="1579" w:type="dxa"/>
          </w:tcPr>
          <w:p>
            <w:pPr>
              <w:pStyle w:val="GesAbsatz"/>
              <w:jc w:val="both"/>
              <w:rPr>
                <w:rFonts w:cs="Arial"/>
                <w:szCs w:val="17"/>
              </w:rPr>
            </w:pPr>
            <w:r>
              <w:rPr>
                <w:rFonts w:cs="Arial"/>
                <w:szCs w:val="17"/>
              </w:rPr>
              <w:t>%</w:t>
            </w:r>
          </w:p>
        </w:tc>
        <w:tc>
          <w:tcPr>
            <w:tcW w:w="1544" w:type="dxa"/>
          </w:tcPr>
          <w:p>
            <w:pPr>
              <w:pStyle w:val="GesAbsatz"/>
              <w:jc w:val="both"/>
              <w:rPr>
                <w:rFonts w:cs="Arial"/>
                <w:szCs w:val="15"/>
              </w:rPr>
            </w:pPr>
          </w:p>
        </w:tc>
        <w:tc>
          <w:tcPr>
            <w:tcW w:w="1797" w:type="dxa"/>
            <w:tcBorders>
              <w:bottom w:val="single" w:sz="4" w:space="0" w:color="auto"/>
            </w:tcBorders>
          </w:tcPr>
          <w:p>
            <w:pPr>
              <w:pStyle w:val="GesAbsatz"/>
              <w:jc w:val="both"/>
              <w:rPr>
                <w:rFonts w:cs="Arial"/>
                <w:szCs w:val="15"/>
              </w:rPr>
            </w:pPr>
          </w:p>
        </w:tc>
      </w:tr>
      <w:tr>
        <w:tblPrEx>
          <w:tblCellMar>
            <w:top w:w="0" w:type="dxa"/>
            <w:bottom w:w="0" w:type="dxa"/>
          </w:tblCellMar>
        </w:tblPrEx>
        <w:tc>
          <w:tcPr>
            <w:tcW w:w="2732" w:type="dxa"/>
            <w:tcBorders>
              <w:bottom w:val="single" w:sz="4" w:space="0" w:color="auto"/>
            </w:tcBorders>
          </w:tcPr>
          <w:p>
            <w:pPr>
              <w:pStyle w:val="GesAbsatz"/>
              <w:jc w:val="both"/>
              <w:rPr>
                <w:rFonts w:cs="Arial"/>
                <w:szCs w:val="17"/>
              </w:rPr>
            </w:pPr>
          </w:p>
        </w:tc>
        <w:tc>
          <w:tcPr>
            <w:tcW w:w="1892" w:type="dxa"/>
            <w:tcBorders>
              <w:bottom w:val="single" w:sz="4" w:space="0" w:color="auto"/>
            </w:tcBorders>
          </w:tcPr>
          <w:p>
            <w:pPr>
              <w:pStyle w:val="GesAbsatz"/>
              <w:jc w:val="both"/>
              <w:rPr>
                <w:rFonts w:cs="Arial"/>
                <w:szCs w:val="17"/>
              </w:rPr>
            </w:pPr>
            <w:r>
              <w:rPr>
                <w:rFonts w:cs="Arial"/>
                <w:szCs w:val="17"/>
              </w:rPr>
              <w:t>Gesamtemissionen</w:t>
            </w:r>
          </w:p>
        </w:tc>
        <w:tc>
          <w:tcPr>
            <w:tcW w:w="1579" w:type="dxa"/>
          </w:tcPr>
          <w:p>
            <w:pPr>
              <w:pStyle w:val="GesAbsatz"/>
              <w:jc w:val="both"/>
              <w:rPr>
                <w:rFonts w:cs="Arial"/>
                <w:szCs w:val="17"/>
              </w:rPr>
            </w:pPr>
            <w:r>
              <w:rPr>
                <w:rFonts w:cs="Arial"/>
                <w:szCs w:val="17"/>
              </w:rPr>
              <w:t>t CO</w:t>
            </w:r>
            <w:r>
              <w:rPr>
                <w:rFonts w:cs="Arial"/>
                <w:szCs w:val="10"/>
                <w:vertAlign w:val="subscript"/>
              </w:rPr>
              <w:t>2</w:t>
            </w:r>
          </w:p>
        </w:tc>
        <w:tc>
          <w:tcPr>
            <w:tcW w:w="1544" w:type="dxa"/>
          </w:tcPr>
          <w:p>
            <w:pPr>
              <w:pStyle w:val="GesAbsatz"/>
              <w:jc w:val="both"/>
              <w:rPr>
                <w:rFonts w:cs="Arial"/>
                <w:szCs w:val="15"/>
              </w:rPr>
            </w:pPr>
          </w:p>
        </w:tc>
        <w:tc>
          <w:tcPr>
            <w:tcW w:w="1797" w:type="dxa"/>
            <w:shd w:val="clear" w:color="auto" w:fill="C0C0C0"/>
          </w:tcPr>
          <w:p>
            <w:pPr>
              <w:pStyle w:val="GesAbsatz"/>
              <w:jc w:val="both"/>
              <w:rPr>
                <w:rFonts w:cs="Arial"/>
                <w:szCs w:val="15"/>
              </w:rPr>
            </w:pPr>
          </w:p>
        </w:tc>
      </w:tr>
      <w:tr>
        <w:tblPrEx>
          <w:tblCellMar>
            <w:top w:w="0" w:type="dxa"/>
            <w:bottom w:w="0" w:type="dxa"/>
          </w:tblCellMar>
        </w:tblPrEx>
        <w:trPr>
          <w:cantSplit/>
        </w:trPr>
        <w:tc>
          <w:tcPr>
            <w:tcW w:w="4624" w:type="dxa"/>
            <w:gridSpan w:val="2"/>
            <w:shd w:val="clear" w:color="auto" w:fill="C0C0C0"/>
          </w:tcPr>
          <w:p>
            <w:pPr>
              <w:pStyle w:val="GesAbsatz"/>
              <w:jc w:val="both"/>
              <w:rPr>
                <w:rFonts w:cs="Arial"/>
                <w:szCs w:val="17"/>
              </w:rPr>
            </w:pPr>
            <w:r>
              <w:rPr>
                <w:rFonts w:cs="Arial"/>
                <w:b/>
                <w:bCs/>
                <w:szCs w:val="17"/>
              </w:rPr>
              <w:t>Tätigkeit insgesamt</w:t>
            </w:r>
          </w:p>
        </w:tc>
        <w:tc>
          <w:tcPr>
            <w:tcW w:w="4920" w:type="dxa"/>
            <w:gridSpan w:val="3"/>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rPr>
                <w:rFonts w:cs="Arial"/>
                <w:b/>
                <w:bCs/>
                <w:szCs w:val="17"/>
              </w:rPr>
            </w:pPr>
            <w:r>
              <w:rPr>
                <w:rFonts w:cs="Arial"/>
                <w:b/>
                <w:bCs/>
                <w:szCs w:val="17"/>
              </w:rPr>
              <w:t>Gesamtemissionen (t CO</w:t>
            </w:r>
            <w:r>
              <w:rPr>
                <w:rFonts w:cs="Arial"/>
                <w:b/>
                <w:bCs/>
                <w:szCs w:val="10"/>
                <w:vertAlign w:val="subscript"/>
              </w:rPr>
              <w:t>2</w:t>
            </w:r>
            <w:r>
              <w:rPr>
                <w:rFonts w:cs="Arial"/>
                <w:b/>
                <w:bCs/>
                <w:szCs w:val="17"/>
              </w:rPr>
              <w:t>)</w:t>
            </w:r>
            <w:r>
              <w:rPr>
                <w:rStyle w:val="Funotenzeichen"/>
                <w:rFonts w:cs="Arial"/>
                <w:b/>
                <w:bCs/>
                <w:szCs w:val="17"/>
              </w:rPr>
              <w:footnoteReference w:id="21"/>
            </w:r>
          </w:p>
        </w:tc>
        <w:tc>
          <w:tcPr>
            <w:tcW w:w="1892" w:type="dxa"/>
          </w:tcPr>
          <w:p>
            <w:pPr>
              <w:pStyle w:val="GesAbsatz"/>
              <w:jc w:val="both"/>
              <w:rPr>
                <w:rFonts w:cs="Arial"/>
                <w:szCs w:val="17"/>
              </w:rPr>
            </w:pPr>
          </w:p>
        </w:tc>
        <w:tc>
          <w:tcPr>
            <w:tcW w:w="4920" w:type="dxa"/>
            <w:gridSpan w:val="3"/>
            <w:vMerge w:val="restart"/>
          </w:tcPr>
          <w:p>
            <w:pPr>
              <w:pStyle w:val="GesAbsatz"/>
              <w:jc w:val="both"/>
              <w:rPr>
                <w:rFonts w:cs="Arial"/>
                <w:szCs w:val="15"/>
              </w:rPr>
            </w:pPr>
          </w:p>
        </w:tc>
      </w:tr>
      <w:tr>
        <w:tblPrEx>
          <w:tblCellMar>
            <w:top w:w="0" w:type="dxa"/>
            <w:bottom w:w="0" w:type="dxa"/>
          </w:tblCellMar>
        </w:tblPrEx>
        <w:trPr>
          <w:cantSplit/>
        </w:trPr>
        <w:tc>
          <w:tcPr>
            <w:tcW w:w="2732" w:type="dxa"/>
          </w:tcPr>
          <w:p>
            <w:pPr>
              <w:pStyle w:val="GesAbsatz"/>
              <w:rPr>
                <w:rFonts w:cs="Arial"/>
                <w:b/>
                <w:bCs/>
                <w:szCs w:val="17"/>
              </w:rPr>
            </w:pPr>
            <w:r>
              <w:rPr>
                <w:rFonts w:cs="Arial"/>
                <w:b/>
                <w:bCs/>
                <w:szCs w:val="17"/>
              </w:rPr>
              <w:t>Eingesetzte Biomasse in</w:t>
            </w:r>
            <w:r>
              <w:rPr>
                <w:rFonts w:cs="Arial"/>
                <w:b/>
                <w:bCs/>
                <w:szCs w:val="17"/>
              </w:rPr>
              <w:t>s</w:t>
            </w:r>
            <w:r>
              <w:rPr>
                <w:rFonts w:cs="Arial"/>
                <w:b/>
                <w:bCs/>
                <w:szCs w:val="17"/>
              </w:rPr>
              <w:t>gesamt (TJ)</w:t>
            </w:r>
            <w:r>
              <w:rPr>
                <w:rStyle w:val="Funotenzeichen"/>
                <w:rFonts w:cs="Arial"/>
                <w:b/>
                <w:bCs/>
                <w:szCs w:val="17"/>
              </w:rPr>
              <w:footnoteReference w:id="22"/>
            </w:r>
            <w:r>
              <w:rPr>
                <w:rFonts w:cs="Arial"/>
                <w:b/>
                <w:bCs/>
                <w:szCs w:val="17"/>
              </w:rPr>
              <w:t xml:space="preserve"> </w:t>
            </w:r>
          </w:p>
        </w:tc>
        <w:tc>
          <w:tcPr>
            <w:tcW w:w="1892" w:type="dxa"/>
          </w:tcPr>
          <w:p>
            <w:pPr>
              <w:pStyle w:val="GesAbsatz"/>
              <w:jc w:val="both"/>
              <w:rPr>
                <w:rFonts w:cs="Arial"/>
                <w:szCs w:val="17"/>
              </w:rPr>
            </w:pPr>
          </w:p>
        </w:tc>
        <w:tc>
          <w:tcPr>
            <w:tcW w:w="4920" w:type="dxa"/>
            <w:gridSpan w:val="3"/>
            <w:vMerge/>
          </w:tcPr>
          <w:p>
            <w:pPr>
              <w:pStyle w:val="GesAbsatz"/>
              <w:jc w:val="both"/>
              <w:rPr>
                <w:rFonts w:cs="Arial"/>
                <w:szCs w:val="15"/>
              </w:rPr>
            </w:pPr>
          </w:p>
        </w:tc>
      </w:tr>
    </w:tbl>
    <w:p>
      <w:pPr>
        <w:pStyle w:val="GesAbsatz"/>
        <w:jc w:val="both"/>
        <w:rPr>
          <w:rFonts w:cs="Arial"/>
          <w:bCs/>
          <w:szCs w:val="17"/>
        </w:rPr>
      </w:pPr>
    </w:p>
    <w:p>
      <w:pPr>
        <w:pStyle w:val="GesAbsatz"/>
        <w:jc w:val="both"/>
        <w:rPr>
          <w:rFonts w:cs="Arial"/>
          <w:b/>
          <w:bCs/>
          <w:szCs w:val="17"/>
        </w:rPr>
      </w:pPr>
      <w:r>
        <w:rPr>
          <w:rFonts w:cs="Arial"/>
          <w:b/>
          <w:bCs/>
          <w:szCs w:val="17"/>
        </w:rPr>
        <w:t>11.4. Prozessemissionen (Berechnung)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1864"/>
        <w:gridCol w:w="1560"/>
        <w:gridCol w:w="1518"/>
        <w:gridCol w:w="1767"/>
      </w:tblGrid>
      <w:tr>
        <w:tblPrEx>
          <w:tblCellMar>
            <w:top w:w="0" w:type="dxa"/>
            <w:bottom w:w="0" w:type="dxa"/>
          </w:tblCellMar>
        </w:tblPrEx>
        <w:trPr>
          <w:cantSplit/>
        </w:trPr>
        <w:tc>
          <w:tcPr>
            <w:tcW w:w="2732" w:type="dxa"/>
            <w:shd w:val="clear" w:color="auto" w:fill="C0C0C0"/>
          </w:tcPr>
          <w:p>
            <w:pPr>
              <w:pStyle w:val="GesAbsatz"/>
              <w:jc w:val="both"/>
              <w:rPr>
                <w:rFonts w:cs="Arial"/>
                <w:bCs/>
                <w:szCs w:val="17"/>
              </w:rPr>
            </w:pPr>
            <w:r>
              <w:rPr>
                <w:rFonts w:cs="Arial"/>
                <w:b/>
                <w:bCs/>
                <w:szCs w:val="17"/>
              </w:rPr>
              <w:t>Tätigkeit N</w:t>
            </w:r>
          </w:p>
        </w:tc>
        <w:tc>
          <w:tcPr>
            <w:tcW w:w="6812" w:type="dxa"/>
            <w:gridSpan w:val="4"/>
          </w:tcPr>
          <w:p>
            <w:pPr>
              <w:pStyle w:val="GesAbsatz"/>
              <w:jc w:val="both"/>
              <w:rPr>
                <w:rFonts w:cs="Arial"/>
                <w:bCs/>
                <w:szCs w:val="17"/>
              </w:rPr>
            </w:pPr>
          </w:p>
        </w:tc>
      </w:tr>
      <w:tr>
        <w:tblPrEx>
          <w:tblCellMar>
            <w:top w:w="0" w:type="dxa"/>
            <w:bottom w:w="0" w:type="dxa"/>
          </w:tblCellMar>
        </w:tblPrEx>
        <w:trPr>
          <w:cantSplit/>
        </w:trPr>
        <w:tc>
          <w:tcPr>
            <w:tcW w:w="9544" w:type="dxa"/>
            <w:gridSpan w:val="5"/>
          </w:tcPr>
          <w:p>
            <w:pPr>
              <w:pStyle w:val="GesAbsatz"/>
              <w:jc w:val="both"/>
              <w:rPr>
                <w:rFonts w:cs="Arial"/>
                <w:bCs/>
                <w:szCs w:val="17"/>
              </w:rPr>
            </w:pPr>
            <w:r>
              <w:rPr>
                <w:rFonts w:cs="Arial"/>
                <w:szCs w:val="17"/>
              </w:rPr>
              <w:t>Anhang-I-Tätigkeit:</w:t>
            </w:r>
          </w:p>
        </w:tc>
      </w:tr>
      <w:tr>
        <w:tblPrEx>
          <w:tblCellMar>
            <w:top w:w="0" w:type="dxa"/>
            <w:bottom w:w="0" w:type="dxa"/>
          </w:tblCellMar>
        </w:tblPrEx>
        <w:trPr>
          <w:cantSplit/>
        </w:trPr>
        <w:tc>
          <w:tcPr>
            <w:tcW w:w="9544" w:type="dxa"/>
            <w:gridSpan w:val="5"/>
            <w:tcBorders>
              <w:bottom w:val="single" w:sz="4" w:space="0" w:color="auto"/>
            </w:tcBorders>
          </w:tcPr>
          <w:p>
            <w:pPr>
              <w:pStyle w:val="GesAbsatz"/>
              <w:jc w:val="both"/>
              <w:rPr>
                <w:rFonts w:cs="Arial"/>
                <w:bCs/>
                <w:szCs w:val="17"/>
              </w:rPr>
            </w:pPr>
            <w:r>
              <w:rPr>
                <w:rFonts w:cs="Arial"/>
                <w:szCs w:val="17"/>
              </w:rPr>
              <w:t>Beschreibung der Tätigkeit:</w:t>
            </w:r>
          </w:p>
        </w:tc>
      </w:tr>
      <w:tr>
        <w:tblPrEx>
          <w:tblCellMar>
            <w:top w:w="0" w:type="dxa"/>
            <w:bottom w:w="0" w:type="dxa"/>
          </w:tblCellMar>
        </w:tblPrEx>
        <w:trPr>
          <w:cantSplit/>
        </w:trPr>
        <w:tc>
          <w:tcPr>
            <w:tcW w:w="9544" w:type="dxa"/>
            <w:gridSpan w:val="5"/>
            <w:shd w:val="clear" w:color="auto" w:fill="C0C0C0"/>
          </w:tcPr>
          <w:p>
            <w:pPr>
              <w:pStyle w:val="GesAbsatz"/>
              <w:jc w:val="both"/>
              <w:rPr>
                <w:rFonts w:cs="Arial"/>
                <w:bCs/>
                <w:szCs w:val="17"/>
              </w:rPr>
            </w:pPr>
            <w:r>
              <w:rPr>
                <w:rFonts w:cs="Arial"/>
                <w:b/>
                <w:bCs/>
                <w:szCs w:val="17"/>
              </w:rPr>
              <w:t>Verfahren, bei denen nur fossile Eingangsstoffe eingesetzt werden</w:t>
            </w:r>
          </w:p>
        </w:tc>
      </w:tr>
      <w:tr>
        <w:tblPrEx>
          <w:tblCellMar>
            <w:top w:w="0" w:type="dxa"/>
            <w:bottom w:w="0" w:type="dxa"/>
          </w:tblCellMar>
        </w:tblPrEx>
        <w:trPr>
          <w:cantSplit/>
          <w:trHeight w:val="247"/>
        </w:trPr>
        <w:tc>
          <w:tcPr>
            <w:tcW w:w="2732" w:type="dxa"/>
            <w:tcBorders>
              <w:bottom w:val="single" w:sz="4" w:space="0" w:color="auto"/>
            </w:tcBorders>
          </w:tcPr>
          <w:p>
            <w:pPr>
              <w:pStyle w:val="GesAbsatz"/>
              <w:jc w:val="both"/>
              <w:rPr>
                <w:rFonts w:cs="Arial"/>
                <w:bCs/>
                <w:szCs w:val="17"/>
              </w:rPr>
            </w:pPr>
            <w:r>
              <w:rPr>
                <w:rFonts w:cs="Arial"/>
                <w:szCs w:val="17"/>
              </w:rPr>
              <w:t>Verfahren 1</w:t>
            </w:r>
          </w:p>
        </w:tc>
        <w:tc>
          <w:tcPr>
            <w:tcW w:w="6812" w:type="dxa"/>
            <w:gridSpan w:val="4"/>
            <w:tcBorders>
              <w:bottom w:val="single" w:sz="4" w:space="0" w:color="auto"/>
            </w:tcBorders>
          </w:tcPr>
          <w:p>
            <w:pPr>
              <w:pStyle w:val="GesAbsatz"/>
              <w:jc w:val="both"/>
              <w:rPr>
                <w:rFonts w:cs="Arial"/>
                <w:bCs/>
                <w:szCs w:val="17"/>
              </w:rPr>
            </w:pPr>
          </w:p>
        </w:tc>
      </w:tr>
      <w:tr>
        <w:tblPrEx>
          <w:tblCellMar>
            <w:top w:w="0" w:type="dxa"/>
            <w:bottom w:w="0" w:type="dxa"/>
          </w:tblCellMar>
        </w:tblPrEx>
        <w:trPr>
          <w:cantSplit/>
        </w:trPr>
        <w:tc>
          <w:tcPr>
            <w:tcW w:w="9544" w:type="dxa"/>
            <w:gridSpan w:val="5"/>
          </w:tcPr>
          <w:p>
            <w:pPr>
              <w:pStyle w:val="GesAbsatz"/>
              <w:jc w:val="both"/>
              <w:rPr>
                <w:rFonts w:cs="Arial"/>
                <w:bCs/>
                <w:szCs w:val="17"/>
              </w:rPr>
            </w:pPr>
            <w:r>
              <w:rPr>
                <w:rFonts w:cs="Arial"/>
                <w:szCs w:val="17"/>
              </w:rPr>
              <w:t>Art des Verfahrens:</w:t>
            </w:r>
          </w:p>
        </w:tc>
      </w:tr>
      <w:tr>
        <w:tblPrEx>
          <w:tblCellMar>
            <w:top w:w="0" w:type="dxa"/>
            <w:bottom w:w="0" w:type="dxa"/>
          </w:tblCellMar>
        </w:tblPrEx>
        <w:trPr>
          <w:cantSplit/>
        </w:trPr>
        <w:tc>
          <w:tcPr>
            <w:tcW w:w="9544" w:type="dxa"/>
            <w:gridSpan w:val="5"/>
          </w:tcPr>
          <w:p>
            <w:pPr>
              <w:pStyle w:val="GesAbsatz"/>
              <w:jc w:val="both"/>
              <w:rPr>
                <w:rFonts w:cs="Arial"/>
                <w:bCs/>
                <w:szCs w:val="17"/>
              </w:rPr>
            </w:pPr>
            <w:r>
              <w:rPr>
                <w:rFonts w:cs="Arial"/>
                <w:szCs w:val="17"/>
              </w:rPr>
              <w:t>Beschreibung der Tätigkeitsdaten:</w:t>
            </w:r>
          </w:p>
        </w:tc>
      </w:tr>
      <w:tr>
        <w:tblPrEx>
          <w:tblCellMar>
            <w:top w:w="0" w:type="dxa"/>
            <w:bottom w:w="0" w:type="dxa"/>
          </w:tblCellMar>
        </w:tblPrEx>
        <w:trPr>
          <w:cantSplit/>
        </w:trPr>
        <w:tc>
          <w:tcPr>
            <w:tcW w:w="9544" w:type="dxa"/>
            <w:gridSpan w:val="5"/>
          </w:tcPr>
          <w:p>
            <w:pPr>
              <w:pStyle w:val="GesAbsatz"/>
              <w:jc w:val="both"/>
              <w:rPr>
                <w:rFonts w:cs="Arial"/>
                <w:bCs/>
                <w:szCs w:val="17"/>
              </w:rPr>
            </w:pPr>
            <w:r>
              <w:rPr>
                <w:rFonts w:cs="Arial"/>
                <w:szCs w:val="17"/>
              </w:rPr>
              <w:t>Angewandte Berechnungsmethode (nur wenn in Leitlinien spezifiziert): Einheit</w:t>
            </w: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p>
        </w:tc>
        <w:tc>
          <w:tcPr>
            <w:tcW w:w="1579" w:type="dxa"/>
          </w:tcPr>
          <w:p>
            <w:pPr>
              <w:pStyle w:val="GesAbsatz"/>
              <w:jc w:val="center"/>
              <w:rPr>
                <w:rFonts w:cs="Arial"/>
                <w:bCs/>
                <w:szCs w:val="17"/>
              </w:rPr>
            </w:pPr>
            <w:r>
              <w:rPr>
                <w:rFonts w:cs="Arial"/>
                <w:szCs w:val="15"/>
              </w:rPr>
              <w:t>Einheit</w:t>
            </w:r>
          </w:p>
        </w:tc>
        <w:tc>
          <w:tcPr>
            <w:tcW w:w="1544" w:type="dxa"/>
          </w:tcPr>
          <w:p>
            <w:pPr>
              <w:pStyle w:val="GesAbsatz"/>
              <w:jc w:val="center"/>
              <w:rPr>
                <w:rFonts w:cs="Arial"/>
                <w:bCs/>
                <w:szCs w:val="17"/>
              </w:rPr>
            </w:pPr>
            <w:r>
              <w:rPr>
                <w:rFonts w:cs="Arial"/>
                <w:szCs w:val="15"/>
              </w:rPr>
              <w:t>Daten</w:t>
            </w:r>
          </w:p>
        </w:tc>
        <w:tc>
          <w:tcPr>
            <w:tcW w:w="1797" w:type="dxa"/>
          </w:tcPr>
          <w:p>
            <w:pPr>
              <w:pStyle w:val="GesAbsatz"/>
              <w:jc w:val="center"/>
              <w:rPr>
                <w:rFonts w:cs="Arial"/>
                <w:bCs/>
                <w:szCs w:val="17"/>
              </w:rPr>
            </w:pPr>
            <w:r>
              <w:rPr>
                <w:rFonts w:cs="Arial"/>
                <w:szCs w:val="15"/>
              </w:rPr>
              <w:t>Ebenenkonzept</w:t>
            </w: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bCs/>
                <w:szCs w:val="17"/>
              </w:rPr>
            </w:pPr>
            <w:r>
              <w:rPr>
                <w:rFonts w:cs="Arial"/>
                <w:szCs w:val="17"/>
              </w:rPr>
              <w:t>Tätigkeitsdaten</w:t>
            </w:r>
          </w:p>
        </w:tc>
        <w:tc>
          <w:tcPr>
            <w:tcW w:w="1579" w:type="dxa"/>
          </w:tcPr>
          <w:p>
            <w:pPr>
              <w:pStyle w:val="GesAbsatz"/>
              <w:rPr>
                <w:rFonts w:cs="Arial"/>
                <w:szCs w:val="15"/>
              </w:rPr>
            </w:pPr>
            <w:r>
              <w:rPr>
                <w:rFonts w:cs="Arial"/>
                <w:szCs w:val="17"/>
              </w:rPr>
              <w:t>t oder m</w:t>
            </w:r>
            <w:r>
              <w:rPr>
                <w:rFonts w:cs="Arial"/>
                <w:szCs w:val="10"/>
                <w:vertAlign w:val="superscript"/>
              </w:rPr>
              <w:t>3</w:t>
            </w:r>
          </w:p>
        </w:tc>
        <w:tc>
          <w:tcPr>
            <w:tcW w:w="1544" w:type="dxa"/>
          </w:tcPr>
          <w:p>
            <w:pPr>
              <w:pStyle w:val="GesAbsatz"/>
              <w:rPr>
                <w:rFonts w:cs="Arial"/>
                <w:szCs w:val="15"/>
              </w:rPr>
            </w:pPr>
          </w:p>
        </w:tc>
        <w:tc>
          <w:tcPr>
            <w:tcW w:w="1797" w:type="dxa"/>
          </w:tcPr>
          <w:p>
            <w:pPr>
              <w:pStyle w:val="GesAbsatz"/>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Emissionsfaktor</w:t>
            </w:r>
          </w:p>
        </w:tc>
        <w:tc>
          <w:tcPr>
            <w:tcW w:w="1579" w:type="dxa"/>
          </w:tcPr>
          <w:p>
            <w:pPr>
              <w:pStyle w:val="GesAbsatz"/>
              <w:rPr>
                <w:rFonts w:cs="Arial"/>
                <w:szCs w:val="17"/>
              </w:rPr>
            </w:pPr>
            <w:r>
              <w:rPr>
                <w:rFonts w:cs="Arial"/>
                <w:szCs w:val="17"/>
              </w:rPr>
              <w:t>t CO</w:t>
            </w:r>
            <w:r>
              <w:rPr>
                <w:rFonts w:cs="Arial"/>
                <w:szCs w:val="10"/>
                <w:vertAlign w:val="subscript"/>
              </w:rPr>
              <w:t>2</w:t>
            </w:r>
            <w:r>
              <w:rPr>
                <w:rFonts w:cs="Arial"/>
                <w:szCs w:val="17"/>
              </w:rPr>
              <w:t>/t</w:t>
            </w:r>
            <w:r>
              <w:rPr>
                <w:rFonts w:cs="Arial"/>
                <w:szCs w:val="17"/>
              </w:rPr>
              <w:br/>
              <w:t>oder t CO</w:t>
            </w:r>
            <w:r>
              <w:rPr>
                <w:rFonts w:cs="Arial"/>
                <w:szCs w:val="10"/>
                <w:vertAlign w:val="subscript"/>
              </w:rPr>
              <w:t>2</w:t>
            </w:r>
            <w:r>
              <w:rPr>
                <w:rFonts w:cs="Arial"/>
                <w:szCs w:val="17"/>
              </w:rPr>
              <w:t>/m</w:t>
            </w:r>
            <w:r>
              <w:rPr>
                <w:rFonts w:cs="Arial"/>
                <w:szCs w:val="10"/>
                <w:vertAlign w:val="superscript"/>
              </w:rPr>
              <w:t>3</w:t>
            </w:r>
          </w:p>
        </w:tc>
        <w:tc>
          <w:tcPr>
            <w:tcW w:w="1544" w:type="dxa"/>
          </w:tcPr>
          <w:p>
            <w:pPr>
              <w:pStyle w:val="GesAbsatz"/>
              <w:rPr>
                <w:rFonts w:cs="Arial"/>
                <w:szCs w:val="15"/>
              </w:rPr>
            </w:pPr>
          </w:p>
        </w:tc>
        <w:tc>
          <w:tcPr>
            <w:tcW w:w="1797" w:type="dxa"/>
          </w:tcPr>
          <w:p>
            <w:pPr>
              <w:pStyle w:val="GesAbsatz"/>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Umsetzungsfaktor</w:t>
            </w:r>
          </w:p>
        </w:tc>
        <w:tc>
          <w:tcPr>
            <w:tcW w:w="1579" w:type="dxa"/>
          </w:tcPr>
          <w:p>
            <w:pPr>
              <w:pStyle w:val="GesAbsatz"/>
              <w:jc w:val="both"/>
              <w:rPr>
                <w:rFonts w:cs="Arial"/>
                <w:szCs w:val="17"/>
              </w:rPr>
            </w:pPr>
            <w:r>
              <w:rPr>
                <w:rFonts w:cs="Arial"/>
                <w:szCs w:val="17"/>
              </w:rPr>
              <w:t>%</w:t>
            </w:r>
          </w:p>
        </w:tc>
        <w:tc>
          <w:tcPr>
            <w:tcW w:w="1544" w:type="dxa"/>
          </w:tcPr>
          <w:p>
            <w:pPr>
              <w:pStyle w:val="GesAbsatz"/>
              <w:rPr>
                <w:rFonts w:cs="Arial"/>
                <w:szCs w:val="15"/>
              </w:rPr>
            </w:pPr>
          </w:p>
        </w:tc>
        <w:tc>
          <w:tcPr>
            <w:tcW w:w="1797" w:type="dxa"/>
            <w:tcBorders>
              <w:bottom w:val="single" w:sz="4" w:space="0" w:color="auto"/>
            </w:tcBorders>
          </w:tcPr>
          <w:p>
            <w:pPr>
              <w:pStyle w:val="GesAbsatz"/>
              <w:rPr>
                <w:rFonts w:cs="Arial"/>
                <w:szCs w:val="15"/>
              </w:rPr>
            </w:pP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r>
              <w:rPr>
                <w:rFonts w:cs="Arial"/>
                <w:szCs w:val="17"/>
              </w:rPr>
              <w:t>Gesamtemissionen</w:t>
            </w:r>
          </w:p>
        </w:tc>
        <w:tc>
          <w:tcPr>
            <w:tcW w:w="1579" w:type="dxa"/>
          </w:tcPr>
          <w:p>
            <w:pPr>
              <w:pStyle w:val="GesAbsatz"/>
              <w:jc w:val="both"/>
              <w:rPr>
                <w:rFonts w:cs="Arial"/>
                <w:szCs w:val="17"/>
              </w:rPr>
            </w:pPr>
            <w:r>
              <w:rPr>
                <w:rFonts w:cs="Arial"/>
                <w:szCs w:val="17"/>
              </w:rPr>
              <w:t>t CO</w:t>
            </w:r>
            <w:r>
              <w:rPr>
                <w:rFonts w:cs="Arial"/>
                <w:szCs w:val="10"/>
                <w:vertAlign w:val="subscript"/>
              </w:rPr>
              <w:t>2</w:t>
            </w:r>
          </w:p>
        </w:tc>
        <w:tc>
          <w:tcPr>
            <w:tcW w:w="1544" w:type="dxa"/>
          </w:tcPr>
          <w:p>
            <w:pPr>
              <w:pStyle w:val="GesAbsatz"/>
              <w:rPr>
                <w:rFonts w:cs="Arial"/>
                <w:szCs w:val="15"/>
              </w:rPr>
            </w:pPr>
          </w:p>
        </w:tc>
        <w:tc>
          <w:tcPr>
            <w:tcW w:w="1797" w:type="dxa"/>
            <w:shd w:val="clear" w:color="auto" w:fill="C0C0C0"/>
          </w:tcPr>
          <w:p>
            <w:pPr>
              <w:pStyle w:val="GesAbsatz"/>
              <w:rPr>
                <w:rFonts w:cs="Arial"/>
                <w:szCs w:val="15"/>
              </w:rPr>
            </w:pPr>
          </w:p>
        </w:tc>
      </w:tr>
      <w:tr>
        <w:tblPrEx>
          <w:tblCellMar>
            <w:top w:w="0" w:type="dxa"/>
            <w:bottom w:w="0" w:type="dxa"/>
          </w:tblCellMar>
        </w:tblPrEx>
        <w:trPr>
          <w:cantSplit/>
        </w:trPr>
        <w:tc>
          <w:tcPr>
            <w:tcW w:w="2732" w:type="dxa"/>
          </w:tcPr>
          <w:p>
            <w:pPr>
              <w:pStyle w:val="GesAbsatz"/>
              <w:jc w:val="both"/>
              <w:rPr>
                <w:rFonts w:cs="Arial"/>
                <w:szCs w:val="17"/>
              </w:rPr>
            </w:pPr>
            <w:r>
              <w:rPr>
                <w:rFonts w:cs="Arial"/>
                <w:szCs w:val="17"/>
              </w:rPr>
              <w:t>Verfahren N</w:t>
            </w:r>
          </w:p>
        </w:tc>
        <w:tc>
          <w:tcPr>
            <w:tcW w:w="6812" w:type="dxa"/>
            <w:gridSpan w:val="4"/>
          </w:tcPr>
          <w:p>
            <w:pPr>
              <w:pStyle w:val="GesAbsatz"/>
              <w:jc w:val="center"/>
              <w:rPr>
                <w:rFonts w:cs="Arial"/>
                <w:szCs w:val="15"/>
              </w:rPr>
            </w:pP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Art des Verfahrens:</w:t>
            </w: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Beschreibung der Täti</w:t>
            </w:r>
            <w:r>
              <w:rPr>
                <w:rFonts w:cs="Arial"/>
                <w:szCs w:val="17"/>
              </w:rPr>
              <w:t>g</w:t>
            </w:r>
            <w:r>
              <w:rPr>
                <w:rFonts w:cs="Arial"/>
                <w:szCs w:val="17"/>
              </w:rPr>
              <w:t>keitsdaten</w:t>
            </w: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Angewandte Berechnungsmethode (nur wenn in Leitl</w:t>
            </w:r>
            <w:r>
              <w:rPr>
                <w:rFonts w:cs="Arial"/>
                <w:szCs w:val="17"/>
              </w:rPr>
              <w:t>i</w:t>
            </w:r>
            <w:r>
              <w:rPr>
                <w:rFonts w:cs="Arial"/>
                <w:szCs w:val="17"/>
              </w:rPr>
              <w:t>nien spezifiziert): Einheit</w:t>
            </w:r>
          </w:p>
        </w:tc>
      </w:tr>
      <w:tr>
        <w:tblPrEx>
          <w:tblCellMar>
            <w:top w:w="0" w:type="dxa"/>
            <w:bottom w:w="0" w:type="dxa"/>
          </w:tblCellMar>
        </w:tblPrEx>
        <w:tc>
          <w:tcPr>
            <w:tcW w:w="2732" w:type="dxa"/>
          </w:tcPr>
          <w:p>
            <w:pPr>
              <w:pStyle w:val="GesAbsatz"/>
              <w:jc w:val="both"/>
              <w:rPr>
                <w:rFonts w:cs="Arial"/>
                <w:szCs w:val="17"/>
              </w:rPr>
            </w:pPr>
          </w:p>
        </w:tc>
        <w:tc>
          <w:tcPr>
            <w:tcW w:w="1892" w:type="dxa"/>
          </w:tcPr>
          <w:p>
            <w:pPr>
              <w:pStyle w:val="GesAbsatz"/>
              <w:jc w:val="both"/>
              <w:rPr>
                <w:rFonts w:cs="Arial"/>
                <w:szCs w:val="17"/>
              </w:rPr>
            </w:pPr>
          </w:p>
        </w:tc>
        <w:tc>
          <w:tcPr>
            <w:tcW w:w="1579" w:type="dxa"/>
          </w:tcPr>
          <w:p>
            <w:pPr>
              <w:pStyle w:val="GesAbsatz"/>
              <w:jc w:val="both"/>
              <w:rPr>
                <w:rFonts w:cs="Arial"/>
                <w:szCs w:val="17"/>
              </w:rPr>
            </w:pPr>
            <w:r>
              <w:rPr>
                <w:rFonts w:cs="Arial"/>
                <w:szCs w:val="15"/>
              </w:rPr>
              <w:t>Einheit</w:t>
            </w:r>
          </w:p>
        </w:tc>
        <w:tc>
          <w:tcPr>
            <w:tcW w:w="1544" w:type="dxa"/>
          </w:tcPr>
          <w:p>
            <w:pPr>
              <w:pStyle w:val="GesAbsatz"/>
              <w:jc w:val="center"/>
              <w:rPr>
                <w:rFonts w:cs="Arial"/>
                <w:szCs w:val="15"/>
              </w:rPr>
            </w:pPr>
            <w:r>
              <w:rPr>
                <w:rFonts w:cs="Arial"/>
                <w:szCs w:val="15"/>
              </w:rPr>
              <w:t>Daten</w:t>
            </w:r>
          </w:p>
        </w:tc>
        <w:tc>
          <w:tcPr>
            <w:tcW w:w="1797" w:type="dxa"/>
          </w:tcPr>
          <w:p>
            <w:pPr>
              <w:pStyle w:val="GesAbsatz"/>
              <w:jc w:val="center"/>
              <w:rPr>
                <w:rFonts w:cs="Arial"/>
                <w:szCs w:val="15"/>
              </w:rPr>
            </w:pPr>
            <w:r>
              <w:rPr>
                <w:rFonts w:cs="Arial"/>
                <w:szCs w:val="15"/>
              </w:rPr>
              <w:t>Ebenenkonzept</w:t>
            </w: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r>
              <w:rPr>
                <w:rFonts w:cs="Arial"/>
                <w:szCs w:val="17"/>
              </w:rPr>
              <w:t>Tätigkeitsdaten</w:t>
            </w:r>
          </w:p>
        </w:tc>
        <w:tc>
          <w:tcPr>
            <w:tcW w:w="1579" w:type="dxa"/>
          </w:tcPr>
          <w:p>
            <w:pPr>
              <w:pStyle w:val="GesAbsatz"/>
              <w:rPr>
                <w:rFonts w:cs="Arial"/>
                <w:szCs w:val="15"/>
              </w:rPr>
            </w:pPr>
            <w:r>
              <w:rPr>
                <w:rFonts w:cs="Arial"/>
                <w:szCs w:val="17"/>
              </w:rPr>
              <w:t>t oder m</w:t>
            </w:r>
            <w:r>
              <w:rPr>
                <w:rFonts w:cs="Arial"/>
                <w:szCs w:val="10"/>
                <w:vertAlign w:val="superscript"/>
              </w:rPr>
              <w:t>3</w:t>
            </w:r>
          </w:p>
        </w:tc>
        <w:tc>
          <w:tcPr>
            <w:tcW w:w="1544" w:type="dxa"/>
          </w:tcPr>
          <w:p>
            <w:pPr>
              <w:pStyle w:val="GesAbsatz"/>
              <w:rPr>
                <w:rFonts w:cs="Arial"/>
                <w:szCs w:val="15"/>
              </w:rPr>
            </w:pPr>
          </w:p>
        </w:tc>
        <w:tc>
          <w:tcPr>
            <w:tcW w:w="1797" w:type="dxa"/>
          </w:tcPr>
          <w:p>
            <w:pPr>
              <w:pStyle w:val="GesAbsatz"/>
              <w:rPr>
                <w:rFonts w:cs="Arial"/>
                <w:szCs w:val="15"/>
              </w:rPr>
            </w:pP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r>
              <w:rPr>
                <w:rFonts w:cs="Arial"/>
                <w:szCs w:val="17"/>
              </w:rPr>
              <w:t>Emissionsfaktor</w:t>
            </w:r>
          </w:p>
        </w:tc>
        <w:tc>
          <w:tcPr>
            <w:tcW w:w="1579" w:type="dxa"/>
          </w:tcPr>
          <w:p>
            <w:pPr>
              <w:pStyle w:val="GesAbsatz"/>
              <w:rPr>
                <w:rFonts w:cs="Arial"/>
                <w:szCs w:val="17"/>
              </w:rPr>
            </w:pPr>
            <w:r>
              <w:rPr>
                <w:rFonts w:cs="Arial"/>
                <w:szCs w:val="17"/>
              </w:rPr>
              <w:t>t CO</w:t>
            </w:r>
            <w:r>
              <w:rPr>
                <w:rFonts w:cs="Arial"/>
                <w:szCs w:val="10"/>
                <w:vertAlign w:val="subscript"/>
              </w:rPr>
              <w:t>2</w:t>
            </w:r>
            <w:r>
              <w:rPr>
                <w:rFonts w:cs="Arial"/>
                <w:szCs w:val="17"/>
              </w:rPr>
              <w:t>/t oder</w:t>
            </w:r>
            <w:r>
              <w:rPr>
                <w:rFonts w:cs="Arial"/>
                <w:szCs w:val="17"/>
              </w:rPr>
              <w:br/>
              <w:t>t CO</w:t>
            </w:r>
            <w:r>
              <w:rPr>
                <w:rFonts w:cs="Arial"/>
                <w:szCs w:val="10"/>
                <w:vertAlign w:val="subscript"/>
              </w:rPr>
              <w:t>2</w:t>
            </w:r>
            <w:r>
              <w:rPr>
                <w:rFonts w:cs="Arial"/>
                <w:szCs w:val="17"/>
              </w:rPr>
              <w:t>/m</w:t>
            </w:r>
            <w:r>
              <w:rPr>
                <w:rFonts w:cs="Arial"/>
                <w:szCs w:val="10"/>
                <w:vertAlign w:val="superscript"/>
              </w:rPr>
              <w:t>3</w:t>
            </w:r>
          </w:p>
        </w:tc>
        <w:tc>
          <w:tcPr>
            <w:tcW w:w="1544" w:type="dxa"/>
          </w:tcPr>
          <w:p>
            <w:pPr>
              <w:pStyle w:val="GesAbsatz"/>
              <w:rPr>
                <w:rFonts w:cs="Arial"/>
                <w:szCs w:val="15"/>
              </w:rPr>
            </w:pPr>
          </w:p>
        </w:tc>
        <w:tc>
          <w:tcPr>
            <w:tcW w:w="1797" w:type="dxa"/>
          </w:tcPr>
          <w:p>
            <w:pPr>
              <w:pStyle w:val="GesAbsatz"/>
              <w:rPr>
                <w:rFonts w:cs="Arial"/>
                <w:szCs w:val="15"/>
              </w:rPr>
            </w:pP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r>
              <w:rPr>
                <w:rFonts w:cs="Arial"/>
                <w:szCs w:val="17"/>
              </w:rPr>
              <w:t>Umsetzungsfaktor</w:t>
            </w:r>
          </w:p>
        </w:tc>
        <w:tc>
          <w:tcPr>
            <w:tcW w:w="1579" w:type="dxa"/>
          </w:tcPr>
          <w:p>
            <w:pPr>
              <w:pStyle w:val="GesAbsatz"/>
              <w:rPr>
                <w:rFonts w:cs="Arial"/>
                <w:szCs w:val="17"/>
              </w:rPr>
            </w:pPr>
            <w:r>
              <w:rPr>
                <w:rFonts w:cs="Arial"/>
                <w:szCs w:val="17"/>
              </w:rPr>
              <w:t>%</w:t>
            </w:r>
          </w:p>
        </w:tc>
        <w:tc>
          <w:tcPr>
            <w:tcW w:w="1544" w:type="dxa"/>
          </w:tcPr>
          <w:p>
            <w:pPr>
              <w:pStyle w:val="GesAbsatz"/>
              <w:rPr>
                <w:rFonts w:cs="Arial"/>
                <w:szCs w:val="15"/>
              </w:rPr>
            </w:pPr>
          </w:p>
        </w:tc>
        <w:tc>
          <w:tcPr>
            <w:tcW w:w="1797" w:type="dxa"/>
            <w:tcBorders>
              <w:bottom w:val="single" w:sz="4" w:space="0" w:color="auto"/>
            </w:tcBorders>
          </w:tcPr>
          <w:p>
            <w:pPr>
              <w:pStyle w:val="GesAbsatz"/>
              <w:rPr>
                <w:rFonts w:cs="Arial"/>
                <w:szCs w:val="15"/>
              </w:rPr>
            </w:pPr>
          </w:p>
        </w:tc>
      </w:tr>
      <w:tr>
        <w:tblPrEx>
          <w:tblCellMar>
            <w:top w:w="0" w:type="dxa"/>
            <w:bottom w:w="0" w:type="dxa"/>
          </w:tblCellMar>
        </w:tblPrEx>
        <w:tc>
          <w:tcPr>
            <w:tcW w:w="2732" w:type="dxa"/>
            <w:tcBorders>
              <w:bottom w:val="single" w:sz="4" w:space="0" w:color="auto"/>
            </w:tcBorders>
          </w:tcPr>
          <w:p>
            <w:pPr>
              <w:pStyle w:val="GesAbsatz"/>
              <w:rPr>
                <w:rFonts w:cs="Arial"/>
                <w:szCs w:val="17"/>
              </w:rPr>
            </w:pPr>
          </w:p>
        </w:tc>
        <w:tc>
          <w:tcPr>
            <w:tcW w:w="1892" w:type="dxa"/>
            <w:tcBorders>
              <w:bottom w:val="single" w:sz="4" w:space="0" w:color="auto"/>
            </w:tcBorders>
          </w:tcPr>
          <w:p>
            <w:pPr>
              <w:pStyle w:val="GesAbsatz"/>
              <w:rPr>
                <w:rFonts w:cs="Arial"/>
                <w:szCs w:val="17"/>
              </w:rPr>
            </w:pPr>
            <w:r>
              <w:rPr>
                <w:rFonts w:cs="Arial"/>
                <w:szCs w:val="17"/>
              </w:rPr>
              <w:t>Gesamtemissionen</w:t>
            </w:r>
          </w:p>
        </w:tc>
        <w:tc>
          <w:tcPr>
            <w:tcW w:w="1579" w:type="dxa"/>
            <w:tcBorders>
              <w:bottom w:val="single" w:sz="4" w:space="0" w:color="auto"/>
            </w:tcBorders>
          </w:tcPr>
          <w:p>
            <w:pPr>
              <w:pStyle w:val="GesAbsatz"/>
              <w:rPr>
                <w:rFonts w:cs="Arial"/>
                <w:szCs w:val="17"/>
              </w:rPr>
            </w:pPr>
            <w:r>
              <w:rPr>
                <w:rFonts w:cs="Arial"/>
                <w:szCs w:val="17"/>
              </w:rPr>
              <w:t>t CO</w:t>
            </w:r>
            <w:r>
              <w:rPr>
                <w:rFonts w:cs="Arial"/>
                <w:szCs w:val="10"/>
                <w:vertAlign w:val="subscript"/>
              </w:rPr>
              <w:t>2</w:t>
            </w:r>
          </w:p>
        </w:tc>
        <w:tc>
          <w:tcPr>
            <w:tcW w:w="1544" w:type="dxa"/>
            <w:tcBorders>
              <w:bottom w:val="single" w:sz="4" w:space="0" w:color="auto"/>
            </w:tcBorders>
          </w:tcPr>
          <w:p>
            <w:pPr>
              <w:pStyle w:val="GesAbsatz"/>
              <w:rPr>
                <w:rFonts w:cs="Arial"/>
                <w:szCs w:val="15"/>
              </w:rPr>
            </w:pPr>
          </w:p>
        </w:tc>
        <w:tc>
          <w:tcPr>
            <w:tcW w:w="1797" w:type="dxa"/>
            <w:tcBorders>
              <w:bottom w:val="single" w:sz="4" w:space="0" w:color="auto"/>
            </w:tcBorders>
            <w:shd w:val="clear" w:color="auto" w:fill="C0C0C0"/>
          </w:tcPr>
          <w:p>
            <w:pPr>
              <w:pStyle w:val="GesAbsatz"/>
              <w:rPr>
                <w:rFonts w:cs="Arial"/>
                <w:szCs w:val="15"/>
              </w:rPr>
            </w:pPr>
          </w:p>
        </w:tc>
      </w:tr>
      <w:tr>
        <w:tblPrEx>
          <w:tblCellMar>
            <w:top w:w="0" w:type="dxa"/>
            <w:bottom w:w="0" w:type="dxa"/>
          </w:tblCellMar>
        </w:tblPrEx>
        <w:trPr>
          <w:cantSplit/>
        </w:trPr>
        <w:tc>
          <w:tcPr>
            <w:tcW w:w="9544" w:type="dxa"/>
            <w:gridSpan w:val="5"/>
            <w:shd w:val="clear" w:color="auto" w:fill="C0C0C0"/>
          </w:tcPr>
          <w:p>
            <w:pPr>
              <w:pStyle w:val="GesAbsatz"/>
              <w:rPr>
                <w:rFonts w:cs="Arial"/>
                <w:szCs w:val="15"/>
              </w:rPr>
            </w:pPr>
            <w:r>
              <w:rPr>
                <w:rFonts w:cs="Arial"/>
                <w:b/>
                <w:bCs/>
                <w:szCs w:val="17"/>
              </w:rPr>
              <w:t>Verfahren mit Biomasse/gemischten Eingang</w:t>
            </w:r>
            <w:r>
              <w:rPr>
                <w:rFonts w:cs="Arial"/>
                <w:b/>
                <w:bCs/>
                <w:szCs w:val="17"/>
              </w:rPr>
              <w:t>s</w:t>
            </w:r>
            <w:r>
              <w:rPr>
                <w:rFonts w:cs="Arial"/>
                <w:b/>
                <w:bCs/>
                <w:szCs w:val="17"/>
              </w:rPr>
              <w:t>stoffen</w:t>
            </w:r>
          </w:p>
        </w:tc>
      </w:tr>
      <w:tr>
        <w:tblPrEx>
          <w:tblCellMar>
            <w:top w:w="0" w:type="dxa"/>
            <w:bottom w:w="0" w:type="dxa"/>
          </w:tblCellMar>
        </w:tblPrEx>
        <w:trPr>
          <w:cantSplit/>
        </w:trPr>
        <w:tc>
          <w:tcPr>
            <w:tcW w:w="2732" w:type="dxa"/>
          </w:tcPr>
          <w:p>
            <w:pPr>
              <w:pStyle w:val="GesAbsatz"/>
              <w:rPr>
                <w:rFonts w:cs="Arial"/>
                <w:b/>
                <w:bCs/>
                <w:szCs w:val="17"/>
              </w:rPr>
            </w:pPr>
            <w:r>
              <w:rPr>
                <w:rFonts w:cs="Arial"/>
                <w:szCs w:val="17"/>
              </w:rPr>
              <w:t>Verfahren M</w:t>
            </w:r>
          </w:p>
        </w:tc>
        <w:tc>
          <w:tcPr>
            <w:tcW w:w="6812" w:type="dxa"/>
            <w:gridSpan w:val="4"/>
          </w:tcPr>
          <w:p>
            <w:pPr>
              <w:pStyle w:val="GesAbsatz"/>
              <w:rPr>
                <w:rFonts w:cs="Arial"/>
                <w:szCs w:val="15"/>
              </w:rPr>
            </w:pP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Beschreibung des Verfa</w:t>
            </w:r>
            <w:r>
              <w:rPr>
                <w:rFonts w:cs="Arial"/>
                <w:szCs w:val="17"/>
              </w:rPr>
              <w:t>h</w:t>
            </w:r>
            <w:r>
              <w:rPr>
                <w:rFonts w:cs="Arial"/>
                <w:szCs w:val="17"/>
              </w:rPr>
              <w:t>rens:</w:t>
            </w: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Beschreibung des Eingang</w:t>
            </w:r>
            <w:r>
              <w:rPr>
                <w:rFonts w:cs="Arial"/>
                <w:szCs w:val="17"/>
              </w:rPr>
              <w:t>s</w:t>
            </w:r>
            <w:r>
              <w:rPr>
                <w:rFonts w:cs="Arial"/>
                <w:szCs w:val="17"/>
              </w:rPr>
              <w:t>stoffes:</w:t>
            </w: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Biomasse-Anteil (% des Kohlenstoffgehalts):</w:t>
            </w:r>
          </w:p>
        </w:tc>
      </w:tr>
      <w:tr>
        <w:tblPrEx>
          <w:tblCellMar>
            <w:top w:w="0" w:type="dxa"/>
            <w:bottom w:w="0" w:type="dxa"/>
          </w:tblCellMar>
        </w:tblPrEx>
        <w:trPr>
          <w:cantSplit/>
        </w:trPr>
        <w:tc>
          <w:tcPr>
            <w:tcW w:w="9544" w:type="dxa"/>
            <w:gridSpan w:val="5"/>
          </w:tcPr>
          <w:p>
            <w:pPr>
              <w:pStyle w:val="GesAbsatz"/>
              <w:rPr>
                <w:rFonts w:cs="Arial"/>
                <w:szCs w:val="15"/>
              </w:rPr>
            </w:pPr>
            <w:r>
              <w:rPr>
                <w:rFonts w:cs="Arial"/>
                <w:szCs w:val="17"/>
              </w:rPr>
              <w:t>Angewandte Berechnungsmethode (nur wenn in Leitl</w:t>
            </w:r>
            <w:r>
              <w:rPr>
                <w:rFonts w:cs="Arial"/>
                <w:szCs w:val="17"/>
              </w:rPr>
              <w:t>i</w:t>
            </w:r>
            <w:r>
              <w:rPr>
                <w:rFonts w:cs="Arial"/>
                <w:szCs w:val="17"/>
              </w:rPr>
              <w:t>nien spezifiziert): Einheit</w:t>
            </w: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p>
        </w:tc>
        <w:tc>
          <w:tcPr>
            <w:tcW w:w="1579" w:type="dxa"/>
          </w:tcPr>
          <w:p>
            <w:pPr>
              <w:pStyle w:val="GesAbsatz"/>
              <w:jc w:val="center"/>
              <w:rPr>
                <w:rFonts w:cs="Arial"/>
                <w:szCs w:val="17"/>
              </w:rPr>
            </w:pPr>
            <w:r>
              <w:rPr>
                <w:rFonts w:cs="Arial"/>
                <w:szCs w:val="15"/>
              </w:rPr>
              <w:t>Einheit</w:t>
            </w:r>
          </w:p>
        </w:tc>
        <w:tc>
          <w:tcPr>
            <w:tcW w:w="1544" w:type="dxa"/>
          </w:tcPr>
          <w:p>
            <w:pPr>
              <w:pStyle w:val="GesAbsatz"/>
              <w:jc w:val="center"/>
              <w:rPr>
                <w:rFonts w:cs="Arial"/>
                <w:szCs w:val="15"/>
              </w:rPr>
            </w:pPr>
            <w:r>
              <w:rPr>
                <w:rFonts w:cs="Arial"/>
                <w:szCs w:val="15"/>
              </w:rPr>
              <w:t>Daten</w:t>
            </w:r>
          </w:p>
        </w:tc>
        <w:tc>
          <w:tcPr>
            <w:tcW w:w="1797" w:type="dxa"/>
          </w:tcPr>
          <w:p>
            <w:pPr>
              <w:pStyle w:val="GesAbsatz"/>
              <w:jc w:val="center"/>
              <w:rPr>
                <w:rFonts w:cs="Arial"/>
                <w:szCs w:val="15"/>
              </w:rPr>
            </w:pPr>
            <w:r>
              <w:rPr>
                <w:rFonts w:cs="Arial"/>
                <w:szCs w:val="15"/>
              </w:rPr>
              <w:t>Ebenenkonzept</w:t>
            </w: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r>
              <w:rPr>
                <w:rFonts w:cs="Arial"/>
                <w:szCs w:val="17"/>
              </w:rPr>
              <w:t>Tätigkeitsdaten</w:t>
            </w:r>
          </w:p>
        </w:tc>
        <w:tc>
          <w:tcPr>
            <w:tcW w:w="1579" w:type="dxa"/>
          </w:tcPr>
          <w:p>
            <w:pPr>
              <w:pStyle w:val="GesAbsatz"/>
              <w:rPr>
                <w:rFonts w:cs="Arial"/>
                <w:szCs w:val="15"/>
              </w:rPr>
            </w:pPr>
            <w:r>
              <w:rPr>
                <w:rFonts w:cs="Arial"/>
                <w:szCs w:val="17"/>
              </w:rPr>
              <w:t>t oder m</w:t>
            </w:r>
            <w:r>
              <w:rPr>
                <w:rFonts w:cs="Arial"/>
                <w:szCs w:val="10"/>
                <w:vertAlign w:val="superscript"/>
              </w:rPr>
              <w:t>3</w:t>
            </w:r>
          </w:p>
        </w:tc>
        <w:tc>
          <w:tcPr>
            <w:tcW w:w="1544" w:type="dxa"/>
          </w:tcPr>
          <w:p>
            <w:pPr>
              <w:pStyle w:val="GesAbsatz"/>
              <w:rPr>
                <w:rFonts w:cs="Arial"/>
                <w:szCs w:val="15"/>
              </w:rPr>
            </w:pPr>
          </w:p>
        </w:tc>
        <w:tc>
          <w:tcPr>
            <w:tcW w:w="1797" w:type="dxa"/>
          </w:tcPr>
          <w:p>
            <w:pPr>
              <w:pStyle w:val="GesAbsatz"/>
              <w:rPr>
                <w:rFonts w:cs="Arial"/>
                <w:szCs w:val="15"/>
              </w:rPr>
            </w:pP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r>
              <w:rPr>
                <w:rFonts w:cs="Arial"/>
                <w:szCs w:val="17"/>
              </w:rPr>
              <w:t>Emissionsfaktor</w:t>
            </w:r>
          </w:p>
        </w:tc>
        <w:tc>
          <w:tcPr>
            <w:tcW w:w="1579" w:type="dxa"/>
          </w:tcPr>
          <w:p>
            <w:pPr>
              <w:pStyle w:val="GesAbsatz"/>
              <w:rPr>
                <w:rFonts w:cs="Arial"/>
                <w:szCs w:val="17"/>
              </w:rPr>
            </w:pPr>
            <w:r>
              <w:rPr>
                <w:rFonts w:cs="Arial"/>
                <w:szCs w:val="17"/>
              </w:rPr>
              <w:t>t CO</w:t>
            </w:r>
            <w:r>
              <w:rPr>
                <w:rFonts w:cs="Arial"/>
                <w:szCs w:val="10"/>
                <w:vertAlign w:val="subscript"/>
              </w:rPr>
              <w:t>2</w:t>
            </w:r>
            <w:r>
              <w:rPr>
                <w:rFonts w:cs="Arial"/>
                <w:szCs w:val="17"/>
              </w:rPr>
              <w:t>/t</w:t>
            </w:r>
            <w:r>
              <w:rPr>
                <w:rFonts w:cs="Arial"/>
                <w:szCs w:val="17"/>
              </w:rPr>
              <w:br/>
              <w:t>oder t CO</w:t>
            </w:r>
            <w:r>
              <w:rPr>
                <w:rFonts w:cs="Arial"/>
                <w:szCs w:val="10"/>
                <w:vertAlign w:val="subscript"/>
              </w:rPr>
              <w:t>2</w:t>
            </w:r>
            <w:r>
              <w:rPr>
                <w:rFonts w:cs="Arial"/>
                <w:szCs w:val="17"/>
              </w:rPr>
              <w:t>/m</w:t>
            </w:r>
            <w:r>
              <w:rPr>
                <w:rFonts w:cs="Arial"/>
                <w:szCs w:val="10"/>
                <w:vertAlign w:val="superscript"/>
              </w:rPr>
              <w:t>3</w:t>
            </w:r>
          </w:p>
        </w:tc>
        <w:tc>
          <w:tcPr>
            <w:tcW w:w="1544" w:type="dxa"/>
          </w:tcPr>
          <w:p>
            <w:pPr>
              <w:pStyle w:val="GesAbsatz"/>
              <w:rPr>
                <w:rFonts w:cs="Arial"/>
                <w:szCs w:val="15"/>
              </w:rPr>
            </w:pPr>
          </w:p>
        </w:tc>
        <w:tc>
          <w:tcPr>
            <w:tcW w:w="1797" w:type="dxa"/>
          </w:tcPr>
          <w:p>
            <w:pPr>
              <w:pStyle w:val="GesAbsatz"/>
              <w:rPr>
                <w:rFonts w:cs="Arial"/>
                <w:szCs w:val="15"/>
              </w:rPr>
            </w:pPr>
          </w:p>
        </w:tc>
      </w:tr>
      <w:tr>
        <w:tblPrEx>
          <w:tblCellMar>
            <w:top w:w="0" w:type="dxa"/>
            <w:bottom w:w="0" w:type="dxa"/>
          </w:tblCellMar>
        </w:tblPrEx>
        <w:tc>
          <w:tcPr>
            <w:tcW w:w="2732" w:type="dxa"/>
          </w:tcPr>
          <w:p>
            <w:pPr>
              <w:pStyle w:val="GesAbsatz"/>
              <w:rPr>
                <w:rFonts w:cs="Arial"/>
                <w:szCs w:val="17"/>
              </w:rPr>
            </w:pPr>
          </w:p>
        </w:tc>
        <w:tc>
          <w:tcPr>
            <w:tcW w:w="1892" w:type="dxa"/>
          </w:tcPr>
          <w:p>
            <w:pPr>
              <w:pStyle w:val="GesAbsatz"/>
              <w:rPr>
                <w:rFonts w:cs="Arial"/>
                <w:szCs w:val="17"/>
              </w:rPr>
            </w:pPr>
            <w:r>
              <w:rPr>
                <w:rFonts w:cs="Arial"/>
                <w:szCs w:val="17"/>
              </w:rPr>
              <w:t>Umsetzungsfaktor</w:t>
            </w:r>
          </w:p>
        </w:tc>
        <w:tc>
          <w:tcPr>
            <w:tcW w:w="1579" w:type="dxa"/>
          </w:tcPr>
          <w:p>
            <w:pPr>
              <w:pStyle w:val="GesAbsatz"/>
              <w:rPr>
                <w:rFonts w:cs="Arial"/>
                <w:szCs w:val="17"/>
              </w:rPr>
            </w:pPr>
            <w:r>
              <w:rPr>
                <w:rFonts w:cs="Arial"/>
                <w:szCs w:val="17"/>
              </w:rPr>
              <w:t>%</w:t>
            </w:r>
          </w:p>
        </w:tc>
        <w:tc>
          <w:tcPr>
            <w:tcW w:w="1544" w:type="dxa"/>
          </w:tcPr>
          <w:p>
            <w:pPr>
              <w:pStyle w:val="GesAbsatz"/>
              <w:rPr>
                <w:rFonts w:cs="Arial"/>
                <w:szCs w:val="15"/>
              </w:rPr>
            </w:pPr>
          </w:p>
        </w:tc>
        <w:tc>
          <w:tcPr>
            <w:tcW w:w="1797" w:type="dxa"/>
            <w:tcBorders>
              <w:bottom w:val="single" w:sz="4" w:space="0" w:color="auto"/>
            </w:tcBorders>
          </w:tcPr>
          <w:p>
            <w:pPr>
              <w:pStyle w:val="GesAbsatz"/>
              <w:rPr>
                <w:rFonts w:cs="Arial"/>
                <w:szCs w:val="15"/>
              </w:rPr>
            </w:pPr>
          </w:p>
        </w:tc>
      </w:tr>
      <w:tr>
        <w:tblPrEx>
          <w:tblCellMar>
            <w:top w:w="0" w:type="dxa"/>
            <w:bottom w:w="0" w:type="dxa"/>
          </w:tblCellMar>
        </w:tblPrEx>
        <w:tc>
          <w:tcPr>
            <w:tcW w:w="2732" w:type="dxa"/>
            <w:tcBorders>
              <w:bottom w:val="single" w:sz="4" w:space="0" w:color="auto"/>
            </w:tcBorders>
          </w:tcPr>
          <w:p>
            <w:pPr>
              <w:pStyle w:val="GesAbsatz"/>
              <w:rPr>
                <w:rFonts w:cs="Arial"/>
                <w:szCs w:val="17"/>
              </w:rPr>
            </w:pPr>
          </w:p>
        </w:tc>
        <w:tc>
          <w:tcPr>
            <w:tcW w:w="1892" w:type="dxa"/>
            <w:tcBorders>
              <w:bottom w:val="single" w:sz="4" w:space="0" w:color="auto"/>
            </w:tcBorders>
          </w:tcPr>
          <w:p>
            <w:pPr>
              <w:pStyle w:val="GesAbsatz"/>
              <w:rPr>
                <w:rFonts w:cs="Arial"/>
                <w:szCs w:val="17"/>
              </w:rPr>
            </w:pPr>
            <w:r>
              <w:rPr>
                <w:rFonts w:cs="Arial"/>
                <w:szCs w:val="17"/>
              </w:rPr>
              <w:t>Gesamtemissionen</w:t>
            </w:r>
          </w:p>
        </w:tc>
        <w:tc>
          <w:tcPr>
            <w:tcW w:w="1579" w:type="dxa"/>
          </w:tcPr>
          <w:p>
            <w:pPr>
              <w:pStyle w:val="GesAbsatz"/>
              <w:rPr>
                <w:rFonts w:cs="Arial"/>
                <w:szCs w:val="17"/>
              </w:rPr>
            </w:pPr>
            <w:r>
              <w:rPr>
                <w:rFonts w:cs="Arial"/>
                <w:szCs w:val="17"/>
              </w:rPr>
              <w:t>t CO</w:t>
            </w:r>
            <w:r>
              <w:rPr>
                <w:rFonts w:cs="Arial"/>
                <w:szCs w:val="10"/>
                <w:vertAlign w:val="subscript"/>
              </w:rPr>
              <w:t>2</w:t>
            </w:r>
          </w:p>
        </w:tc>
        <w:tc>
          <w:tcPr>
            <w:tcW w:w="1544" w:type="dxa"/>
          </w:tcPr>
          <w:p>
            <w:pPr>
              <w:pStyle w:val="GesAbsatz"/>
              <w:rPr>
                <w:rFonts w:cs="Arial"/>
                <w:szCs w:val="15"/>
              </w:rPr>
            </w:pPr>
          </w:p>
        </w:tc>
        <w:tc>
          <w:tcPr>
            <w:tcW w:w="1797" w:type="dxa"/>
            <w:shd w:val="clear" w:color="auto" w:fill="C0C0C0"/>
          </w:tcPr>
          <w:p>
            <w:pPr>
              <w:pStyle w:val="GesAbsatz"/>
              <w:rPr>
                <w:rFonts w:cs="Arial"/>
                <w:szCs w:val="15"/>
              </w:rPr>
            </w:pPr>
          </w:p>
        </w:tc>
      </w:tr>
      <w:tr>
        <w:tblPrEx>
          <w:tblCellMar>
            <w:top w:w="0" w:type="dxa"/>
            <w:bottom w:w="0" w:type="dxa"/>
          </w:tblCellMar>
        </w:tblPrEx>
        <w:trPr>
          <w:cantSplit/>
        </w:trPr>
        <w:tc>
          <w:tcPr>
            <w:tcW w:w="4624" w:type="dxa"/>
            <w:gridSpan w:val="2"/>
            <w:shd w:val="clear" w:color="auto" w:fill="C0C0C0"/>
          </w:tcPr>
          <w:p>
            <w:pPr>
              <w:pStyle w:val="GesAbsatz"/>
              <w:rPr>
                <w:rFonts w:cs="Arial"/>
                <w:szCs w:val="17"/>
              </w:rPr>
            </w:pPr>
            <w:r>
              <w:rPr>
                <w:rFonts w:cs="Arial"/>
                <w:b/>
                <w:bCs/>
                <w:szCs w:val="17"/>
              </w:rPr>
              <w:t>Tätigkeit insgesamt</w:t>
            </w:r>
          </w:p>
        </w:tc>
        <w:tc>
          <w:tcPr>
            <w:tcW w:w="4920" w:type="dxa"/>
            <w:gridSpan w:val="3"/>
          </w:tcPr>
          <w:p>
            <w:pPr>
              <w:pStyle w:val="GesAbsatz"/>
              <w:rPr>
                <w:rFonts w:cs="Arial"/>
                <w:szCs w:val="15"/>
              </w:rPr>
            </w:pPr>
          </w:p>
        </w:tc>
      </w:tr>
      <w:tr>
        <w:tblPrEx>
          <w:tblCellMar>
            <w:top w:w="0" w:type="dxa"/>
            <w:bottom w:w="0" w:type="dxa"/>
          </w:tblCellMar>
        </w:tblPrEx>
        <w:trPr>
          <w:cantSplit/>
        </w:trPr>
        <w:tc>
          <w:tcPr>
            <w:tcW w:w="2732" w:type="dxa"/>
          </w:tcPr>
          <w:p>
            <w:pPr>
              <w:pStyle w:val="GesAbsatz"/>
              <w:rPr>
                <w:rFonts w:cs="Arial"/>
                <w:b/>
                <w:bCs/>
                <w:szCs w:val="17"/>
              </w:rPr>
            </w:pPr>
            <w:r>
              <w:rPr>
                <w:rFonts w:cs="Arial"/>
                <w:b/>
                <w:bCs/>
                <w:szCs w:val="17"/>
              </w:rPr>
              <w:t xml:space="preserve">Gesamtemissionen </w:t>
            </w:r>
          </w:p>
        </w:tc>
        <w:tc>
          <w:tcPr>
            <w:tcW w:w="1892" w:type="dxa"/>
          </w:tcPr>
          <w:p>
            <w:pPr>
              <w:pStyle w:val="GesAbsatz"/>
              <w:rPr>
                <w:rFonts w:cs="Arial"/>
                <w:szCs w:val="17"/>
              </w:rPr>
            </w:pPr>
            <w:r>
              <w:rPr>
                <w:rFonts w:cs="Arial"/>
                <w:b/>
                <w:bCs/>
                <w:szCs w:val="17"/>
              </w:rPr>
              <w:t>(t CO</w:t>
            </w:r>
            <w:r>
              <w:rPr>
                <w:rFonts w:cs="Arial"/>
                <w:b/>
                <w:bCs/>
                <w:szCs w:val="10"/>
                <w:vertAlign w:val="subscript"/>
              </w:rPr>
              <w:t>2</w:t>
            </w:r>
            <w:r>
              <w:rPr>
                <w:rFonts w:cs="Arial"/>
                <w:b/>
                <w:bCs/>
                <w:szCs w:val="17"/>
              </w:rPr>
              <w:t>)</w:t>
            </w:r>
          </w:p>
        </w:tc>
        <w:tc>
          <w:tcPr>
            <w:tcW w:w="4920" w:type="dxa"/>
            <w:gridSpan w:val="3"/>
          </w:tcPr>
          <w:p>
            <w:pPr>
              <w:pStyle w:val="GesAbsatz"/>
              <w:rPr>
                <w:rFonts w:cs="Arial"/>
                <w:szCs w:val="15"/>
              </w:rPr>
            </w:pPr>
          </w:p>
        </w:tc>
      </w:tr>
      <w:tr>
        <w:tblPrEx>
          <w:tblCellMar>
            <w:top w:w="0" w:type="dxa"/>
            <w:bottom w:w="0" w:type="dxa"/>
          </w:tblCellMar>
        </w:tblPrEx>
        <w:trPr>
          <w:cantSplit/>
        </w:trPr>
        <w:tc>
          <w:tcPr>
            <w:tcW w:w="2732" w:type="dxa"/>
          </w:tcPr>
          <w:p>
            <w:pPr>
              <w:pStyle w:val="GesAbsatz"/>
              <w:rPr>
                <w:rFonts w:cs="Arial"/>
                <w:b/>
                <w:bCs/>
                <w:szCs w:val="17"/>
              </w:rPr>
            </w:pPr>
            <w:r>
              <w:rPr>
                <w:rFonts w:cs="Arial"/>
                <w:b/>
                <w:bCs/>
                <w:szCs w:val="17"/>
              </w:rPr>
              <w:t>Biomasse insgesamt</w:t>
            </w:r>
          </w:p>
        </w:tc>
        <w:tc>
          <w:tcPr>
            <w:tcW w:w="1892" w:type="dxa"/>
          </w:tcPr>
          <w:p>
            <w:pPr>
              <w:pStyle w:val="GesAbsatz"/>
              <w:rPr>
                <w:rFonts w:cs="Arial"/>
                <w:szCs w:val="17"/>
              </w:rPr>
            </w:pPr>
            <w:r>
              <w:rPr>
                <w:rFonts w:cs="Arial"/>
                <w:b/>
                <w:bCs/>
                <w:szCs w:val="17"/>
              </w:rPr>
              <w:t>(t oder m</w:t>
            </w:r>
            <w:r>
              <w:rPr>
                <w:rFonts w:cs="Arial"/>
                <w:b/>
                <w:bCs/>
                <w:szCs w:val="10"/>
                <w:vertAlign w:val="superscript"/>
              </w:rPr>
              <w:t>3</w:t>
            </w:r>
            <w:r>
              <w:rPr>
                <w:rFonts w:cs="Arial"/>
                <w:b/>
                <w:bCs/>
                <w:szCs w:val="17"/>
              </w:rPr>
              <w:t>)</w:t>
            </w:r>
          </w:p>
        </w:tc>
        <w:tc>
          <w:tcPr>
            <w:tcW w:w="4920" w:type="dxa"/>
            <w:gridSpan w:val="3"/>
          </w:tcPr>
          <w:p>
            <w:pPr>
              <w:pStyle w:val="GesAbsatz"/>
              <w:rPr>
                <w:rFonts w:cs="Arial"/>
                <w:szCs w:val="15"/>
              </w:rPr>
            </w:pPr>
          </w:p>
        </w:tc>
      </w:tr>
    </w:tbl>
    <w:p>
      <w:pPr>
        <w:pStyle w:val="GesAbsatz"/>
        <w:jc w:val="both"/>
        <w:rPr>
          <w:rFonts w:cs="Arial"/>
          <w:bCs/>
          <w:szCs w:val="17"/>
        </w:rPr>
      </w:pPr>
    </w:p>
    <w:p>
      <w:pPr>
        <w:pStyle w:val="GesAbsatz"/>
        <w:jc w:val="both"/>
        <w:rPr>
          <w:rFonts w:cs="Arial"/>
          <w:b/>
          <w:szCs w:val="17"/>
        </w:rPr>
      </w:pPr>
      <w:r>
        <w:rPr>
          <w:rFonts w:cs="Arial"/>
          <w:b/>
          <w:szCs w:val="17"/>
        </w:rPr>
        <w:t>12. KATEGORIEN FÜR DIE BERICHTERSTATTUNG</w:t>
      </w:r>
    </w:p>
    <w:p>
      <w:pPr>
        <w:pStyle w:val="GesAbsatz"/>
        <w:jc w:val="both"/>
        <w:rPr>
          <w:rFonts w:cs="Arial"/>
          <w:szCs w:val="17"/>
        </w:rPr>
      </w:pPr>
      <w:r>
        <w:rPr>
          <w:rFonts w:cs="Arial"/>
          <w:szCs w:val="17"/>
        </w:rPr>
        <w:t>Die Berichterstattung über die Emissionen erfolgt entsprechend den Kategorien des IPCC-Berichtsformats und dem IPPC-Code gemäß Anhang A3 der EPER-Entscheidung (siehe Abschnitt 12.2 dieses Anhangs). Die spezifischen Kategorien der beiden Berichtsformate werden unten angeführt. Kann eine Tätigkeit zwei oder mehr Kategorien zugeordnet werden, so erfolgt die Klassifizierung nach dem Hauptzweck der betre</w:t>
      </w:r>
      <w:r>
        <w:rPr>
          <w:rFonts w:cs="Arial"/>
          <w:szCs w:val="17"/>
        </w:rPr>
        <w:t>f</w:t>
      </w:r>
      <w:r>
        <w:rPr>
          <w:rFonts w:cs="Arial"/>
          <w:szCs w:val="17"/>
        </w:rPr>
        <w:t>fe</w:t>
      </w:r>
      <w:r>
        <w:rPr>
          <w:rFonts w:cs="Arial"/>
          <w:szCs w:val="17"/>
        </w:rPr>
        <w:t>n</w:t>
      </w:r>
      <w:r>
        <w:rPr>
          <w:rFonts w:cs="Arial"/>
          <w:szCs w:val="17"/>
        </w:rPr>
        <w:t>den Tätigkeit.</w:t>
      </w:r>
    </w:p>
    <w:p>
      <w:pPr>
        <w:pStyle w:val="GesAbsatz"/>
        <w:jc w:val="both"/>
        <w:rPr>
          <w:rFonts w:cs="Arial"/>
          <w:b/>
          <w:bCs/>
          <w:szCs w:val="17"/>
        </w:rPr>
      </w:pPr>
      <w:r>
        <w:rPr>
          <w:rFonts w:cs="Arial"/>
          <w:b/>
          <w:bCs/>
          <w:szCs w:val="17"/>
        </w:rPr>
        <w:t>12.1. IPCC-Berichtsformat</w:t>
      </w:r>
    </w:p>
    <w:p>
      <w:pPr>
        <w:pStyle w:val="GesAbsatz"/>
        <w:jc w:val="both"/>
        <w:rPr>
          <w:rFonts w:cs="Arial"/>
          <w:szCs w:val="17"/>
        </w:rPr>
      </w:pPr>
      <w:r>
        <w:rPr>
          <w:rFonts w:cs="Arial"/>
          <w:szCs w:val="17"/>
        </w:rPr>
        <w:lastRenderedPageBreak/>
        <w:t>Bei der unten aufgeführten Tabelle handelt es sich um einen Auszug aus dem gemeinsamen Berichtsfo</w:t>
      </w:r>
      <w:r>
        <w:rPr>
          <w:rFonts w:cs="Arial"/>
          <w:szCs w:val="17"/>
        </w:rPr>
        <w:t>r</w:t>
      </w:r>
      <w:r>
        <w:rPr>
          <w:rFonts w:cs="Arial"/>
          <w:szCs w:val="17"/>
        </w:rPr>
        <w:t>mat („Common Reporting Format“, CRF) der UNFCCC-Leitlinien für die Berichterstattung über die Jahre</w:t>
      </w:r>
      <w:r>
        <w:rPr>
          <w:rFonts w:cs="Arial"/>
          <w:szCs w:val="17"/>
        </w:rPr>
        <w:t>s</w:t>
      </w:r>
      <w:r>
        <w:rPr>
          <w:rFonts w:cs="Arial"/>
          <w:szCs w:val="17"/>
        </w:rPr>
        <w:t>verzeichnisse („UNFCCC reporting guidelines on annual inventories“)</w:t>
      </w:r>
      <w:r>
        <w:rPr>
          <w:rStyle w:val="Funotenzeichen"/>
          <w:rFonts w:cs="Arial"/>
          <w:szCs w:val="17"/>
        </w:rPr>
        <w:footnoteReference w:id="23"/>
      </w:r>
      <w:r>
        <w:rPr>
          <w:rFonts w:cs="Arial"/>
          <w:szCs w:val="17"/>
        </w:rPr>
        <w:t>. Nach dem CRF werden die Emi</w:t>
      </w:r>
      <w:r>
        <w:rPr>
          <w:rFonts w:cs="Arial"/>
          <w:szCs w:val="17"/>
        </w:rPr>
        <w:t>s</w:t>
      </w:r>
      <w:r>
        <w:rPr>
          <w:rFonts w:cs="Arial"/>
          <w:szCs w:val="17"/>
        </w:rPr>
        <w:t>sionen in sieben Hauptkategorien unterteilt:</w:t>
      </w:r>
    </w:p>
    <w:p>
      <w:pPr>
        <w:pStyle w:val="GesAbsatz"/>
        <w:jc w:val="both"/>
        <w:rPr>
          <w:rFonts w:cs="Arial"/>
          <w:szCs w:val="17"/>
        </w:rPr>
      </w:pPr>
      <w:r>
        <w:rPr>
          <w:rFonts w:cs="Arial"/>
          <w:szCs w:val="17"/>
        </w:rPr>
        <w:t>-</w:t>
      </w:r>
      <w:r>
        <w:rPr>
          <w:rFonts w:cs="Arial"/>
          <w:szCs w:val="17"/>
        </w:rPr>
        <w:tab/>
        <w:t>energiebedingte Emissionen,</w:t>
      </w:r>
    </w:p>
    <w:p>
      <w:pPr>
        <w:pStyle w:val="GesAbsatz"/>
        <w:jc w:val="both"/>
        <w:rPr>
          <w:rFonts w:cs="Arial"/>
          <w:szCs w:val="17"/>
        </w:rPr>
      </w:pPr>
      <w:r>
        <w:rPr>
          <w:rFonts w:cs="Arial"/>
          <w:szCs w:val="17"/>
        </w:rPr>
        <w:t>-</w:t>
      </w:r>
      <w:r>
        <w:rPr>
          <w:rFonts w:cs="Arial"/>
          <w:szCs w:val="17"/>
        </w:rPr>
        <w:tab/>
        <w:t>industrielle Verfahren,</w:t>
      </w:r>
    </w:p>
    <w:p>
      <w:pPr>
        <w:pStyle w:val="GesAbsatz"/>
        <w:jc w:val="both"/>
        <w:rPr>
          <w:rFonts w:cs="Arial"/>
          <w:szCs w:val="17"/>
        </w:rPr>
      </w:pPr>
      <w:r>
        <w:rPr>
          <w:rFonts w:cs="Arial"/>
          <w:szCs w:val="17"/>
        </w:rPr>
        <w:t>-</w:t>
      </w:r>
      <w:r>
        <w:rPr>
          <w:rFonts w:cs="Arial"/>
          <w:szCs w:val="17"/>
        </w:rPr>
        <w:tab/>
        <w:t>Lösemittel- und sonstige Produktverwendung,</w:t>
      </w:r>
    </w:p>
    <w:p>
      <w:pPr>
        <w:pStyle w:val="GesAbsatz"/>
        <w:jc w:val="both"/>
        <w:rPr>
          <w:rFonts w:cs="Arial"/>
          <w:szCs w:val="17"/>
        </w:rPr>
      </w:pPr>
      <w:r>
        <w:rPr>
          <w:rFonts w:cs="Arial"/>
          <w:szCs w:val="17"/>
        </w:rPr>
        <w:t>-</w:t>
      </w:r>
      <w:r>
        <w:rPr>
          <w:rFonts w:cs="Arial"/>
          <w:szCs w:val="17"/>
        </w:rPr>
        <w:tab/>
        <w:t>Landwirtschaft,</w:t>
      </w:r>
    </w:p>
    <w:p>
      <w:pPr>
        <w:pStyle w:val="GesAbsatz"/>
        <w:jc w:val="both"/>
        <w:rPr>
          <w:rFonts w:cs="Arial"/>
          <w:szCs w:val="17"/>
        </w:rPr>
      </w:pPr>
      <w:r>
        <w:rPr>
          <w:rFonts w:cs="Arial"/>
          <w:szCs w:val="17"/>
        </w:rPr>
        <w:t>-</w:t>
      </w:r>
      <w:r>
        <w:rPr>
          <w:rFonts w:cs="Arial"/>
          <w:szCs w:val="17"/>
        </w:rPr>
        <w:tab/>
        <w:t>Änderung der Flächennutzung und Forstwirtschaft,</w:t>
      </w:r>
    </w:p>
    <w:p>
      <w:pPr>
        <w:pStyle w:val="GesAbsatz"/>
        <w:jc w:val="both"/>
        <w:rPr>
          <w:rFonts w:cs="Arial"/>
          <w:szCs w:val="17"/>
        </w:rPr>
      </w:pPr>
      <w:r>
        <w:rPr>
          <w:rFonts w:cs="Arial"/>
          <w:szCs w:val="17"/>
        </w:rPr>
        <w:t>-</w:t>
      </w:r>
      <w:r>
        <w:rPr>
          <w:rFonts w:cs="Arial"/>
          <w:szCs w:val="17"/>
        </w:rPr>
        <w:tab/>
        <w:t>Abfallwirtschaft,</w:t>
      </w:r>
    </w:p>
    <w:p>
      <w:pPr>
        <w:pStyle w:val="GesAbsatz"/>
        <w:jc w:val="both"/>
        <w:rPr>
          <w:rFonts w:cs="Arial"/>
          <w:szCs w:val="17"/>
        </w:rPr>
      </w:pPr>
      <w:r>
        <w:rPr>
          <w:rFonts w:cs="Arial"/>
          <w:szCs w:val="17"/>
        </w:rPr>
        <w:t>-</w:t>
      </w:r>
      <w:r>
        <w:rPr>
          <w:rFonts w:cs="Arial"/>
          <w:szCs w:val="17"/>
        </w:rPr>
        <w:tab/>
        <w:t>sonstiges.</w:t>
      </w:r>
    </w:p>
    <w:p>
      <w:pPr>
        <w:pStyle w:val="GesAbsatz"/>
        <w:jc w:val="both"/>
        <w:rPr>
          <w:rFonts w:cs="Arial"/>
          <w:szCs w:val="17"/>
        </w:rPr>
      </w:pPr>
      <w:r>
        <w:rPr>
          <w:rFonts w:cs="Arial"/>
          <w:szCs w:val="17"/>
        </w:rPr>
        <w:t>Die folgende Tabelle zeigt die Kategorien 1, 2 und 6 sowie deren Unterkategorien:</w:t>
      </w:r>
    </w:p>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4"/>
      </w:tblGrid>
      <w:tr>
        <w:tblPrEx>
          <w:tblCellMar>
            <w:top w:w="0" w:type="dxa"/>
            <w:bottom w:w="0" w:type="dxa"/>
          </w:tblCellMar>
        </w:tblPrEx>
        <w:tc>
          <w:tcPr>
            <w:tcW w:w="9544" w:type="dxa"/>
            <w:shd w:val="clear" w:color="auto" w:fill="C0C0C0"/>
          </w:tcPr>
          <w:p>
            <w:pPr>
              <w:pStyle w:val="GesAbsatz"/>
              <w:jc w:val="both"/>
              <w:rPr>
                <w:rFonts w:cs="Arial"/>
                <w:szCs w:val="17"/>
              </w:rPr>
            </w:pPr>
            <w:r>
              <w:rPr>
                <w:rFonts w:cs="Arial"/>
                <w:szCs w:val="17"/>
              </w:rPr>
              <w:t xml:space="preserve">1. </w:t>
            </w:r>
            <w:r>
              <w:rPr>
                <w:rFonts w:cs="Arial"/>
                <w:b/>
                <w:bCs/>
                <w:szCs w:val="17"/>
              </w:rPr>
              <w:t>Sektoraler Bericht - Energie</w:t>
            </w:r>
          </w:p>
        </w:tc>
      </w:tr>
      <w:tr>
        <w:tblPrEx>
          <w:tblCellMar>
            <w:top w:w="0" w:type="dxa"/>
            <w:bottom w:w="0" w:type="dxa"/>
          </w:tblCellMar>
        </w:tblPrEx>
        <w:tc>
          <w:tcPr>
            <w:tcW w:w="9544" w:type="dxa"/>
          </w:tcPr>
          <w:p>
            <w:pPr>
              <w:pStyle w:val="GesAbsatz"/>
              <w:jc w:val="both"/>
              <w:rPr>
                <w:rFonts w:cs="Arial"/>
                <w:szCs w:val="17"/>
              </w:rPr>
            </w:pPr>
            <w:r>
              <w:rPr>
                <w:rFonts w:cs="Arial"/>
                <w:szCs w:val="17"/>
              </w:rPr>
              <w:t>A. Verbrennung von Brennstoffen (sektoraler Ansatz)</w:t>
            </w:r>
          </w:p>
        </w:tc>
      </w:tr>
      <w:tr>
        <w:tblPrEx>
          <w:tblCellMar>
            <w:top w:w="0" w:type="dxa"/>
            <w:bottom w:w="0" w:type="dxa"/>
          </w:tblCellMar>
        </w:tblPrEx>
        <w:tc>
          <w:tcPr>
            <w:tcW w:w="9544" w:type="dxa"/>
          </w:tcPr>
          <w:p>
            <w:pPr>
              <w:pStyle w:val="GesAbsatz"/>
              <w:jc w:val="both"/>
              <w:rPr>
                <w:rFonts w:cs="Arial"/>
                <w:szCs w:val="17"/>
              </w:rPr>
            </w:pPr>
            <w:r>
              <w:rPr>
                <w:rFonts w:cs="Arial"/>
                <w:szCs w:val="17"/>
              </w:rPr>
              <w:t>1. Energiewirtschaft</w:t>
            </w:r>
          </w:p>
        </w:tc>
      </w:tr>
      <w:tr>
        <w:tblPrEx>
          <w:tblCellMar>
            <w:top w:w="0" w:type="dxa"/>
            <w:bottom w:w="0" w:type="dxa"/>
          </w:tblCellMar>
        </w:tblPrEx>
        <w:tc>
          <w:tcPr>
            <w:tcW w:w="9544" w:type="dxa"/>
          </w:tcPr>
          <w:p>
            <w:pPr>
              <w:pStyle w:val="GesAbsatz"/>
              <w:jc w:val="both"/>
              <w:rPr>
                <w:rFonts w:cs="Arial"/>
                <w:szCs w:val="17"/>
              </w:rPr>
            </w:pPr>
            <w:r>
              <w:rPr>
                <w:rFonts w:cs="Arial"/>
                <w:szCs w:val="17"/>
              </w:rPr>
              <w:t>a) Öffentliche Elektrizitäts- und Wärmeversorgung</w:t>
            </w:r>
          </w:p>
        </w:tc>
      </w:tr>
      <w:tr>
        <w:tblPrEx>
          <w:tblCellMar>
            <w:top w:w="0" w:type="dxa"/>
            <w:bottom w:w="0" w:type="dxa"/>
          </w:tblCellMar>
        </w:tblPrEx>
        <w:tc>
          <w:tcPr>
            <w:tcW w:w="9544" w:type="dxa"/>
          </w:tcPr>
          <w:p>
            <w:pPr>
              <w:pStyle w:val="GesAbsatz"/>
              <w:jc w:val="both"/>
              <w:rPr>
                <w:rFonts w:cs="Arial"/>
                <w:szCs w:val="17"/>
              </w:rPr>
            </w:pPr>
            <w:r>
              <w:rPr>
                <w:rFonts w:cs="Arial"/>
                <w:szCs w:val="17"/>
              </w:rPr>
              <w:t>b) Mineralölraffinerien</w:t>
            </w:r>
          </w:p>
        </w:tc>
      </w:tr>
      <w:tr>
        <w:tblPrEx>
          <w:tblCellMar>
            <w:top w:w="0" w:type="dxa"/>
            <w:bottom w:w="0" w:type="dxa"/>
          </w:tblCellMar>
        </w:tblPrEx>
        <w:tc>
          <w:tcPr>
            <w:tcW w:w="9544" w:type="dxa"/>
          </w:tcPr>
          <w:p>
            <w:pPr>
              <w:pStyle w:val="GesAbsatz"/>
              <w:jc w:val="both"/>
              <w:rPr>
                <w:rFonts w:cs="Arial"/>
                <w:szCs w:val="17"/>
              </w:rPr>
            </w:pPr>
            <w:r>
              <w:rPr>
                <w:rFonts w:cs="Arial"/>
                <w:szCs w:val="17"/>
              </w:rPr>
              <w:t>c) Herstellung von festen Brennstoffen und sonstige Energieerzeuger</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2. Verarbeitende Industrien und Bauwesen</w:t>
            </w:r>
          </w:p>
        </w:tc>
      </w:tr>
      <w:tr>
        <w:tblPrEx>
          <w:tblCellMar>
            <w:top w:w="0" w:type="dxa"/>
            <w:bottom w:w="0" w:type="dxa"/>
          </w:tblCellMar>
        </w:tblPrEx>
        <w:tc>
          <w:tcPr>
            <w:tcW w:w="9544" w:type="dxa"/>
          </w:tcPr>
          <w:p>
            <w:pPr>
              <w:pStyle w:val="GesAbsatz"/>
              <w:jc w:val="both"/>
              <w:rPr>
                <w:rFonts w:cs="Arial"/>
                <w:szCs w:val="17"/>
              </w:rPr>
            </w:pPr>
            <w:r>
              <w:rPr>
                <w:rFonts w:cs="Arial"/>
                <w:szCs w:val="17"/>
              </w:rPr>
              <w:t>a) Eisen und Stahl</w:t>
            </w:r>
          </w:p>
        </w:tc>
      </w:tr>
      <w:tr>
        <w:tblPrEx>
          <w:tblCellMar>
            <w:top w:w="0" w:type="dxa"/>
            <w:bottom w:w="0" w:type="dxa"/>
          </w:tblCellMar>
        </w:tblPrEx>
        <w:tc>
          <w:tcPr>
            <w:tcW w:w="9544" w:type="dxa"/>
          </w:tcPr>
          <w:p>
            <w:pPr>
              <w:pStyle w:val="GesAbsatz"/>
              <w:jc w:val="both"/>
              <w:rPr>
                <w:rFonts w:cs="Arial"/>
                <w:szCs w:val="17"/>
              </w:rPr>
            </w:pPr>
            <w:r>
              <w:rPr>
                <w:rFonts w:cs="Arial"/>
                <w:szCs w:val="17"/>
              </w:rPr>
              <w:t>b) Nichteisenmetalle</w:t>
            </w:r>
          </w:p>
        </w:tc>
      </w:tr>
      <w:tr>
        <w:tblPrEx>
          <w:tblCellMar>
            <w:top w:w="0" w:type="dxa"/>
            <w:bottom w:w="0" w:type="dxa"/>
          </w:tblCellMar>
        </w:tblPrEx>
        <w:tc>
          <w:tcPr>
            <w:tcW w:w="9544" w:type="dxa"/>
          </w:tcPr>
          <w:p>
            <w:pPr>
              <w:pStyle w:val="GesAbsatz"/>
              <w:jc w:val="both"/>
              <w:rPr>
                <w:rFonts w:cs="Arial"/>
                <w:szCs w:val="17"/>
              </w:rPr>
            </w:pPr>
            <w:r>
              <w:rPr>
                <w:rFonts w:cs="Arial"/>
                <w:szCs w:val="17"/>
              </w:rPr>
              <w:t>c) Chemikalien</w:t>
            </w:r>
          </w:p>
        </w:tc>
      </w:tr>
      <w:tr>
        <w:tblPrEx>
          <w:tblCellMar>
            <w:top w:w="0" w:type="dxa"/>
            <w:bottom w:w="0" w:type="dxa"/>
          </w:tblCellMar>
        </w:tblPrEx>
        <w:tc>
          <w:tcPr>
            <w:tcW w:w="9544" w:type="dxa"/>
          </w:tcPr>
          <w:p>
            <w:pPr>
              <w:pStyle w:val="GesAbsatz"/>
              <w:jc w:val="both"/>
              <w:rPr>
                <w:rFonts w:cs="Arial"/>
                <w:szCs w:val="17"/>
              </w:rPr>
            </w:pPr>
            <w:r>
              <w:rPr>
                <w:rFonts w:cs="Arial"/>
                <w:szCs w:val="17"/>
              </w:rPr>
              <w:t>d) Zellstoff, Papier und Druckwesen</w:t>
            </w:r>
          </w:p>
        </w:tc>
      </w:tr>
      <w:tr>
        <w:tblPrEx>
          <w:tblCellMar>
            <w:top w:w="0" w:type="dxa"/>
            <w:bottom w:w="0" w:type="dxa"/>
          </w:tblCellMar>
        </w:tblPrEx>
        <w:tc>
          <w:tcPr>
            <w:tcW w:w="9544" w:type="dxa"/>
          </w:tcPr>
          <w:p>
            <w:pPr>
              <w:pStyle w:val="GesAbsatz"/>
              <w:jc w:val="both"/>
              <w:rPr>
                <w:rFonts w:cs="Arial"/>
                <w:szCs w:val="17"/>
              </w:rPr>
            </w:pPr>
            <w:r>
              <w:rPr>
                <w:rFonts w:cs="Arial"/>
                <w:szCs w:val="17"/>
              </w:rPr>
              <w:t>e) Lebensmittelverarbeitung, Getränke und Tabak</w:t>
            </w: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f) Sonstiges </w:t>
            </w:r>
            <w:r>
              <w:rPr>
                <w:rFonts w:cs="Arial"/>
                <w:i/>
                <w:iCs/>
                <w:szCs w:val="17"/>
              </w:rPr>
              <w:t>(bitte genau angeben)</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4. Andere Sektoren</w:t>
            </w:r>
          </w:p>
        </w:tc>
      </w:tr>
      <w:tr>
        <w:tblPrEx>
          <w:tblCellMar>
            <w:top w:w="0" w:type="dxa"/>
            <w:bottom w:w="0" w:type="dxa"/>
          </w:tblCellMar>
        </w:tblPrEx>
        <w:tc>
          <w:tcPr>
            <w:tcW w:w="9544" w:type="dxa"/>
          </w:tcPr>
          <w:p>
            <w:pPr>
              <w:pStyle w:val="GesAbsatz"/>
              <w:jc w:val="both"/>
              <w:rPr>
                <w:rFonts w:cs="Arial"/>
                <w:szCs w:val="17"/>
              </w:rPr>
            </w:pPr>
            <w:r>
              <w:rPr>
                <w:rFonts w:cs="Arial"/>
                <w:szCs w:val="17"/>
              </w:rPr>
              <w:t>a) Unternehmen/Einrichtungen</w:t>
            </w:r>
          </w:p>
        </w:tc>
      </w:tr>
      <w:tr>
        <w:tblPrEx>
          <w:tblCellMar>
            <w:top w:w="0" w:type="dxa"/>
            <w:bottom w:w="0" w:type="dxa"/>
          </w:tblCellMar>
        </w:tblPrEx>
        <w:tc>
          <w:tcPr>
            <w:tcW w:w="9544" w:type="dxa"/>
          </w:tcPr>
          <w:p>
            <w:pPr>
              <w:pStyle w:val="GesAbsatz"/>
              <w:jc w:val="both"/>
              <w:rPr>
                <w:rFonts w:cs="Arial"/>
                <w:szCs w:val="17"/>
              </w:rPr>
            </w:pPr>
            <w:r>
              <w:rPr>
                <w:rFonts w:cs="Arial"/>
                <w:szCs w:val="17"/>
              </w:rPr>
              <w:t>b) Haushalte/Kleinverbraucher</w:t>
            </w:r>
          </w:p>
        </w:tc>
      </w:tr>
      <w:tr>
        <w:tblPrEx>
          <w:tblCellMar>
            <w:top w:w="0" w:type="dxa"/>
            <w:bottom w:w="0" w:type="dxa"/>
          </w:tblCellMar>
        </w:tblPrEx>
        <w:tc>
          <w:tcPr>
            <w:tcW w:w="9544" w:type="dxa"/>
          </w:tcPr>
          <w:p>
            <w:pPr>
              <w:pStyle w:val="GesAbsatz"/>
              <w:jc w:val="both"/>
              <w:rPr>
                <w:rFonts w:cs="Arial"/>
                <w:szCs w:val="17"/>
              </w:rPr>
            </w:pPr>
            <w:r>
              <w:rPr>
                <w:rFonts w:cs="Arial"/>
                <w:szCs w:val="17"/>
              </w:rPr>
              <w:t>c) Landwirtschaft/Forstwirtschaft/Fischerei</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5. Sonstiges </w:t>
            </w:r>
            <w:r>
              <w:rPr>
                <w:rFonts w:cs="Arial"/>
                <w:i/>
                <w:iCs/>
                <w:szCs w:val="17"/>
              </w:rPr>
              <w:t>(bitte genau angeben)</w:t>
            </w:r>
          </w:p>
        </w:tc>
      </w:tr>
      <w:tr>
        <w:tblPrEx>
          <w:tblCellMar>
            <w:top w:w="0" w:type="dxa"/>
            <w:bottom w:w="0" w:type="dxa"/>
          </w:tblCellMar>
        </w:tblPrEx>
        <w:tc>
          <w:tcPr>
            <w:tcW w:w="9544" w:type="dxa"/>
          </w:tcPr>
          <w:p>
            <w:pPr>
              <w:pStyle w:val="GesAbsatz"/>
              <w:jc w:val="both"/>
              <w:rPr>
                <w:rFonts w:cs="Arial"/>
                <w:szCs w:val="17"/>
              </w:rPr>
            </w:pPr>
            <w:r>
              <w:rPr>
                <w:rFonts w:cs="Arial"/>
                <w:szCs w:val="17"/>
              </w:rPr>
              <w:t>a) Stationär</w:t>
            </w:r>
          </w:p>
        </w:tc>
      </w:tr>
      <w:tr>
        <w:tblPrEx>
          <w:tblCellMar>
            <w:top w:w="0" w:type="dxa"/>
            <w:bottom w:w="0" w:type="dxa"/>
          </w:tblCellMar>
        </w:tblPrEx>
        <w:tc>
          <w:tcPr>
            <w:tcW w:w="9544" w:type="dxa"/>
          </w:tcPr>
          <w:p>
            <w:pPr>
              <w:pStyle w:val="GesAbsatz"/>
              <w:jc w:val="both"/>
              <w:rPr>
                <w:rFonts w:cs="Arial"/>
                <w:szCs w:val="17"/>
              </w:rPr>
            </w:pPr>
            <w:r>
              <w:rPr>
                <w:rFonts w:cs="Arial"/>
                <w:szCs w:val="17"/>
              </w:rPr>
              <w:t>b) Mobil</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B. Flüchtige Emissionen aus Brennstoffen</w:t>
            </w:r>
          </w:p>
        </w:tc>
      </w:tr>
      <w:tr>
        <w:tblPrEx>
          <w:tblCellMar>
            <w:top w:w="0" w:type="dxa"/>
            <w:bottom w:w="0" w:type="dxa"/>
          </w:tblCellMar>
        </w:tblPrEx>
        <w:tc>
          <w:tcPr>
            <w:tcW w:w="9544" w:type="dxa"/>
          </w:tcPr>
          <w:p>
            <w:pPr>
              <w:pStyle w:val="GesAbsatz"/>
              <w:jc w:val="both"/>
              <w:rPr>
                <w:rFonts w:cs="Arial"/>
                <w:szCs w:val="17"/>
              </w:rPr>
            </w:pPr>
            <w:r>
              <w:rPr>
                <w:rFonts w:cs="Arial"/>
                <w:szCs w:val="17"/>
              </w:rPr>
              <w:lastRenderedPageBreak/>
              <w:t>1. Feste Brennstoffe</w:t>
            </w:r>
          </w:p>
        </w:tc>
      </w:tr>
      <w:tr>
        <w:tblPrEx>
          <w:tblCellMar>
            <w:top w:w="0" w:type="dxa"/>
            <w:bottom w:w="0" w:type="dxa"/>
          </w:tblCellMar>
        </w:tblPrEx>
        <w:tc>
          <w:tcPr>
            <w:tcW w:w="9544" w:type="dxa"/>
          </w:tcPr>
          <w:p>
            <w:pPr>
              <w:pStyle w:val="GesAbsatz"/>
              <w:jc w:val="both"/>
              <w:rPr>
                <w:rFonts w:cs="Arial"/>
                <w:szCs w:val="17"/>
              </w:rPr>
            </w:pPr>
            <w:r>
              <w:rPr>
                <w:rFonts w:cs="Arial"/>
                <w:szCs w:val="17"/>
              </w:rPr>
              <w:t>a) Kohlebergbau</w:t>
            </w:r>
          </w:p>
        </w:tc>
      </w:tr>
      <w:tr>
        <w:tblPrEx>
          <w:tblCellMar>
            <w:top w:w="0" w:type="dxa"/>
            <w:bottom w:w="0" w:type="dxa"/>
          </w:tblCellMar>
        </w:tblPrEx>
        <w:tc>
          <w:tcPr>
            <w:tcW w:w="9544" w:type="dxa"/>
          </w:tcPr>
          <w:p>
            <w:pPr>
              <w:pStyle w:val="GesAbsatz"/>
              <w:jc w:val="both"/>
              <w:rPr>
                <w:rFonts w:cs="Arial"/>
                <w:szCs w:val="17"/>
              </w:rPr>
            </w:pPr>
            <w:r>
              <w:rPr>
                <w:rFonts w:cs="Arial"/>
                <w:szCs w:val="17"/>
              </w:rPr>
              <w:t>b) Umwandlung fester Brennstoffe</w:t>
            </w: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c) Sonstiges </w:t>
            </w:r>
            <w:r>
              <w:rPr>
                <w:rFonts w:cs="Arial"/>
                <w:i/>
                <w:iCs/>
                <w:szCs w:val="17"/>
              </w:rPr>
              <w:t>(bitte genau angeben)</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2. Öl und Erdgas</w:t>
            </w:r>
          </w:p>
        </w:tc>
      </w:tr>
      <w:tr>
        <w:tblPrEx>
          <w:tblCellMar>
            <w:top w:w="0" w:type="dxa"/>
            <w:bottom w:w="0" w:type="dxa"/>
          </w:tblCellMar>
        </w:tblPrEx>
        <w:tc>
          <w:tcPr>
            <w:tcW w:w="9544" w:type="dxa"/>
          </w:tcPr>
          <w:p>
            <w:pPr>
              <w:pStyle w:val="GesAbsatz"/>
              <w:jc w:val="both"/>
              <w:rPr>
                <w:rFonts w:cs="Arial"/>
                <w:szCs w:val="17"/>
                <w:lang w:val="en-GB"/>
              </w:rPr>
            </w:pPr>
            <w:r>
              <w:rPr>
                <w:rFonts w:cs="Arial"/>
                <w:szCs w:val="17"/>
                <w:lang w:val="en-GB"/>
              </w:rPr>
              <w:t>a) Öl</w:t>
            </w:r>
          </w:p>
        </w:tc>
      </w:tr>
      <w:tr>
        <w:tblPrEx>
          <w:tblCellMar>
            <w:top w:w="0" w:type="dxa"/>
            <w:bottom w:w="0" w:type="dxa"/>
          </w:tblCellMar>
        </w:tblPrEx>
        <w:tc>
          <w:tcPr>
            <w:tcW w:w="9544" w:type="dxa"/>
          </w:tcPr>
          <w:p>
            <w:pPr>
              <w:pStyle w:val="GesAbsatz"/>
              <w:jc w:val="both"/>
              <w:rPr>
                <w:rFonts w:cs="Arial"/>
                <w:szCs w:val="17"/>
                <w:lang w:val="en-GB"/>
              </w:rPr>
            </w:pPr>
            <w:r>
              <w:rPr>
                <w:rFonts w:cs="Arial"/>
                <w:szCs w:val="17"/>
                <w:lang w:val="en-GB"/>
              </w:rPr>
              <w:t>b) Erdgas</w:t>
            </w:r>
          </w:p>
        </w:tc>
      </w:tr>
      <w:tr>
        <w:tblPrEx>
          <w:tblCellMar>
            <w:top w:w="0" w:type="dxa"/>
            <w:bottom w:w="0" w:type="dxa"/>
          </w:tblCellMar>
        </w:tblPrEx>
        <w:tc>
          <w:tcPr>
            <w:tcW w:w="9544" w:type="dxa"/>
          </w:tcPr>
          <w:p>
            <w:pPr>
              <w:pStyle w:val="GesAbsatz"/>
              <w:jc w:val="both"/>
              <w:rPr>
                <w:rFonts w:cs="Arial"/>
                <w:szCs w:val="17"/>
              </w:rPr>
            </w:pPr>
            <w:r>
              <w:rPr>
                <w:rFonts w:cs="Arial"/>
                <w:szCs w:val="17"/>
              </w:rPr>
              <w:t>c) Ableitung und Abfackeln</w:t>
            </w:r>
          </w:p>
        </w:tc>
      </w:tr>
      <w:tr>
        <w:tblPrEx>
          <w:tblCellMar>
            <w:top w:w="0" w:type="dxa"/>
            <w:bottom w:w="0" w:type="dxa"/>
          </w:tblCellMar>
        </w:tblPrEx>
        <w:tc>
          <w:tcPr>
            <w:tcW w:w="9544" w:type="dxa"/>
          </w:tcPr>
          <w:p>
            <w:pPr>
              <w:pStyle w:val="GesAbsatz"/>
              <w:jc w:val="both"/>
              <w:rPr>
                <w:rFonts w:cs="Arial"/>
                <w:szCs w:val="17"/>
              </w:rPr>
            </w:pPr>
            <w:r>
              <w:rPr>
                <w:rFonts w:cs="Arial"/>
                <w:szCs w:val="17"/>
              </w:rPr>
              <w:t>Ableitung</w:t>
            </w:r>
          </w:p>
        </w:tc>
      </w:tr>
      <w:tr>
        <w:tblPrEx>
          <w:tblCellMar>
            <w:top w:w="0" w:type="dxa"/>
            <w:bottom w:w="0" w:type="dxa"/>
          </w:tblCellMar>
        </w:tblPrEx>
        <w:tc>
          <w:tcPr>
            <w:tcW w:w="9544" w:type="dxa"/>
          </w:tcPr>
          <w:p>
            <w:pPr>
              <w:pStyle w:val="GesAbsatz"/>
              <w:jc w:val="both"/>
              <w:rPr>
                <w:rFonts w:cs="Arial"/>
                <w:szCs w:val="17"/>
              </w:rPr>
            </w:pPr>
            <w:r>
              <w:rPr>
                <w:rFonts w:cs="Arial"/>
                <w:szCs w:val="17"/>
              </w:rPr>
              <w:t>Abfackeln</w:t>
            </w: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d) Sonstiges </w:t>
            </w:r>
            <w:r>
              <w:rPr>
                <w:rFonts w:cs="Arial"/>
                <w:i/>
                <w:iCs/>
                <w:szCs w:val="17"/>
              </w:rPr>
              <w:t>(bitte genau angeben)</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shd w:val="clear" w:color="auto" w:fill="C0C0C0"/>
          </w:tcPr>
          <w:p>
            <w:pPr>
              <w:pStyle w:val="GesAbsatz"/>
              <w:jc w:val="both"/>
              <w:rPr>
                <w:rFonts w:cs="Arial"/>
                <w:szCs w:val="17"/>
              </w:rPr>
            </w:pPr>
            <w:r>
              <w:rPr>
                <w:rFonts w:cs="Arial"/>
                <w:szCs w:val="17"/>
              </w:rPr>
              <w:t xml:space="preserve">2. </w:t>
            </w:r>
            <w:r>
              <w:rPr>
                <w:rFonts w:cs="Arial"/>
                <w:b/>
                <w:bCs/>
                <w:szCs w:val="17"/>
              </w:rPr>
              <w:t>Sektoraler Bericht - Industrielle Verfahren</w:t>
            </w:r>
          </w:p>
        </w:tc>
      </w:tr>
      <w:tr>
        <w:tblPrEx>
          <w:tblCellMar>
            <w:top w:w="0" w:type="dxa"/>
            <w:bottom w:w="0" w:type="dxa"/>
          </w:tblCellMar>
        </w:tblPrEx>
        <w:tc>
          <w:tcPr>
            <w:tcW w:w="9544" w:type="dxa"/>
          </w:tcPr>
          <w:p>
            <w:pPr>
              <w:pStyle w:val="GesAbsatz"/>
              <w:jc w:val="both"/>
              <w:rPr>
                <w:rFonts w:cs="Arial"/>
                <w:szCs w:val="17"/>
              </w:rPr>
            </w:pPr>
            <w:r>
              <w:rPr>
                <w:rFonts w:cs="Arial"/>
                <w:szCs w:val="17"/>
              </w:rPr>
              <w:t>A. Mineralische Produkte</w:t>
            </w:r>
          </w:p>
        </w:tc>
      </w:tr>
      <w:tr>
        <w:tblPrEx>
          <w:tblCellMar>
            <w:top w:w="0" w:type="dxa"/>
            <w:bottom w:w="0" w:type="dxa"/>
          </w:tblCellMar>
        </w:tblPrEx>
        <w:tc>
          <w:tcPr>
            <w:tcW w:w="9544" w:type="dxa"/>
          </w:tcPr>
          <w:p>
            <w:pPr>
              <w:pStyle w:val="GesAbsatz"/>
              <w:jc w:val="both"/>
              <w:rPr>
                <w:rFonts w:cs="Arial"/>
                <w:szCs w:val="17"/>
              </w:rPr>
            </w:pPr>
            <w:r>
              <w:rPr>
                <w:rFonts w:cs="Arial"/>
                <w:szCs w:val="17"/>
              </w:rPr>
              <w:t>1. Zementherstellung</w:t>
            </w:r>
          </w:p>
        </w:tc>
      </w:tr>
      <w:tr>
        <w:tblPrEx>
          <w:tblCellMar>
            <w:top w:w="0" w:type="dxa"/>
            <w:bottom w:w="0" w:type="dxa"/>
          </w:tblCellMar>
        </w:tblPrEx>
        <w:tc>
          <w:tcPr>
            <w:tcW w:w="9544" w:type="dxa"/>
          </w:tcPr>
          <w:p>
            <w:pPr>
              <w:pStyle w:val="GesAbsatz"/>
              <w:jc w:val="both"/>
              <w:rPr>
                <w:rFonts w:cs="Arial"/>
                <w:szCs w:val="17"/>
              </w:rPr>
            </w:pPr>
            <w:r>
              <w:rPr>
                <w:rFonts w:cs="Arial"/>
                <w:szCs w:val="17"/>
              </w:rPr>
              <w:t>2. Kalkherstellung</w:t>
            </w:r>
          </w:p>
        </w:tc>
      </w:tr>
      <w:tr>
        <w:tblPrEx>
          <w:tblCellMar>
            <w:top w:w="0" w:type="dxa"/>
            <w:bottom w:w="0" w:type="dxa"/>
          </w:tblCellMar>
        </w:tblPrEx>
        <w:tc>
          <w:tcPr>
            <w:tcW w:w="9544" w:type="dxa"/>
          </w:tcPr>
          <w:p>
            <w:pPr>
              <w:pStyle w:val="GesAbsatz"/>
              <w:jc w:val="both"/>
              <w:rPr>
                <w:rFonts w:cs="Arial"/>
                <w:szCs w:val="17"/>
              </w:rPr>
            </w:pPr>
            <w:r>
              <w:rPr>
                <w:rFonts w:cs="Arial"/>
                <w:szCs w:val="17"/>
              </w:rPr>
              <w:t>3. Einsatz von Kalkstein und Dolomit</w:t>
            </w:r>
          </w:p>
        </w:tc>
      </w:tr>
      <w:tr>
        <w:tblPrEx>
          <w:tblCellMar>
            <w:top w:w="0" w:type="dxa"/>
            <w:bottom w:w="0" w:type="dxa"/>
          </w:tblCellMar>
        </w:tblPrEx>
        <w:tc>
          <w:tcPr>
            <w:tcW w:w="9544" w:type="dxa"/>
          </w:tcPr>
          <w:p>
            <w:pPr>
              <w:pStyle w:val="GesAbsatz"/>
              <w:jc w:val="both"/>
              <w:rPr>
                <w:rFonts w:cs="Arial"/>
                <w:szCs w:val="17"/>
              </w:rPr>
            </w:pPr>
            <w:r>
              <w:rPr>
                <w:rFonts w:cs="Arial"/>
                <w:szCs w:val="17"/>
              </w:rPr>
              <w:t>4. Herstellung und Einsatz von kalzinierter Soda</w:t>
            </w:r>
          </w:p>
        </w:tc>
      </w:tr>
      <w:tr>
        <w:tblPrEx>
          <w:tblCellMar>
            <w:top w:w="0" w:type="dxa"/>
            <w:bottom w:w="0" w:type="dxa"/>
          </w:tblCellMar>
        </w:tblPrEx>
        <w:tc>
          <w:tcPr>
            <w:tcW w:w="9544" w:type="dxa"/>
          </w:tcPr>
          <w:p>
            <w:pPr>
              <w:pStyle w:val="GesAbsatz"/>
              <w:jc w:val="both"/>
              <w:rPr>
                <w:rFonts w:cs="Arial"/>
                <w:szCs w:val="17"/>
              </w:rPr>
            </w:pPr>
            <w:r>
              <w:rPr>
                <w:rFonts w:cs="Arial"/>
                <w:szCs w:val="17"/>
              </w:rPr>
              <w:t>5. Bitumen-Dachbelag</w:t>
            </w:r>
          </w:p>
        </w:tc>
      </w:tr>
      <w:tr>
        <w:tblPrEx>
          <w:tblCellMar>
            <w:top w:w="0" w:type="dxa"/>
            <w:bottom w:w="0" w:type="dxa"/>
          </w:tblCellMar>
        </w:tblPrEx>
        <w:tc>
          <w:tcPr>
            <w:tcW w:w="9544" w:type="dxa"/>
          </w:tcPr>
          <w:p>
            <w:pPr>
              <w:pStyle w:val="GesAbsatz"/>
              <w:jc w:val="both"/>
              <w:rPr>
                <w:rFonts w:cs="Arial"/>
                <w:szCs w:val="17"/>
              </w:rPr>
            </w:pPr>
            <w:r>
              <w:rPr>
                <w:rFonts w:cs="Arial"/>
                <w:szCs w:val="17"/>
              </w:rPr>
              <w:t>6. Bituminöse Straßendecken</w:t>
            </w: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7. Sonstiges </w:t>
            </w:r>
            <w:r>
              <w:rPr>
                <w:rFonts w:cs="Arial"/>
                <w:i/>
                <w:iCs/>
                <w:szCs w:val="17"/>
              </w:rPr>
              <w:t>(bitte genau angeben)</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B. Chemische Industrie</w:t>
            </w:r>
          </w:p>
        </w:tc>
      </w:tr>
      <w:tr>
        <w:tblPrEx>
          <w:tblCellMar>
            <w:top w:w="0" w:type="dxa"/>
            <w:bottom w:w="0" w:type="dxa"/>
          </w:tblCellMar>
        </w:tblPrEx>
        <w:tc>
          <w:tcPr>
            <w:tcW w:w="9544" w:type="dxa"/>
          </w:tcPr>
          <w:p>
            <w:pPr>
              <w:pStyle w:val="GesAbsatz"/>
              <w:jc w:val="both"/>
              <w:rPr>
                <w:rFonts w:cs="Arial"/>
                <w:szCs w:val="17"/>
              </w:rPr>
            </w:pPr>
            <w:r>
              <w:rPr>
                <w:rFonts w:cs="Arial"/>
                <w:szCs w:val="17"/>
              </w:rPr>
              <w:t>1. Ammoniakherstellung</w:t>
            </w:r>
          </w:p>
        </w:tc>
      </w:tr>
      <w:tr>
        <w:tblPrEx>
          <w:tblCellMar>
            <w:top w:w="0" w:type="dxa"/>
            <w:bottom w:w="0" w:type="dxa"/>
          </w:tblCellMar>
        </w:tblPrEx>
        <w:tc>
          <w:tcPr>
            <w:tcW w:w="9544" w:type="dxa"/>
          </w:tcPr>
          <w:p>
            <w:pPr>
              <w:pStyle w:val="GesAbsatz"/>
              <w:jc w:val="both"/>
              <w:rPr>
                <w:rFonts w:cs="Arial"/>
                <w:szCs w:val="17"/>
              </w:rPr>
            </w:pPr>
            <w:r>
              <w:rPr>
                <w:rFonts w:cs="Arial"/>
                <w:szCs w:val="17"/>
              </w:rPr>
              <w:t>2. Salpetersäureherstellung</w:t>
            </w:r>
          </w:p>
        </w:tc>
      </w:tr>
      <w:tr>
        <w:tblPrEx>
          <w:tblCellMar>
            <w:top w:w="0" w:type="dxa"/>
            <w:bottom w:w="0" w:type="dxa"/>
          </w:tblCellMar>
        </w:tblPrEx>
        <w:tc>
          <w:tcPr>
            <w:tcW w:w="9544" w:type="dxa"/>
          </w:tcPr>
          <w:p>
            <w:pPr>
              <w:pStyle w:val="GesAbsatz"/>
              <w:jc w:val="both"/>
              <w:rPr>
                <w:rFonts w:cs="Arial"/>
                <w:szCs w:val="17"/>
              </w:rPr>
            </w:pPr>
            <w:r>
              <w:rPr>
                <w:rFonts w:cs="Arial"/>
                <w:szCs w:val="17"/>
              </w:rPr>
              <w:t>3. Adipinsäureherstellung</w:t>
            </w:r>
          </w:p>
        </w:tc>
      </w:tr>
      <w:tr>
        <w:tblPrEx>
          <w:tblCellMar>
            <w:top w:w="0" w:type="dxa"/>
            <w:bottom w:w="0" w:type="dxa"/>
          </w:tblCellMar>
        </w:tblPrEx>
        <w:tc>
          <w:tcPr>
            <w:tcW w:w="9544" w:type="dxa"/>
          </w:tcPr>
          <w:p>
            <w:pPr>
              <w:pStyle w:val="GesAbsatz"/>
              <w:jc w:val="both"/>
              <w:rPr>
                <w:rFonts w:cs="Arial"/>
                <w:szCs w:val="17"/>
              </w:rPr>
            </w:pPr>
            <w:r>
              <w:rPr>
                <w:rFonts w:cs="Arial"/>
                <w:szCs w:val="17"/>
              </w:rPr>
              <w:t>4. Karbidherstellung</w:t>
            </w: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5. Sonstiges </w:t>
            </w:r>
            <w:r>
              <w:rPr>
                <w:rFonts w:cs="Arial"/>
                <w:i/>
                <w:iCs/>
                <w:szCs w:val="17"/>
              </w:rPr>
              <w:t>(bitte genau angeben)</w:t>
            </w:r>
          </w:p>
        </w:tc>
      </w:tr>
      <w:tr>
        <w:tblPrEx>
          <w:tblCellMar>
            <w:top w:w="0" w:type="dxa"/>
            <w:bottom w:w="0" w:type="dxa"/>
          </w:tblCellMar>
        </w:tblPrEx>
        <w:tc>
          <w:tcPr>
            <w:tcW w:w="9544" w:type="dxa"/>
          </w:tcPr>
          <w:p>
            <w:pPr>
              <w:pStyle w:val="GesAbsatz"/>
              <w:jc w:val="both"/>
              <w:rPr>
                <w:rFonts w:cs="Arial"/>
                <w:szCs w:val="17"/>
              </w:rPr>
            </w:pPr>
          </w:p>
        </w:tc>
      </w:tr>
      <w:tr>
        <w:tblPrEx>
          <w:tblCellMar>
            <w:top w:w="0" w:type="dxa"/>
            <w:bottom w:w="0" w:type="dxa"/>
          </w:tblCellMar>
        </w:tblPrEx>
        <w:tc>
          <w:tcPr>
            <w:tcW w:w="9544" w:type="dxa"/>
          </w:tcPr>
          <w:p>
            <w:pPr>
              <w:pStyle w:val="GesAbsatz"/>
              <w:jc w:val="both"/>
              <w:rPr>
                <w:rFonts w:cs="Arial"/>
                <w:szCs w:val="17"/>
              </w:rPr>
            </w:pPr>
            <w:r>
              <w:rPr>
                <w:rFonts w:cs="Arial"/>
                <w:szCs w:val="17"/>
              </w:rPr>
              <w:t>C. Metallerzeugung</w:t>
            </w:r>
          </w:p>
        </w:tc>
      </w:tr>
      <w:tr>
        <w:tblPrEx>
          <w:tblCellMar>
            <w:top w:w="0" w:type="dxa"/>
            <w:bottom w:w="0" w:type="dxa"/>
          </w:tblCellMar>
        </w:tblPrEx>
        <w:tc>
          <w:tcPr>
            <w:tcW w:w="9544" w:type="dxa"/>
          </w:tcPr>
          <w:p>
            <w:pPr>
              <w:pStyle w:val="GesAbsatz"/>
              <w:jc w:val="both"/>
              <w:rPr>
                <w:rFonts w:cs="Arial"/>
                <w:szCs w:val="17"/>
              </w:rPr>
            </w:pPr>
            <w:r>
              <w:rPr>
                <w:rFonts w:cs="Arial"/>
                <w:szCs w:val="17"/>
              </w:rPr>
              <w:t>1. Eisen- und Stahlerzeugung</w:t>
            </w:r>
          </w:p>
        </w:tc>
      </w:tr>
      <w:tr>
        <w:tblPrEx>
          <w:tblCellMar>
            <w:top w:w="0" w:type="dxa"/>
            <w:bottom w:w="0" w:type="dxa"/>
          </w:tblCellMar>
        </w:tblPrEx>
        <w:tc>
          <w:tcPr>
            <w:tcW w:w="9544" w:type="dxa"/>
          </w:tcPr>
          <w:p>
            <w:pPr>
              <w:pStyle w:val="GesAbsatz"/>
              <w:jc w:val="both"/>
              <w:rPr>
                <w:rFonts w:cs="Arial"/>
                <w:szCs w:val="17"/>
              </w:rPr>
            </w:pPr>
            <w:r>
              <w:rPr>
                <w:rFonts w:cs="Arial"/>
                <w:szCs w:val="17"/>
              </w:rPr>
              <w:t>2. Erzeugung von Ferrolegierungen</w:t>
            </w:r>
          </w:p>
        </w:tc>
      </w:tr>
      <w:tr>
        <w:tblPrEx>
          <w:tblCellMar>
            <w:top w:w="0" w:type="dxa"/>
            <w:bottom w:w="0" w:type="dxa"/>
          </w:tblCellMar>
        </w:tblPrEx>
        <w:tc>
          <w:tcPr>
            <w:tcW w:w="9544" w:type="dxa"/>
          </w:tcPr>
          <w:p>
            <w:pPr>
              <w:pStyle w:val="GesAbsatz"/>
              <w:jc w:val="both"/>
              <w:rPr>
                <w:rFonts w:cs="Arial"/>
                <w:szCs w:val="17"/>
              </w:rPr>
            </w:pPr>
            <w:r>
              <w:rPr>
                <w:rFonts w:cs="Arial"/>
                <w:szCs w:val="17"/>
              </w:rPr>
              <w:t>3. Aluminiumproduktion</w:t>
            </w:r>
          </w:p>
        </w:tc>
      </w:tr>
      <w:tr>
        <w:tblPrEx>
          <w:tblCellMar>
            <w:top w:w="0" w:type="dxa"/>
            <w:bottom w:w="0" w:type="dxa"/>
          </w:tblCellMar>
        </w:tblPrEx>
        <w:tc>
          <w:tcPr>
            <w:tcW w:w="9544" w:type="dxa"/>
          </w:tcPr>
          <w:p>
            <w:pPr>
              <w:pStyle w:val="GesAbsatz"/>
              <w:jc w:val="both"/>
              <w:rPr>
                <w:rFonts w:cs="Arial"/>
                <w:szCs w:val="17"/>
              </w:rPr>
            </w:pPr>
            <w:r>
              <w:rPr>
                <w:rFonts w:cs="Arial"/>
                <w:szCs w:val="17"/>
              </w:rPr>
              <w:t>4. SF</w:t>
            </w:r>
            <w:r>
              <w:rPr>
                <w:rFonts w:cs="Arial"/>
                <w:szCs w:val="10"/>
                <w:vertAlign w:val="subscript"/>
              </w:rPr>
              <w:t>6</w:t>
            </w:r>
            <w:r>
              <w:rPr>
                <w:rFonts w:cs="Arial"/>
                <w:szCs w:val="10"/>
              </w:rPr>
              <w:t xml:space="preserve"> </w:t>
            </w:r>
            <w:r>
              <w:rPr>
                <w:rFonts w:cs="Arial"/>
                <w:szCs w:val="17"/>
              </w:rPr>
              <w:t>in der Aluminium- und Magnesiumproduktion</w:t>
            </w:r>
          </w:p>
        </w:tc>
      </w:tr>
      <w:tr>
        <w:tblPrEx>
          <w:tblCellMar>
            <w:top w:w="0" w:type="dxa"/>
            <w:bottom w:w="0" w:type="dxa"/>
          </w:tblCellMar>
        </w:tblPrEx>
        <w:tc>
          <w:tcPr>
            <w:tcW w:w="9544" w:type="dxa"/>
          </w:tcPr>
          <w:p>
            <w:pPr>
              <w:pStyle w:val="GesAbsatz"/>
              <w:jc w:val="both"/>
              <w:rPr>
                <w:rFonts w:cs="Arial"/>
                <w:szCs w:val="17"/>
              </w:rPr>
            </w:pPr>
            <w:r>
              <w:rPr>
                <w:rFonts w:cs="Arial"/>
                <w:szCs w:val="17"/>
              </w:rPr>
              <w:t xml:space="preserve">5. Sonstiges </w:t>
            </w:r>
            <w:r>
              <w:rPr>
                <w:rFonts w:cs="Arial"/>
                <w:i/>
                <w:iCs/>
                <w:szCs w:val="17"/>
              </w:rPr>
              <w:t>(bitte genau angeben)</w:t>
            </w:r>
          </w:p>
        </w:tc>
      </w:tr>
      <w:tr>
        <w:tblPrEx>
          <w:tblCellMar>
            <w:top w:w="0" w:type="dxa"/>
            <w:bottom w:w="0" w:type="dxa"/>
          </w:tblCellMar>
        </w:tblPrEx>
        <w:tc>
          <w:tcPr>
            <w:tcW w:w="9544" w:type="dxa"/>
            <w:tcBorders>
              <w:bottom w:val="single" w:sz="4" w:space="0" w:color="auto"/>
            </w:tcBorders>
          </w:tcPr>
          <w:p>
            <w:pPr>
              <w:pStyle w:val="GesAbsatz"/>
              <w:jc w:val="both"/>
              <w:rPr>
                <w:rFonts w:cs="Arial"/>
                <w:szCs w:val="17"/>
              </w:rPr>
            </w:pPr>
          </w:p>
        </w:tc>
      </w:tr>
      <w:tr>
        <w:tblPrEx>
          <w:tblCellMar>
            <w:top w:w="0" w:type="dxa"/>
            <w:bottom w:w="0" w:type="dxa"/>
          </w:tblCellMar>
        </w:tblPrEx>
        <w:tc>
          <w:tcPr>
            <w:tcW w:w="9544" w:type="dxa"/>
            <w:shd w:val="clear" w:color="auto" w:fill="C0C0C0"/>
          </w:tcPr>
          <w:p>
            <w:pPr>
              <w:pStyle w:val="GesAbsatz"/>
              <w:jc w:val="both"/>
              <w:rPr>
                <w:rFonts w:cs="Arial"/>
                <w:szCs w:val="17"/>
              </w:rPr>
            </w:pPr>
            <w:r>
              <w:rPr>
                <w:rFonts w:cs="Arial"/>
                <w:b/>
                <w:bCs/>
                <w:szCs w:val="17"/>
              </w:rPr>
              <w:t>Memo-Items</w:t>
            </w:r>
          </w:p>
        </w:tc>
      </w:tr>
      <w:tr>
        <w:tblPrEx>
          <w:tblCellMar>
            <w:top w:w="0" w:type="dxa"/>
            <w:bottom w:w="0" w:type="dxa"/>
          </w:tblCellMar>
        </w:tblPrEx>
        <w:tc>
          <w:tcPr>
            <w:tcW w:w="9544" w:type="dxa"/>
          </w:tcPr>
          <w:p>
            <w:pPr>
              <w:pStyle w:val="GesAbsatz"/>
              <w:jc w:val="both"/>
              <w:rPr>
                <w:rFonts w:cs="Arial"/>
                <w:szCs w:val="17"/>
              </w:rPr>
            </w:pPr>
            <w:r>
              <w:rPr>
                <w:rFonts w:cs="Arial"/>
                <w:szCs w:val="17"/>
              </w:rPr>
              <w:t>CO</w:t>
            </w:r>
            <w:r>
              <w:rPr>
                <w:rFonts w:cs="Arial"/>
                <w:szCs w:val="10"/>
                <w:vertAlign w:val="subscript"/>
              </w:rPr>
              <w:t>2</w:t>
            </w:r>
            <w:r>
              <w:rPr>
                <w:rFonts w:cs="Arial"/>
                <w:szCs w:val="17"/>
              </w:rPr>
              <w:t>-Emissionen aus Biomasse</w:t>
            </w:r>
          </w:p>
        </w:tc>
      </w:tr>
    </w:tbl>
    <w:p>
      <w:pPr>
        <w:pStyle w:val="GesAbsatz"/>
        <w:jc w:val="both"/>
        <w:rPr>
          <w:rFonts w:cs="Arial"/>
          <w:szCs w:val="17"/>
        </w:rPr>
      </w:pPr>
    </w:p>
    <w:p>
      <w:pPr>
        <w:pStyle w:val="GesAbsatz"/>
        <w:jc w:val="both"/>
        <w:rPr>
          <w:rFonts w:cs="Arial"/>
          <w:b/>
          <w:bCs/>
          <w:szCs w:val="17"/>
        </w:rPr>
      </w:pPr>
      <w:r>
        <w:rPr>
          <w:rFonts w:cs="Arial"/>
          <w:b/>
          <w:bCs/>
          <w:szCs w:val="17"/>
        </w:rPr>
        <w:t>12.2. IPPC-Code der Quellenkategorien gemäß der EPER-Entscheidung</w:t>
      </w:r>
    </w:p>
    <w:p>
      <w:pPr>
        <w:pStyle w:val="GesAbsatz"/>
        <w:jc w:val="both"/>
        <w:rPr>
          <w:rFonts w:cs="Arial"/>
          <w:szCs w:val="17"/>
        </w:rPr>
      </w:pPr>
      <w:r>
        <w:rPr>
          <w:rFonts w:cs="Arial"/>
          <w:szCs w:val="17"/>
        </w:rPr>
        <w:t>Bei der unten angeführten Tabelle handelt es sich um einen Auszug aus Anhang A3 der Entscheidung 2000/479/EG der Kommission vom 17. Juli 2000 über den Aufbau eines Europäischen Schadstoffemiss</w:t>
      </w:r>
      <w:r>
        <w:rPr>
          <w:rFonts w:cs="Arial"/>
          <w:szCs w:val="17"/>
        </w:rPr>
        <w:t>i</w:t>
      </w:r>
      <w:r>
        <w:rPr>
          <w:rFonts w:cs="Arial"/>
          <w:szCs w:val="17"/>
        </w:rPr>
        <w:t>onsr</w:t>
      </w:r>
      <w:r>
        <w:rPr>
          <w:rFonts w:cs="Arial"/>
          <w:szCs w:val="17"/>
        </w:rPr>
        <w:t>e</w:t>
      </w:r>
      <w:r>
        <w:rPr>
          <w:rFonts w:cs="Arial"/>
          <w:szCs w:val="17"/>
        </w:rPr>
        <w:t>gisters gemäß Artikel 15 der Richtlinie 96/61/EG des Rates über die integrierte Vermeidung und Verminderung der Umweltverschmutzung</w:t>
      </w:r>
      <w:r>
        <w:rPr>
          <w:rStyle w:val="Funotenzeichen"/>
          <w:rFonts w:cs="Arial"/>
          <w:szCs w:val="17"/>
        </w:rPr>
        <w:footnoteReference w:id="24"/>
      </w:r>
      <w:r>
        <w:rPr>
          <w:rFonts w:cs="Arial"/>
          <w:szCs w:val="17"/>
        </w:rPr>
        <w:t>.</w:t>
      </w:r>
    </w:p>
    <w:p>
      <w:pPr>
        <w:pStyle w:val="GesAbsatz"/>
        <w:jc w:val="both"/>
        <w:rPr>
          <w:rFonts w:cs="Arial"/>
          <w:b/>
          <w:bCs/>
          <w:szCs w:val="17"/>
        </w:rPr>
      </w:pPr>
      <w:r>
        <w:rPr>
          <w:rFonts w:cs="Arial"/>
          <w:b/>
          <w:bCs/>
          <w:szCs w:val="17"/>
        </w:rPr>
        <w:t>Auszug aus Anhang A3 der Entscheidung EPER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0"/>
        <w:gridCol w:w="5954"/>
      </w:tblGrid>
      <w:tr>
        <w:tblPrEx>
          <w:tblCellMar>
            <w:top w:w="0" w:type="dxa"/>
            <w:bottom w:w="0" w:type="dxa"/>
          </w:tblCellMar>
        </w:tblPrEx>
        <w:tc>
          <w:tcPr>
            <w:tcW w:w="3472" w:type="dxa"/>
          </w:tcPr>
          <w:p>
            <w:pPr>
              <w:pStyle w:val="GesAbsatz"/>
              <w:jc w:val="both"/>
              <w:rPr>
                <w:rFonts w:cs="Arial"/>
                <w:bCs/>
                <w:szCs w:val="17"/>
              </w:rPr>
            </w:pPr>
            <w:r>
              <w:rPr>
                <w:rFonts w:cs="Arial"/>
                <w:b/>
                <w:bCs/>
                <w:szCs w:val="17"/>
              </w:rPr>
              <w:t>1.</w:t>
            </w:r>
          </w:p>
        </w:tc>
        <w:tc>
          <w:tcPr>
            <w:tcW w:w="6072" w:type="dxa"/>
          </w:tcPr>
          <w:p>
            <w:pPr>
              <w:pStyle w:val="GesAbsatz"/>
              <w:jc w:val="both"/>
              <w:rPr>
                <w:rFonts w:cs="Arial"/>
                <w:bCs/>
                <w:szCs w:val="17"/>
              </w:rPr>
            </w:pPr>
            <w:r>
              <w:rPr>
                <w:rFonts w:cs="Arial"/>
                <w:b/>
                <w:bCs/>
                <w:szCs w:val="17"/>
              </w:rPr>
              <w:t>Energiewirtschaft</w:t>
            </w:r>
          </w:p>
        </w:tc>
      </w:tr>
      <w:tr>
        <w:tblPrEx>
          <w:tblCellMar>
            <w:top w:w="0" w:type="dxa"/>
            <w:bottom w:w="0" w:type="dxa"/>
          </w:tblCellMar>
        </w:tblPrEx>
        <w:tc>
          <w:tcPr>
            <w:tcW w:w="3472" w:type="dxa"/>
          </w:tcPr>
          <w:p>
            <w:pPr>
              <w:pStyle w:val="GesAbsatz"/>
              <w:jc w:val="both"/>
              <w:rPr>
                <w:rFonts w:cs="Arial"/>
                <w:szCs w:val="17"/>
              </w:rPr>
            </w:pPr>
            <w:r>
              <w:rPr>
                <w:rFonts w:cs="Arial"/>
                <w:szCs w:val="17"/>
              </w:rPr>
              <w:t>1.1.</w:t>
            </w:r>
          </w:p>
        </w:tc>
        <w:tc>
          <w:tcPr>
            <w:tcW w:w="6072" w:type="dxa"/>
          </w:tcPr>
          <w:p>
            <w:pPr>
              <w:pStyle w:val="GesAbsatz"/>
              <w:jc w:val="both"/>
              <w:rPr>
                <w:rFonts w:cs="Arial"/>
                <w:szCs w:val="17"/>
              </w:rPr>
            </w:pPr>
            <w:r>
              <w:rPr>
                <w:rFonts w:cs="Arial"/>
                <w:szCs w:val="17"/>
              </w:rPr>
              <w:t>Verbrennungsanlagen &gt; 50 MW</w:t>
            </w:r>
          </w:p>
        </w:tc>
      </w:tr>
      <w:tr>
        <w:tblPrEx>
          <w:tblCellMar>
            <w:top w:w="0" w:type="dxa"/>
            <w:bottom w:w="0" w:type="dxa"/>
          </w:tblCellMar>
        </w:tblPrEx>
        <w:tc>
          <w:tcPr>
            <w:tcW w:w="3472" w:type="dxa"/>
          </w:tcPr>
          <w:p>
            <w:pPr>
              <w:pStyle w:val="GesAbsatz"/>
              <w:jc w:val="both"/>
              <w:rPr>
                <w:rFonts w:cs="Arial"/>
                <w:szCs w:val="17"/>
              </w:rPr>
            </w:pPr>
            <w:r>
              <w:rPr>
                <w:rFonts w:cs="Arial"/>
                <w:szCs w:val="17"/>
              </w:rPr>
              <w:t>1.2.</w:t>
            </w:r>
          </w:p>
        </w:tc>
        <w:tc>
          <w:tcPr>
            <w:tcW w:w="6072" w:type="dxa"/>
          </w:tcPr>
          <w:p>
            <w:pPr>
              <w:pStyle w:val="GesAbsatz"/>
              <w:jc w:val="both"/>
              <w:rPr>
                <w:rFonts w:cs="Arial"/>
                <w:szCs w:val="17"/>
              </w:rPr>
            </w:pPr>
            <w:r>
              <w:rPr>
                <w:rFonts w:cs="Arial"/>
                <w:szCs w:val="17"/>
              </w:rPr>
              <w:t>Mineralöl- und Gasraffinerien</w:t>
            </w:r>
          </w:p>
        </w:tc>
      </w:tr>
      <w:tr>
        <w:tblPrEx>
          <w:tblCellMar>
            <w:top w:w="0" w:type="dxa"/>
            <w:bottom w:w="0" w:type="dxa"/>
          </w:tblCellMar>
        </w:tblPrEx>
        <w:tc>
          <w:tcPr>
            <w:tcW w:w="3472" w:type="dxa"/>
          </w:tcPr>
          <w:p>
            <w:pPr>
              <w:pStyle w:val="GesAbsatz"/>
              <w:jc w:val="both"/>
              <w:rPr>
                <w:rFonts w:cs="Arial"/>
                <w:szCs w:val="17"/>
              </w:rPr>
            </w:pPr>
            <w:r>
              <w:rPr>
                <w:rFonts w:cs="Arial"/>
                <w:szCs w:val="17"/>
              </w:rPr>
              <w:t>1.3.</w:t>
            </w:r>
          </w:p>
        </w:tc>
        <w:tc>
          <w:tcPr>
            <w:tcW w:w="6072" w:type="dxa"/>
          </w:tcPr>
          <w:p>
            <w:pPr>
              <w:pStyle w:val="GesAbsatz"/>
              <w:jc w:val="both"/>
              <w:rPr>
                <w:rFonts w:cs="Arial"/>
                <w:szCs w:val="17"/>
              </w:rPr>
            </w:pPr>
            <w:r>
              <w:rPr>
                <w:rFonts w:cs="Arial"/>
                <w:szCs w:val="17"/>
              </w:rPr>
              <w:t>Kokereien</w:t>
            </w:r>
          </w:p>
        </w:tc>
      </w:tr>
      <w:tr>
        <w:tblPrEx>
          <w:tblCellMar>
            <w:top w:w="0" w:type="dxa"/>
            <w:bottom w:w="0" w:type="dxa"/>
          </w:tblCellMar>
        </w:tblPrEx>
        <w:tc>
          <w:tcPr>
            <w:tcW w:w="3472" w:type="dxa"/>
          </w:tcPr>
          <w:p>
            <w:pPr>
              <w:pStyle w:val="GesAbsatz"/>
              <w:jc w:val="both"/>
              <w:rPr>
                <w:rFonts w:cs="Arial"/>
                <w:szCs w:val="17"/>
              </w:rPr>
            </w:pPr>
            <w:r>
              <w:rPr>
                <w:rFonts w:cs="Arial"/>
                <w:szCs w:val="17"/>
              </w:rPr>
              <w:t>1.4.</w:t>
            </w:r>
          </w:p>
        </w:tc>
        <w:tc>
          <w:tcPr>
            <w:tcW w:w="6072" w:type="dxa"/>
          </w:tcPr>
          <w:p>
            <w:pPr>
              <w:pStyle w:val="GesAbsatz"/>
              <w:jc w:val="both"/>
              <w:rPr>
                <w:rFonts w:cs="Arial"/>
                <w:szCs w:val="17"/>
              </w:rPr>
            </w:pPr>
            <w:r>
              <w:rPr>
                <w:rFonts w:cs="Arial"/>
                <w:szCs w:val="17"/>
              </w:rPr>
              <w:t>Kohlevergasungs- und -verflüssigungsanlagen</w:t>
            </w:r>
          </w:p>
        </w:tc>
      </w:tr>
      <w:tr>
        <w:tblPrEx>
          <w:tblCellMar>
            <w:top w:w="0" w:type="dxa"/>
            <w:bottom w:w="0" w:type="dxa"/>
          </w:tblCellMar>
        </w:tblPrEx>
        <w:tc>
          <w:tcPr>
            <w:tcW w:w="3472" w:type="dxa"/>
          </w:tcPr>
          <w:p>
            <w:pPr>
              <w:pStyle w:val="GesAbsatz"/>
              <w:jc w:val="both"/>
              <w:rPr>
                <w:rFonts w:cs="Arial"/>
                <w:szCs w:val="17"/>
              </w:rPr>
            </w:pPr>
            <w:r>
              <w:rPr>
                <w:rFonts w:cs="Arial"/>
                <w:b/>
                <w:bCs/>
                <w:szCs w:val="17"/>
              </w:rPr>
              <w:t>2.</w:t>
            </w:r>
          </w:p>
        </w:tc>
        <w:tc>
          <w:tcPr>
            <w:tcW w:w="6072" w:type="dxa"/>
          </w:tcPr>
          <w:p>
            <w:pPr>
              <w:pStyle w:val="GesAbsatz"/>
              <w:jc w:val="both"/>
              <w:rPr>
                <w:rFonts w:cs="Arial"/>
                <w:szCs w:val="17"/>
              </w:rPr>
            </w:pPr>
            <w:r>
              <w:rPr>
                <w:rFonts w:cs="Arial"/>
                <w:b/>
                <w:bCs/>
                <w:szCs w:val="17"/>
              </w:rPr>
              <w:t>Herstellung und Verarbeitung von Metallen</w:t>
            </w:r>
          </w:p>
        </w:tc>
      </w:tr>
      <w:tr>
        <w:tblPrEx>
          <w:tblCellMar>
            <w:top w:w="0" w:type="dxa"/>
            <w:bottom w:w="0" w:type="dxa"/>
          </w:tblCellMar>
        </w:tblPrEx>
        <w:tc>
          <w:tcPr>
            <w:tcW w:w="3472" w:type="dxa"/>
          </w:tcPr>
          <w:p>
            <w:pPr>
              <w:pStyle w:val="GesAbsatz"/>
              <w:jc w:val="both"/>
              <w:rPr>
                <w:rFonts w:cs="Arial"/>
                <w:szCs w:val="17"/>
              </w:rPr>
            </w:pPr>
            <w:r>
              <w:rPr>
                <w:rFonts w:cs="Arial"/>
                <w:szCs w:val="17"/>
              </w:rPr>
              <w:t>2.1/2.2/2.3/2.4/2.5/2.6.</w:t>
            </w:r>
          </w:p>
        </w:tc>
        <w:tc>
          <w:tcPr>
            <w:tcW w:w="6072" w:type="dxa"/>
          </w:tcPr>
          <w:p>
            <w:pPr>
              <w:pStyle w:val="GesAbsatz"/>
              <w:jc w:val="both"/>
              <w:rPr>
                <w:rFonts w:cs="Arial"/>
                <w:szCs w:val="17"/>
              </w:rPr>
            </w:pPr>
            <w:r>
              <w:rPr>
                <w:rFonts w:cs="Arial"/>
                <w:szCs w:val="17"/>
              </w:rPr>
              <w:t>Metallindustrie und Röst- oder Sinteranlagen für Metallerz</w:t>
            </w:r>
            <w:r>
              <w:rPr>
                <w:rFonts w:cs="Arial"/>
                <w:szCs w:val="17"/>
              </w:rPr>
              <w:br/>
              <w:t>Anlagen zur Gewinnung von Eisenmetallen und Nichteisenmeta</w:t>
            </w:r>
            <w:r>
              <w:rPr>
                <w:rFonts w:cs="Arial"/>
                <w:szCs w:val="17"/>
              </w:rPr>
              <w:t>l</w:t>
            </w:r>
            <w:r>
              <w:rPr>
                <w:rFonts w:cs="Arial"/>
                <w:szCs w:val="17"/>
              </w:rPr>
              <w:t>len</w:t>
            </w:r>
          </w:p>
        </w:tc>
      </w:tr>
      <w:tr>
        <w:tblPrEx>
          <w:tblCellMar>
            <w:top w:w="0" w:type="dxa"/>
            <w:bottom w:w="0" w:type="dxa"/>
          </w:tblCellMar>
        </w:tblPrEx>
        <w:tc>
          <w:tcPr>
            <w:tcW w:w="3472" w:type="dxa"/>
          </w:tcPr>
          <w:p>
            <w:pPr>
              <w:pStyle w:val="GesAbsatz"/>
              <w:jc w:val="both"/>
              <w:rPr>
                <w:rFonts w:cs="Arial"/>
                <w:szCs w:val="17"/>
              </w:rPr>
            </w:pPr>
            <w:r>
              <w:rPr>
                <w:rFonts w:cs="Arial"/>
                <w:b/>
                <w:bCs/>
                <w:szCs w:val="17"/>
              </w:rPr>
              <w:t>3.</w:t>
            </w:r>
          </w:p>
        </w:tc>
        <w:tc>
          <w:tcPr>
            <w:tcW w:w="6072" w:type="dxa"/>
          </w:tcPr>
          <w:p>
            <w:pPr>
              <w:pStyle w:val="GesAbsatz"/>
              <w:jc w:val="both"/>
              <w:rPr>
                <w:rFonts w:cs="Arial"/>
                <w:szCs w:val="17"/>
              </w:rPr>
            </w:pPr>
            <w:r>
              <w:rPr>
                <w:rFonts w:cs="Arial"/>
                <w:b/>
                <w:bCs/>
                <w:szCs w:val="17"/>
              </w:rPr>
              <w:t>Bergbau</w:t>
            </w:r>
          </w:p>
        </w:tc>
      </w:tr>
      <w:tr>
        <w:tblPrEx>
          <w:tblCellMar>
            <w:top w:w="0" w:type="dxa"/>
            <w:bottom w:w="0" w:type="dxa"/>
          </w:tblCellMar>
        </w:tblPrEx>
        <w:tc>
          <w:tcPr>
            <w:tcW w:w="3472" w:type="dxa"/>
          </w:tcPr>
          <w:p>
            <w:pPr>
              <w:pStyle w:val="GesAbsatz"/>
              <w:jc w:val="both"/>
              <w:rPr>
                <w:rFonts w:cs="Arial"/>
                <w:szCs w:val="17"/>
              </w:rPr>
            </w:pPr>
            <w:r>
              <w:rPr>
                <w:rFonts w:cs="Arial"/>
                <w:szCs w:val="17"/>
              </w:rPr>
              <w:t>3.1/3.3/3.4/3.5.</w:t>
            </w:r>
          </w:p>
        </w:tc>
        <w:tc>
          <w:tcPr>
            <w:tcW w:w="6072" w:type="dxa"/>
          </w:tcPr>
          <w:p>
            <w:pPr>
              <w:pStyle w:val="GesAbsatz"/>
              <w:jc w:val="both"/>
              <w:rPr>
                <w:rFonts w:cs="Arial"/>
                <w:szCs w:val="17"/>
              </w:rPr>
            </w:pPr>
            <w:r>
              <w:rPr>
                <w:rFonts w:cs="Arial"/>
                <w:szCs w:val="17"/>
              </w:rPr>
              <w:t>Anlagen zur Herstellung von Zementklinkern (&gt; 500 t/Tag), Kalk (&gt; 50 t/Tag), Glas (&gt; 20 t/Tag), Mineralien (&gt; 20 t/Tag) oder keram</w:t>
            </w:r>
            <w:r>
              <w:rPr>
                <w:rFonts w:cs="Arial"/>
                <w:szCs w:val="17"/>
              </w:rPr>
              <w:t>i</w:t>
            </w:r>
            <w:r>
              <w:rPr>
                <w:rFonts w:cs="Arial"/>
                <w:szCs w:val="17"/>
              </w:rPr>
              <w:t>schen E</w:t>
            </w:r>
            <w:r>
              <w:rPr>
                <w:rFonts w:cs="Arial"/>
                <w:szCs w:val="17"/>
              </w:rPr>
              <w:t>r</w:t>
            </w:r>
            <w:r>
              <w:rPr>
                <w:rFonts w:cs="Arial"/>
                <w:szCs w:val="17"/>
              </w:rPr>
              <w:t>zeugnissen (&gt; 75 t/Tag)</w:t>
            </w:r>
          </w:p>
        </w:tc>
      </w:tr>
      <w:tr>
        <w:tblPrEx>
          <w:tblCellMar>
            <w:top w:w="0" w:type="dxa"/>
            <w:bottom w:w="0" w:type="dxa"/>
          </w:tblCellMar>
        </w:tblPrEx>
        <w:tc>
          <w:tcPr>
            <w:tcW w:w="3472" w:type="dxa"/>
          </w:tcPr>
          <w:p>
            <w:pPr>
              <w:pStyle w:val="GesAbsatz"/>
              <w:jc w:val="both"/>
              <w:rPr>
                <w:rFonts w:cs="Arial"/>
                <w:szCs w:val="17"/>
              </w:rPr>
            </w:pPr>
            <w:r>
              <w:rPr>
                <w:rFonts w:cs="Arial"/>
                <w:szCs w:val="17"/>
              </w:rPr>
              <w:t>3.2.</w:t>
            </w:r>
          </w:p>
        </w:tc>
        <w:tc>
          <w:tcPr>
            <w:tcW w:w="6072" w:type="dxa"/>
          </w:tcPr>
          <w:p>
            <w:pPr>
              <w:pStyle w:val="GesAbsatz"/>
              <w:jc w:val="both"/>
              <w:rPr>
                <w:rFonts w:cs="Arial"/>
                <w:szCs w:val="17"/>
              </w:rPr>
            </w:pPr>
            <w:r>
              <w:rPr>
                <w:rFonts w:cs="Arial"/>
                <w:szCs w:val="17"/>
              </w:rPr>
              <w:t>Anlagen zur Gewinnung von Asbest oder zur Herstellung von E</w:t>
            </w:r>
            <w:r>
              <w:rPr>
                <w:rFonts w:cs="Arial"/>
                <w:szCs w:val="17"/>
              </w:rPr>
              <w:t>r</w:t>
            </w:r>
            <w:r>
              <w:rPr>
                <w:rFonts w:cs="Arial"/>
                <w:szCs w:val="17"/>
              </w:rPr>
              <w:t>zeugnissen aus Asbest</w:t>
            </w:r>
          </w:p>
        </w:tc>
      </w:tr>
      <w:tr>
        <w:tblPrEx>
          <w:tblCellMar>
            <w:top w:w="0" w:type="dxa"/>
            <w:bottom w:w="0" w:type="dxa"/>
          </w:tblCellMar>
        </w:tblPrEx>
        <w:tc>
          <w:tcPr>
            <w:tcW w:w="3472" w:type="dxa"/>
          </w:tcPr>
          <w:p>
            <w:pPr>
              <w:pStyle w:val="GesAbsatz"/>
              <w:jc w:val="both"/>
              <w:rPr>
                <w:rFonts w:cs="Arial"/>
                <w:szCs w:val="17"/>
              </w:rPr>
            </w:pPr>
            <w:r>
              <w:rPr>
                <w:rFonts w:cs="Arial"/>
                <w:b/>
                <w:bCs/>
                <w:szCs w:val="17"/>
              </w:rPr>
              <w:t>4.</w:t>
            </w:r>
          </w:p>
        </w:tc>
        <w:tc>
          <w:tcPr>
            <w:tcW w:w="6072" w:type="dxa"/>
          </w:tcPr>
          <w:p>
            <w:pPr>
              <w:pStyle w:val="GesAbsatz"/>
              <w:jc w:val="both"/>
              <w:rPr>
                <w:rFonts w:cs="Arial"/>
                <w:szCs w:val="17"/>
              </w:rPr>
            </w:pPr>
            <w:r>
              <w:rPr>
                <w:rFonts w:cs="Arial"/>
                <w:b/>
                <w:bCs/>
                <w:szCs w:val="17"/>
              </w:rPr>
              <w:t>Chemische Industrie und Chemieanlagen zur Herstellung fo</w:t>
            </w:r>
            <w:r>
              <w:rPr>
                <w:rFonts w:cs="Arial"/>
                <w:b/>
                <w:bCs/>
                <w:szCs w:val="17"/>
              </w:rPr>
              <w:t>l</w:t>
            </w:r>
            <w:r>
              <w:rPr>
                <w:rFonts w:cs="Arial"/>
                <w:b/>
                <w:bCs/>
                <w:szCs w:val="17"/>
              </w:rPr>
              <w:t>gender Produkte</w:t>
            </w:r>
          </w:p>
        </w:tc>
      </w:tr>
      <w:tr>
        <w:tblPrEx>
          <w:tblCellMar>
            <w:top w:w="0" w:type="dxa"/>
            <w:bottom w:w="0" w:type="dxa"/>
          </w:tblCellMar>
        </w:tblPrEx>
        <w:tc>
          <w:tcPr>
            <w:tcW w:w="3472" w:type="dxa"/>
          </w:tcPr>
          <w:p>
            <w:pPr>
              <w:pStyle w:val="GesAbsatz"/>
              <w:jc w:val="both"/>
              <w:rPr>
                <w:rFonts w:cs="Arial"/>
                <w:szCs w:val="17"/>
              </w:rPr>
            </w:pPr>
            <w:r>
              <w:rPr>
                <w:rFonts w:cs="Arial"/>
                <w:szCs w:val="17"/>
              </w:rPr>
              <w:t>4.1.</w:t>
            </w:r>
          </w:p>
        </w:tc>
        <w:tc>
          <w:tcPr>
            <w:tcW w:w="6072" w:type="dxa"/>
          </w:tcPr>
          <w:p>
            <w:pPr>
              <w:pStyle w:val="GesAbsatz"/>
              <w:jc w:val="both"/>
              <w:rPr>
                <w:rFonts w:cs="Arial"/>
                <w:szCs w:val="17"/>
              </w:rPr>
            </w:pPr>
            <w:r>
              <w:rPr>
                <w:rFonts w:cs="Arial"/>
                <w:szCs w:val="17"/>
              </w:rPr>
              <w:t>Organische chemische Grundstoffe</w:t>
            </w:r>
          </w:p>
        </w:tc>
      </w:tr>
      <w:tr>
        <w:tblPrEx>
          <w:tblCellMar>
            <w:top w:w="0" w:type="dxa"/>
            <w:bottom w:w="0" w:type="dxa"/>
          </w:tblCellMar>
        </w:tblPrEx>
        <w:tc>
          <w:tcPr>
            <w:tcW w:w="3472" w:type="dxa"/>
          </w:tcPr>
          <w:p>
            <w:pPr>
              <w:pStyle w:val="GesAbsatz"/>
              <w:jc w:val="both"/>
              <w:rPr>
                <w:rFonts w:cs="Arial"/>
                <w:szCs w:val="17"/>
              </w:rPr>
            </w:pPr>
            <w:r>
              <w:rPr>
                <w:rFonts w:cs="Arial"/>
                <w:szCs w:val="17"/>
              </w:rPr>
              <w:t>4.2/4.3.</w:t>
            </w:r>
          </w:p>
        </w:tc>
        <w:tc>
          <w:tcPr>
            <w:tcW w:w="6072" w:type="dxa"/>
          </w:tcPr>
          <w:p>
            <w:pPr>
              <w:pStyle w:val="GesAbsatz"/>
              <w:jc w:val="both"/>
              <w:rPr>
                <w:rFonts w:cs="Arial"/>
                <w:szCs w:val="17"/>
              </w:rPr>
            </w:pPr>
            <w:r>
              <w:rPr>
                <w:rFonts w:cs="Arial"/>
                <w:szCs w:val="17"/>
              </w:rPr>
              <w:t>Anorganische chemische Grundstoffe oder Düngemittel</w:t>
            </w:r>
          </w:p>
        </w:tc>
      </w:tr>
      <w:tr>
        <w:tblPrEx>
          <w:tblCellMar>
            <w:top w:w="0" w:type="dxa"/>
            <w:bottom w:w="0" w:type="dxa"/>
          </w:tblCellMar>
        </w:tblPrEx>
        <w:tc>
          <w:tcPr>
            <w:tcW w:w="3472" w:type="dxa"/>
          </w:tcPr>
          <w:p>
            <w:pPr>
              <w:pStyle w:val="GesAbsatz"/>
              <w:jc w:val="both"/>
              <w:rPr>
                <w:rFonts w:cs="Arial"/>
                <w:szCs w:val="17"/>
              </w:rPr>
            </w:pPr>
            <w:r>
              <w:rPr>
                <w:rFonts w:cs="Arial"/>
                <w:szCs w:val="17"/>
              </w:rPr>
              <w:t>4.4/4.6.</w:t>
            </w:r>
          </w:p>
        </w:tc>
        <w:tc>
          <w:tcPr>
            <w:tcW w:w="6072" w:type="dxa"/>
          </w:tcPr>
          <w:p>
            <w:pPr>
              <w:pStyle w:val="GesAbsatz"/>
              <w:jc w:val="both"/>
              <w:rPr>
                <w:rFonts w:cs="Arial"/>
                <w:szCs w:val="17"/>
              </w:rPr>
            </w:pPr>
            <w:r>
              <w:rPr>
                <w:rFonts w:cs="Arial"/>
                <w:szCs w:val="17"/>
              </w:rPr>
              <w:t>Biozide und Explosivstoffe</w:t>
            </w:r>
          </w:p>
        </w:tc>
      </w:tr>
      <w:tr>
        <w:tblPrEx>
          <w:tblCellMar>
            <w:top w:w="0" w:type="dxa"/>
            <w:bottom w:w="0" w:type="dxa"/>
          </w:tblCellMar>
        </w:tblPrEx>
        <w:tc>
          <w:tcPr>
            <w:tcW w:w="3472" w:type="dxa"/>
          </w:tcPr>
          <w:p>
            <w:pPr>
              <w:pStyle w:val="GesAbsatz"/>
              <w:jc w:val="both"/>
              <w:rPr>
                <w:rFonts w:cs="Arial"/>
                <w:szCs w:val="17"/>
              </w:rPr>
            </w:pPr>
            <w:r>
              <w:rPr>
                <w:rFonts w:cs="Arial"/>
                <w:szCs w:val="17"/>
              </w:rPr>
              <w:t>4.5.</w:t>
            </w:r>
          </w:p>
        </w:tc>
        <w:tc>
          <w:tcPr>
            <w:tcW w:w="6072" w:type="dxa"/>
          </w:tcPr>
          <w:p>
            <w:pPr>
              <w:pStyle w:val="GesAbsatz"/>
              <w:jc w:val="both"/>
              <w:rPr>
                <w:rFonts w:cs="Arial"/>
                <w:szCs w:val="17"/>
              </w:rPr>
            </w:pPr>
            <w:r>
              <w:rPr>
                <w:rFonts w:cs="Arial"/>
                <w:szCs w:val="17"/>
              </w:rPr>
              <w:t>Arzneimittel</w:t>
            </w:r>
          </w:p>
        </w:tc>
      </w:tr>
      <w:tr>
        <w:tblPrEx>
          <w:tblCellMar>
            <w:top w:w="0" w:type="dxa"/>
            <w:bottom w:w="0" w:type="dxa"/>
          </w:tblCellMar>
        </w:tblPrEx>
        <w:tc>
          <w:tcPr>
            <w:tcW w:w="3472" w:type="dxa"/>
          </w:tcPr>
          <w:p>
            <w:pPr>
              <w:pStyle w:val="GesAbsatz"/>
              <w:jc w:val="both"/>
              <w:rPr>
                <w:rFonts w:cs="Arial"/>
                <w:szCs w:val="17"/>
              </w:rPr>
            </w:pPr>
            <w:r>
              <w:rPr>
                <w:rFonts w:cs="Arial"/>
                <w:b/>
                <w:bCs/>
                <w:szCs w:val="17"/>
              </w:rPr>
              <w:t>5.</w:t>
            </w:r>
          </w:p>
        </w:tc>
        <w:tc>
          <w:tcPr>
            <w:tcW w:w="6072" w:type="dxa"/>
          </w:tcPr>
          <w:p>
            <w:pPr>
              <w:pStyle w:val="GesAbsatz"/>
              <w:jc w:val="both"/>
              <w:rPr>
                <w:rFonts w:cs="Arial"/>
                <w:szCs w:val="17"/>
              </w:rPr>
            </w:pPr>
            <w:r>
              <w:rPr>
                <w:rFonts w:cs="Arial"/>
                <w:b/>
                <w:bCs/>
                <w:szCs w:val="17"/>
              </w:rPr>
              <w:t>Abfallbehandlung</w:t>
            </w:r>
          </w:p>
        </w:tc>
      </w:tr>
      <w:tr>
        <w:tblPrEx>
          <w:tblCellMar>
            <w:top w:w="0" w:type="dxa"/>
            <w:bottom w:w="0" w:type="dxa"/>
          </w:tblCellMar>
        </w:tblPrEx>
        <w:tc>
          <w:tcPr>
            <w:tcW w:w="3472" w:type="dxa"/>
          </w:tcPr>
          <w:p>
            <w:pPr>
              <w:pStyle w:val="GesAbsatz"/>
              <w:jc w:val="both"/>
              <w:rPr>
                <w:rFonts w:cs="Arial"/>
                <w:szCs w:val="17"/>
              </w:rPr>
            </w:pPr>
            <w:r>
              <w:rPr>
                <w:rFonts w:cs="Arial"/>
                <w:szCs w:val="17"/>
              </w:rPr>
              <w:t>5.1/5.2.</w:t>
            </w:r>
          </w:p>
        </w:tc>
        <w:tc>
          <w:tcPr>
            <w:tcW w:w="6072" w:type="dxa"/>
          </w:tcPr>
          <w:p>
            <w:pPr>
              <w:pStyle w:val="GesAbsatz"/>
              <w:jc w:val="both"/>
              <w:rPr>
                <w:rFonts w:cs="Arial"/>
                <w:szCs w:val="17"/>
              </w:rPr>
            </w:pPr>
            <w:r>
              <w:rPr>
                <w:rFonts w:cs="Arial"/>
                <w:szCs w:val="17"/>
              </w:rPr>
              <w:t>Anlagen zur Entsorgung oder Verwertung von gefährlichen Abfä</w:t>
            </w:r>
            <w:r>
              <w:rPr>
                <w:rFonts w:cs="Arial"/>
                <w:szCs w:val="17"/>
              </w:rPr>
              <w:t>l</w:t>
            </w:r>
            <w:r>
              <w:rPr>
                <w:rFonts w:cs="Arial"/>
                <w:szCs w:val="17"/>
              </w:rPr>
              <w:t>len (&gt; 10 t/Tag) oder Siedlungsmüll (&gt; 3 t/Stunde)</w:t>
            </w:r>
          </w:p>
        </w:tc>
      </w:tr>
      <w:tr>
        <w:tblPrEx>
          <w:tblCellMar>
            <w:top w:w="0" w:type="dxa"/>
            <w:bottom w:w="0" w:type="dxa"/>
          </w:tblCellMar>
        </w:tblPrEx>
        <w:tc>
          <w:tcPr>
            <w:tcW w:w="3472" w:type="dxa"/>
          </w:tcPr>
          <w:p>
            <w:pPr>
              <w:pStyle w:val="GesAbsatz"/>
              <w:jc w:val="both"/>
              <w:rPr>
                <w:rFonts w:cs="Arial"/>
                <w:szCs w:val="17"/>
              </w:rPr>
            </w:pPr>
            <w:r>
              <w:rPr>
                <w:rFonts w:cs="Arial"/>
                <w:szCs w:val="17"/>
              </w:rPr>
              <w:t>5.3/5.4.</w:t>
            </w:r>
          </w:p>
        </w:tc>
        <w:tc>
          <w:tcPr>
            <w:tcW w:w="6072" w:type="dxa"/>
          </w:tcPr>
          <w:p>
            <w:pPr>
              <w:pStyle w:val="GesAbsatz"/>
              <w:jc w:val="both"/>
              <w:rPr>
                <w:rFonts w:cs="Arial"/>
                <w:szCs w:val="17"/>
              </w:rPr>
            </w:pPr>
            <w:r>
              <w:rPr>
                <w:rFonts w:cs="Arial"/>
                <w:szCs w:val="17"/>
              </w:rPr>
              <w:t>Anlagen zur Beseitigung ungefährlicher Abfälle (&gt; 50 t/Tag) und Deponien (&gt; 10 t/Tag)</w:t>
            </w:r>
          </w:p>
        </w:tc>
      </w:tr>
      <w:tr>
        <w:tblPrEx>
          <w:tblCellMar>
            <w:top w:w="0" w:type="dxa"/>
            <w:bottom w:w="0" w:type="dxa"/>
          </w:tblCellMar>
        </w:tblPrEx>
        <w:tc>
          <w:tcPr>
            <w:tcW w:w="3472" w:type="dxa"/>
          </w:tcPr>
          <w:p>
            <w:pPr>
              <w:pStyle w:val="GesAbsatz"/>
              <w:jc w:val="both"/>
              <w:rPr>
                <w:rFonts w:cs="Arial"/>
                <w:szCs w:val="17"/>
              </w:rPr>
            </w:pPr>
            <w:r>
              <w:rPr>
                <w:rFonts w:cs="Arial"/>
                <w:b/>
                <w:bCs/>
                <w:szCs w:val="17"/>
              </w:rPr>
              <w:t>6.</w:t>
            </w:r>
          </w:p>
        </w:tc>
        <w:tc>
          <w:tcPr>
            <w:tcW w:w="6072" w:type="dxa"/>
          </w:tcPr>
          <w:p>
            <w:pPr>
              <w:pStyle w:val="GesAbsatz"/>
              <w:jc w:val="both"/>
              <w:rPr>
                <w:rFonts w:cs="Arial"/>
                <w:szCs w:val="17"/>
              </w:rPr>
            </w:pPr>
            <w:r>
              <w:rPr>
                <w:rFonts w:cs="Arial"/>
                <w:b/>
                <w:bCs/>
                <w:szCs w:val="17"/>
              </w:rPr>
              <w:t>Sonstige Industriezweige nach Anhang I</w:t>
            </w:r>
          </w:p>
        </w:tc>
      </w:tr>
      <w:tr>
        <w:tblPrEx>
          <w:tblCellMar>
            <w:top w:w="0" w:type="dxa"/>
            <w:bottom w:w="0" w:type="dxa"/>
          </w:tblCellMar>
        </w:tblPrEx>
        <w:tc>
          <w:tcPr>
            <w:tcW w:w="3472" w:type="dxa"/>
          </w:tcPr>
          <w:p>
            <w:pPr>
              <w:pStyle w:val="GesAbsatz"/>
              <w:jc w:val="both"/>
              <w:rPr>
                <w:rFonts w:cs="Arial"/>
                <w:szCs w:val="17"/>
              </w:rPr>
            </w:pPr>
            <w:r>
              <w:rPr>
                <w:rFonts w:cs="Arial"/>
                <w:szCs w:val="17"/>
              </w:rPr>
              <w:t>6.1.</w:t>
            </w:r>
          </w:p>
        </w:tc>
        <w:tc>
          <w:tcPr>
            <w:tcW w:w="6072" w:type="dxa"/>
          </w:tcPr>
          <w:p>
            <w:pPr>
              <w:pStyle w:val="GesAbsatz"/>
              <w:jc w:val="both"/>
              <w:rPr>
                <w:rFonts w:cs="Arial"/>
                <w:szCs w:val="17"/>
              </w:rPr>
            </w:pPr>
            <w:r>
              <w:rPr>
                <w:rFonts w:cs="Arial"/>
                <w:szCs w:val="17"/>
              </w:rPr>
              <w:t>Industrieanlagen zur Herstellung von Zellstoff aus Holz oder and</w:t>
            </w:r>
            <w:r>
              <w:rPr>
                <w:rFonts w:cs="Arial"/>
                <w:szCs w:val="17"/>
              </w:rPr>
              <w:t>e</w:t>
            </w:r>
            <w:r>
              <w:rPr>
                <w:rFonts w:cs="Arial"/>
                <w:szCs w:val="17"/>
              </w:rPr>
              <w:t>ren Faserstoffen und Herstellung von Papier oder Pappe (&gt; 20 t/Tag)</w:t>
            </w:r>
          </w:p>
        </w:tc>
      </w:tr>
      <w:tr>
        <w:tblPrEx>
          <w:tblCellMar>
            <w:top w:w="0" w:type="dxa"/>
            <w:bottom w:w="0" w:type="dxa"/>
          </w:tblCellMar>
        </w:tblPrEx>
        <w:tc>
          <w:tcPr>
            <w:tcW w:w="3472" w:type="dxa"/>
          </w:tcPr>
          <w:p>
            <w:pPr>
              <w:pStyle w:val="GesAbsatz"/>
              <w:jc w:val="both"/>
              <w:rPr>
                <w:rFonts w:cs="Arial"/>
                <w:szCs w:val="17"/>
              </w:rPr>
            </w:pPr>
            <w:r>
              <w:rPr>
                <w:rFonts w:cs="Arial"/>
                <w:szCs w:val="17"/>
              </w:rPr>
              <w:lastRenderedPageBreak/>
              <w:t>6.2.</w:t>
            </w:r>
          </w:p>
        </w:tc>
        <w:tc>
          <w:tcPr>
            <w:tcW w:w="6072" w:type="dxa"/>
          </w:tcPr>
          <w:p>
            <w:pPr>
              <w:pStyle w:val="GesAbsatz"/>
              <w:jc w:val="both"/>
              <w:rPr>
                <w:rFonts w:cs="Arial"/>
                <w:szCs w:val="17"/>
              </w:rPr>
            </w:pPr>
            <w:r>
              <w:rPr>
                <w:rFonts w:cs="Arial"/>
                <w:szCs w:val="17"/>
              </w:rPr>
              <w:t>Anlagen zur Vorbehandlung von Fasern oder Text</w:t>
            </w:r>
            <w:r>
              <w:rPr>
                <w:rFonts w:cs="Arial"/>
                <w:szCs w:val="17"/>
              </w:rPr>
              <w:t>i</w:t>
            </w:r>
            <w:r>
              <w:rPr>
                <w:rFonts w:cs="Arial"/>
                <w:szCs w:val="17"/>
              </w:rPr>
              <w:t>lien (&gt; 10 t/Tag)</w:t>
            </w:r>
          </w:p>
        </w:tc>
      </w:tr>
      <w:tr>
        <w:tblPrEx>
          <w:tblCellMar>
            <w:top w:w="0" w:type="dxa"/>
            <w:bottom w:w="0" w:type="dxa"/>
          </w:tblCellMar>
        </w:tblPrEx>
        <w:tc>
          <w:tcPr>
            <w:tcW w:w="3472" w:type="dxa"/>
          </w:tcPr>
          <w:p>
            <w:pPr>
              <w:pStyle w:val="GesAbsatz"/>
              <w:jc w:val="both"/>
              <w:rPr>
                <w:rFonts w:cs="Arial"/>
                <w:szCs w:val="17"/>
              </w:rPr>
            </w:pPr>
            <w:r>
              <w:rPr>
                <w:rFonts w:cs="Arial"/>
                <w:szCs w:val="17"/>
              </w:rPr>
              <w:t>6.3.</w:t>
            </w:r>
          </w:p>
        </w:tc>
        <w:tc>
          <w:tcPr>
            <w:tcW w:w="6072" w:type="dxa"/>
          </w:tcPr>
          <w:p>
            <w:pPr>
              <w:pStyle w:val="GesAbsatz"/>
              <w:jc w:val="both"/>
              <w:rPr>
                <w:rFonts w:cs="Arial"/>
                <w:szCs w:val="17"/>
              </w:rPr>
            </w:pPr>
            <w:r>
              <w:rPr>
                <w:rFonts w:cs="Arial"/>
                <w:szCs w:val="17"/>
              </w:rPr>
              <w:t>Anlagen zum Gerben von Häuten und Fellen (&gt; 12 t/Tag)</w:t>
            </w:r>
          </w:p>
        </w:tc>
      </w:tr>
      <w:tr>
        <w:tblPrEx>
          <w:tblCellMar>
            <w:top w:w="0" w:type="dxa"/>
            <w:bottom w:w="0" w:type="dxa"/>
          </w:tblCellMar>
        </w:tblPrEx>
        <w:tc>
          <w:tcPr>
            <w:tcW w:w="3472" w:type="dxa"/>
          </w:tcPr>
          <w:p>
            <w:pPr>
              <w:pStyle w:val="GesAbsatz"/>
              <w:jc w:val="both"/>
              <w:rPr>
                <w:rFonts w:cs="Arial"/>
                <w:szCs w:val="17"/>
              </w:rPr>
            </w:pPr>
            <w:r>
              <w:rPr>
                <w:rFonts w:cs="Arial"/>
                <w:szCs w:val="17"/>
              </w:rPr>
              <w:t>6.4.</w:t>
            </w:r>
          </w:p>
        </w:tc>
        <w:tc>
          <w:tcPr>
            <w:tcW w:w="6072" w:type="dxa"/>
          </w:tcPr>
          <w:p>
            <w:pPr>
              <w:pStyle w:val="GesAbsatz"/>
              <w:jc w:val="both"/>
              <w:rPr>
                <w:rFonts w:cs="Arial"/>
                <w:szCs w:val="17"/>
              </w:rPr>
            </w:pPr>
            <w:r>
              <w:rPr>
                <w:rFonts w:cs="Arial"/>
                <w:szCs w:val="17"/>
              </w:rPr>
              <w:t>Schlachthöfe (&gt; 50 t/Tag), Anlagen zur Herstellung von Milch (&gt; 200 t/Tag), sonstigen tierischen Rohstoffen (&gt; 75 t/Tag) oder pflanzlichen Rohstoffen (&gt; 300 t/Tag)</w:t>
            </w:r>
          </w:p>
        </w:tc>
      </w:tr>
      <w:tr>
        <w:tblPrEx>
          <w:tblCellMar>
            <w:top w:w="0" w:type="dxa"/>
            <w:bottom w:w="0" w:type="dxa"/>
          </w:tblCellMar>
        </w:tblPrEx>
        <w:tc>
          <w:tcPr>
            <w:tcW w:w="3472" w:type="dxa"/>
          </w:tcPr>
          <w:p>
            <w:pPr>
              <w:pStyle w:val="GesAbsatz"/>
              <w:jc w:val="both"/>
              <w:rPr>
                <w:rFonts w:cs="Arial"/>
                <w:szCs w:val="17"/>
              </w:rPr>
            </w:pPr>
            <w:r>
              <w:rPr>
                <w:rFonts w:cs="Arial"/>
                <w:szCs w:val="17"/>
              </w:rPr>
              <w:t>6.5.</w:t>
            </w:r>
          </w:p>
        </w:tc>
        <w:tc>
          <w:tcPr>
            <w:tcW w:w="6072" w:type="dxa"/>
          </w:tcPr>
          <w:p>
            <w:pPr>
              <w:pStyle w:val="GesAbsatz"/>
              <w:jc w:val="both"/>
              <w:rPr>
                <w:rFonts w:cs="Arial"/>
                <w:szCs w:val="17"/>
              </w:rPr>
            </w:pPr>
            <w:r>
              <w:rPr>
                <w:rFonts w:cs="Arial"/>
                <w:szCs w:val="17"/>
              </w:rPr>
              <w:t>Anlagen zur Beseitigung oder Verwertung von Tierkörpern und tierischen Abfällen (&gt; 10 t/Tag)</w:t>
            </w:r>
          </w:p>
        </w:tc>
      </w:tr>
      <w:tr>
        <w:tblPrEx>
          <w:tblCellMar>
            <w:top w:w="0" w:type="dxa"/>
            <w:bottom w:w="0" w:type="dxa"/>
          </w:tblCellMar>
        </w:tblPrEx>
        <w:tc>
          <w:tcPr>
            <w:tcW w:w="3472" w:type="dxa"/>
          </w:tcPr>
          <w:p>
            <w:pPr>
              <w:pStyle w:val="GesAbsatz"/>
              <w:jc w:val="both"/>
              <w:rPr>
                <w:rFonts w:cs="Arial"/>
                <w:szCs w:val="17"/>
              </w:rPr>
            </w:pPr>
            <w:r>
              <w:rPr>
                <w:rFonts w:cs="Arial"/>
                <w:szCs w:val="17"/>
              </w:rPr>
              <w:t>6.6.</w:t>
            </w:r>
          </w:p>
        </w:tc>
        <w:tc>
          <w:tcPr>
            <w:tcW w:w="6072" w:type="dxa"/>
          </w:tcPr>
          <w:p>
            <w:pPr>
              <w:pStyle w:val="GesAbsatz"/>
              <w:jc w:val="both"/>
              <w:rPr>
                <w:rFonts w:cs="Arial"/>
                <w:szCs w:val="17"/>
              </w:rPr>
            </w:pPr>
            <w:r>
              <w:rPr>
                <w:rFonts w:cs="Arial"/>
                <w:szCs w:val="17"/>
              </w:rPr>
              <w:t>Anlagen zur Zucht von Geflügel (&gt; 40 000), Schweinen (&gt; 2 000) oder Zuchtsäuen (&gt; 750)</w:t>
            </w:r>
          </w:p>
        </w:tc>
      </w:tr>
      <w:tr>
        <w:tblPrEx>
          <w:tblCellMar>
            <w:top w:w="0" w:type="dxa"/>
            <w:bottom w:w="0" w:type="dxa"/>
          </w:tblCellMar>
        </w:tblPrEx>
        <w:tc>
          <w:tcPr>
            <w:tcW w:w="3472" w:type="dxa"/>
          </w:tcPr>
          <w:p>
            <w:pPr>
              <w:pStyle w:val="GesAbsatz"/>
              <w:jc w:val="both"/>
              <w:rPr>
                <w:rFonts w:cs="Arial"/>
                <w:szCs w:val="17"/>
              </w:rPr>
            </w:pPr>
            <w:r>
              <w:rPr>
                <w:rFonts w:cs="Arial"/>
                <w:szCs w:val="17"/>
              </w:rPr>
              <w:t>6.7.</w:t>
            </w:r>
          </w:p>
        </w:tc>
        <w:tc>
          <w:tcPr>
            <w:tcW w:w="6072" w:type="dxa"/>
          </w:tcPr>
          <w:p>
            <w:pPr>
              <w:pStyle w:val="GesAbsatz"/>
              <w:jc w:val="both"/>
              <w:rPr>
                <w:rFonts w:cs="Arial"/>
                <w:szCs w:val="17"/>
              </w:rPr>
            </w:pPr>
            <w:r>
              <w:rPr>
                <w:rFonts w:cs="Arial"/>
                <w:szCs w:val="17"/>
              </w:rPr>
              <w:t>Anlagen zur Behandlung von Oberflächen oder von Stoffen unter Verwendung von organischen Lösungsmitteln (&gt; 200 t/Jahr)</w:t>
            </w:r>
          </w:p>
        </w:tc>
      </w:tr>
      <w:tr>
        <w:tblPrEx>
          <w:tblCellMar>
            <w:top w:w="0" w:type="dxa"/>
            <w:bottom w:w="0" w:type="dxa"/>
          </w:tblCellMar>
        </w:tblPrEx>
        <w:tc>
          <w:tcPr>
            <w:tcW w:w="3472" w:type="dxa"/>
          </w:tcPr>
          <w:p>
            <w:pPr>
              <w:pStyle w:val="GesAbsatz"/>
              <w:jc w:val="both"/>
              <w:rPr>
                <w:rFonts w:cs="Arial"/>
                <w:szCs w:val="17"/>
              </w:rPr>
            </w:pPr>
            <w:r>
              <w:rPr>
                <w:rFonts w:cs="Arial"/>
                <w:szCs w:val="17"/>
              </w:rPr>
              <w:t>6.8.</w:t>
            </w:r>
          </w:p>
        </w:tc>
        <w:tc>
          <w:tcPr>
            <w:tcW w:w="6072" w:type="dxa"/>
          </w:tcPr>
          <w:p>
            <w:pPr>
              <w:pStyle w:val="GesAbsatz"/>
              <w:jc w:val="both"/>
              <w:rPr>
                <w:rFonts w:cs="Arial"/>
                <w:szCs w:val="17"/>
              </w:rPr>
            </w:pPr>
            <w:r>
              <w:rPr>
                <w:rFonts w:cs="Arial"/>
                <w:szCs w:val="17"/>
              </w:rPr>
              <w:t>Anlagen zur Herstellung von Kohlenstoff und Grafit</w:t>
            </w:r>
          </w:p>
        </w:tc>
      </w:tr>
    </w:tbl>
    <w:p>
      <w:pPr>
        <w:pStyle w:val="GesAbsatz"/>
        <w:jc w:val="both"/>
        <w:rPr>
          <w:rFonts w:cs="Arial"/>
          <w:bCs/>
          <w:szCs w:val="17"/>
        </w:rPr>
      </w:pPr>
    </w:p>
    <w:p>
      <w:pPr>
        <w:pStyle w:val="berschrift3"/>
        <w:jc w:val="left"/>
      </w:pPr>
      <w:bookmarkStart w:id="5" w:name="_Toc67281920"/>
      <w:r>
        <w:br w:type="page"/>
      </w:r>
      <w:r>
        <w:lastRenderedPageBreak/>
        <w:t>ANHANG II</w:t>
      </w:r>
      <w:r>
        <w:br/>
        <w:t>Leitlinien für Emissionen aus der Verbrennung im Zusammenhang mit den in Anhang I der Richtl</w:t>
      </w:r>
      <w:r>
        <w:t>i</w:t>
      </w:r>
      <w:r>
        <w:t>nie aufgelisteten Tätigkeiten</w:t>
      </w:r>
      <w:bookmarkEnd w:id="5"/>
    </w:p>
    <w:p>
      <w:pPr>
        <w:pStyle w:val="GesAbsatz"/>
        <w:jc w:val="both"/>
        <w:rPr>
          <w:rFonts w:cs="Arial"/>
          <w:b/>
          <w:bCs/>
          <w:szCs w:val="17"/>
        </w:rPr>
      </w:pPr>
      <w:r>
        <w:rPr>
          <w:rFonts w:cs="Arial"/>
          <w:b/>
          <w:bCs/>
          <w:szCs w:val="17"/>
        </w:rPr>
        <w:t>1. EINSCHRÄNKUNGEN UND VOLLSTÄNDIGKEIT</w:t>
      </w:r>
    </w:p>
    <w:p>
      <w:pPr>
        <w:pStyle w:val="GesAbsatz"/>
        <w:jc w:val="both"/>
        <w:rPr>
          <w:rFonts w:cs="Arial"/>
          <w:szCs w:val="17"/>
        </w:rPr>
      </w:pPr>
      <w:r>
        <w:rPr>
          <w:rFonts w:cs="Arial"/>
          <w:szCs w:val="17"/>
        </w:rPr>
        <w:t>Die in diesem Anhang enthaltenen tätigkeitsspezifischen Leitlinien sind für die Überwachung von Trei</w:t>
      </w:r>
      <w:r>
        <w:rPr>
          <w:rFonts w:cs="Arial"/>
          <w:szCs w:val="17"/>
        </w:rPr>
        <w:t>b</w:t>
      </w:r>
      <w:r>
        <w:rPr>
          <w:rFonts w:cs="Arial"/>
          <w:szCs w:val="17"/>
        </w:rPr>
        <w:t>hausgasemissionen aus Feuerungsanlagen mit einer Feuerungswärmeleistung über 20 MW (ausgeno</w:t>
      </w:r>
      <w:r>
        <w:rPr>
          <w:rFonts w:cs="Arial"/>
          <w:szCs w:val="17"/>
        </w:rPr>
        <w:t>m</w:t>
      </w:r>
      <w:r>
        <w:rPr>
          <w:rFonts w:cs="Arial"/>
          <w:szCs w:val="17"/>
        </w:rPr>
        <w:t>men Anlagen für die Verbrennung von gefährlichen oder Siedlungsabfällen) gedacht, wie sie in Anhang I der Richtlinie aufgeführt sind, sowie für die Überwachung von Emissionen aus der Verbrennung im Z</w:t>
      </w:r>
      <w:r>
        <w:rPr>
          <w:rFonts w:cs="Arial"/>
          <w:szCs w:val="17"/>
        </w:rPr>
        <w:t>u</w:t>
      </w:r>
      <w:r>
        <w:rPr>
          <w:rFonts w:cs="Arial"/>
          <w:szCs w:val="17"/>
        </w:rPr>
        <w:t>sammenhang mit anderen Tätigkeiten des Anhangs I der Richtlinie, sofern in den Anhängen III bis XI di</w:t>
      </w:r>
      <w:r>
        <w:rPr>
          <w:rFonts w:cs="Arial"/>
          <w:szCs w:val="17"/>
        </w:rPr>
        <w:t>e</w:t>
      </w:r>
      <w:r>
        <w:rPr>
          <w:rFonts w:cs="Arial"/>
          <w:szCs w:val="17"/>
        </w:rPr>
        <w:t>ser Leitlinien auf diese Bezug genommen wird.</w:t>
      </w:r>
    </w:p>
    <w:p>
      <w:pPr>
        <w:pStyle w:val="GesAbsatz"/>
        <w:jc w:val="both"/>
        <w:rPr>
          <w:rFonts w:cs="Arial"/>
          <w:szCs w:val="17"/>
        </w:rPr>
      </w:pPr>
      <w:r>
        <w:rPr>
          <w:rFonts w:cs="Arial"/>
          <w:szCs w:val="17"/>
        </w:rPr>
        <w:t>Die Überwachung von Treibhausgasemissionen aus Verbrennungsprozessen erstreckt sich auf Emissi</w:t>
      </w:r>
      <w:r>
        <w:rPr>
          <w:rFonts w:cs="Arial"/>
          <w:szCs w:val="17"/>
        </w:rPr>
        <w:t>o</w:t>
      </w:r>
      <w:r>
        <w:rPr>
          <w:rFonts w:cs="Arial"/>
          <w:szCs w:val="17"/>
        </w:rPr>
        <w:t>nen aus der Verbrennung aller Brennstoffe in einer Anlage wie auch auf Emissionen aus der Abgasw</w:t>
      </w:r>
      <w:r>
        <w:rPr>
          <w:rFonts w:cs="Arial"/>
          <w:szCs w:val="17"/>
        </w:rPr>
        <w:t>ä</w:t>
      </w:r>
      <w:r>
        <w:rPr>
          <w:rFonts w:cs="Arial"/>
          <w:szCs w:val="17"/>
        </w:rPr>
        <w:t>sche beispielsweise zur Entfernung von SO</w:t>
      </w:r>
      <w:r>
        <w:rPr>
          <w:rFonts w:cs="Arial"/>
          <w:szCs w:val="10"/>
          <w:vertAlign w:val="subscript"/>
        </w:rPr>
        <w:t>2</w:t>
      </w:r>
      <w:r>
        <w:rPr>
          <w:rFonts w:cs="Arial"/>
          <w:szCs w:val="17"/>
        </w:rPr>
        <w:t>. Emissionen aus Verbrennungsmotoren in zu Beförderung</w:t>
      </w:r>
      <w:r>
        <w:rPr>
          <w:rFonts w:cs="Arial"/>
          <w:szCs w:val="17"/>
        </w:rPr>
        <w:t>s</w:t>
      </w:r>
      <w:r>
        <w:rPr>
          <w:rFonts w:cs="Arial"/>
          <w:szCs w:val="17"/>
        </w:rPr>
        <w:t>zwecken genutzten Maschinen/Geräten unterliegen nicht der Überwachungs- und Berichterstattung</w:t>
      </w:r>
      <w:r>
        <w:rPr>
          <w:rFonts w:cs="Arial"/>
          <w:szCs w:val="17"/>
        </w:rPr>
        <w:t>s</w:t>
      </w:r>
      <w:r>
        <w:rPr>
          <w:rFonts w:cs="Arial"/>
          <w:szCs w:val="17"/>
        </w:rPr>
        <w:t>pflicht. Alle Treibhausgasemissionen einer Anlage aus der Verbrennung von Brennstoffen sind eben di</w:t>
      </w:r>
      <w:r>
        <w:rPr>
          <w:rFonts w:cs="Arial"/>
          <w:szCs w:val="17"/>
        </w:rPr>
        <w:t>e</w:t>
      </w:r>
      <w:r>
        <w:rPr>
          <w:rFonts w:cs="Arial"/>
          <w:szCs w:val="17"/>
        </w:rPr>
        <w:t>ser zuzuordnen, und zwar unabhängig davon, ob Wärme oder Energie an andere Anlagen abgegeben wurde. Emissionen, die im Zusamme</w:t>
      </w:r>
      <w:r>
        <w:rPr>
          <w:rFonts w:cs="Arial"/>
          <w:szCs w:val="17"/>
        </w:rPr>
        <w:t>n</w:t>
      </w:r>
      <w:r>
        <w:rPr>
          <w:rFonts w:cs="Arial"/>
          <w:szCs w:val="17"/>
        </w:rPr>
        <w:t>hang mit der Erzeugung von weitergeleiteter Wärme oder Energie entstehen, sind der Anlage zuzurechnen, in der diese erzeugt wurde, und nicht der Anlage, an die diese abgegeben wurde.</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Zu den Feuerungsanlagen, aus denen CO</w:t>
      </w:r>
      <w:r>
        <w:rPr>
          <w:rFonts w:cs="Arial"/>
          <w:szCs w:val="10"/>
          <w:vertAlign w:val="subscript"/>
        </w:rPr>
        <w:t>2</w:t>
      </w:r>
      <w:r>
        <w:rPr>
          <w:rFonts w:cs="Arial"/>
          <w:szCs w:val="17"/>
        </w:rPr>
        <w:t>-Emissionen freigesetzt werden können, zählen:</w:t>
      </w:r>
    </w:p>
    <w:p>
      <w:pPr>
        <w:pStyle w:val="GesAbsatz"/>
        <w:jc w:val="both"/>
        <w:rPr>
          <w:rFonts w:cs="Arial"/>
          <w:szCs w:val="17"/>
        </w:rPr>
      </w:pPr>
      <w:r>
        <w:rPr>
          <w:rFonts w:cs="Arial"/>
          <w:szCs w:val="17"/>
        </w:rPr>
        <w:t>-</w:t>
      </w:r>
      <w:r>
        <w:rPr>
          <w:rFonts w:cs="Arial"/>
          <w:szCs w:val="17"/>
        </w:rPr>
        <w:tab/>
        <w:t>Heizkessel,</w:t>
      </w:r>
    </w:p>
    <w:p>
      <w:pPr>
        <w:pStyle w:val="GesAbsatz"/>
        <w:jc w:val="both"/>
        <w:rPr>
          <w:rFonts w:cs="Arial"/>
          <w:szCs w:val="17"/>
        </w:rPr>
      </w:pPr>
      <w:r>
        <w:rPr>
          <w:rFonts w:cs="Arial"/>
          <w:szCs w:val="17"/>
        </w:rPr>
        <w:t>-</w:t>
      </w:r>
      <w:r>
        <w:rPr>
          <w:rFonts w:cs="Arial"/>
          <w:szCs w:val="17"/>
        </w:rPr>
        <w:tab/>
        <w:t>Brenner,</w:t>
      </w:r>
    </w:p>
    <w:p>
      <w:pPr>
        <w:pStyle w:val="GesAbsatz"/>
        <w:jc w:val="both"/>
        <w:rPr>
          <w:rFonts w:cs="Arial"/>
          <w:szCs w:val="17"/>
        </w:rPr>
      </w:pPr>
      <w:r>
        <w:rPr>
          <w:rFonts w:cs="Arial"/>
          <w:szCs w:val="17"/>
        </w:rPr>
        <w:t>-</w:t>
      </w:r>
      <w:r>
        <w:rPr>
          <w:rFonts w:cs="Arial"/>
          <w:szCs w:val="17"/>
        </w:rPr>
        <w:tab/>
        <w:t>Turbinen,</w:t>
      </w:r>
    </w:p>
    <w:p>
      <w:pPr>
        <w:pStyle w:val="GesAbsatz"/>
        <w:jc w:val="both"/>
        <w:rPr>
          <w:rFonts w:cs="Arial"/>
          <w:szCs w:val="17"/>
        </w:rPr>
      </w:pPr>
      <w:r>
        <w:rPr>
          <w:rFonts w:cs="Arial"/>
          <w:szCs w:val="17"/>
        </w:rPr>
        <w:t>-</w:t>
      </w:r>
      <w:r>
        <w:rPr>
          <w:rFonts w:cs="Arial"/>
          <w:szCs w:val="17"/>
        </w:rPr>
        <w:tab/>
        <w:t>Heizgeräte,</w:t>
      </w:r>
    </w:p>
    <w:p>
      <w:pPr>
        <w:pStyle w:val="GesAbsatz"/>
        <w:jc w:val="both"/>
        <w:rPr>
          <w:rFonts w:cs="Arial"/>
          <w:szCs w:val="17"/>
        </w:rPr>
      </w:pPr>
      <w:r>
        <w:rPr>
          <w:rFonts w:cs="Arial"/>
          <w:szCs w:val="17"/>
        </w:rPr>
        <w:t>-</w:t>
      </w:r>
      <w:r>
        <w:rPr>
          <w:rFonts w:cs="Arial"/>
          <w:szCs w:val="17"/>
        </w:rPr>
        <w:tab/>
        <w:t>Industrieöfen,</w:t>
      </w:r>
    </w:p>
    <w:p>
      <w:pPr>
        <w:pStyle w:val="GesAbsatz"/>
        <w:jc w:val="both"/>
        <w:rPr>
          <w:rFonts w:cs="Arial"/>
          <w:szCs w:val="17"/>
        </w:rPr>
      </w:pPr>
      <w:r>
        <w:rPr>
          <w:rFonts w:cs="Arial"/>
          <w:szCs w:val="17"/>
        </w:rPr>
        <w:t>-</w:t>
      </w:r>
      <w:r>
        <w:rPr>
          <w:rFonts w:cs="Arial"/>
          <w:szCs w:val="17"/>
        </w:rPr>
        <w:tab/>
        <w:t>Verbrennungsöfen,</w:t>
      </w:r>
    </w:p>
    <w:p>
      <w:pPr>
        <w:pStyle w:val="GesAbsatz"/>
        <w:jc w:val="both"/>
        <w:rPr>
          <w:rFonts w:cs="Arial"/>
          <w:szCs w:val="17"/>
        </w:rPr>
      </w:pPr>
      <w:r>
        <w:rPr>
          <w:rFonts w:cs="Arial"/>
          <w:szCs w:val="17"/>
        </w:rPr>
        <w:t>-</w:t>
      </w:r>
      <w:r>
        <w:rPr>
          <w:rFonts w:cs="Arial"/>
          <w:szCs w:val="17"/>
        </w:rPr>
        <w:tab/>
        <w:t>Brennöfen,</w:t>
      </w:r>
    </w:p>
    <w:p>
      <w:pPr>
        <w:pStyle w:val="GesAbsatz"/>
        <w:jc w:val="both"/>
        <w:rPr>
          <w:rFonts w:cs="Arial"/>
          <w:szCs w:val="17"/>
        </w:rPr>
      </w:pPr>
      <w:r>
        <w:rPr>
          <w:rFonts w:cs="Arial"/>
          <w:szCs w:val="17"/>
        </w:rPr>
        <w:t>-</w:t>
      </w:r>
      <w:r>
        <w:rPr>
          <w:rFonts w:cs="Arial"/>
          <w:szCs w:val="17"/>
        </w:rPr>
        <w:tab/>
        <w:t>Öfen,</w:t>
      </w:r>
    </w:p>
    <w:p>
      <w:pPr>
        <w:pStyle w:val="GesAbsatz"/>
        <w:jc w:val="both"/>
        <w:rPr>
          <w:rFonts w:cs="Arial"/>
          <w:szCs w:val="17"/>
        </w:rPr>
      </w:pPr>
      <w:r>
        <w:rPr>
          <w:rFonts w:cs="Arial"/>
          <w:szCs w:val="17"/>
        </w:rPr>
        <w:t>-</w:t>
      </w:r>
      <w:r>
        <w:rPr>
          <w:rFonts w:cs="Arial"/>
          <w:szCs w:val="17"/>
        </w:rPr>
        <w:tab/>
        <w:t>Trockner,</w:t>
      </w:r>
    </w:p>
    <w:p>
      <w:pPr>
        <w:pStyle w:val="GesAbsatz"/>
        <w:jc w:val="both"/>
        <w:rPr>
          <w:rFonts w:cs="Arial"/>
          <w:szCs w:val="17"/>
        </w:rPr>
      </w:pPr>
      <w:r>
        <w:rPr>
          <w:rFonts w:cs="Arial"/>
          <w:szCs w:val="17"/>
        </w:rPr>
        <w:t>-</w:t>
      </w:r>
      <w:r>
        <w:rPr>
          <w:rFonts w:cs="Arial"/>
          <w:szCs w:val="17"/>
        </w:rPr>
        <w:tab/>
        <w:t>Motoren,</w:t>
      </w:r>
    </w:p>
    <w:p>
      <w:pPr>
        <w:pStyle w:val="GesAbsatz"/>
        <w:jc w:val="both"/>
        <w:rPr>
          <w:rFonts w:cs="Arial"/>
          <w:szCs w:val="17"/>
        </w:rPr>
      </w:pPr>
      <w:r>
        <w:rPr>
          <w:rFonts w:cs="Arial"/>
          <w:szCs w:val="17"/>
        </w:rPr>
        <w:t>-</w:t>
      </w:r>
      <w:r>
        <w:rPr>
          <w:rFonts w:cs="Arial"/>
          <w:szCs w:val="17"/>
        </w:rPr>
        <w:tab/>
        <w:t>Fackeln,</w:t>
      </w:r>
    </w:p>
    <w:p>
      <w:pPr>
        <w:pStyle w:val="GesAbsatz"/>
        <w:jc w:val="both"/>
        <w:rPr>
          <w:rFonts w:cs="Arial"/>
          <w:szCs w:val="17"/>
        </w:rPr>
      </w:pPr>
      <w:r>
        <w:rPr>
          <w:rFonts w:cs="Arial"/>
          <w:szCs w:val="17"/>
        </w:rPr>
        <w:t>-</w:t>
      </w:r>
      <w:r>
        <w:rPr>
          <w:rFonts w:cs="Arial"/>
          <w:szCs w:val="17"/>
        </w:rPr>
        <w:tab/>
        <w:t>Abgaswäscher (Prozessemissionen),</w:t>
      </w:r>
    </w:p>
    <w:p>
      <w:pPr>
        <w:pStyle w:val="GesAbsatz"/>
        <w:ind w:left="426" w:hanging="426"/>
        <w:jc w:val="both"/>
        <w:rPr>
          <w:rFonts w:cs="Arial"/>
          <w:szCs w:val="17"/>
        </w:rPr>
      </w:pPr>
      <w:r>
        <w:rPr>
          <w:rFonts w:cs="Arial"/>
          <w:szCs w:val="17"/>
        </w:rPr>
        <w:t>-</w:t>
      </w:r>
      <w:r>
        <w:rPr>
          <w:rFonts w:cs="Arial"/>
          <w:szCs w:val="17"/>
        </w:rPr>
        <w:tab/>
        <w:t>sonstige Geräte oder Maschinen, die mit Brennstoff betrieben werden, mit Ausnahme von Geräten oder Maschinen mit Verbrennungsmotoren, die zu Beförderungszwecken genutzt werden.</w:t>
      </w:r>
    </w:p>
    <w:p>
      <w:pPr>
        <w:pStyle w:val="GesAbsatz"/>
        <w:jc w:val="both"/>
        <w:rPr>
          <w:rFonts w:cs="Arial"/>
          <w:b/>
          <w:bCs/>
          <w:szCs w:val="17"/>
        </w:rPr>
      </w:pPr>
      <w:r>
        <w:rPr>
          <w:rFonts w:cs="Arial"/>
          <w:b/>
          <w:bCs/>
          <w:szCs w:val="17"/>
        </w:rPr>
        <w:t>2.1. Berechnung von CO</w:t>
      </w:r>
      <w:r>
        <w:rPr>
          <w:rFonts w:cs="Arial"/>
          <w:b/>
          <w:bCs/>
          <w:szCs w:val="10"/>
          <w:vertAlign w:val="subscript"/>
        </w:rPr>
        <w:t>2</w:t>
      </w:r>
      <w:r>
        <w:rPr>
          <w:rFonts w:cs="Arial"/>
          <w:b/>
          <w:bCs/>
          <w:szCs w:val="17"/>
        </w:rPr>
        <w:t>-Emissionen</w:t>
      </w:r>
    </w:p>
    <w:p>
      <w:pPr>
        <w:pStyle w:val="GesAbsatz"/>
        <w:jc w:val="both"/>
        <w:rPr>
          <w:rFonts w:cs="Arial"/>
          <w:i/>
          <w:iCs/>
          <w:szCs w:val="17"/>
        </w:rPr>
      </w:pPr>
      <w:r>
        <w:rPr>
          <w:rFonts w:cs="Arial"/>
          <w:szCs w:val="17"/>
        </w:rPr>
        <w:t xml:space="preserve">2.1.1. </w:t>
      </w:r>
      <w:r>
        <w:rPr>
          <w:rFonts w:cs="Arial"/>
          <w:i/>
          <w:iCs/>
          <w:szCs w:val="17"/>
        </w:rPr>
        <w:t>Emissionen aus der Verbrennung</w:t>
      </w:r>
    </w:p>
    <w:p>
      <w:pPr>
        <w:pStyle w:val="GesAbsatz"/>
        <w:jc w:val="both"/>
        <w:rPr>
          <w:rFonts w:cs="Arial"/>
          <w:szCs w:val="17"/>
        </w:rPr>
      </w:pPr>
      <w:r>
        <w:rPr>
          <w:rFonts w:cs="Arial"/>
          <w:szCs w:val="17"/>
        </w:rPr>
        <w:t>2.1.1.1. Verbrennungstätigkeiten allgemein</w:t>
      </w:r>
    </w:p>
    <w:p>
      <w:pPr>
        <w:pStyle w:val="GesAbsatz"/>
        <w:jc w:val="both"/>
        <w:rPr>
          <w:rFonts w:cs="Arial"/>
          <w:szCs w:val="17"/>
        </w:rPr>
      </w:pPr>
      <w:r>
        <w:rPr>
          <w:rFonts w:cs="Arial"/>
          <w:szCs w:val="17"/>
        </w:rPr>
        <w:t>CO</w:t>
      </w:r>
      <w:r>
        <w:rPr>
          <w:rFonts w:cs="Arial"/>
          <w:szCs w:val="10"/>
          <w:vertAlign w:val="subscript"/>
        </w:rPr>
        <w:t>2</w:t>
      </w:r>
      <w:r>
        <w:rPr>
          <w:rFonts w:cs="Arial"/>
          <w:szCs w:val="17"/>
        </w:rPr>
        <w:t>-Emissionen aus der Verbrennung sind zu berechnen, indem der Energiegehalt eines jeden eingeset</w:t>
      </w:r>
      <w:r>
        <w:rPr>
          <w:rFonts w:cs="Arial"/>
          <w:szCs w:val="17"/>
        </w:rPr>
        <w:t>z</w:t>
      </w:r>
      <w:r>
        <w:rPr>
          <w:rFonts w:cs="Arial"/>
          <w:szCs w:val="17"/>
        </w:rPr>
        <w:t>ten Brennstoffs mit einem Emissionsfaktor und einem Oxidationsfaktor multipliziert wird. Demnach wird für jeden Brennstoff, der im Zusammenhang mit einer Tätigkeit eingesetzt wird, folgende Berechnung ang</w:t>
      </w:r>
      <w:r>
        <w:rPr>
          <w:rFonts w:cs="Arial"/>
          <w:szCs w:val="17"/>
        </w:rPr>
        <w:t>e</w:t>
      </w:r>
      <w:r>
        <w:rPr>
          <w:rFonts w:cs="Arial"/>
          <w:szCs w:val="17"/>
        </w:rPr>
        <w:t>stellt: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Tätigkeitsdaten × Emissionsfaktor × Oxidationsfaktor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lastRenderedPageBreak/>
        <w:t>Die Tätigkeitsdaten werden als Nettoenergiegehalt des Brennstoffs [TJ] ausgedrückt, der während des Berichtszeitraums verbraucht wurde. Der Energiegehalt des Brennstoffverbrauchs wird anhand der folge</w:t>
      </w:r>
      <w:r>
        <w:rPr>
          <w:rFonts w:cs="Arial"/>
          <w:szCs w:val="17"/>
        </w:rPr>
        <w:t>n</w:t>
      </w:r>
      <w:r>
        <w:rPr>
          <w:rFonts w:cs="Arial"/>
          <w:szCs w:val="17"/>
        </w:rPr>
        <w:t>den Formel berechnet:</w:t>
      </w:r>
    </w:p>
    <w:p>
      <w:pPr>
        <w:pStyle w:val="GesAbsatz"/>
        <w:jc w:val="center"/>
        <w:rPr>
          <w:rFonts w:cs="Arial"/>
          <w:szCs w:val="17"/>
        </w:rPr>
      </w:pPr>
      <w:r>
        <w:rPr>
          <w:rFonts w:cs="Arial"/>
          <w:szCs w:val="17"/>
        </w:rPr>
        <w:t>Energiegehalt des Brennstoffverbrauchs [TJ] = verbrauchter Brennstoff [t oder m</w:t>
      </w:r>
      <w:r>
        <w:rPr>
          <w:rFonts w:cs="Arial"/>
          <w:szCs w:val="10"/>
          <w:vertAlign w:val="superscript"/>
        </w:rPr>
        <w:t>3</w:t>
      </w:r>
      <w:r>
        <w:rPr>
          <w:rFonts w:cs="Arial"/>
          <w:szCs w:val="17"/>
        </w:rPr>
        <w:t>] × spezifischer Hei</w:t>
      </w:r>
      <w:r>
        <w:rPr>
          <w:rFonts w:cs="Arial"/>
          <w:szCs w:val="17"/>
        </w:rPr>
        <w:t>z</w:t>
      </w:r>
      <w:r>
        <w:rPr>
          <w:rFonts w:cs="Arial"/>
          <w:szCs w:val="17"/>
        </w:rPr>
        <w:t>wert des Brennstoffs [TJ/t oder TJ/m</w:t>
      </w:r>
      <w:r>
        <w:rPr>
          <w:rFonts w:cs="Arial"/>
          <w:szCs w:val="10"/>
          <w:vertAlign w:val="superscript"/>
        </w:rPr>
        <w:t>3</w:t>
      </w:r>
      <w:r>
        <w:rPr>
          <w:rFonts w:cs="Arial"/>
          <w:szCs w:val="17"/>
        </w:rPr>
        <w:t>]</w:t>
      </w:r>
      <w:r>
        <w:rPr>
          <w:rStyle w:val="Funotenzeichen"/>
          <w:rFonts w:cs="Arial"/>
          <w:szCs w:val="17"/>
        </w:rPr>
        <w:footnoteReference w:id="25"/>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a1) verbrauchter Brennstoff:</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Der Brennstoffverbrauch wird ohne Zwischenlagerung vor der Verbrennung in der Anlage gemessen mit einem maximal zulässigen Unsicherheitsfaktor von weniger als ± 7,5 % je Messvorgang.</w:t>
      </w:r>
    </w:p>
    <w:p>
      <w:pPr>
        <w:pStyle w:val="GesAbsatz"/>
        <w:jc w:val="both"/>
        <w:rPr>
          <w:rFonts w:cs="Arial"/>
          <w:szCs w:val="17"/>
        </w:rPr>
      </w:pPr>
      <w:r>
        <w:rPr>
          <w:rFonts w:cs="Arial"/>
          <w:szCs w:val="17"/>
        </w:rPr>
        <w:t>Ebene 2a:</w:t>
      </w:r>
    </w:p>
    <w:p>
      <w:pPr>
        <w:pStyle w:val="GesAbsatz"/>
        <w:jc w:val="both"/>
        <w:rPr>
          <w:rFonts w:cs="Arial"/>
          <w:szCs w:val="17"/>
        </w:rPr>
      </w:pPr>
      <w:r>
        <w:rPr>
          <w:rFonts w:cs="Arial"/>
          <w:szCs w:val="17"/>
        </w:rPr>
        <w:t>Der Brennstoffverbrauch wird ohne Zwischenlagerung vor der Verbrennung in der Anlage gemessen, w</w:t>
      </w:r>
      <w:r>
        <w:rPr>
          <w:rFonts w:cs="Arial"/>
          <w:szCs w:val="17"/>
        </w:rPr>
        <w:t>o</w:t>
      </w:r>
      <w:r>
        <w:rPr>
          <w:rFonts w:cs="Arial"/>
          <w:szCs w:val="17"/>
        </w:rPr>
        <w:t>bei Messgeräte mit einem maximal zulässigen Unsicherheitsfaktor von weniger als ± 5,0 % je Messvo</w:t>
      </w:r>
      <w:r>
        <w:rPr>
          <w:rFonts w:cs="Arial"/>
          <w:szCs w:val="17"/>
        </w:rPr>
        <w:t>r</w:t>
      </w:r>
      <w:r>
        <w:rPr>
          <w:rFonts w:cs="Arial"/>
          <w:szCs w:val="17"/>
        </w:rPr>
        <w:t>gang verwendet werden.</w:t>
      </w:r>
    </w:p>
    <w:p>
      <w:pPr>
        <w:pStyle w:val="GesAbsatz"/>
        <w:jc w:val="both"/>
        <w:rPr>
          <w:rFonts w:cs="Arial"/>
          <w:szCs w:val="17"/>
        </w:rPr>
      </w:pPr>
      <w:r>
        <w:rPr>
          <w:rFonts w:cs="Arial"/>
          <w:szCs w:val="17"/>
        </w:rPr>
        <w:t>Ebene 2b:</w:t>
      </w:r>
    </w:p>
    <w:p>
      <w:pPr>
        <w:pStyle w:val="GesAbsatz"/>
        <w:jc w:val="both"/>
        <w:rPr>
          <w:rFonts w:cs="Arial"/>
          <w:szCs w:val="17"/>
        </w:rPr>
      </w:pPr>
      <w:r>
        <w:rPr>
          <w:rFonts w:cs="Arial"/>
          <w:szCs w:val="17"/>
        </w:rPr>
        <w:t>Der Brennstoffankauf wird mittels Messgeräten mit einem zulässigen Unsicherheitsfaktor von weniger als ± 4,5 % je Messvorgang gemessen. Der Brennstoffverbrauch wird anhand des Massenbilanzansatzes berechnet, der auf der gekauften Brennstoffmenge und der über einen bestimmten Zeitraum festgestel</w:t>
      </w:r>
      <w:r>
        <w:rPr>
          <w:rFonts w:cs="Arial"/>
          <w:szCs w:val="17"/>
        </w:rPr>
        <w:t>l</w:t>
      </w:r>
      <w:r>
        <w:rPr>
          <w:rFonts w:cs="Arial"/>
          <w:szCs w:val="17"/>
        </w:rPr>
        <w:t>ten Differenz im Lagerbestand beruht. Dabei ist folgende Formel zu verwenden:</w:t>
      </w:r>
    </w:p>
    <w:p>
      <w:pPr>
        <w:pStyle w:val="GesAbsatz"/>
        <w:jc w:val="center"/>
        <w:rPr>
          <w:rFonts w:cs="Arial"/>
          <w:szCs w:val="17"/>
        </w:rPr>
      </w:pPr>
      <w:r>
        <w:rPr>
          <w:rFonts w:cs="Arial"/>
          <w:szCs w:val="17"/>
        </w:rPr>
        <w:t>Brennstoff C = Brennstoff P + (Brennstoff S – Brennstoff E) – Brennstoff O</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Brennstoff C: der im Berichtszeitraum verbrannte Brennstoff,</w:t>
      </w:r>
    </w:p>
    <w:p>
      <w:pPr>
        <w:pStyle w:val="GesAbsatz"/>
        <w:jc w:val="both"/>
        <w:rPr>
          <w:rFonts w:cs="Arial"/>
          <w:szCs w:val="17"/>
        </w:rPr>
      </w:pPr>
      <w:r>
        <w:rPr>
          <w:rFonts w:cs="Arial"/>
          <w:szCs w:val="17"/>
        </w:rPr>
        <w:t>Brennstoff P: der im Berichtszeitraum gekaufte Brennstoff,</w:t>
      </w:r>
    </w:p>
    <w:p>
      <w:pPr>
        <w:pStyle w:val="GesAbsatz"/>
        <w:jc w:val="both"/>
        <w:rPr>
          <w:rFonts w:cs="Arial"/>
          <w:szCs w:val="17"/>
        </w:rPr>
      </w:pPr>
      <w:r>
        <w:rPr>
          <w:rFonts w:cs="Arial"/>
          <w:szCs w:val="17"/>
        </w:rPr>
        <w:t>Brennstoff S: Brennstofflagerbestand zu Beginn des Berichtszeitraums,</w:t>
      </w:r>
    </w:p>
    <w:p>
      <w:pPr>
        <w:pStyle w:val="GesAbsatz"/>
        <w:jc w:val="both"/>
        <w:rPr>
          <w:rFonts w:cs="Arial"/>
          <w:szCs w:val="17"/>
        </w:rPr>
      </w:pPr>
      <w:r>
        <w:rPr>
          <w:rFonts w:cs="Arial"/>
          <w:szCs w:val="17"/>
        </w:rPr>
        <w:t>Brennstoff E: Brennstofflagerbestand zum Ende des Berichtszeitraums,</w:t>
      </w:r>
    </w:p>
    <w:p>
      <w:pPr>
        <w:pStyle w:val="GesAbsatz"/>
        <w:jc w:val="both"/>
        <w:rPr>
          <w:rFonts w:cs="Arial"/>
          <w:szCs w:val="17"/>
        </w:rPr>
      </w:pPr>
      <w:r>
        <w:rPr>
          <w:rFonts w:cs="Arial"/>
          <w:szCs w:val="17"/>
        </w:rPr>
        <w:t>Brennstoff O: für andere Zwecke eingesetzter Brennstoff (Weiterbeförderung oder Wiederverkauf).</w:t>
      </w:r>
    </w:p>
    <w:p>
      <w:pPr>
        <w:pStyle w:val="GesAbsatz"/>
        <w:jc w:val="both"/>
        <w:rPr>
          <w:rFonts w:cs="Arial"/>
          <w:szCs w:val="17"/>
        </w:rPr>
      </w:pPr>
      <w:r>
        <w:rPr>
          <w:rFonts w:cs="Arial"/>
          <w:szCs w:val="17"/>
        </w:rPr>
        <w:t>Ebene 3a:</w:t>
      </w:r>
    </w:p>
    <w:p>
      <w:pPr>
        <w:pStyle w:val="GesAbsatz"/>
        <w:jc w:val="both"/>
        <w:rPr>
          <w:rFonts w:cs="Arial"/>
          <w:szCs w:val="17"/>
        </w:rPr>
      </w:pPr>
      <w:r>
        <w:rPr>
          <w:rFonts w:cs="Arial"/>
          <w:szCs w:val="17"/>
        </w:rPr>
        <w:t>Der Brennstoffverbrauch wird ohne Zwischenlagerung vor der Verbrennung in der Anlage gemessen, w</w:t>
      </w:r>
      <w:r>
        <w:rPr>
          <w:rFonts w:cs="Arial"/>
          <w:szCs w:val="17"/>
        </w:rPr>
        <w:t>o</w:t>
      </w:r>
      <w:r>
        <w:rPr>
          <w:rFonts w:cs="Arial"/>
          <w:szCs w:val="17"/>
        </w:rPr>
        <w:t>bei Messgeräte mit einem maximal zulässigen Unsicherheitsfaktor von weniger als 2,5 % je Messvo</w:t>
      </w:r>
      <w:r>
        <w:rPr>
          <w:rFonts w:cs="Arial"/>
          <w:szCs w:val="17"/>
        </w:rPr>
        <w:t>r</w:t>
      </w:r>
      <w:r>
        <w:rPr>
          <w:rFonts w:cs="Arial"/>
          <w:szCs w:val="17"/>
        </w:rPr>
        <w:t>gang verwendet werden.</w:t>
      </w:r>
    </w:p>
    <w:p>
      <w:pPr>
        <w:pStyle w:val="GesAbsatz"/>
        <w:jc w:val="both"/>
        <w:rPr>
          <w:rFonts w:cs="Arial"/>
          <w:szCs w:val="17"/>
        </w:rPr>
      </w:pPr>
      <w:r>
        <w:rPr>
          <w:rFonts w:cs="Arial"/>
          <w:szCs w:val="17"/>
        </w:rPr>
        <w:t>Ebene 3b:</w:t>
      </w:r>
    </w:p>
    <w:p>
      <w:pPr>
        <w:pStyle w:val="GesAbsatz"/>
        <w:jc w:val="both"/>
        <w:rPr>
          <w:rFonts w:cs="Arial"/>
          <w:szCs w:val="17"/>
        </w:rPr>
      </w:pPr>
      <w:r>
        <w:rPr>
          <w:rFonts w:cs="Arial"/>
          <w:szCs w:val="17"/>
        </w:rPr>
        <w:t>Der Brennstoffankauf wird mittels Messgeräten mit einem maximal zulässigen Unsicherheitsfaktor von weniger als 2,0 % je Messvorgang gemessen. Der Brennstoffverbrauch wird anhand des Massenbilanza</w:t>
      </w:r>
      <w:r>
        <w:rPr>
          <w:rFonts w:cs="Arial"/>
          <w:szCs w:val="17"/>
        </w:rPr>
        <w:t>n</w:t>
      </w:r>
      <w:r>
        <w:rPr>
          <w:rFonts w:cs="Arial"/>
          <w:szCs w:val="17"/>
        </w:rPr>
        <w:t>satzes berechnet, der auf der gekauften Brennstoffmenge und der über einen bestimmten Zeitraum fes</w:t>
      </w:r>
      <w:r>
        <w:rPr>
          <w:rFonts w:cs="Arial"/>
          <w:szCs w:val="17"/>
        </w:rPr>
        <w:t>t</w:t>
      </w:r>
      <w:r>
        <w:rPr>
          <w:rFonts w:cs="Arial"/>
          <w:szCs w:val="17"/>
        </w:rPr>
        <w:t>gestellten Differenz im Lagerbestand beruht. Dabei ist folgende Formel zu verwenden:</w:t>
      </w:r>
    </w:p>
    <w:p>
      <w:pPr>
        <w:pStyle w:val="GesAbsatz"/>
        <w:jc w:val="center"/>
        <w:rPr>
          <w:rFonts w:cs="Arial"/>
          <w:szCs w:val="17"/>
        </w:rPr>
      </w:pPr>
      <w:r>
        <w:rPr>
          <w:rFonts w:cs="Arial"/>
          <w:szCs w:val="17"/>
        </w:rPr>
        <w:t>Brennstoff C = Brennstoff P + (Brennstoff S – Brennstoff E) – Brennstoff O</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Brennstoff C: der im Berichtszeitraum verbrannte Brennstoff,</w:t>
      </w:r>
    </w:p>
    <w:p>
      <w:pPr>
        <w:pStyle w:val="GesAbsatz"/>
        <w:jc w:val="both"/>
        <w:rPr>
          <w:rFonts w:cs="Arial"/>
          <w:szCs w:val="17"/>
        </w:rPr>
      </w:pPr>
      <w:r>
        <w:rPr>
          <w:rFonts w:cs="Arial"/>
          <w:szCs w:val="17"/>
        </w:rPr>
        <w:t>Brennstoff P: der im Berichtszeitraum gekaufte Brennstoff,</w:t>
      </w:r>
    </w:p>
    <w:p>
      <w:pPr>
        <w:pStyle w:val="GesAbsatz"/>
        <w:jc w:val="both"/>
        <w:rPr>
          <w:rFonts w:cs="Arial"/>
          <w:szCs w:val="17"/>
        </w:rPr>
      </w:pPr>
      <w:r>
        <w:rPr>
          <w:rFonts w:cs="Arial"/>
          <w:szCs w:val="17"/>
        </w:rPr>
        <w:t>Brennstoff S: Brennstofflagerbestand zu Beginn des Berichtszeitraums,</w:t>
      </w:r>
    </w:p>
    <w:p>
      <w:pPr>
        <w:pStyle w:val="GesAbsatz"/>
        <w:jc w:val="both"/>
        <w:rPr>
          <w:rFonts w:cs="Arial"/>
          <w:szCs w:val="17"/>
        </w:rPr>
      </w:pPr>
      <w:r>
        <w:rPr>
          <w:rFonts w:cs="Arial"/>
          <w:szCs w:val="17"/>
        </w:rPr>
        <w:lastRenderedPageBreak/>
        <w:t>Brennstoff E: Brennstofflagerbestand zum Ende des Berichtszeitraums,</w:t>
      </w:r>
    </w:p>
    <w:p>
      <w:pPr>
        <w:pStyle w:val="GesAbsatz"/>
        <w:jc w:val="both"/>
        <w:rPr>
          <w:rFonts w:cs="Arial"/>
          <w:szCs w:val="17"/>
        </w:rPr>
      </w:pPr>
      <w:r>
        <w:rPr>
          <w:rFonts w:cs="Arial"/>
          <w:szCs w:val="17"/>
        </w:rPr>
        <w:t>Brennstoff O: für andere Zwecke eingesetzter Brennstoff (Weiterbeförderung oder Wiederverkauf).</w:t>
      </w:r>
    </w:p>
    <w:p>
      <w:pPr>
        <w:pStyle w:val="GesAbsatz"/>
        <w:jc w:val="both"/>
        <w:rPr>
          <w:rFonts w:cs="Arial"/>
          <w:szCs w:val="17"/>
        </w:rPr>
      </w:pPr>
      <w:r>
        <w:rPr>
          <w:rFonts w:cs="Arial"/>
          <w:szCs w:val="17"/>
        </w:rPr>
        <w:t>Ebene 4a:</w:t>
      </w:r>
    </w:p>
    <w:p>
      <w:pPr>
        <w:pStyle w:val="GesAbsatz"/>
        <w:jc w:val="both"/>
        <w:rPr>
          <w:rFonts w:cs="Arial"/>
          <w:szCs w:val="17"/>
        </w:rPr>
      </w:pPr>
      <w:r>
        <w:rPr>
          <w:rFonts w:cs="Arial"/>
          <w:szCs w:val="17"/>
        </w:rPr>
        <w:t>Der Brennstoffverbrauch wird ohne Zwischenlagerung vor der Verbrennung in der Anlage gemessen, w</w:t>
      </w:r>
      <w:r>
        <w:rPr>
          <w:rFonts w:cs="Arial"/>
          <w:szCs w:val="17"/>
        </w:rPr>
        <w:t>o</w:t>
      </w:r>
      <w:r>
        <w:rPr>
          <w:rFonts w:cs="Arial"/>
          <w:szCs w:val="17"/>
        </w:rPr>
        <w:t>bei Messgeräte mit einem maximal zulässigen Unsicherheitsfaktor von weniger als 1,5 % je Messvo</w:t>
      </w:r>
      <w:r>
        <w:rPr>
          <w:rFonts w:cs="Arial"/>
          <w:szCs w:val="17"/>
        </w:rPr>
        <w:t>r</w:t>
      </w:r>
      <w:r>
        <w:rPr>
          <w:rFonts w:cs="Arial"/>
          <w:szCs w:val="17"/>
        </w:rPr>
        <w:t>gang verwendet werden.</w:t>
      </w:r>
    </w:p>
    <w:p>
      <w:pPr>
        <w:pStyle w:val="GesAbsatz"/>
        <w:jc w:val="both"/>
        <w:rPr>
          <w:rFonts w:cs="Arial"/>
          <w:szCs w:val="17"/>
        </w:rPr>
      </w:pPr>
      <w:r>
        <w:rPr>
          <w:rFonts w:cs="Arial"/>
          <w:szCs w:val="17"/>
        </w:rPr>
        <w:t>Ebene 4b:</w:t>
      </w:r>
    </w:p>
    <w:p>
      <w:pPr>
        <w:pStyle w:val="GesAbsatz"/>
        <w:jc w:val="both"/>
        <w:rPr>
          <w:rFonts w:cs="Arial"/>
          <w:szCs w:val="17"/>
        </w:rPr>
      </w:pPr>
      <w:r>
        <w:rPr>
          <w:rFonts w:cs="Arial"/>
          <w:szCs w:val="17"/>
        </w:rPr>
        <w:t>Der Brennstoffankauf wird mittels Messgeräten mit einem maximal zulässigen Unsicherheitsfaktor von weniger als 1,0 % je Messvorgang gemessen. Der Brennstoffverbrauch wird anhand des Massenbilanza</w:t>
      </w:r>
      <w:r>
        <w:rPr>
          <w:rFonts w:cs="Arial"/>
          <w:szCs w:val="17"/>
        </w:rPr>
        <w:t>n</w:t>
      </w:r>
      <w:r>
        <w:rPr>
          <w:rFonts w:cs="Arial"/>
          <w:szCs w:val="17"/>
        </w:rPr>
        <w:t>satzes berechnet, der auf der gekauften Brennstoffmenge und der über einen bestimmten Zeitraum fes</w:t>
      </w:r>
      <w:r>
        <w:rPr>
          <w:rFonts w:cs="Arial"/>
          <w:szCs w:val="17"/>
        </w:rPr>
        <w:t>t</w:t>
      </w:r>
      <w:r>
        <w:rPr>
          <w:rFonts w:cs="Arial"/>
          <w:szCs w:val="17"/>
        </w:rPr>
        <w:t>gestellten Differenz im Lagerbestand beruht. Dabei ist folgende Formel zu verwenden:</w:t>
      </w:r>
    </w:p>
    <w:p>
      <w:pPr>
        <w:pStyle w:val="GesAbsatz"/>
        <w:jc w:val="center"/>
        <w:rPr>
          <w:rFonts w:cs="Arial"/>
          <w:szCs w:val="17"/>
        </w:rPr>
      </w:pPr>
      <w:r>
        <w:rPr>
          <w:rFonts w:cs="Arial"/>
          <w:szCs w:val="17"/>
        </w:rPr>
        <w:t>Brennstoff C = Brennstoff P + (Brennstoff S – Brennstoff E) – Brennstoff O</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Brennstoff C: der im Berichtszeitraum verbrannte Brennstoff,</w:t>
      </w:r>
    </w:p>
    <w:p>
      <w:pPr>
        <w:pStyle w:val="GesAbsatz"/>
        <w:jc w:val="both"/>
        <w:rPr>
          <w:rFonts w:cs="Arial"/>
          <w:szCs w:val="17"/>
        </w:rPr>
      </w:pPr>
      <w:r>
        <w:rPr>
          <w:rFonts w:cs="Arial"/>
          <w:szCs w:val="17"/>
        </w:rPr>
        <w:t>Brennstoff P: der im Berichtszeitraum gekaufte Brennstoff,</w:t>
      </w:r>
    </w:p>
    <w:p>
      <w:pPr>
        <w:pStyle w:val="GesAbsatz"/>
        <w:jc w:val="both"/>
        <w:rPr>
          <w:rFonts w:cs="Arial"/>
          <w:szCs w:val="17"/>
        </w:rPr>
      </w:pPr>
      <w:r>
        <w:rPr>
          <w:rFonts w:cs="Arial"/>
          <w:szCs w:val="17"/>
        </w:rPr>
        <w:t>Brennstoff S: Brennstofflagerbestand zu Beginn des Berichtszeitraums,</w:t>
      </w:r>
    </w:p>
    <w:p>
      <w:pPr>
        <w:pStyle w:val="GesAbsatz"/>
        <w:jc w:val="both"/>
        <w:rPr>
          <w:rFonts w:cs="Arial"/>
          <w:szCs w:val="17"/>
        </w:rPr>
      </w:pPr>
      <w:r>
        <w:rPr>
          <w:rFonts w:cs="Arial"/>
          <w:szCs w:val="17"/>
        </w:rPr>
        <w:t>Brennstoff E: Brennstofflagerbestand zum Ende des Berichtszeitraums,</w:t>
      </w:r>
    </w:p>
    <w:p>
      <w:pPr>
        <w:pStyle w:val="GesAbsatz"/>
        <w:jc w:val="both"/>
        <w:rPr>
          <w:rFonts w:cs="Arial"/>
          <w:szCs w:val="17"/>
        </w:rPr>
      </w:pPr>
      <w:r>
        <w:rPr>
          <w:rFonts w:cs="Arial"/>
          <w:szCs w:val="17"/>
        </w:rPr>
        <w:t>Brennstoff O: für andere Zwecke eingesetzter Brennstoff (Weiterbeförderung oder Wiederverkauf).</w:t>
      </w:r>
    </w:p>
    <w:p>
      <w:pPr>
        <w:pStyle w:val="GesAbsatz"/>
        <w:jc w:val="both"/>
        <w:rPr>
          <w:rFonts w:cs="Arial"/>
          <w:szCs w:val="17"/>
        </w:rPr>
      </w:pPr>
      <w:r>
        <w:rPr>
          <w:rFonts w:cs="Arial"/>
          <w:szCs w:val="17"/>
        </w:rPr>
        <w:t>Zu beachten ist, dass unterschiedliche Brennstoffarten erhebliche Abweichungen bei den zulässigen Uns</w:t>
      </w:r>
      <w:r>
        <w:rPr>
          <w:rFonts w:cs="Arial"/>
          <w:szCs w:val="17"/>
        </w:rPr>
        <w:t>i</w:t>
      </w:r>
      <w:r>
        <w:rPr>
          <w:rFonts w:cs="Arial"/>
          <w:szCs w:val="17"/>
        </w:rPr>
        <w:t>cherheitsfaktoren des Messverfahrens zur Folge haben, wobei gasförmige und flüssige Brennstoffe gen</w:t>
      </w:r>
      <w:r>
        <w:rPr>
          <w:rFonts w:cs="Arial"/>
          <w:szCs w:val="17"/>
        </w:rPr>
        <w:t>e</w:t>
      </w:r>
      <w:r>
        <w:rPr>
          <w:rFonts w:cs="Arial"/>
          <w:szCs w:val="17"/>
        </w:rPr>
        <w:t>rell mit größerer Genauigkeit gemessen werden können als feste Brennstoffe. In jeder Brennstof</w:t>
      </w:r>
      <w:r>
        <w:rPr>
          <w:rFonts w:cs="Arial"/>
          <w:szCs w:val="17"/>
        </w:rPr>
        <w:t>f</w:t>
      </w:r>
      <w:r>
        <w:rPr>
          <w:rFonts w:cs="Arial"/>
          <w:szCs w:val="17"/>
        </w:rPr>
        <w:t>klasse gibt es jedoch zahlreiche Ausnahmen (in Abhängigkeit von der Art und den Eigenschaften des Bren</w:t>
      </w:r>
      <w:r>
        <w:rPr>
          <w:rFonts w:cs="Arial"/>
          <w:szCs w:val="17"/>
        </w:rPr>
        <w:t>n</w:t>
      </w:r>
      <w:r>
        <w:rPr>
          <w:rFonts w:cs="Arial"/>
          <w:szCs w:val="17"/>
        </w:rPr>
        <w:t>stoffs, der Art der Anlieferung (Schiff, Schiene, Lkw, Förderband, Pipeline) und den spezifischen Bedi</w:t>
      </w:r>
      <w:r>
        <w:rPr>
          <w:rFonts w:cs="Arial"/>
          <w:szCs w:val="17"/>
        </w:rPr>
        <w:t>n</w:t>
      </w:r>
      <w:r>
        <w:rPr>
          <w:rFonts w:cs="Arial"/>
          <w:szCs w:val="17"/>
        </w:rPr>
        <w:t>gungen der Anlage), was eine einfache Zuordnung der Brennstoffe zu bestimmenden Ebenenko</w:t>
      </w:r>
      <w:r>
        <w:rPr>
          <w:rFonts w:cs="Arial"/>
          <w:szCs w:val="17"/>
        </w:rPr>
        <w:t>n</w:t>
      </w:r>
      <w:r>
        <w:rPr>
          <w:rFonts w:cs="Arial"/>
          <w:szCs w:val="17"/>
        </w:rPr>
        <w:t>zepten ausschließt.</w:t>
      </w:r>
    </w:p>
    <w:p>
      <w:pPr>
        <w:pStyle w:val="GesAbsatz"/>
        <w:jc w:val="both"/>
        <w:rPr>
          <w:rFonts w:cs="Arial"/>
          <w:szCs w:val="17"/>
        </w:rPr>
      </w:pPr>
      <w:r>
        <w:rPr>
          <w:rFonts w:cs="Arial"/>
          <w:szCs w:val="17"/>
        </w:rPr>
        <w:t>a2) Spezifischer Heizwert:</w:t>
      </w:r>
    </w:p>
    <w:p>
      <w:pPr>
        <w:pStyle w:val="GesAbsatz"/>
        <w:jc w:val="both"/>
        <w:rPr>
          <w:rFonts w:cs="Arial"/>
          <w:szCs w:val="17"/>
        </w:rPr>
      </w:pPr>
      <w:r>
        <w:rPr>
          <w:rFonts w:cs="Arial"/>
          <w:szCs w:val="17"/>
        </w:rPr>
        <w:t>Ebene 1:</w:t>
      </w:r>
    </w:p>
    <w:p>
      <w:pPr>
        <w:pStyle w:val="GesAbsatz"/>
        <w:jc w:val="both"/>
        <w:rPr>
          <w:rFonts w:cs="Arial"/>
          <w:szCs w:val="17"/>
          <w:lang w:val="en-GB"/>
        </w:rPr>
      </w:pPr>
      <w:r>
        <w:rPr>
          <w:rFonts w:cs="Arial"/>
          <w:szCs w:val="17"/>
        </w:rPr>
        <w:t xml:space="preserve">Der Betreiber legt für jeden Brennstoff einen länderspezifischen Heizwert zugrunde. </w:t>
      </w:r>
      <w:r>
        <w:rPr>
          <w:rFonts w:cs="Arial"/>
          <w:szCs w:val="17"/>
          <w:lang w:val="en-GB"/>
        </w:rPr>
        <w:t>Diese sind in Anl</w:t>
      </w:r>
      <w:r>
        <w:rPr>
          <w:rFonts w:cs="Arial"/>
          <w:szCs w:val="17"/>
          <w:lang w:val="en-GB"/>
        </w:rPr>
        <w:t>a</w:t>
      </w:r>
      <w:r>
        <w:rPr>
          <w:rFonts w:cs="Arial"/>
          <w:szCs w:val="17"/>
          <w:lang w:val="en-GB"/>
        </w:rPr>
        <w:t>ge 2.1 A.3 „1990 country specific net calorific values“ zur 2000 IPCC „Good Practice Guidance and Unce</w:t>
      </w:r>
      <w:r>
        <w:rPr>
          <w:rFonts w:cs="Arial"/>
          <w:szCs w:val="17"/>
          <w:lang w:val="en-GB"/>
        </w:rPr>
        <w:t>r</w:t>
      </w:r>
      <w:r>
        <w:rPr>
          <w:rFonts w:cs="Arial"/>
          <w:szCs w:val="17"/>
          <w:lang w:val="en-GB"/>
        </w:rPr>
        <w:t>tainty Management in National Greenhouse Gas Inventories“ (http://www.ipcc.ch/pub/guide.htm) fes</w:t>
      </w:r>
      <w:r>
        <w:rPr>
          <w:rFonts w:cs="Arial"/>
          <w:szCs w:val="17"/>
          <w:lang w:val="en-GB"/>
        </w:rPr>
        <w:t>t</w:t>
      </w:r>
      <w:r>
        <w:rPr>
          <w:rFonts w:cs="Arial"/>
          <w:szCs w:val="17"/>
          <w:lang w:val="en-GB"/>
        </w:rPr>
        <w:t>gelegt.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Der Betreiber legt für jeden Brennstoff einen länderspezifischen Heizwert zugrunde, wie er von dem für ihn relevanten Mitgliedstaat in seinem letzten Nationalen Treibhausgasinventar an das Sekretariat der Klim</w:t>
      </w:r>
      <w:r>
        <w:rPr>
          <w:rFonts w:cs="Arial"/>
          <w:szCs w:val="17"/>
        </w:rPr>
        <w:t>a</w:t>
      </w:r>
      <w:r>
        <w:rPr>
          <w:rFonts w:cs="Arial"/>
          <w:szCs w:val="17"/>
        </w:rPr>
        <w:t>rahmenkonvention der Vereinten Nationen übermittelt wurde.</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Der für die einzelnen Brennstoffchargen repräsentative spezifische Heizwert wird vom Betreiber, einem beauftragten Labor oder dem Brennstofflieferanten in Einklang mit den Vorgaben von Abschnitt 10 des Anhangs I gemessen.</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Für jeden Brennstoff werden Referenzfaktoren gemäß Abschnitt 8 des Anhangs I verwendet.</w:t>
      </w:r>
    </w:p>
    <w:p>
      <w:pPr>
        <w:pStyle w:val="GesAbsatz"/>
        <w:jc w:val="both"/>
        <w:rPr>
          <w:rFonts w:cs="Arial"/>
          <w:szCs w:val="17"/>
        </w:rPr>
      </w:pPr>
      <w:r>
        <w:rPr>
          <w:rFonts w:cs="Arial"/>
          <w:szCs w:val="17"/>
        </w:rPr>
        <w:t>Ebene 2a:</w:t>
      </w:r>
    </w:p>
    <w:p>
      <w:pPr>
        <w:pStyle w:val="GesAbsatz"/>
        <w:jc w:val="both"/>
        <w:rPr>
          <w:rFonts w:cs="Arial"/>
          <w:szCs w:val="17"/>
        </w:rPr>
      </w:pPr>
      <w:r>
        <w:rPr>
          <w:rFonts w:cs="Arial"/>
          <w:szCs w:val="17"/>
        </w:rPr>
        <w:lastRenderedPageBreak/>
        <w:t>Der Betreiber legt für jeden Brennstoff einen länderspezifischen Heizwert zugrunde, wie er von dem für ihn relevanten Mitgliedstaat in seinem letzten Nationalen Treibhausgasinventar an das Sekretariat der Klim</w:t>
      </w:r>
      <w:r>
        <w:rPr>
          <w:rFonts w:cs="Arial"/>
          <w:szCs w:val="17"/>
        </w:rPr>
        <w:t>a</w:t>
      </w:r>
      <w:r>
        <w:rPr>
          <w:rFonts w:cs="Arial"/>
          <w:szCs w:val="17"/>
        </w:rPr>
        <w:t>rahmenkonvention der Vereinten Nationen übermittelt wurde.</w:t>
      </w:r>
    </w:p>
    <w:p>
      <w:pPr>
        <w:pStyle w:val="GesAbsatz"/>
        <w:jc w:val="both"/>
        <w:rPr>
          <w:rFonts w:cs="Arial"/>
          <w:szCs w:val="17"/>
        </w:rPr>
      </w:pPr>
      <w:r>
        <w:rPr>
          <w:rFonts w:cs="Arial"/>
          <w:szCs w:val="17"/>
        </w:rPr>
        <w:t>Ebene 2b:</w:t>
      </w:r>
    </w:p>
    <w:p>
      <w:pPr>
        <w:pStyle w:val="GesAbsatz"/>
        <w:jc w:val="both"/>
        <w:rPr>
          <w:rFonts w:cs="Arial"/>
          <w:szCs w:val="17"/>
        </w:rPr>
      </w:pPr>
      <w:r>
        <w:rPr>
          <w:rFonts w:cs="Arial"/>
          <w:szCs w:val="17"/>
        </w:rPr>
        <w:t>Der Betreiber leitet die Emissionsfaktoren für jede Brennstoffcharge anhand eines der folgenden etablie</w:t>
      </w:r>
      <w:r>
        <w:rPr>
          <w:rFonts w:cs="Arial"/>
          <w:szCs w:val="17"/>
        </w:rPr>
        <w:t>r</w:t>
      </w:r>
      <w:r>
        <w:rPr>
          <w:rFonts w:cs="Arial"/>
          <w:szCs w:val="17"/>
        </w:rPr>
        <w:t>ten Proxywerte ab:</w:t>
      </w:r>
    </w:p>
    <w:p>
      <w:pPr>
        <w:pStyle w:val="GesAbsatz"/>
        <w:ind w:left="426" w:hanging="426"/>
        <w:jc w:val="both"/>
        <w:rPr>
          <w:rFonts w:cs="Arial"/>
          <w:szCs w:val="17"/>
        </w:rPr>
      </w:pPr>
      <w:r>
        <w:rPr>
          <w:rFonts w:cs="Arial"/>
          <w:szCs w:val="17"/>
        </w:rPr>
        <w:t>1)</w:t>
      </w:r>
      <w:r>
        <w:rPr>
          <w:rFonts w:cs="Arial"/>
          <w:szCs w:val="17"/>
        </w:rPr>
        <w:tab/>
        <w:t>einer Dichtemessung von spezifischen Ölen oder Gasen, die z. B. üblicherweise in Raffinerien oder in der Stahlindustrie eingesetzt werden, und</w:t>
      </w:r>
    </w:p>
    <w:p>
      <w:pPr>
        <w:pStyle w:val="GesAbsatz"/>
        <w:jc w:val="both"/>
        <w:rPr>
          <w:rFonts w:cs="Arial"/>
          <w:szCs w:val="17"/>
        </w:rPr>
      </w:pPr>
      <w:r>
        <w:rPr>
          <w:rFonts w:cs="Arial"/>
          <w:szCs w:val="17"/>
        </w:rPr>
        <w:t>2)</w:t>
      </w:r>
      <w:r>
        <w:rPr>
          <w:rFonts w:cs="Arial"/>
          <w:szCs w:val="17"/>
        </w:rPr>
        <w:tab/>
        <w:t>dem spezifischen Heizwert bestimmter Kohlearten,</w:t>
      </w:r>
    </w:p>
    <w:p>
      <w:pPr>
        <w:pStyle w:val="GesAbsatz"/>
        <w:jc w:val="both"/>
        <w:rPr>
          <w:rFonts w:cs="Arial"/>
          <w:szCs w:val="17"/>
        </w:rPr>
      </w:pPr>
      <w:r>
        <w:rPr>
          <w:rFonts w:cs="Arial"/>
          <w:szCs w:val="17"/>
        </w:rPr>
        <w:t>in Kombination mit einer empirischen Korrelation, die entsprechend der Bestimmungen von Abschnitt 10 des Anhangs I von einem externen Labor ermittelt wurde. Der Betreiber stellt sicher, dass die Korrelation den Anforderungen der guten Ingenieurpraxis entspricht und dass sie nur auf Proxywerte angewandt wird, für die sie ermittelt wurde.</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Die für die in Frage stehende Charge repräsentativen tätigkeitsspezifischen Emissionsfaktoren werden vom Betreiber, einem externen Labor oder vom Brennstofflieferanten in Einklang mit den Vorgaben von Abschnitt 10 des Anhangs I ermittelt.</w:t>
      </w:r>
    </w:p>
    <w:p>
      <w:pPr>
        <w:pStyle w:val="GesAbsatz"/>
        <w:jc w:val="both"/>
        <w:rPr>
          <w:rFonts w:cs="Arial"/>
          <w:szCs w:val="17"/>
          <w:u w:val="single"/>
        </w:rPr>
      </w:pPr>
      <w:r>
        <w:rPr>
          <w:rFonts w:cs="Arial"/>
          <w:szCs w:val="17"/>
          <w:u w:val="single"/>
        </w:rPr>
        <w:t>c) Oxidationsfaktor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Bei allen festen Brennstoffen wird eine Referenzoxidation/ein Referenzwert von 0,99 (das entspricht e</w:t>
      </w:r>
      <w:r>
        <w:rPr>
          <w:rFonts w:cs="Arial"/>
          <w:szCs w:val="17"/>
        </w:rPr>
        <w:t>i</w:t>
      </w:r>
      <w:r>
        <w:rPr>
          <w:rFonts w:cs="Arial"/>
          <w:szCs w:val="17"/>
        </w:rPr>
        <w:t>ner Umwandlung von Kohlenstoff zu CO</w:t>
      </w:r>
      <w:r>
        <w:rPr>
          <w:rFonts w:cs="Arial"/>
          <w:szCs w:val="10"/>
          <w:vertAlign w:val="subscript"/>
        </w:rPr>
        <w:t>2</w:t>
      </w:r>
      <w:r>
        <w:rPr>
          <w:rFonts w:cs="Arial"/>
          <w:szCs w:val="10"/>
        </w:rPr>
        <w:t xml:space="preserve"> </w:t>
      </w:r>
      <w:r>
        <w:rPr>
          <w:rFonts w:cs="Arial"/>
          <w:szCs w:val="17"/>
        </w:rPr>
        <w:t>von 99 %) zugrunde gelegt; für alle anderen Brennstoffe liegt di</w:t>
      </w:r>
      <w:r>
        <w:rPr>
          <w:rFonts w:cs="Arial"/>
          <w:szCs w:val="17"/>
        </w:rPr>
        <w:t>e</w:t>
      </w:r>
      <w:r>
        <w:rPr>
          <w:rFonts w:cs="Arial"/>
          <w:szCs w:val="17"/>
        </w:rPr>
        <w:t>ser Wert bei 0,995.</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Bei festen Brennstoffen werden die tätigkeitsspezifischen Emissionsfaktoren vom Betreiber anhand des Kohlenstoffgehalts der Asche, der Abwässer und sonstiger Abfälle oder Nebenprodukte sowie anhand anderer Emissionen nicht vollständig oxidierten Kohlenstoffs entsprechend den Vorgaben von A</w:t>
      </w:r>
      <w:r>
        <w:rPr>
          <w:rFonts w:cs="Arial"/>
          <w:szCs w:val="17"/>
        </w:rPr>
        <w:t>b</w:t>
      </w:r>
      <w:r>
        <w:rPr>
          <w:rFonts w:cs="Arial"/>
          <w:szCs w:val="17"/>
        </w:rPr>
        <w:t>schnitt 10 des Anhangs I abgeleitet.</w:t>
      </w:r>
    </w:p>
    <w:p>
      <w:pPr>
        <w:pStyle w:val="GesAbsatz"/>
        <w:jc w:val="both"/>
        <w:rPr>
          <w:rFonts w:cs="Arial"/>
          <w:szCs w:val="17"/>
        </w:rPr>
      </w:pPr>
      <w:r>
        <w:rPr>
          <w:rFonts w:cs="Arial"/>
          <w:szCs w:val="17"/>
        </w:rPr>
        <w:t>2.1.1.2. Fackeln</w:t>
      </w:r>
    </w:p>
    <w:p>
      <w:pPr>
        <w:pStyle w:val="GesAbsatz"/>
        <w:jc w:val="both"/>
        <w:rPr>
          <w:rFonts w:cs="Arial"/>
          <w:szCs w:val="17"/>
        </w:rPr>
      </w:pPr>
      <w:r>
        <w:rPr>
          <w:rFonts w:cs="Arial"/>
          <w:szCs w:val="17"/>
        </w:rPr>
        <w:t>Zu den Emissionen durch das Abfackeln von Gasen zählen das routinemäßige Abfackeln und das b</w:t>
      </w:r>
      <w:r>
        <w:rPr>
          <w:rFonts w:cs="Arial"/>
          <w:szCs w:val="17"/>
        </w:rPr>
        <w:t>e</w:t>
      </w:r>
      <w:r>
        <w:rPr>
          <w:rFonts w:cs="Arial"/>
          <w:szCs w:val="17"/>
        </w:rPr>
        <w:t>triebsbedingte Abfackeln (Anfahren, Stillsetzen und Notbetrieb).</w:t>
      </w:r>
    </w:p>
    <w:p>
      <w:pPr>
        <w:pStyle w:val="GesAbsatz"/>
        <w:jc w:val="both"/>
        <w:rPr>
          <w:rFonts w:cs="Arial"/>
          <w:szCs w:val="17"/>
        </w:rPr>
      </w:pPr>
      <w:r>
        <w:rPr>
          <w:rFonts w:cs="Arial"/>
          <w:szCs w:val="17"/>
        </w:rPr>
        <w:t>Die CO</w:t>
      </w:r>
      <w:r>
        <w:rPr>
          <w:rFonts w:cs="Arial"/>
          <w:szCs w:val="10"/>
          <w:vertAlign w:val="subscript"/>
        </w:rPr>
        <w:t>2</w:t>
      </w:r>
      <w:r>
        <w:rPr>
          <w:rFonts w:cs="Arial"/>
          <w:szCs w:val="17"/>
        </w:rPr>
        <w:t>-Emissionen werden anhand der Menge abgefackelter Gase [m</w:t>
      </w:r>
      <w:r>
        <w:rPr>
          <w:rFonts w:cs="Arial"/>
          <w:szCs w:val="10"/>
          <w:vertAlign w:val="superscript"/>
        </w:rPr>
        <w:t>3</w:t>
      </w:r>
      <w:r>
        <w:rPr>
          <w:rFonts w:cs="Arial"/>
          <w:szCs w:val="17"/>
        </w:rPr>
        <w:t>] und dem Kohlenstoffgehalt der abgefackelte Gase [t CO</w:t>
      </w:r>
      <w:r>
        <w:rPr>
          <w:rFonts w:cs="Arial"/>
          <w:szCs w:val="10"/>
          <w:vertAlign w:val="subscript"/>
        </w:rPr>
        <w:t>2</w:t>
      </w:r>
      <w:r>
        <w:rPr>
          <w:rFonts w:cs="Arial"/>
          <w:szCs w:val="17"/>
        </w:rPr>
        <w:t>/m</w:t>
      </w:r>
      <w:r>
        <w:rPr>
          <w:rFonts w:cs="Arial"/>
          <w:szCs w:val="10"/>
          <w:vertAlign w:val="superscript"/>
        </w:rPr>
        <w:t>3</w:t>
      </w:r>
      <w:r>
        <w:rPr>
          <w:rFonts w:cs="Arial"/>
          <w:szCs w:val="17"/>
        </w:rPr>
        <w:t>] (einschließlich anorganischem Kohlenstoff) berechnet.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Tätigkeitsdaten × Emissionsfaktor × Oxidationsfaktor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Menge der im Berichtszeitraum eingesetzten Fackelgase [m</w:t>
      </w:r>
      <w:r>
        <w:rPr>
          <w:rFonts w:cs="Arial"/>
          <w:szCs w:val="10"/>
          <w:vertAlign w:val="superscript"/>
        </w:rPr>
        <w:t>3</w:t>
      </w:r>
      <w:r>
        <w:rPr>
          <w:rFonts w:cs="Arial"/>
          <w:szCs w:val="17"/>
        </w:rPr>
        <w:t>], abgeleitet anhand einer Volumenmessung mit einem maximal zulässigen Unsicherheitsfaktor von weniger als ± 12,5 % je Messvorgang.</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Menge der im Berichtszeitraum eingesetzten Fackelgase [m</w:t>
      </w:r>
      <w:r>
        <w:rPr>
          <w:rFonts w:cs="Arial"/>
          <w:szCs w:val="10"/>
          <w:vertAlign w:val="superscript"/>
        </w:rPr>
        <w:t>3</w:t>
      </w:r>
      <w:r>
        <w:rPr>
          <w:rFonts w:cs="Arial"/>
          <w:szCs w:val="17"/>
        </w:rPr>
        <w:t>], abgeleitet anhand einer Volumenmessung mit einem maximal zulässigen Unsicherheitsfaktor von weniger als ± 7,5 % je Messvorgang.</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Menge der im Berichtszeitraum eingesetzten Fackelgase [m</w:t>
      </w:r>
      <w:r>
        <w:rPr>
          <w:rFonts w:cs="Arial"/>
          <w:szCs w:val="10"/>
          <w:vertAlign w:val="superscript"/>
        </w:rPr>
        <w:t>3</w:t>
      </w:r>
      <w:r>
        <w:rPr>
          <w:rFonts w:cs="Arial"/>
          <w:szCs w:val="17"/>
        </w:rPr>
        <w:t>], abgeleitet anhand einer Volumenmessung mit einem maximal zulässigen Unsicherheitsfaktor von weniger als ± 2,5 % je Messvorgang.</w:t>
      </w:r>
    </w:p>
    <w:p>
      <w:pPr>
        <w:pStyle w:val="GesAbsatz"/>
        <w:jc w:val="both"/>
        <w:rPr>
          <w:rFonts w:cs="Arial"/>
          <w:szCs w:val="17"/>
          <w:u w:val="single"/>
        </w:rPr>
      </w:pPr>
      <w:r>
        <w:rPr>
          <w:rFonts w:cs="Arial"/>
          <w:szCs w:val="17"/>
          <w:u w:val="single"/>
        </w:rPr>
        <w:lastRenderedPageBreak/>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Verwendung eines Referenzemissionsfaktors von 0,00785 t CO</w:t>
      </w:r>
      <w:r>
        <w:rPr>
          <w:rFonts w:cs="Arial"/>
          <w:szCs w:val="10"/>
          <w:vertAlign w:val="subscript"/>
        </w:rPr>
        <w:t>2</w:t>
      </w:r>
      <w:r>
        <w:rPr>
          <w:rFonts w:cs="Arial"/>
          <w:szCs w:val="17"/>
        </w:rPr>
        <w:t>/m</w:t>
      </w:r>
      <w:r>
        <w:rPr>
          <w:rFonts w:cs="Arial"/>
          <w:szCs w:val="10"/>
          <w:vertAlign w:val="superscript"/>
        </w:rPr>
        <w:t>3</w:t>
      </w:r>
      <w:r>
        <w:rPr>
          <w:rFonts w:cs="Arial"/>
          <w:szCs w:val="10"/>
        </w:rPr>
        <w:t xml:space="preserve"> </w:t>
      </w:r>
      <w:r>
        <w:rPr>
          <w:rFonts w:cs="Arial"/>
          <w:szCs w:val="17"/>
        </w:rPr>
        <w:t>(zu Standardbedingungen), abgele</w:t>
      </w:r>
      <w:r>
        <w:rPr>
          <w:rFonts w:cs="Arial"/>
          <w:szCs w:val="17"/>
        </w:rPr>
        <w:t>i</w:t>
      </w:r>
      <w:r>
        <w:rPr>
          <w:rFonts w:cs="Arial"/>
          <w:szCs w:val="17"/>
        </w:rPr>
        <w:t>tet anhand der Verbrennung von reinem Butan als konservativem Proxywert für Fackelgase.</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Emissionsfaktor [t CO</w:t>
      </w:r>
      <w:r>
        <w:rPr>
          <w:rFonts w:cs="Arial"/>
          <w:szCs w:val="10"/>
          <w:vertAlign w:val="subscript"/>
        </w:rPr>
        <w:t>2</w:t>
      </w:r>
      <w:r>
        <w:rPr>
          <w:rFonts w:cs="Arial"/>
          <w:szCs w:val="17"/>
        </w:rPr>
        <w:t>/m</w:t>
      </w:r>
      <w:r>
        <w:rPr>
          <w:rFonts w:cs="Arial"/>
          <w:szCs w:val="10"/>
          <w:vertAlign w:val="superscript"/>
        </w:rPr>
        <w:t>3</w:t>
      </w:r>
      <w:r>
        <w:rPr>
          <w:rFonts w:cs="Arial"/>
          <w:szCs w:val="10"/>
          <w:vertAlign w:val="subscript"/>
        </w:rPr>
        <w:t>Fackelgas</w:t>
      </w:r>
      <w:r>
        <w:rPr>
          <w:rFonts w:cs="Arial"/>
          <w:szCs w:val="17"/>
        </w:rPr>
        <w:t>] berechnet anhand des Kohlenstoffgehalts des abgefackelten Gases in Einklang mit den Vorgaben von Abschnitt 10 des Anhangs I.</w:t>
      </w:r>
    </w:p>
    <w:p>
      <w:pPr>
        <w:pStyle w:val="GesAbsatz"/>
        <w:jc w:val="both"/>
        <w:rPr>
          <w:rFonts w:cs="Arial"/>
          <w:szCs w:val="17"/>
          <w:u w:val="single"/>
        </w:rPr>
      </w:pPr>
      <w:r>
        <w:rPr>
          <w:rFonts w:cs="Arial"/>
          <w:szCs w:val="17"/>
          <w:u w:val="single"/>
        </w:rPr>
        <w:t>c) Oxidationsfaktor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Oxidationsfaktor: 0,995.</w:t>
      </w:r>
    </w:p>
    <w:p>
      <w:pPr>
        <w:pStyle w:val="GesAbsatz"/>
        <w:jc w:val="both"/>
        <w:rPr>
          <w:rFonts w:cs="Arial"/>
          <w:i/>
          <w:iCs/>
          <w:szCs w:val="17"/>
        </w:rPr>
      </w:pPr>
      <w:r>
        <w:rPr>
          <w:rFonts w:cs="Arial"/>
          <w:szCs w:val="17"/>
        </w:rPr>
        <w:t xml:space="preserve">2.1.2. </w:t>
      </w:r>
      <w:r>
        <w:rPr>
          <w:rFonts w:cs="Arial"/>
          <w:i/>
          <w:iCs/>
          <w:szCs w:val="17"/>
        </w:rPr>
        <w:t>Prozessemissionen</w:t>
      </w:r>
    </w:p>
    <w:p>
      <w:pPr>
        <w:pStyle w:val="GesAbsatz"/>
        <w:jc w:val="both"/>
        <w:rPr>
          <w:rFonts w:cs="Arial"/>
          <w:szCs w:val="17"/>
        </w:rPr>
      </w:pPr>
      <w:r>
        <w:rPr>
          <w:rFonts w:cs="Arial"/>
          <w:szCs w:val="17"/>
        </w:rPr>
        <w:t>CO</w:t>
      </w:r>
      <w:r>
        <w:rPr>
          <w:rFonts w:cs="Arial"/>
          <w:szCs w:val="10"/>
          <w:vertAlign w:val="subscript"/>
        </w:rPr>
        <w:t>2</w:t>
      </w:r>
      <w:r>
        <w:rPr>
          <w:rFonts w:cs="Arial"/>
          <w:szCs w:val="17"/>
        </w:rPr>
        <w:t>-Emissionen aus Industrieprozessen aus dem Einsatz von Karbonat für die SO</w:t>
      </w:r>
      <w:r>
        <w:rPr>
          <w:rFonts w:cs="Arial"/>
          <w:szCs w:val="10"/>
          <w:vertAlign w:val="subscript"/>
        </w:rPr>
        <w:t>2</w:t>
      </w:r>
      <w:r>
        <w:rPr>
          <w:rFonts w:cs="Arial"/>
          <w:szCs w:val="17"/>
        </w:rPr>
        <w:t>-Wäsche aus dem Abgasstrom werden anhand des gekauften Karbonats (Berechnungsmethode Ebene 1a) oder des erzeu</w:t>
      </w:r>
      <w:r>
        <w:rPr>
          <w:rFonts w:cs="Arial"/>
          <w:szCs w:val="17"/>
        </w:rPr>
        <w:t>g</w:t>
      </w:r>
      <w:r>
        <w:rPr>
          <w:rFonts w:cs="Arial"/>
          <w:szCs w:val="17"/>
        </w:rPr>
        <w:t>ten Gipses (Berechnungsmethode Ebene 1b) berechnet. Die beiden Berechnungsmethoden sind äquiv</w:t>
      </w:r>
      <w:r>
        <w:rPr>
          <w:rFonts w:cs="Arial"/>
          <w:szCs w:val="17"/>
        </w:rPr>
        <w:t>a</w:t>
      </w:r>
      <w:r>
        <w:rPr>
          <w:rFonts w:cs="Arial"/>
          <w:szCs w:val="17"/>
        </w:rPr>
        <w:t>lent. Die Berechnung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 Tätigkeitsdaten × Emissionsfaktor × Umsetzungsfaktor</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Berechnungsmethode A „Karbonate“</w:t>
      </w:r>
    </w:p>
    <w:p>
      <w:pPr>
        <w:pStyle w:val="GesAbsatz"/>
        <w:jc w:val="both"/>
        <w:rPr>
          <w:rFonts w:cs="Arial"/>
          <w:szCs w:val="17"/>
        </w:rPr>
      </w:pPr>
      <w:r>
        <w:rPr>
          <w:rFonts w:cs="Arial"/>
          <w:szCs w:val="17"/>
        </w:rPr>
        <w:t>Die Berechnung der Emissionen beruht auf der Menge des eingesetzten Karbonats:</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[t] Trockenkarbonat, das pro Jahr im Prozess eingesetzt wird, gemessen vom Betreiber oder Lieferanten mit einem maximal zulässigen Unsicherheitsfaktor von weniger als ± 7,5 % je Messvorgang.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stöchiometrischen Verhältnisse der CaCO</w:t>
      </w:r>
      <w:r>
        <w:rPr>
          <w:rFonts w:cs="Arial"/>
          <w:szCs w:val="10"/>
          <w:vertAlign w:val="subscript"/>
        </w:rPr>
        <w:t>3</w:t>
      </w:r>
      <w:r>
        <w:rPr>
          <w:rFonts w:cs="Arial"/>
          <w:szCs w:val="17"/>
        </w:rPr>
        <w:t>-Umwandlung [t CO</w:t>
      </w:r>
      <w:r>
        <w:rPr>
          <w:rFonts w:cs="Arial"/>
          <w:szCs w:val="10"/>
          <w:vertAlign w:val="subscript"/>
        </w:rPr>
        <w:t>2</w:t>
      </w:r>
      <w:r>
        <w:rPr>
          <w:rFonts w:cs="Arial"/>
          <w:szCs w:val="17"/>
        </w:rPr>
        <w:t>/t Trockenkarbonat] sind entspr</w:t>
      </w:r>
      <w:r>
        <w:rPr>
          <w:rFonts w:cs="Arial"/>
          <w:szCs w:val="17"/>
        </w:rPr>
        <w:t>e</w:t>
      </w:r>
      <w:r>
        <w:rPr>
          <w:rFonts w:cs="Arial"/>
          <w:szCs w:val="17"/>
        </w:rPr>
        <w:t>chend Tabelle 1 anzuwenden. Dieser Wert wird um den jeweiligen Feuchte- und Gangart-Gehalt des einsetzten Karbonats bereinigt.</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1"/>
        <w:gridCol w:w="3206"/>
        <w:gridCol w:w="4437"/>
      </w:tblGrid>
      <w:tr>
        <w:tblPrEx>
          <w:tblCellMar>
            <w:top w:w="0" w:type="dxa"/>
            <w:bottom w:w="0" w:type="dxa"/>
          </w:tblCellMar>
        </w:tblPrEx>
        <w:trPr>
          <w:tblHeader/>
        </w:trPr>
        <w:tc>
          <w:tcPr>
            <w:tcW w:w="1771" w:type="dxa"/>
          </w:tcPr>
          <w:p>
            <w:pPr>
              <w:pStyle w:val="GesAbsatz"/>
              <w:rPr>
                <w:rFonts w:cs="Arial"/>
                <w:sz w:val="18"/>
                <w:szCs w:val="15"/>
              </w:rPr>
            </w:pPr>
            <w:r>
              <w:rPr>
                <w:rFonts w:cs="Arial"/>
                <w:sz w:val="18"/>
                <w:szCs w:val="15"/>
              </w:rPr>
              <w:t>Oxid</w:t>
            </w:r>
          </w:p>
        </w:tc>
        <w:tc>
          <w:tcPr>
            <w:tcW w:w="3261" w:type="dxa"/>
          </w:tcPr>
          <w:p>
            <w:pPr>
              <w:pStyle w:val="GesAbsatz"/>
              <w:rPr>
                <w:rFonts w:cs="Arial"/>
                <w:sz w:val="18"/>
                <w:szCs w:val="15"/>
              </w:rPr>
            </w:pPr>
            <w:r>
              <w:rPr>
                <w:rFonts w:cs="Arial"/>
                <w:sz w:val="18"/>
                <w:szCs w:val="15"/>
              </w:rPr>
              <w:t>Emissionsfaktor [t CO</w:t>
            </w:r>
            <w:r>
              <w:rPr>
                <w:rFonts w:cs="Arial"/>
                <w:sz w:val="18"/>
                <w:szCs w:val="8"/>
                <w:vertAlign w:val="subscript"/>
              </w:rPr>
              <w:t>2</w:t>
            </w:r>
            <w:r>
              <w:rPr>
                <w:rFonts w:cs="Arial"/>
                <w:sz w:val="18"/>
                <w:szCs w:val="15"/>
              </w:rPr>
              <w:t>/t Ca-, Mg- oder anderes Karbonat]</w:t>
            </w:r>
          </w:p>
        </w:tc>
        <w:tc>
          <w:tcPr>
            <w:tcW w:w="4512" w:type="dxa"/>
          </w:tcPr>
          <w:p>
            <w:pPr>
              <w:pStyle w:val="GesAbsatz"/>
              <w:tabs>
                <w:tab w:val="clear" w:pos="425"/>
                <w:tab w:val="left" w:pos="780"/>
              </w:tabs>
              <w:rPr>
                <w:rFonts w:cs="Arial"/>
                <w:sz w:val="18"/>
                <w:szCs w:val="15"/>
              </w:rPr>
            </w:pPr>
            <w:r>
              <w:rPr>
                <w:rFonts w:cs="Arial"/>
                <w:sz w:val="18"/>
                <w:szCs w:val="15"/>
              </w:rPr>
              <w:t>Bemerkungen</w:t>
            </w:r>
          </w:p>
        </w:tc>
      </w:tr>
      <w:tr>
        <w:tblPrEx>
          <w:tblCellMar>
            <w:top w:w="0" w:type="dxa"/>
            <w:bottom w:w="0" w:type="dxa"/>
          </w:tblCellMar>
        </w:tblPrEx>
        <w:tc>
          <w:tcPr>
            <w:tcW w:w="1771" w:type="dxa"/>
          </w:tcPr>
          <w:p>
            <w:pPr>
              <w:pStyle w:val="GesAbsatz"/>
              <w:rPr>
                <w:rFonts w:cs="Arial"/>
                <w:sz w:val="18"/>
                <w:szCs w:val="15"/>
              </w:rPr>
            </w:pPr>
            <w:r>
              <w:rPr>
                <w:rFonts w:cs="Arial"/>
                <w:sz w:val="18"/>
                <w:szCs w:val="17"/>
              </w:rPr>
              <w:t>CaCO</w:t>
            </w:r>
            <w:r>
              <w:rPr>
                <w:rFonts w:cs="Arial"/>
                <w:sz w:val="18"/>
                <w:szCs w:val="10"/>
                <w:vertAlign w:val="subscript"/>
              </w:rPr>
              <w:t>3</w:t>
            </w:r>
          </w:p>
        </w:tc>
        <w:tc>
          <w:tcPr>
            <w:tcW w:w="3261" w:type="dxa"/>
          </w:tcPr>
          <w:p>
            <w:pPr>
              <w:pStyle w:val="GesAbsatz"/>
              <w:rPr>
                <w:rFonts w:cs="Arial"/>
                <w:sz w:val="18"/>
                <w:szCs w:val="15"/>
              </w:rPr>
            </w:pPr>
            <w:r>
              <w:rPr>
                <w:rFonts w:cs="Arial"/>
                <w:sz w:val="18"/>
                <w:szCs w:val="17"/>
              </w:rPr>
              <w:t>0,440</w:t>
            </w:r>
          </w:p>
        </w:tc>
        <w:tc>
          <w:tcPr>
            <w:tcW w:w="4512" w:type="dxa"/>
          </w:tcPr>
          <w:p>
            <w:pPr>
              <w:pStyle w:val="GesAbsatz"/>
              <w:tabs>
                <w:tab w:val="clear" w:pos="425"/>
                <w:tab w:val="left" w:pos="780"/>
              </w:tabs>
              <w:rPr>
                <w:rFonts w:cs="Arial"/>
                <w:sz w:val="18"/>
                <w:szCs w:val="15"/>
              </w:rPr>
            </w:pPr>
          </w:p>
        </w:tc>
      </w:tr>
      <w:tr>
        <w:tblPrEx>
          <w:tblCellMar>
            <w:top w:w="0" w:type="dxa"/>
            <w:bottom w:w="0" w:type="dxa"/>
          </w:tblCellMar>
        </w:tblPrEx>
        <w:tc>
          <w:tcPr>
            <w:tcW w:w="1771" w:type="dxa"/>
          </w:tcPr>
          <w:p>
            <w:pPr>
              <w:pStyle w:val="GesAbsatz"/>
              <w:rPr>
                <w:rFonts w:cs="Arial"/>
                <w:sz w:val="18"/>
                <w:szCs w:val="17"/>
              </w:rPr>
            </w:pPr>
            <w:r>
              <w:rPr>
                <w:rFonts w:cs="Arial"/>
                <w:sz w:val="18"/>
                <w:szCs w:val="17"/>
              </w:rPr>
              <w:t>MgCO</w:t>
            </w:r>
            <w:r>
              <w:rPr>
                <w:rFonts w:cs="Arial"/>
                <w:sz w:val="18"/>
                <w:szCs w:val="10"/>
                <w:vertAlign w:val="subscript"/>
              </w:rPr>
              <w:t>3</w:t>
            </w:r>
          </w:p>
        </w:tc>
        <w:tc>
          <w:tcPr>
            <w:tcW w:w="3261" w:type="dxa"/>
          </w:tcPr>
          <w:p>
            <w:pPr>
              <w:pStyle w:val="GesAbsatz"/>
              <w:rPr>
                <w:rFonts w:cs="Arial"/>
                <w:sz w:val="18"/>
                <w:szCs w:val="17"/>
              </w:rPr>
            </w:pPr>
            <w:r>
              <w:rPr>
                <w:rFonts w:cs="Arial"/>
                <w:sz w:val="18"/>
                <w:szCs w:val="17"/>
              </w:rPr>
              <w:t>0,522</w:t>
            </w:r>
          </w:p>
        </w:tc>
        <w:tc>
          <w:tcPr>
            <w:tcW w:w="4512" w:type="dxa"/>
          </w:tcPr>
          <w:p>
            <w:pPr>
              <w:pStyle w:val="GesAbsatz"/>
              <w:tabs>
                <w:tab w:val="clear" w:pos="425"/>
                <w:tab w:val="left" w:pos="780"/>
              </w:tabs>
              <w:rPr>
                <w:rFonts w:cs="Arial"/>
                <w:sz w:val="18"/>
                <w:szCs w:val="15"/>
              </w:rPr>
            </w:pPr>
          </w:p>
        </w:tc>
      </w:tr>
      <w:tr>
        <w:tblPrEx>
          <w:tblCellMar>
            <w:top w:w="0" w:type="dxa"/>
            <w:bottom w:w="0" w:type="dxa"/>
          </w:tblCellMar>
        </w:tblPrEx>
        <w:tc>
          <w:tcPr>
            <w:tcW w:w="1771" w:type="dxa"/>
          </w:tcPr>
          <w:p>
            <w:pPr>
              <w:pStyle w:val="GesAbsatz"/>
              <w:rPr>
                <w:rFonts w:cs="Arial"/>
                <w:sz w:val="18"/>
                <w:szCs w:val="17"/>
              </w:rPr>
            </w:pPr>
            <w:r>
              <w:rPr>
                <w:rFonts w:cs="Arial"/>
                <w:sz w:val="18"/>
                <w:szCs w:val="17"/>
              </w:rPr>
              <w:t>Allgemein:</w:t>
            </w:r>
            <w:r>
              <w:rPr>
                <w:rFonts w:cs="Arial"/>
                <w:sz w:val="18"/>
                <w:szCs w:val="17"/>
              </w:rPr>
              <w:br/>
              <w:t>X</w:t>
            </w:r>
            <w:r>
              <w:rPr>
                <w:rFonts w:cs="Arial"/>
                <w:sz w:val="18"/>
                <w:szCs w:val="10"/>
                <w:vertAlign w:val="subscript"/>
              </w:rPr>
              <w:t>y</w:t>
            </w:r>
            <w:r>
              <w:rPr>
                <w:rFonts w:cs="Arial"/>
                <w:sz w:val="18"/>
                <w:szCs w:val="17"/>
              </w:rPr>
              <w:t>(CO</w:t>
            </w:r>
            <w:r>
              <w:rPr>
                <w:rFonts w:cs="Arial"/>
                <w:sz w:val="18"/>
                <w:szCs w:val="10"/>
                <w:vertAlign w:val="subscript"/>
              </w:rPr>
              <w:t>3</w:t>
            </w:r>
            <w:r>
              <w:rPr>
                <w:rFonts w:cs="Arial"/>
                <w:sz w:val="18"/>
                <w:szCs w:val="17"/>
              </w:rPr>
              <w:t>)</w:t>
            </w:r>
            <w:r>
              <w:rPr>
                <w:rFonts w:cs="Arial"/>
                <w:sz w:val="18"/>
                <w:szCs w:val="10"/>
                <w:vertAlign w:val="subscript"/>
              </w:rPr>
              <w:t>z</w:t>
            </w:r>
          </w:p>
        </w:tc>
        <w:tc>
          <w:tcPr>
            <w:tcW w:w="3261" w:type="dxa"/>
          </w:tcPr>
          <w:p>
            <w:pPr>
              <w:pStyle w:val="GesAbsatz"/>
              <w:rPr>
                <w:rFonts w:cs="Arial"/>
                <w:sz w:val="18"/>
                <w:szCs w:val="17"/>
              </w:rPr>
            </w:pPr>
            <w:r>
              <w:rPr>
                <w:rFonts w:cs="Arial"/>
                <w:sz w:val="18"/>
                <w:szCs w:val="17"/>
              </w:rPr>
              <w:t>Emissionsfaktor = =</w:t>
            </w:r>
            <w:r>
              <w:rPr>
                <w:rFonts w:cs="Arial"/>
                <w:sz w:val="18"/>
                <w:szCs w:val="17"/>
              </w:rPr>
              <w:br/>
              <w:t>[M</w:t>
            </w:r>
            <w:r>
              <w:rPr>
                <w:rFonts w:cs="Arial"/>
                <w:sz w:val="18"/>
                <w:szCs w:val="10"/>
                <w:vertAlign w:val="subscript"/>
              </w:rPr>
              <w:t>CO2</w:t>
            </w:r>
            <w:r>
              <w:rPr>
                <w:rFonts w:cs="Arial"/>
                <w:sz w:val="18"/>
                <w:szCs w:val="17"/>
              </w:rPr>
              <w:t>] / {Y × [M</w:t>
            </w:r>
            <w:r>
              <w:rPr>
                <w:rFonts w:cs="Arial"/>
                <w:sz w:val="18"/>
                <w:szCs w:val="10"/>
                <w:vertAlign w:val="subscript"/>
              </w:rPr>
              <w:t>x</w:t>
            </w:r>
            <w:r>
              <w:rPr>
                <w:rFonts w:cs="Arial"/>
                <w:sz w:val="18"/>
                <w:szCs w:val="17"/>
              </w:rPr>
              <w:t>] + Z × [M</w:t>
            </w:r>
            <w:r>
              <w:rPr>
                <w:rFonts w:cs="Arial"/>
                <w:sz w:val="18"/>
                <w:szCs w:val="10"/>
                <w:vertAlign w:val="subscript"/>
              </w:rPr>
              <w:t>CO3</w:t>
            </w:r>
            <w:r>
              <w:rPr>
                <w:rFonts w:cs="Arial"/>
                <w:sz w:val="18"/>
                <w:szCs w:val="5"/>
                <w:vertAlign w:val="superscript"/>
              </w:rPr>
              <w:t>2-</w:t>
            </w:r>
            <w:r>
              <w:rPr>
                <w:rFonts w:cs="Arial"/>
                <w:sz w:val="18"/>
                <w:szCs w:val="17"/>
              </w:rPr>
              <w:t>]}</w:t>
            </w:r>
          </w:p>
        </w:tc>
        <w:tc>
          <w:tcPr>
            <w:tcW w:w="4512" w:type="dxa"/>
          </w:tcPr>
          <w:p>
            <w:pPr>
              <w:pStyle w:val="GesAbsatz"/>
              <w:tabs>
                <w:tab w:val="clear" w:pos="425"/>
                <w:tab w:val="left" w:pos="780"/>
              </w:tabs>
              <w:rPr>
                <w:rFonts w:cs="Arial"/>
                <w:sz w:val="18"/>
                <w:szCs w:val="17"/>
              </w:rPr>
            </w:pPr>
            <w:r>
              <w:rPr>
                <w:rFonts w:cs="Arial"/>
                <w:sz w:val="18"/>
                <w:szCs w:val="17"/>
              </w:rPr>
              <w:t>X</w:t>
            </w:r>
            <w:r>
              <w:rPr>
                <w:rFonts w:cs="Arial"/>
                <w:sz w:val="18"/>
                <w:szCs w:val="17"/>
              </w:rPr>
              <w:tab/>
              <w:t>= Erdalkali- oder Alkalimetall</w:t>
            </w:r>
          </w:p>
          <w:p>
            <w:pPr>
              <w:pStyle w:val="GesAbsatz"/>
              <w:tabs>
                <w:tab w:val="clear" w:pos="425"/>
                <w:tab w:val="left" w:pos="780"/>
              </w:tabs>
              <w:rPr>
                <w:rFonts w:cs="Arial"/>
                <w:sz w:val="18"/>
                <w:szCs w:val="17"/>
              </w:rPr>
            </w:pPr>
            <w:r>
              <w:rPr>
                <w:rFonts w:cs="Arial"/>
                <w:sz w:val="18"/>
                <w:szCs w:val="17"/>
              </w:rPr>
              <w:t>M</w:t>
            </w:r>
            <w:r>
              <w:rPr>
                <w:rFonts w:cs="Arial"/>
                <w:sz w:val="18"/>
                <w:szCs w:val="10"/>
                <w:vertAlign w:val="subscript"/>
              </w:rPr>
              <w:t>x</w:t>
            </w:r>
            <w:r>
              <w:rPr>
                <w:rFonts w:cs="Arial"/>
                <w:sz w:val="18"/>
                <w:szCs w:val="10"/>
                <w:vertAlign w:val="subscript"/>
              </w:rPr>
              <w:tab/>
            </w:r>
            <w:r>
              <w:rPr>
                <w:rFonts w:cs="Arial"/>
                <w:sz w:val="18"/>
                <w:szCs w:val="17"/>
              </w:rPr>
              <w:t>= Molekulargewicht von X in [g/mol]</w:t>
            </w:r>
          </w:p>
          <w:p>
            <w:pPr>
              <w:pStyle w:val="GesAbsatz"/>
              <w:tabs>
                <w:tab w:val="clear" w:pos="425"/>
                <w:tab w:val="left" w:pos="780"/>
              </w:tabs>
              <w:rPr>
                <w:rFonts w:cs="Arial"/>
                <w:sz w:val="18"/>
                <w:szCs w:val="17"/>
              </w:rPr>
            </w:pPr>
            <w:r>
              <w:rPr>
                <w:rFonts w:cs="Arial"/>
                <w:sz w:val="18"/>
                <w:szCs w:val="17"/>
              </w:rPr>
              <w:t>M</w:t>
            </w:r>
            <w:r>
              <w:rPr>
                <w:rFonts w:cs="Arial"/>
                <w:sz w:val="18"/>
                <w:szCs w:val="10"/>
                <w:vertAlign w:val="subscript"/>
              </w:rPr>
              <w:t>CO2</w:t>
            </w:r>
            <w:r>
              <w:rPr>
                <w:rFonts w:cs="Arial"/>
                <w:sz w:val="18"/>
                <w:szCs w:val="10"/>
                <w:vertAlign w:val="subscript"/>
              </w:rPr>
              <w:tab/>
            </w:r>
            <w:r>
              <w:rPr>
                <w:rFonts w:cs="Arial"/>
                <w:sz w:val="18"/>
                <w:szCs w:val="17"/>
              </w:rPr>
              <w:t>= Molekulargewicht von CO</w:t>
            </w:r>
            <w:r>
              <w:rPr>
                <w:rFonts w:cs="Arial"/>
                <w:sz w:val="18"/>
                <w:szCs w:val="10"/>
                <w:vertAlign w:val="subscript"/>
              </w:rPr>
              <w:t>2</w:t>
            </w:r>
            <w:r>
              <w:rPr>
                <w:rFonts w:cs="Arial"/>
                <w:sz w:val="18"/>
                <w:szCs w:val="10"/>
              </w:rPr>
              <w:t xml:space="preserve"> </w:t>
            </w:r>
            <w:r>
              <w:rPr>
                <w:rFonts w:cs="Arial"/>
                <w:sz w:val="18"/>
                <w:szCs w:val="17"/>
              </w:rPr>
              <w:t>= 44 [g/mol]</w:t>
            </w:r>
          </w:p>
          <w:p>
            <w:pPr>
              <w:pStyle w:val="GesAbsatz"/>
              <w:tabs>
                <w:tab w:val="clear" w:pos="425"/>
                <w:tab w:val="left" w:pos="780"/>
              </w:tabs>
              <w:rPr>
                <w:rFonts w:cs="Arial"/>
                <w:sz w:val="18"/>
                <w:szCs w:val="17"/>
              </w:rPr>
            </w:pPr>
            <w:r>
              <w:rPr>
                <w:rFonts w:cs="Arial"/>
                <w:sz w:val="18"/>
                <w:szCs w:val="17"/>
              </w:rPr>
              <w:t>M</w:t>
            </w:r>
            <w:r>
              <w:rPr>
                <w:rFonts w:cs="Arial"/>
                <w:sz w:val="18"/>
                <w:szCs w:val="10"/>
                <w:vertAlign w:val="subscript"/>
              </w:rPr>
              <w:t>CO3</w:t>
            </w:r>
            <w:r>
              <w:rPr>
                <w:rFonts w:cs="Arial"/>
                <w:sz w:val="18"/>
                <w:szCs w:val="10"/>
              </w:rPr>
              <w:t>-</w:t>
            </w:r>
            <w:r>
              <w:rPr>
                <w:rFonts w:cs="Arial"/>
                <w:sz w:val="18"/>
                <w:szCs w:val="10"/>
              </w:rPr>
              <w:tab/>
            </w:r>
            <w:r>
              <w:rPr>
                <w:rFonts w:cs="Arial"/>
                <w:sz w:val="18"/>
                <w:szCs w:val="17"/>
              </w:rPr>
              <w:t>= Molekulargewicht von CO</w:t>
            </w:r>
            <w:r>
              <w:rPr>
                <w:rFonts w:cs="Arial"/>
                <w:sz w:val="18"/>
                <w:szCs w:val="10"/>
                <w:vertAlign w:val="subscript"/>
              </w:rPr>
              <w:t>3</w:t>
            </w:r>
            <w:r>
              <w:rPr>
                <w:rFonts w:cs="Arial"/>
                <w:sz w:val="18"/>
                <w:szCs w:val="10"/>
                <w:vertAlign w:val="superscript"/>
              </w:rPr>
              <w:t>2-</w:t>
            </w:r>
            <w:r>
              <w:rPr>
                <w:rFonts w:cs="Arial"/>
                <w:sz w:val="18"/>
                <w:szCs w:val="10"/>
              </w:rPr>
              <w:t xml:space="preserve"> </w:t>
            </w:r>
            <w:r>
              <w:rPr>
                <w:rFonts w:cs="Arial"/>
                <w:sz w:val="18"/>
                <w:szCs w:val="17"/>
              </w:rPr>
              <w:t>= 60 [g/mol]</w:t>
            </w:r>
          </w:p>
          <w:p>
            <w:pPr>
              <w:pStyle w:val="GesAbsatz"/>
              <w:tabs>
                <w:tab w:val="clear" w:pos="425"/>
                <w:tab w:val="left" w:pos="780"/>
              </w:tabs>
              <w:rPr>
                <w:rFonts w:cs="Arial"/>
                <w:sz w:val="18"/>
                <w:szCs w:val="17"/>
              </w:rPr>
            </w:pPr>
            <w:r>
              <w:rPr>
                <w:rFonts w:cs="Arial"/>
                <w:sz w:val="18"/>
                <w:szCs w:val="17"/>
              </w:rPr>
              <w:t>Y =</w:t>
            </w:r>
            <w:r>
              <w:rPr>
                <w:rFonts w:cs="Arial"/>
                <w:sz w:val="18"/>
                <w:szCs w:val="17"/>
              </w:rPr>
              <w:tab/>
              <w:t>stöchiometrische Zahl von X</w:t>
            </w:r>
          </w:p>
          <w:p>
            <w:pPr>
              <w:pStyle w:val="GesAbsatz"/>
              <w:tabs>
                <w:tab w:val="clear" w:pos="425"/>
                <w:tab w:val="left" w:pos="780"/>
              </w:tabs>
              <w:rPr>
                <w:rFonts w:cs="Arial"/>
                <w:sz w:val="18"/>
                <w:szCs w:val="17"/>
              </w:rPr>
            </w:pPr>
            <w:r>
              <w:rPr>
                <w:rFonts w:cs="Arial"/>
                <w:sz w:val="18"/>
                <w:szCs w:val="17"/>
              </w:rPr>
              <w:tab/>
              <w:t>1 (für Erdalkalimetalle)</w:t>
            </w:r>
          </w:p>
          <w:p>
            <w:pPr>
              <w:pStyle w:val="GesAbsatz"/>
              <w:tabs>
                <w:tab w:val="clear" w:pos="425"/>
                <w:tab w:val="left" w:pos="780"/>
              </w:tabs>
              <w:rPr>
                <w:rFonts w:cs="Arial"/>
                <w:sz w:val="18"/>
                <w:szCs w:val="17"/>
              </w:rPr>
            </w:pPr>
            <w:r>
              <w:rPr>
                <w:rFonts w:cs="Arial"/>
                <w:sz w:val="18"/>
                <w:szCs w:val="17"/>
              </w:rPr>
              <w:tab/>
              <w:t>2 (für Alkalimetalle)</w:t>
            </w:r>
          </w:p>
          <w:p>
            <w:pPr>
              <w:pStyle w:val="GesAbsatz"/>
              <w:tabs>
                <w:tab w:val="clear" w:pos="425"/>
                <w:tab w:val="left" w:pos="780"/>
              </w:tabs>
              <w:rPr>
                <w:rFonts w:cs="Arial"/>
                <w:sz w:val="18"/>
                <w:szCs w:val="15"/>
              </w:rPr>
            </w:pPr>
            <w:r>
              <w:rPr>
                <w:rFonts w:cs="Arial"/>
                <w:sz w:val="18"/>
                <w:szCs w:val="17"/>
              </w:rPr>
              <w:lastRenderedPageBreak/>
              <w:t>Z</w:t>
            </w:r>
            <w:r>
              <w:rPr>
                <w:rFonts w:cs="Arial"/>
                <w:sz w:val="18"/>
                <w:szCs w:val="17"/>
              </w:rPr>
              <w:tab/>
              <w:t>= stöchiometrische Zahl von CO</w:t>
            </w:r>
            <w:r>
              <w:rPr>
                <w:rFonts w:cs="Arial"/>
                <w:sz w:val="18"/>
                <w:szCs w:val="10"/>
                <w:vertAlign w:val="subscript"/>
              </w:rPr>
              <w:t>3</w:t>
            </w:r>
            <w:r>
              <w:rPr>
                <w:rFonts w:cs="Arial"/>
                <w:sz w:val="18"/>
                <w:szCs w:val="10"/>
                <w:vertAlign w:val="superscript"/>
              </w:rPr>
              <w:t>2-</w:t>
            </w:r>
            <w:r>
              <w:rPr>
                <w:rFonts w:cs="Arial"/>
                <w:sz w:val="18"/>
                <w:szCs w:val="10"/>
              </w:rPr>
              <w:t xml:space="preserve"> </w:t>
            </w:r>
            <w:r>
              <w:rPr>
                <w:rFonts w:cs="Arial"/>
                <w:sz w:val="18"/>
                <w:szCs w:val="17"/>
              </w:rPr>
              <w:t>= 1</w:t>
            </w:r>
          </w:p>
        </w:tc>
      </w:tr>
    </w:tbl>
    <w:p>
      <w:pPr>
        <w:pStyle w:val="GesAbsatz"/>
        <w:jc w:val="both"/>
        <w:rPr>
          <w:rFonts w:cs="Arial"/>
          <w:szCs w:val="15"/>
        </w:rPr>
      </w:pPr>
    </w:p>
    <w:p>
      <w:pPr>
        <w:pStyle w:val="GesAbsatz"/>
        <w:jc w:val="both"/>
        <w:rPr>
          <w:rFonts w:cs="Arial"/>
          <w:szCs w:val="17"/>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Berechnungsmethode B „Gips“</w:t>
      </w:r>
    </w:p>
    <w:p>
      <w:pPr>
        <w:pStyle w:val="GesAbsatz"/>
        <w:jc w:val="both"/>
        <w:rPr>
          <w:rFonts w:cs="Arial"/>
          <w:szCs w:val="17"/>
        </w:rPr>
      </w:pPr>
      <w:r>
        <w:rPr>
          <w:rFonts w:cs="Arial"/>
          <w:szCs w:val="17"/>
        </w:rPr>
        <w:t>Die Berechnung der Emissionen beruht auf der Menge des erzeugten Gipses:</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[t] Trockengips (CaSO</w:t>
      </w:r>
      <w:r>
        <w:rPr>
          <w:rFonts w:cs="Arial"/>
          <w:szCs w:val="10"/>
          <w:vertAlign w:val="subscript"/>
        </w:rPr>
        <w:t xml:space="preserve">4 </w:t>
      </w:r>
      <w:r>
        <w:rPr>
          <w:rFonts w:cs="Arial"/>
          <w:szCs w:val="17"/>
        </w:rPr>
        <w:t>– 2H</w:t>
      </w:r>
      <w:r>
        <w:rPr>
          <w:rFonts w:cs="Arial"/>
          <w:szCs w:val="10"/>
          <w:vertAlign w:val="subscript"/>
        </w:rPr>
        <w:t>2</w:t>
      </w:r>
      <w:r>
        <w:rPr>
          <w:rFonts w:cs="Arial"/>
          <w:szCs w:val="17"/>
        </w:rPr>
        <w:t>O) als Prozessoutput pro Jahr gemessen vom Betreiber oder dem gipsvera</w:t>
      </w:r>
      <w:r>
        <w:rPr>
          <w:rFonts w:cs="Arial"/>
          <w:szCs w:val="17"/>
        </w:rPr>
        <w:t>r</w:t>
      </w:r>
      <w:r>
        <w:rPr>
          <w:rFonts w:cs="Arial"/>
          <w:szCs w:val="17"/>
        </w:rPr>
        <w:t>beitendem Unternehmen mit einem maximal zulässigen Unsicherheitsfaktor von weniger als ± 7,5 % je Messvorgang.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Stöchiometrisches Verhältnis von Trockengips (CaSO</w:t>
      </w:r>
      <w:r>
        <w:rPr>
          <w:rFonts w:cs="Arial"/>
          <w:szCs w:val="10"/>
          <w:vertAlign w:val="subscript"/>
        </w:rPr>
        <w:t>4</w:t>
      </w:r>
      <w:r>
        <w:rPr>
          <w:rFonts w:cs="Arial"/>
          <w:szCs w:val="10"/>
        </w:rPr>
        <w:t xml:space="preserve"> </w:t>
      </w:r>
      <w:r>
        <w:rPr>
          <w:rFonts w:cs="Arial"/>
          <w:szCs w:val="17"/>
        </w:rPr>
        <w:t>– 2H</w:t>
      </w:r>
      <w:r>
        <w:rPr>
          <w:rFonts w:cs="Arial"/>
          <w:szCs w:val="10"/>
          <w:vertAlign w:val="subscript"/>
        </w:rPr>
        <w:t>2</w:t>
      </w:r>
      <w:r>
        <w:rPr>
          <w:rFonts w:cs="Arial"/>
          <w:szCs w:val="17"/>
        </w:rPr>
        <w:t>O) und CO</w:t>
      </w:r>
      <w:r>
        <w:rPr>
          <w:rFonts w:cs="Arial"/>
          <w:szCs w:val="10"/>
          <w:vertAlign w:val="subscript"/>
        </w:rPr>
        <w:t>2</w:t>
      </w:r>
      <w:r>
        <w:rPr>
          <w:rFonts w:cs="Arial"/>
          <w:szCs w:val="10"/>
        </w:rPr>
        <w:t xml:space="preserve"> </w:t>
      </w:r>
      <w:r>
        <w:rPr>
          <w:rFonts w:cs="Arial"/>
          <w:szCs w:val="17"/>
        </w:rPr>
        <w:t>im Prozess: 0,2558 t CO</w:t>
      </w:r>
      <w:r>
        <w:rPr>
          <w:rFonts w:cs="Arial"/>
          <w:szCs w:val="10"/>
          <w:vertAlign w:val="subscript"/>
        </w:rPr>
        <w:t>2</w:t>
      </w:r>
      <w:r>
        <w:rPr>
          <w:rFonts w:cs="Arial"/>
          <w:szCs w:val="17"/>
        </w:rPr>
        <w:t>/t Gips</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bCs/>
          <w:szCs w:val="10"/>
        </w:rPr>
      </w:pPr>
      <w:r>
        <w:rPr>
          <w:rFonts w:cs="Arial"/>
          <w:b/>
          <w:bCs/>
          <w:szCs w:val="17"/>
        </w:rPr>
        <w:t>3. BESTIMMUNG ANDERER TREIBHAUSGASEMISSIONEN ALS CO</w:t>
      </w:r>
      <w:r>
        <w:rPr>
          <w:rFonts w:cs="Arial"/>
          <w:b/>
          <w:bCs/>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rPr>
          <w:bCs/>
        </w:rPr>
      </w:pPr>
      <w:r>
        <w:rPr>
          <w:i/>
        </w:rPr>
        <w:br w:type="page"/>
      </w:r>
      <w:bookmarkStart w:id="6" w:name="_Toc67281921"/>
      <w:r>
        <w:lastRenderedPageBreak/>
        <w:t>ANHANG III</w:t>
      </w:r>
      <w:r>
        <w:br/>
      </w:r>
      <w:r>
        <w:rPr>
          <w:bCs/>
        </w:rPr>
        <w:t>Tätigkeitsspezifische Leitlinien für Mineralölraffinerien gemäß Anhang I der Richtlinie</w:t>
      </w:r>
      <w:bookmarkEnd w:id="6"/>
    </w:p>
    <w:p>
      <w:pPr>
        <w:pStyle w:val="GesAbsatz"/>
        <w:jc w:val="both"/>
        <w:rPr>
          <w:rFonts w:cs="Arial"/>
          <w:b/>
          <w:szCs w:val="17"/>
        </w:rPr>
      </w:pPr>
      <w:r>
        <w:rPr>
          <w:rFonts w:cs="Arial"/>
          <w:b/>
          <w:szCs w:val="17"/>
        </w:rPr>
        <w:t>1. EINSCHRÄNKUNGEN</w:t>
      </w:r>
    </w:p>
    <w:p>
      <w:pPr>
        <w:pStyle w:val="GesAbsatz"/>
        <w:jc w:val="both"/>
        <w:rPr>
          <w:rFonts w:cs="Arial"/>
          <w:szCs w:val="17"/>
        </w:rPr>
      </w:pPr>
      <w:r>
        <w:rPr>
          <w:rFonts w:cs="Arial"/>
          <w:szCs w:val="17"/>
        </w:rPr>
        <w:t>Bei der Überwachung der Treibhausgasemissionen einer Anlage werden alle Emissionen aus Verbre</w:t>
      </w:r>
      <w:r>
        <w:rPr>
          <w:rFonts w:cs="Arial"/>
          <w:szCs w:val="17"/>
        </w:rPr>
        <w:t>n</w:t>
      </w:r>
      <w:r>
        <w:rPr>
          <w:rFonts w:cs="Arial"/>
          <w:szCs w:val="17"/>
        </w:rPr>
        <w:t>nungs- und Produktionsprozessen erfasst, die in Raffinerien stattfinden. Emissionen aus Prozessen, die in benachbarten Anlagen der chemischen Industrie stattfinden, die nicht in Anhang I der Richtlinie aufg</w:t>
      </w:r>
      <w:r>
        <w:rPr>
          <w:rFonts w:cs="Arial"/>
          <w:szCs w:val="17"/>
        </w:rPr>
        <w:t>e</w:t>
      </w:r>
      <w:r>
        <w:rPr>
          <w:rFonts w:cs="Arial"/>
          <w:szCs w:val="17"/>
        </w:rPr>
        <w:t>führt und nicht Teil der Produktionskette in Raffinerien sind, sind von den Betrachtungen ausgeschlossen.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Potenzielle Quellen von CO</w:t>
      </w:r>
      <w:r>
        <w:rPr>
          <w:rFonts w:cs="Arial"/>
          <w:szCs w:val="10"/>
          <w:vertAlign w:val="subscript"/>
        </w:rPr>
        <w:t>2</w:t>
      </w:r>
      <w:r>
        <w:rPr>
          <w:rFonts w:cs="Arial"/>
          <w:szCs w:val="17"/>
        </w:rPr>
        <w:t>-Emissionen sind u. a.:</w:t>
      </w:r>
    </w:p>
    <w:p>
      <w:pPr>
        <w:pStyle w:val="GesAbsatz"/>
        <w:jc w:val="both"/>
        <w:rPr>
          <w:rFonts w:cs="Arial"/>
          <w:szCs w:val="17"/>
        </w:rPr>
      </w:pPr>
      <w:r>
        <w:rPr>
          <w:rFonts w:cs="Arial"/>
          <w:szCs w:val="17"/>
        </w:rPr>
        <w:t>a)</w:t>
      </w:r>
      <w:r>
        <w:rPr>
          <w:rFonts w:cs="Arial"/>
          <w:szCs w:val="17"/>
        </w:rPr>
        <w:tab/>
        <w:t>energiebezogene Emissionen aus der Verbrennung:</w:t>
      </w:r>
    </w:p>
    <w:p>
      <w:pPr>
        <w:pStyle w:val="GesAbsatz"/>
        <w:tabs>
          <w:tab w:val="left" w:pos="851"/>
        </w:tabs>
        <w:jc w:val="both"/>
        <w:rPr>
          <w:rFonts w:cs="Arial"/>
          <w:szCs w:val="17"/>
        </w:rPr>
      </w:pPr>
      <w:r>
        <w:rPr>
          <w:rFonts w:cs="Arial"/>
          <w:szCs w:val="17"/>
        </w:rPr>
        <w:tab/>
        <w:t>-</w:t>
      </w:r>
      <w:r>
        <w:rPr>
          <w:rFonts w:cs="Arial"/>
          <w:szCs w:val="17"/>
        </w:rPr>
        <w:tab/>
        <w:t>Heizkessel,</w:t>
      </w:r>
    </w:p>
    <w:p>
      <w:pPr>
        <w:pStyle w:val="GesAbsatz"/>
        <w:tabs>
          <w:tab w:val="left" w:pos="851"/>
        </w:tabs>
        <w:jc w:val="both"/>
        <w:rPr>
          <w:rFonts w:cs="Arial"/>
          <w:szCs w:val="17"/>
        </w:rPr>
      </w:pPr>
      <w:r>
        <w:rPr>
          <w:rFonts w:cs="Arial"/>
          <w:szCs w:val="17"/>
        </w:rPr>
        <w:tab/>
        <w:t>-</w:t>
      </w:r>
      <w:r>
        <w:rPr>
          <w:rFonts w:cs="Arial"/>
          <w:szCs w:val="17"/>
        </w:rPr>
        <w:tab/>
        <w:t>Prozesserhitzer,</w:t>
      </w:r>
    </w:p>
    <w:p>
      <w:pPr>
        <w:pStyle w:val="GesAbsatz"/>
        <w:tabs>
          <w:tab w:val="left" w:pos="851"/>
        </w:tabs>
        <w:jc w:val="both"/>
        <w:rPr>
          <w:rFonts w:cs="Arial"/>
          <w:szCs w:val="17"/>
        </w:rPr>
      </w:pPr>
      <w:r>
        <w:rPr>
          <w:rFonts w:cs="Arial"/>
          <w:szCs w:val="17"/>
        </w:rPr>
        <w:tab/>
        <w:t>-</w:t>
      </w:r>
      <w:r>
        <w:rPr>
          <w:rFonts w:cs="Arial"/>
          <w:szCs w:val="17"/>
        </w:rPr>
        <w:tab/>
        <w:t>Verbrennungsmotoren/Turbinen,</w:t>
      </w:r>
    </w:p>
    <w:p>
      <w:pPr>
        <w:pStyle w:val="GesAbsatz"/>
        <w:tabs>
          <w:tab w:val="left" w:pos="851"/>
        </w:tabs>
        <w:jc w:val="both"/>
        <w:rPr>
          <w:rFonts w:cs="Arial"/>
          <w:szCs w:val="17"/>
        </w:rPr>
      </w:pPr>
      <w:r>
        <w:rPr>
          <w:rFonts w:cs="Arial"/>
          <w:szCs w:val="17"/>
        </w:rPr>
        <w:tab/>
        <w:t>-</w:t>
      </w:r>
      <w:r>
        <w:rPr>
          <w:rFonts w:cs="Arial"/>
          <w:szCs w:val="17"/>
        </w:rPr>
        <w:tab/>
        <w:t>katalytische und thermische Oxidatoren,</w:t>
      </w:r>
    </w:p>
    <w:p>
      <w:pPr>
        <w:pStyle w:val="GesAbsatz"/>
        <w:tabs>
          <w:tab w:val="left" w:pos="851"/>
        </w:tabs>
        <w:jc w:val="both"/>
        <w:rPr>
          <w:rFonts w:cs="Arial"/>
          <w:szCs w:val="17"/>
        </w:rPr>
      </w:pPr>
      <w:r>
        <w:rPr>
          <w:rFonts w:cs="Arial"/>
          <w:szCs w:val="17"/>
        </w:rPr>
        <w:tab/>
        <w:t>-</w:t>
      </w:r>
      <w:r>
        <w:rPr>
          <w:rFonts w:cs="Arial"/>
          <w:szCs w:val="17"/>
        </w:rPr>
        <w:tab/>
        <w:t>Kokskalzinieröfen,</w:t>
      </w:r>
    </w:p>
    <w:p>
      <w:pPr>
        <w:pStyle w:val="GesAbsatz"/>
        <w:tabs>
          <w:tab w:val="left" w:pos="851"/>
        </w:tabs>
        <w:jc w:val="both"/>
        <w:rPr>
          <w:rFonts w:cs="Arial"/>
          <w:szCs w:val="17"/>
        </w:rPr>
      </w:pPr>
      <w:r>
        <w:rPr>
          <w:rFonts w:cs="Arial"/>
          <w:szCs w:val="17"/>
        </w:rPr>
        <w:tab/>
        <w:t>-</w:t>
      </w:r>
      <w:r>
        <w:rPr>
          <w:rFonts w:cs="Arial"/>
          <w:szCs w:val="17"/>
        </w:rPr>
        <w:tab/>
        <w:t>Löschwasserpumpen,</w:t>
      </w:r>
    </w:p>
    <w:p>
      <w:pPr>
        <w:pStyle w:val="GesAbsatz"/>
        <w:tabs>
          <w:tab w:val="left" w:pos="851"/>
        </w:tabs>
        <w:jc w:val="both"/>
        <w:rPr>
          <w:rFonts w:cs="Arial"/>
          <w:szCs w:val="17"/>
        </w:rPr>
      </w:pPr>
      <w:r>
        <w:rPr>
          <w:rFonts w:cs="Arial"/>
          <w:szCs w:val="17"/>
        </w:rPr>
        <w:tab/>
        <w:t>-</w:t>
      </w:r>
      <w:r>
        <w:rPr>
          <w:rFonts w:cs="Arial"/>
          <w:szCs w:val="17"/>
        </w:rPr>
        <w:tab/>
        <w:t>Not-/Ersatzgeneratoren,</w:t>
      </w:r>
    </w:p>
    <w:p>
      <w:pPr>
        <w:pStyle w:val="GesAbsatz"/>
        <w:tabs>
          <w:tab w:val="left" w:pos="851"/>
        </w:tabs>
        <w:jc w:val="both"/>
        <w:rPr>
          <w:rFonts w:cs="Arial"/>
          <w:szCs w:val="17"/>
        </w:rPr>
      </w:pPr>
      <w:r>
        <w:rPr>
          <w:rFonts w:cs="Arial"/>
          <w:szCs w:val="17"/>
        </w:rPr>
        <w:tab/>
        <w:t>-</w:t>
      </w:r>
      <w:r>
        <w:rPr>
          <w:rFonts w:cs="Arial"/>
          <w:szCs w:val="17"/>
        </w:rPr>
        <w:tab/>
        <w:t>Fackeln,</w:t>
      </w:r>
    </w:p>
    <w:p>
      <w:pPr>
        <w:pStyle w:val="GesAbsatz"/>
        <w:tabs>
          <w:tab w:val="left" w:pos="851"/>
        </w:tabs>
        <w:jc w:val="both"/>
        <w:rPr>
          <w:rFonts w:cs="Arial"/>
          <w:szCs w:val="17"/>
        </w:rPr>
      </w:pPr>
      <w:r>
        <w:rPr>
          <w:rFonts w:cs="Arial"/>
          <w:szCs w:val="17"/>
        </w:rPr>
        <w:tab/>
        <w:t>-</w:t>
      </w:r>
      <w:r>
        <w:rPr>
          <w:rFonts w:cs="Arial"/>
          <w:szCs w:val="17"/>
        </w:rPr>
        <w:tab/>
        <w:t>Verbrennungsöfen,</w:t>
      </w:r>
    </w:p>
    <w:p>
      <w:pPr>
        <w:pStyle w:val="GesAbsatz"/>
        <w:tabs>
          <w:tab w:val="left" w:pos="851"/>
        </w:tabs>
        <w:jc w:val="both"/>
        <w:rPr>
          <w:rFonts w:cs="Arial"/>
          <w:szCs w:val="17"/>
        </w:rPr>
      </w:pPr>
      <w:r>
        <w:rPr>
          <w:rFonts w:cs="Arial"/>
          <w:szCs w:val="17"/>
        </w:rPr>
        <w:tab/>
        <w:t>-</w:t>
      </w:r>
      <w:r>
        <w:rPr>
          <w:rFonts w:cs="Arial"/>
          <w:szCs w:val="17"/>
        </w:rPr>
        <w:tab/>
        <w:t>Cracker;</w:t>
      </w:r>
    </w:p>
    <w:p>
      <w:pPr>
        <w:pStyle w:val="GesAbsatz"/>
        <w:jc w:val="both"/>
        <w:rPr>
          <w:rFonts w:cs="Arial"/>
          <w:szCs w:val="17"/>
        </w:rPr>
      </w:pPr>
      <w:r>
        <w:rPr>
          <w:rFonts w:cs="Arial"/>
          <w:szCs w:val="17"/>
        </w:rPr>
        <w:t>b) Prozess:</w:t>
      </w:r>
    </w:p>
    <w:p>
      <w:pPr>
        <w:pStyle w:val="GesAbsatz"/>
        <w:tabs>
          <w:tab w:val="left" w:pos="851"/>
        </w:tabs>
        <w:jc w:val="both"/>
        <w:rPr>
          <w:rFonts w:cs="Arial"/>
          <w:szCs w:val="17"/>
        </w:rPr>
      </w:pPr>
      <w:r>
        <w:rPr>
          <w:rFonts w:cs="Arial"/>
          <w:szCs w:val="17"/>
        </w:rPr>
        <w:tab/>
        <w:t>-</w:t>
      </w:r>
      <w:r>
        <w:rPr>
          <w:rFonts w:cs="Arial"/>
          <w:szCs w:val="17"/>
        </w:rPr>
        <w:tab/>
        <w:t>Wasserstoffanlagen,</w:t>
      </w:r>
    </w:p>
    <w:p>
      <w:pPr>
        <w:pStyle w:val="GesAbsatz"/>
        <w:tabs>
          <w:tab w:val="left" w:pos="851"/>
        </w:tabs>
        <w:jc w:val="both"/>
        <w:rPr>
          <w:rFonts w:cs="Arial"/>
          <w:szCs w:val="17"/>
        </w:rPr>
      </w:pPr>
      <w:r>
        <w:rPr>
          <w:rFonts w:cs="Arial"/>
          <w:szCs w:val="17"/>
        </w:rPr>
        <w:tab/>
        <w:t>-</w:t>
      </w:r>
      <w:r>
        <w:rPr>
          <w:rFonts w:cs="Arial"/>
          <w:szCs w:val="17"/>
        </w:rPr>
        <w:tab/>
        <w:t>katalytische Regeneration (durch katalytisches Kracken und andere katalytische Verfahren)</w:t>
      </w:r>
    </w:p>
    <w:p>
      <w:pPr>
        <w:pStyle w:val="GesAbsatz"/>
        <w:tabs>
          <w:tab w:val="left" w:pos="851"/>
        </w:tabs>
        <w:jc w:val="both"/>
        <w:rPr>
          <w:rFonts w:cs="Arial"/>
          <w:szCs w:val="17"/>
        </w:rPr>
      </w:pPr>
      <w:r>
        <w:rPr>
          <w:rFonts w:cs="Arial"/>
          <w:szCs w:val="17"/>
        </w:rPr>
        <w:tab/>
        <w:t>-</w:t>
      </w:r>
      <w:r>
        <w:rPr>
          <w:rFonts w:cs="Arial"/>
          <w:szCs w:val="17"/>
        </w:rPr>
        <w:tab/>
        <w:t>Kokserzeugungsanlagen (Flexicoking, Delayed Coking)</w:t>
      </w:r>
    </w:p>
    <w:p>
      <w:pPr>
        <w:pStyle w:val="GesAbsatz"/>
        <w:jc w:val="both"/>
        <w:rPr>
          <w:rFonts w:cs="Arial"/>
          <w:b/>
          <w:bCs/>
          <w:szCs w:val="17"/>
        </w:rPr>
      </w:pPr>
      <w:r>
        <w:rPr>
          <w:rFonts w:cs="Arial"/>
          <w:b/>
          <w:bCs/>
          <w:szCs w:val="17"/>
        </w:rPr>
        <w:t>2.1. Berechnung von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Der Betreiber kann die Emissionen berechnen</w:t>
      </w:r>
    </w:p>
    <w:p>
      <w:pPr>
        <w:pStyle w:val="GesAbsatz"/>
        <w:ind w:left="426" w:hanging="426"/>
        <w:jc w:val="both"/>
        <w:rPr>
          <w:rFonts w:cs="Arial"/>
          <w:szCs w:val="17"/>
        </w:rPr>
      </w:pPr>
      <w:r>
        <w:rPr>
          <w:rFonts w:cs="Arial"/>
          <w:szCs w:val="17"/>
        </w:rPr>
        <w:t>a)</w:t>
      </w:r>
      <w:r>
        <w:rPr>
          <w:rFonts w:cs="Arial"/>
          <w:szCs w:val="17"/>
        </w:rPr>
        <w:tab/>
        <w:t>für jede Brennstoffart und jeden Prozess, der in der Anlage stattfindet, oder</w:t>
      </w:r>
    </w:p>
    <w:p>
      <w:pPr>
        <w:pStyle w:val="GesAbsatz"/>
        <w:ind w:left="426" w:hanging="426"/>
        <w:jc w:val="both"/>
        <w:rPr>
          <w:rFonts w:cs="Arial"/>
          <w:szCs w:val="17"/>
        </w:rPr>
      </w:pPr>
      <w:r>
        <w:rPr>
          <w:rFonts w:cs="Arial"/>
          <w:szCs w:val="17"/>
        </w:rPr>
        <w:t>b)</w:t>
      </w:r>
      <w:r>
        <w:rPr>
          <w:rFonts w:cs="Arial"/>
          <w:szCs w:val="17"/>
        </w:rPr>
        <w:tab/>
        <w:t>nach dem Massenbilanzansatz, sofern der Betreiber nachweisen kann, dass dies für die in Frage stehende Anlage genauere Ergebnisse bringt als eine Berechnung der Emissionen für jede Bren</w:t>
      </w:r>
      <w:r>
        <w:rPr>
          <w:rFonts w:cs="Arial"/>
          <w:szCs w:val="17"/>
        </w:rPr>
        <w:t>n</w:t>
      </w:r>
      <w:r>
        <w:rPr>
          <w:rFonts w:cs="Arial"/>
          <w:szCs w:val="17"/>
        </w:rPr>
        <w:t>stoffart und jeden Prozess, oder</w:t>
      </w:r>
    </w:p>
    <w:p>
      <w:pPr>
        <w:pStyle w:val="GesAbsatz"/>
        <w:ind w:left="426" w:hanging="426"/>
        <w:jc w:val="both"/>
        <w:rPr>
          <w:rFonts w:cs="Arial"/>
          <w:szCs w:val="17"/>
        </w:rPr>
      </w:pPr>
      <w:r>
        <w:rPr>
          <w:rFonts w:cs="Arial"/>
          <w:szCs w:val="17"/>
        </w:rPr>
        <w:t>c)</w:t>
      </w:r>
      <w:r>
        <w:rPr>
          <w:rFonts w:cs="Arial"/>
          <w:szCs w:val="17"/>
        </w:rPr>
        <w:tab/>
        <w:t>nach dem Massenbilanzansatz anhand einer definierten Teilmenge verschiedener Brennstoffa</w:t>
      </w:r>
      <w:r>
        <w:rPr>
          <w:rFonts w:cs="Arial"/>
          <w:szCs w:val="17"/>
        </w:rPr>
        <w:t>r</w:t>
      </w:r>
      <w:r>
        <w:rPr>
          <w:rFonts w:cs="Arial"/>
          <w:szCs w:val="17"/>
        </w:rPr>
        <w:t>ten/Prozesse und individueller Berechnungen in Bezug auf die übrigen in der Anlage eingesetzten Brennstoffa</w:t>
      </w:r>
      <w:r>
        <w:rPr>
          <w:rFonts w:cs="Arial"/>
          <w:szCs w:val="17"/>
        </w:rPr>
        <w:t>r</w:t>
      </w:r>
      <w:r>
        <w:rPr>
          <w:rFonts w:cs="Arial"/>
          <w:szCs w:val="17"/>
        </w:rPr>
        <w:t>ten/stattfindenden Prozesse, sofern der Betreiber nachweisen kann, dass dies genauere Ergebnisse bringt als eine Berec</w:t>
      </w:r>
      <w:r>
        <w:rPr>
          <w:rFonts w:cs="Arial"/>
          <w:szCs w:val="17"/>
        </w:rPr>
        <w:t>h</w:t>
      </w:r>
      <w:r>
        <w:rPr>
          <w:rFonts w:cs="Arial"/>
          <w:szCs w:val="17"/>
        </w:rPr>
        <w:t>nung der Emissionen für jede Brennstoffart und jeden Prozess.</w:t>
      </w:r>
    </w:p>
    <w:p>
      <w:pPr>
        <w:pStyle w:val="GesAbsatz"/>
        <w:jc w:val="both"/>
        <w:rPr>
          <w:rFonts w:cs="Arial"/>
          <w:i/>
          <w:iCs/>
          <w:szCs w:val="17"/>
        </w:rPr>
      </w:pPr>
      <w:r>
        <w:rPr>
          <w:rFonts w:cs="Arial"/>
          <w:szCs w:val="17"/>
        </w:rPr>
        <w:t xml:space="preserve">2.1.1. </w:t>
      </w:r>
      <w:r>
        <w:rPr>
          <w:rFonts w:cs="Arial"/>
          <w:i/>
          <w:iCs/>
          <w:szCs w:val="17"/>
        </w:rPr>
        <w:t>Massenbilanzansatz</w:t>
      </w:r>
    </w:p>
    <w:p>
      <w:pPr>
        <w:pStyle w:val="GesAbsatz"/>
        <w:jc w:val="both"/>
        <w:rPr>
          <w:rFonts w:cs="Arial"/>
          <w:szCs w:val="17"/>
        </w:rPr>
      </w:pPr>
      <w:r>
        <w:rPr>
          <w:rFonts w:cs="Arial"/>
          <w:szCs w:val="17"/>
        </w:rPr>
        <w:t>Im Rahmen des Massenbilanzansatzes werden für die Ermittlung der Treibhausgasemissionen einer A</w:t>
      </w:r>
      <w:r>
        <w:rPr>
          <w:rFonts w:cs="Arial"/>
          <w:szCs w:val="17"/>
        </w:rPr>
        <w:t>n</w:t>
      </w:r>
      <w:r>
        <w:rPr>
          <w:rFonts w:cs="Arial"/>
          <w:szCs w:val="17"/>
        </w:rPr>
        <w:t>lage der im Input-Material, in Akkumulationen, Produkten und Exporten enthaltene Kohlenstoff analysiert. Dazu wird folgende Gleichung zugrunde gelegt: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(Input-Produkte-Export – Lagerbestandsveränderungen) × Umsetzungsfaktor CO</w:t>
      </w:r>
      <w:r>
        <w:rPr>
          <w:rFonts w:cs="Arial"/>
          <w:szCs w:val="10"/>
          <w:vertAlign w:val="subscript"/>
        </w:rPr>
        <w:t>2</w:t>
      </w:r>
      <w:r>
        <w:rPr>
          <w:rFonts w:cs="Arial"/>
          <w:szCs w:val="17"/>
        </w:rPr>
        <w:t>/C</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w:t>
      </w:r>
      <w:r>
        <w:rPr>
          <w:rFonts w:cs="Arial"/>
          <w:szCs w:val="17"/>
        </w:rPr>
        <w:tab/>
        <w:t>Input [t C]: der gesamte Kohlenstoff, der in der Anlage eingesetzt wird,</w:t>
      </w:r>
    </w:p>
    <w:p>
      <w:pPr>
        <w:pStyle w:val="GesAbsatz"/>
        <w:ind w:left="426" w:hanging="426"/>
        <w:jc w:val="both"/>
        <w:rPr>
          <w:rFonts w:cs="Arial"/>
          <w:szCs w:val="17"/>
        </w:rPr>
      </w:pPr>
      <w:r>
        <w:rPr>
          <w:rFonts w:cs="Arial"/>
          <w:szCs w:val="17"/>
        </w:rPr>
        <w:lastRenderedPageBreak/>
        <w:t>-</w:t>
      </w:r>
      <w:r>
        <w:rPr>
          <w:rFonts w:cs="Arial"/>
          <w:szCs w:val="17"/>
        </w:rPr>
        <w:tab/>
        <w:t>Produkt [t C]: der gesamte Kohlenstoff in Produkten und Stoffen (auch in Nebenprodukten), der aus der Massenbilanz fällt,</w:t>
      </w:r>
    </w:p>
    <w:p>
      <w:pPr>
        <w:pStyle w:val="GesAbsatz"/>
        <w:ind w:left="426" w:hanging="426"/>
        <w:jc w:val="both"/>
        <w:rPr>
          <w:rFonts w:cs="Arial"/>
          <w:szCs w:val="17"/>
        </w:rPr>
      </w:pPr>
      <w:r>
        <w:rPr>
          <w:rFonts w:cs="Arial"/>
          <w:szCs w:val="17"/>
        </w:rPr>
        <w:t>-</w:t>
      </w:r>
      <w:r>
        <w:rPr>
          <w:rFonts w:cs="Arial"/>
          <w:szCs w:val="17"/>
        </w:rPr>
        <w:tab/>
        <w:t>Export [t C]: der Kohlenstoff, der exportiert (sprich abgeleitet) wird und so der aus der Massenbilanz fällt, z. B. Einleitung in Abwasserkanal, Ablagerung auf einer Deponie oder Verluste. Die Freisetzung von Treibhausgasen in die Atmosphäre gilt nicht als Export,</w:t>
      </w:r>
    </w:p>
    <w:p>
      <w:pPr>
        <w:pStyle w:val="GesAbsatz"/>
        <w:ind w:left="426" w:hanging="426"/>
        <w:jc w:val="both"/>
        <w:rPr>
          <w:rFonts w:cs="Arial"/>
          <w:szCs w:val="17"/>
        </w:rPr>
      </w:pPr>
      <w:r>
        <w:rPr>
          <w:rFonts w:cs="Arial"/>
          <w:szCs w:val="17"/>
        </w:rPr>
        <w:t>-</w:t>
      </w:r>
      <w:r>
        <w:rPr>
          <w:rFonts w:cs="Arial"/>
          <w:szCs w:val="17"/>
        </w:rPr>
        <w:tab/>
        <w:t>Lagerbestandsveränderungen [t C]: die Zunahme der Lagerbestände an Kohlenstoff innerhalb der Anlage.</w:t>
      </w:r>
    </w:p>
    <w:p>
      <w:pPr>
        <w:pStyle w:val="GesAbsatz"/>
        <w:jc w:val="both"/>
        <w:rPr>
          <w:rFonts w:cs="Arial"/>
          <w:szCs w:val="17"/>
        </w:rPr>
      </w:pPr>
      <w:r>
        <w:rPr>
          <w:rFonts w:cs="Arial"/>
          <w:szCs w:val="17"/>
        </w:rPr>
        <w:t>Für die Berechnung ist folgende Gleichung anzuwenden: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Input</w:t>
      </w:r>
      <w:r>
        <w:rPr>
          <w:rFonts w:cs="Arial"/>
          <w:szCs w:val="10"/>
        </w:rPr>
        <w:t xml:space="preserve"> </w:t>
      </w:r>
      <w:r>
        <w:rPr>
          <w:rFonts w:cs="Arial"/>
          <w:szCs w:val="17"/>
        </w:rPr>
        <w:t>× Kohlenstoffgehalt</w:t>
      </w:r>
      <w:r>
        <w:rPr>
          <w:rFonts w:cs="Arial"/>
          <w:szCs w:val="10"/>
          <w:vertAlign w:val="subscript"/>
        </w:rPr>
        <w:t>Input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Produ</w:t>
      </w:r>
      <w:r>
        <w:rPr>
          <w:rFonts w:cs="Arial"/>
          <w:szCs w:val="10"/>
          <w:vertAlign w:val="subscript"/>
        </w:rPr>
        <w:t>k</w:t>
      </w:r>
      <w:r>
        <w:rPr>
          <w:rFonts w:cs="Arial"/>
          <w:szCs w:val="10"/>
          <w:vertAlign w:val="subscript"/>
        </w:rPr>
        <w:t>te</w:t>
      </w:r>
      <w:r>
        <w:rPr>
          <w:rFonts w:cs="Arial"/>
          <w:szCs w:val="10"/>
        </w:rPr>
        <w:t xml:space="preserve"> </w:t>
      </w:r>
      <w:r>
        <w:rPr>
          <w:rFonts w:cs="Arial"/>
          <w:szCs w:val="17"/>
        </w:rPr>
        <w:t>× Kohlenstoffgehalt</w:t>
      </w:r>
      <w:r>
        <w:rPr>
          <w:rFonts w:cs="Arial"/>
          <w:szCs w:val="10"/>
          <w:vertAlign w:val="subscript"/>
        </w:rPr>
        <w:t>Produkte</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Export</w:t>
      </w:r>
      <w:r>
        <w:rPr>
          <w:rFonts w:cs="Arial"/>
          <w:szCs w:val="10"/>
        </w:rPr>
        <w:t xml:space="preserve"> </w:t>
      </w:r>
      <w:r>
        <w:rPr>
          <w:rFonts w:cs="Arial"/>
          <w:szCs w:val="17"/>
        </w:rPr>
        <w:t>× Kohlenstoffgehalt</w:t>
      </w:r>
      <w:r>
        <w:rPr>
          <w:rFonts w:cs="Arial"/>
          <w:szCs w:val="10"/>
          <w:vertAlign w:val="subscript"/>
        </w:rPr>
        <w:t>Export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Lagerb</w:t>
      </w:r>
      <w:r>
        <w:rPr>
          <w:rFonts w:cs="Arial"/>
          <w:szCs w:val="10"/>
          <w:vertAlign w:val="subscript"/>
        </w:rPr>
        <w:t>e</w:t>
      </w:r>
      <w:r>
        <w:rPr>
          <w:rFonts w:cs="Arial"/>
          <w:szCs w:val="10"/>
          <w:vertAlign w:val="subscript"/>
        </w:rPr>
        <w:t>standsveränderungen</w:t>
      </w:r>
      <w:r>
        <w:rPr>
          <w:rFonts w:cs="Arial"/>
          <w:szCs w:val="10"/>
        </w:rPr>
        <w:t xml:space="preserve"> </w:t>
      </w:r>
      <w:r>
        <w:rPr>
          <w:rFonts w:cs="Arial"/>
          <w:szCs w:val="17"/>
        </w:rPr>
        <w:t>× Kohlenstoffgehalt</w:t>
      </w:r>
      <w:r>
        <w:rPr>
          <w:rFonts w:cs="Arial"/>
          <w:szCs w:val="10"/>
          <w:vertAlign w:val="subscript"/>
        </w:rPr>
        <w:t>Lagerbestandsveränderungen</w:t>
      </w:r>
      <w:r>
        <w:rPr>
          <w:rFonts w:cs="Arial"/>
          <w:szCs w:val="17"/>
        </w:rPr>
        <w:t>)) × 3,664</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Betreiber analysiert die Massenströme in die und aus der Anlage bzw. die diesbezüglichen Lagerb</w:t>
      </w:r>
      <w:r>
        <w:rPr>
          <w:rFonts w:cs="Arial"/>
          <w:szCs w:val="17"/>
        </w:rPr>
        <w:t>e</w:t>
      </w:r>
      <w:r>
        <w:rPr>
          <w:rFonts w:cs="Arial"/>
          <w:szCs w:val="17"/>
        </w:rPr>
        <w:t>standsveränderungen für alle relevanten Brenn- und Einsatzstoffe getrennt und erstattet Bericht darüber.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7,5 % je Messvo</w:t>
      </w:r>
      <w:r>
        <w:rPr>
          <w:rFonts w:cs="Arial"/>
          <w:szCs w:val="17"/>
        </w:rPr>
        <w:t>r</w:t>
      </w:r>
      <w:r>
        <w:rPr>
          <w:rFonts w:cs="Arial"/>
          <w:szCs w:val="17"/>
        </w:rPr>
        <w:t>gang ermittelt. Alle anderen Brennstoffmassen- und Stoffmengenströme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5,0 % je Messvo</w:t>
      </w:r>
      <w:r>
        <w:rPr>
          <w:rFonts w:cs="Arial"/>
          <w:szCs w:val="17"/>
        </w:rPr>
        <w:t>r</w:t>
      </w:r>
      <w:r>
        <w:rPr>
          <w:rFonts w:cs="Arial"/>
          <w:szCs w:val="17"/>
        </w:rPr>
        <w:t>gang ermittelt. Alle anderen Brennstoffmassen- und Stoffmengenströme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2,5 % je Messvorgang ermittelt.</w:t>
      </w:r>
    </w:p>
    <w:p>
      <w:pPr>
        <w:pStyle w:val="GesAbsatz"/>
        <w:jc w:val="both"/>
        <w:rPr>
          <w:rFonts w:cs="Arial"/>
          <w:szCs w:val="17"/>
        </w:rPr>
      </w:pPr>
      <w:r>
        <w:rPr>
          <w:rFonts w:cs="Arial"/>
          <w:szCs w:val="17"/>
        </w:rPr>
        <w:t>Ebene 4:</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1,0 % je Messvorgang ermittelt.</w:t>
      </w:r>
    </w:p>
    <w:p>
      <w:pPr>
        <w:pStyle w:val="GesAbsatz"/>
        <w:jc w:val="both"/>
        <w:rPr>
          <w:rFonts w:cs="Arial"/>
          <w:szCs w:val="17"/>
          <w:u w:val="single"/>
        </w:rPr>
      </w:pPr>
      <w:r>
        <w:rPr>
          <w:rFonts w:cs="Arial"/>
          <w:szCs w:val="17"/>
          <w:u w:val="single"/>
        </w:rPr>
        <w:t>b) Kohlenstoffgehalt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Bei der Berechnung der Massenbilanz hält sich der Betreiber an die Vorgaben, die in Abschnitt 10 des Anhangs I in Bezug auf die repräsentative Probenahme von Brennstoffen, Produkten und Nebenprodu</w:t>
      </w:r>
      <w:r>
        <w:rPr>
          <w:rFonts w:cs="Arial"/>
          <w:szCs w:val="17"/>
        </w:rPr>
        <w:t>k</w:t>
      </w:r>
      <w:r>
        <w:rPr>
          <w:rFonts w:cs="Arial"/>
          <w:szCs w:val="17"/>
        </w:rPr>
        <w:t>ten bzw. in Bezug auf die Ermittlung ihres Kohlenstoffgehalts und des Biomasse-Anteils angeführt sind.</w:t>
      </w:r>
    </w:p>
    <w:p>
      <w:pPr>
        <w:pStyle w:val="GesAbsatz"/>
        <w:jc w:val="both"/>
        <w:rPr>
          <w:rFonts w:cs="Arial"/>
          <w:szCs w:val="17"/>
          <w:u w:val="single"/>
        </w:rPr>
      </w:pPr>
      <w:r>
        <w:rPr>
          <w:rFonts w:cs="Arial"/>
          <w:szCs w:val="17"/>
          <w:u w:val="single"/>
        </w:rPr>
        <w:t>c) Energiegehalt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 eine einheitliche Berichterstattung zu gewährleisten, ist der Energiegehalt eines jeden Brennstoff- und Einsatzstoffstroms (ausgedrückt als spezifischer Heizwert des betreffenden Stroms) zu berechnen.</w:t>
      </w:r>
    </w:p>
    <w:p>
      <w:pPr>
        <w:pStyle w:val="GesAbsatz"/>
        <w:jc w:val="both"/>
        <w:rPr>
          <w:rFonts w:cs="Arial"/>
          <w:i/>
          <w:iCs/>
          <w:szCs w:val="17"/>
        </w:rPr>
      </w:pPr>
      <w:r>
        <w:rPr>
          <w:rFonts w:cs="Arial"/>
          <w:szCs w:val="17"/>
        </w:rPr>
        <w:t xml:space="preserve">2.1.2. </w:t>
      </w:r>
      <w:r>
        <w:rPr>
          <w:rFonts w:cs="Arial"/>
          <w:i/>
          <w:iCs/>
          <w:szCs w:val="17"/>
        </w:rPr>
        <w:t>Emissionen aus der Verbrennung</w:t>
      </w:r>
    </w:p>
    <w:p>
      <w:pPr>
        <w:pStyle w:val="GesAbsatz"/>
        <w:jc w:val="both"/>
        <w:rPr>
          <w:rFonts w:cs="Arial"/>
          <w:szCs w:val="17"/>
        </w:rPr>
      </w:pPr>
      <w:r>
        <w:rPr>
          <w:rFonts w:cs="Arial"/>
          <w:szCs w:val="17"/>
        </w:rPr>
        <w:t>Die Emissionen aus der Verbrennung sind in Einklang mit den Vorgaben des Anhangs II zu überwachen.</w:t>
      </w:r>
    </w:p>
    <w:p>
      <w:pPr>
        <w:pStyle w:val="GesAbsatz"/>
        <w:jc w:val="both"/>
        <w:rPr>
          <w:rFonts w:cs="Arial"/>
          <w:i/>
          <w:iCs/>
          <w:szCs w:val="17"/>
        </w:rPr>
      </w:pPr>
      <w:r>
        <w:rPr>
          <w:rFonts w:cs="Arial"/>
          <w:szCs w:val="17"/>
        </w:rPr>
        <w:lastRenderedPageBreak/>
        <w:t xml:space="preserve">2.1.3. </w:t>
      </w:r>
      <w:r>
        <w:rPr>
          <w:rFonts w:cs="Arial"/>
          <w:i/>
          <w:iCs/>
          <w:szCs w:val="17"/>
        </w:rPr>
        <w:t>Prozessemissionen</w:t>
      </w:r>
    </w:p>
    <w:p>
      <w:pPr>
        <w:pStyle w:val="GesAbsatz"/>
        <w:jc w:val="both"/>
        <w:rPr>
          <w:rFonts w:cs="Arial"/>
          <w:szCs w:val="17"/>
        </w:rPr>
      </w:pPr>
      <w:r>
        <w:rPr>
          <w:rFonts w:cs="Arial"/>
          <w:szCs w:val="17"/>
        </w:rPr>
        <w:t>Spezifische Prozesse, die CO</w:t>
      </w:r>
      <w:r>
        <w:rPr>
          <w:rFonts w:cs="Arial"/>
          <w:szCs w:val="10"/>
          <w:vertAlign w:val="subscript"/>
        </w:rPr>
        <w:t>2</w:t>
      </w:r>
      <w:r>
        <w:rPr>
          <w:rFonts w:cs="Arial"/>
          <w:szCs w:val="17"/>
        </w:rPr>
        <w:t>-Emissionen zur Folge haben, sind u. a.:</w:t>
      </w:r>
    </w:p>
    <w:p>
      <w:pPr>
        <w:pStyle w:val="GesAbsatz"/>
        <w:tabs>
          <w:tab w:val="clear" w:pos="425"/>
          <w:tab w:val="left" w:pos="426"/>
        </w:tabs>
        <w:jc w:val="both"/>
        <w:rPr>
          <w:rFonts w:cs="Arial"/>
          <w:szCs w:val="17"/>
        </w:rPr>
      </w:pPr>
      <w:r>
        <w:rPr>
          <w:rFonts w:cs="Arial"/>
          <w:szCs w:val="17"/>
        </w:rPr>
        <w:t>1) Regenerierung katalytischer Cracker und anderer Katalysatoren</w:t>
      </w:r>
    </w:p>
    <w:p>
      <w:pPr>
        <w:pStyle w:val="GesAbsatz"/>
        <w:tabs>
          <w:tab w:val="clear" w:pos="425"/>
          <w:tab w:val="left" w:pos="426"/>
        </w:tabs>
        <w:jc w:val="both"/>
        <w:rPr>
          <w:rFonts w:cs="Arial"/>
          <w:szCs w:val="17"/>
        </w:rPr>
      </w:pPr>
      <w:r>
        <w:rPr>
          <w:rFonts w:cs="Arial"/>
          <w:szCs w:val="17"/>
        </w:rPr>
        <w:t>Der auf dem Katalysator abgelagerte Koks (als Nebenprodukt) des Crackverfahrens wird im Regen</w:t>
      </w:r>
      <w:r>
        <w:rPr>
          <w:rFonts w:cs="Arial"/>
          <w:szCs w:val="17"/>
        </w:rPr>
        <w:t>e</w:t>
      </w:r>
      <w:r>
        <w:rPr>
          <w:rFonts w:cs="Arial"/>
          <w:szCs w:val="17"/>
        </w:rPr>
        <w:t>rator verbrannt, um die Aktivität des Katalysators wiederherzustellen. In anderen Raffinationsproze</w:t>
      </w:r>
      <w:r>
        <w:rPr>
          <w:rFonts w:cs="Arial"/>
          <w:szCs w:val="17"/>
        </w:rPr>
        <w:t>s</w:t>
      </w:r>
      <w:r>
        <w:rPr>
          <w:rFonts w:cs="Arial"/>
          <w:szCs w:val="17"/>
        </w:rPr>
        <w:t>sen wird ein Katalysator eingesetzt, der regeneriert werden muss, z. B. bei der katalytischen Refo</w:t>
      </w:r>
      <w:r>
        <w:rPr>
          <w:rFonts w:cs="Arial"/>
          <w:szCs w:val="17"/>
        </w:rPr>
        <w:t>r</w:t>
      </w:r>
      <w:r>
        <w:rPr>
          <w:rFonts w:cs="Arial"/>
          <w:szCs w:val="17"/>
        </w:rPr>
        <w:t>mierung.</w:t>
      </w:r>
    </w:p>
    <w:p>
      <w:pPr>
        <w:pStyle w:val="GesAbsatz"/>
        <w:tabs>
          <w:tab w:val="clear" w:pos="425"/>
          <w:tab w:val="left" w:pos="426"/>
        </w:tabs>
        <w:jc w:val="both"/>
        <w:rPr>
          <w:rFonts w:cs="Arial"/>
          <w:szCs w:val="17"/>
        </w:rPr>
      </w:pPr>
      <w:r>
        <w:rPr>
          <w:rFonts w:cs="Arial"/>
          <w:szCs w:val="17"/>
        </w:rPr>
        <w:t>Die im Rahmen dieses Prozesses freigesetzte Menge CO</w:t>
      </w:r>
      <w:r>
        <w:rPr>
          <w:rFonts w:cs="Arial"/>
          <w:szCs w:val="10"/>
          <w:vertAlign w:val="subscript"/>
        </w:rPr>
        <w:t>2</w:t>
      </w:r>
      <w:r>
        <w:rPr>
          <w:rFonts w:cs="Arial"/>
          <w:szCs w:val="10"/>
        </w:rPr>
        <w:t xml:space="preserve"> </w:t>
      </w:r>
      <w:r>
        <w:rPr>
          <w:rFonts w:cs="Arial"/>
          <w:szCs w:val="17"/>
        </w:rPr>
        <w:t>wird entsprechend den Vorgaben von Anhang II berechnet. Dabei werden die Menge verbrannten Kokses als Tätigkeitsdaten und der Kohle</w:t>
      </w:r>
      <w:r>
        <w:rPr>
          <w:rFonts w:cs="Arial"/>
          <w:szCs w:val="17"/>
        </w:rPr>
        <w:t>n</w:t>
      </w:r>
      <w:r>
        <w:rPr>
          <w:rFonts w:cs="Arial"/>
          <w:szCs w:val="17"/>
        </w:rPr>
        <w:t>stoffgehalt des Kokses als Grundlage für die Ermittlung des Emissionsfaktors zugrunde gelegt.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Tätigkeitsdaten ×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während des Berichtszeitraums vom Katalysator abgebrannte Menge Koks [t] entsprechend den für den spezifischen Prozess geltenden Leitlinien hinsichtlich der bewährtesten Praxis („Best Practice Guid</w:t>
      </w:r>
      <w:r>
        <w:rPr>
          <w:rFonts w:cs="Arial"/>
          <w:szCs w:val="17"/>
        </w:rPr>
        <w:t>e</w:t>
      </w:r>
      <w:r>
        <w:rPr>
          <w:rFonts w:cs="Arial"/>
          <w:szCs w:val="17"/>
        </w:rPr>
        <w:t>lines“).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während des Berichtszeitraums vom Katalysator abgebrannte Menge Koks [t], ermittelt anhand der Wärme- und Massenbilanz des katalytischen Crackers.</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Der tätigkeitsspezifische Emissionsfaktor [t CO</w:t>
      </w:r>
      <w:r>
        <w:rPr>
          <w:rFonts w:cs="Arial"/>
          <w:szCs w:val="10"/>
          <w:vertAlign w:val="subscript"/>
        </w:rPr>
        <w:t>2</w:t>
      </w:r>
      <w:r>
        <w:rPr>
          <w:rFonts w:cs="Arial"/>
          <w:szCs w:val="17"/>
        </w:rPr>
        <w:t>/t Koks] auf der Grundlage des Kohlenstoffgehalts des Koks, der in Übereinstimmung mit den Vorgaben von Abschnitt 10 des Anhangs I berechnet wird.</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2) Kokserzeugungsanlagen</w:t>
      </w:r>
    </w:p>
    <w:p>
      <w:pPr>
        <w:pStyle w:val="GesAbsatz"/>
        <w:jc w:val="both"/>
        <w:rPr>
          <w:rFonts w:cs="Arial"/>
          <w:szCs w:val="17"/>
        </w:rPr>
      </w:pPr>
      <w:r>
        <w:rPr>
          <w:rFonts w:cs="Arial"/>
          <w:szCs w:val="17"/>
        </w:rPr>
        <w:t>Die CO</w:t>
      </w:r>
      <w:r>
        <w:rPr>
          <w:rFonts w:cs="Arial"/>
          <w:szCs w:val="10"/>
          <w:vertAlign w:val="subscript"/>
        </w:rPr>
        <w:t>2</w:t>
      </w:r>
      <w:r>
        <w:rPr>
          <w:rFonts w:cs="Arial"/>
          <w:szCs w:val="17"/>
        </w:rPr>
        <w:t>-Ableitungen aus dem Koksbrenner der Fluid-Coking- und Flexicoking-Anlagen werden wie folgt berechnet:</w:t>
      </w:r>
    </w:p>
    <w:p>
      <w:pPr>
        <w:pStyle w:val="GesAbsatz"/>
        <w:jc w:val="center"/>
        <w:rPr>
          <w:rFonts w:cs="Arial"/>
          <w:szCs w:val="17"/>
        </w:rPr>
      </w:pPr>
      <w:r>
        <w:rPr>
          <w:rFonts w:cs="Arial"/>
          <w:szCs w:val="17"/>
        </w:rPr>
        <w:t>CO</w:t>
      </w:r>
      <w:r>
        <w:rPr>
          <w:rFonts w:cs="Arial"/>
          <w:szCs w:val="10"/>
          <w:vertAlign w:val="subscript"/>
        </w:rPr>
        <w:t>2</w:t>
      </w:r>
      <w:r>
        <w:rPr>
          <w:rFonts w:cs="Arial"/>
          <w:szCs w:val="10"/>
        </w:rPr>
        <w:t xml:space="preserve"> </w:t>
      </w:r>
      <w:r>
        <w:rPr>
          <w:rFonts w:cs="Arial"/>
          <w:szCs w:val="17"/>
        </w:rPr>
        <w:t>= Tätigkeitsdaten × Emissionsfaktor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im Berichtszeitraum erzeugte Menge Koks [t], ermittelt durch Wiegen mit einem maximal zulässigen Unsicherheitsfaktor von weniger als ± 5,0 % je Messvorgang.</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im Berichtszeitraum erzeugte Menge Koks [t], ermittelt durch Wiegen mit einem maximal zulässigen Unsicherheitsfaktor von weniger als ± 2,5 % je Messvorgang.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Der spezifische Emissionsfaktor [t CO</w:t>
      </w:r>
      <w:r>
        <w:rPr>
          <w:rFonts w:cs="Arial"/>
          <w:szCs w:val="10"/>
          <w:vertAlign w:val="subscript"/>
        </w:rPr>
        <w:t>2</w:t>
      </w:r>
      <w:r>
        <w:rPr>
          <w:rFonts w:cs="Arial"/>
          <w:szCs w:val="17"/>
        </w:rPr>
        <w:t>/t Koks] entsprechend den Vorgaben der für den spezifischen Pr</w:t>
      </w:r>
      <w:r>
        <w:rPr>
          <w:rFonts w:cs="Arial"/>
          <w:szCs w:val="17"/>
        </w:rPr>
        <w:t>o</w:t>
      </w:r>
      <w:r>
        <w:rPr>
          <w:rFonts w:cs="Arial"/>
          <w:szCs w:val="17"/>
        </w:rPr>
        <w:t>zess geltenden Leitlinien hinsichtlich der bewährtesten Praxis („Best Practice Guidelines“).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lastRenderedPageBreak/>
        <w:t>Der spezifische Emissionsfaktor [t CO</w:t>
      </w:r>
      <w:r>
        <w:rPr>
          <w:rFonts w:cs="Arial"/>
          <w:szCs w:val="10"/>
          <w:vertAlign w:val="subscript"/>
        </w:rPr>
        <w:t>2</w:t>
      </w:r>
      <w:r>
        <w:rPr>
          <w:rFonts w:cs="Arial"/>
          <w:szCs w:val="17"/>
        </w:rPr>
        <w:t>/t Koks], der in Einklang mit den Vorgaben von Abschnitt 10 des Anhangs I anhand des in den Abgasen gemessenen CO</w:t>
      </w:r>
      <w:r>
        <w:rPr>
          <w:rFonts w:cs="Arial"/>
          <w:szCs w:val="10"/>
          <w:vertAlign w:val="subscript"/>
        </w:rPr>
        <w:t>2</w:t>
      </w:r>
      <w:r>
        <w:rPr>
          <w:rFonts w:cs="Arial"/>
          <w:szCs w:val="17"/>
        </w:rPr>
        <w:t>-Gehalts abgeleitet wird.</w:t>
      </w:r>
    </w:p>
    <w:p>
      <w:pPr>
        <w:pStyle w:val="GesAbsatz"/>
        <w:jc w:val="both"/>
        <w:rPr>
          <w:rFonts w:cs="Arial"/>
          <w:szCs w:val="17"/>
        </w:rPr>
      </w:pPr>
      <w:r>
        <w:rPr>
          <w:rFonts w:cs="Arial"/>
          <w:szCs w:val="17"/>
        </w:rPr>
        <w:t>3) Wasserstofferzeugung in Raffinerien</w:t>
      </w:r>
    </w:p>
    <w:p>
      <w:pPr>
        <w:pStyle w:val="GesAbsatz"/>
        <w:jc w:val="both"/>
        <w:rPr>
          <w:rFonts w:cs="Arial"/>
          <w:szCs w:val="17"/>
        </w:rPr>
      </w:pPr>
      <w:r>
        <w:rPr>
          <w:rFonts w:cs="Arial"/>
          <w:szCs w:val="17"/>
        </w:rPr>
        <w:t>Das freigesetzte CO</w:t>
      </w:r>
      <w:r>
        <w:rPr>
          <w:rFonts w:cs="Arial"/>
          <w:szCs w:val="10"/>
          <w:vertAlign w:val="subscript"/>
        </w:rPr>
        <w:t>2</w:t>
      </w:r>
      <w:r>
        <w:rPr>
          <w:rFonts w:cs="Arial"/>
          <w:szCs w:val="10"/>
        </w:rPr>
        <w:t xml:space="preserve"> </w:t>
      </w:r>
      <w:r>
        <w:rPr>
          <w:rFonts w:cs="Arial"/>
          <w:szCs w:val="17"/>
        </w:rPr>
        <w:t>stammt aus dem Kohlenstoffgehalt des Einsatzgases. Daher sind die CO</w:t>
      </w:r>
      <w:r>
        <w:rPr>
          <w:rFonts w:cs="Arial"/>
          <w:szCs w:val="10"/>
          <w:vertAlign w:val="subscript"/>
        </w:rPr>
        <w:t>2</w:t>
      </w:r>
      <w:r>
        <w:rPr>
          <w:rFonts w:cs="Arial"/>
          <w:szCs w:val="17"/>
        </w:rPr>
        <w:t>-Emissionen hier anhand des Inputs zu berechnen.</w:t>
      </w:r>
    </w:p>
    <w:p>
      <w:pPr>
        <w:pStyle w:val="GesAbsatz"/>
        <w:jc w:val="center"/>
        <w:rPr>
          <w:rFonts w:cs="Arial"/>
          <w:szCs w:val="17"/>
        </w:rPr>
      </w:pPr>
      <w:r>
        <w:rPr>
          <w:rFonts w:cs="Arial"/>
          <w:szCs w:val="17"/>
        </w:rPr>
        <w:t>CO</w:t>
      </w:r>
      <w:r>
        <w:rPr>
          <w:rFonts w:cs="Arial"/>
          <w:szCs w:val="10"/>
          <w:vertAlign w:val="subscript"/>
        </w:rPr>
        <w:t>2</w:t>
      </w:r>
      <w:r>
        <w:rPr>
          <w:rFonts w:cs="Arial"/>
          <w:szCs w:val="10"/>
        </w:rPr>
        <w:t xml:space="preserve"> </w:t>
      </w:r>
      <w:r>
        <w:rPr>
          <w:rFonts w:cs="Arial"/>
          <w:szCs w:val="17"/>
        </w:rPr>
        <w:t>Emissionen = Tätigkeitsdaten</w:t>
      </w:r>
      <w:r>
        <w:rPr>
          <w:rFonts w:cs="Arial"/>
          <w:szCs w:val="10"/>
          <w:vertAlign w:val="subscript"/>
        </w:rPr>
        <w:t>Input</w:t>
      </w:r>
      <w:r>
        <w:rPr>
          <w:rFonts w:cs="Arial"/>
          <w:szCs w:val="10"/>
        </w:rPr>
        <w:t xml:space="preserve"> </w:t>
      </w:r>
      <w:r>
        <w:rPr>
          <w:rFonts w:cs="Arial"/>
          <w:szCs w:val="17"/>
        </w:rPr>
        <w:t>× Emissionsfaktor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im Berichtszeitraum eingesetzte Menge Kohlenwasserstoff [t Einsatzmenge], errechnet anhand Vol</w:t>
      </w:r>
      <w:r>
        <w:rPr>
          <w:rFonts w:cs="Arial"/>
          <w:szCs w:val="17"/>
        </w:rPr>
        <w:t>u</w:t>
      </w:r>
      <w:r>
        <w:rPr>
          <w:rFonts w:cs="Arial"/>
          <w:szCs w:val="17"/>
        </w:rPr>
        <w:t>menmessung mit einem maximal zulässigen Unsicherheitsfaktor von ± 7,5 % je Messvorgang.</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im Berichtszeitraum eingesetzte Menge Kohlenwasserstoff [t Einsatzmenge], errechnet anhand Vol</w:t>
      </w:r>
      <w:r>
        <w:rPr>
          <w:rFonts w:cs="Arial"/>
          <w:szCs w:val="17"/>
        </w:rPr>
        <w:t>u</w:t>
      </w:r>
      <w:r>
        <w:rPr>
          <w:rFonts w:cs="Arial"/>
          <w:szCs w:val="17"/>
        </w:rPr>
        <w:t>menmessung mit einem maximal zulässigen Unsicherheitsfaktor von ± 2,5 % je Messvorgang.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Anwendung eines Referenzwerts von 2,9 t CO</w:t>
      </w:r>
      <w:r>
        <w:rPr>
          <w:rFonts w:cs="Arial"/>
          <w:szCs w:val="10"/>
          <w:vertAlign w:val="subscript"/>
        </w:rPr>
        <w:t>2</w:t>
      </w:r>
      <w:r>
        <w:rPr>
          <w:rFonts w:cs="Arial"/>
          <w:szCs w:val="10"/>
        </w:rPr>
        <w:t xml:space="preserve"> </w:t>
      </w:r>
      <w:r>
        <w:rPr>
          <w:rFonts w:cs="Arial"/>
          <w:szCs w:val="17"/>
        </w:rPr>
        <w:t>je t Eingangsmaterial (traditionell auf der Grundlage von Ethan).</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Anwendung eines tätigkeitsspezifischen Emissionsfaktors [CO</w:t>
      </w:r>
      <w:r>
        <w:rPr>
          <w:rFonts w:cs="Arial"/>
          <w:szCs w:val="10"/>
          <w:vertAlign w:val="subscript"/>
        </w:rPr>
        <w:t>2</w:t>
      </w:r>
      <w:r>
        <w:rPr>
          <w:rFonts w:cs="Arial"/>
          <w:szCs w:val="17"/>
        </w:rPr>
        <w:t>/t Eingangsmaterial], berechnet anhand des Kohlenstoffgehalts des Einsatzgases entsprechend den Vorgaben von Abschnitt 10 des Anhangs I.</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bCs/>
          <w:szCs w:val="10"/>
        </w:rPr>
      </w:pPr>
      <w:r>
        <w:rPr>
          <w:rFonts w:cs="Arial"/>
          <w:b/>
          <w:bCs/>
          <w:szCs w:val="17"/>
        </w:rPr>
        <w:t>3. BESTIMMUNG ANDERER TREIBHAUSGASEMISSIONEN ALS CO</w:t>
      </w:r>
      <w:r>
        <w:rPr>
          <w:rFonts w:cs="Arial"/>
          <w:b/>
          <w:bCs/>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pPr>
      <w:r>
        <w:br w:type="page"/>
      </w:r>
      <w:bookmarkStart w:id="7" w:name="_Toc67281922"/>
      <w:r>
        <w:lastRenderedPageBreak/>
        <w:t>ANHANG IV</w:t>
      </w:r>
      <w:r>
        <w:br/>
        <w:t>Tätigkeitsspezifische Leitlinien für Kokereien gemäß Anhang I der Richtlinie</w:t>
      </w:r>
      <w:bookmarkEnd w:id="7"/>
    </w:p>
    <w:p>
      <w:pPr>
        <w:pStyle w:val="GesAbsatz"/>
        <w:jc w:val="both"/>
        <w:rPr>
          <w:rFonts w:cs="Arial"/>
          <w:b/>
          <w:bCs/>
          <w:szCs w:val="17"/>
        </w:rPr>
      </w:pPr>
      <w:r>
        <w:rPr>
          <w:rFonts w:cs="Arial"/>
          <w:b/>
          <w:bCs/>
          <w:szCs w:val="17"/>
        </w:rPr>
        <w:t>1. EINSCHRÄNKUNGEN UND VOLLSTÄNDIGKEIT</w:t>
      </w:r>
    </w:p>
    <w:p>
      <w:pPr>
        <w:pStyle w:val="GesAbsatz"/>
        <w:jc w:val="both"/>
        <w:rPr>
          <w:rFonts w:cs="Arial"/>
          <w:szCs w:val="17"/>
        </w:rPr>
      </w:pPr>
      <w:r>
        <w:rPr>
          <w:rFonts w:cs="Arial"/>
          <w:szCs w:val="17"/>
        </w:rPr>
        <w:t>Kokereien sind oftmals Teil von Stahlwerken, die in einem direkten technischen Zusammenhang mit Si</w:t>
      </w:r>
      <w:r>
        <w:rPr>
          <w:rFonts w:cs="Arial"/>
          <w:szCs w:val="17"/>
        </w:rPr>
        <w:t>n</w:t>
      </w:r>
      <w:r>
        <w:rPr>
          <w:rFonts w:cs="Arial"/>
          <w:szCs w:val="17"/>
        </w:rPr>
        <w:t>teranlagen und Anlagen für die Herstellung von Roheisen und Stahl, einschließlich Stranggießen, stehen und während ihres regulären Betriebs einen intensiven Energie- und Materialaustausch verursachen (be</w:t>
      </w:r>
      <w:r>
        <w:rPr>
          <w:rFonts w:cs="Arial"/>
          <w:szCs w:val="17"/>
        </w:rPr>
        <w:t>i</w:t>
      </w:r>
      <w:r>
        <w:rPr>
          <w:rFonts w:cs="Arial"/>
          <w:szCs w:val="17"/>
        </w:rPr>
        <w:t>spielsweise Gichtgas, Kokereigas, Koks). Wenn sich die Genehmigung der in Frage stehenden Anlage gemäß den Artikeln 4, 5 und 6 der Richtlinie nicht nur auf die Kokerei, sondern auf das gesamte Stah</w:t>
      </w:r>
      <w:r>
        <w:rPr>
          <w:rFonts w:cs="Arial"/>
          <w:szCs w:val="17"/>
        </w:rPr>
        <w:t>l</w:t>
      </w:r>
      <w:r>
        <w:rPr>
          <w:rFonts w:cs="Arial"/>
          <w:szCs w:val="17"/>
        </w:rPr>
        <w:t>werk bezieht, so können die CO</w:t>
      </w:r>
      <w:r>
        <w:rPr>
          <w:rFonts w:cs="Arial"/>
          <w:szCs w:val="10"/>
          <w:vertAlign w:val="subscript"/>
        </w:rPr>
        <w:t>2</w:t>
      </w:r>
      <w:r>
        <w:rPr>
          <w:rFonts w:cs="Arial"/>
          <w:szCs w:val="17"/>
        </w:rPr>
        <w:t>-Emissionen auch im Rahmen der für das gesamte Werk laufenden Überw</w:t>
      </w:r>
      <w:r>
        <w:rPr>
          <w:rFonts w:cs="Arial"/>
          <w:szCs w:val="17"/>
        </w:rPr>
        <w:t>a</w:t>
      </w:r>
      <w:r>
        <w:rPr>
          <w:rFonts w:cs="Arial"/>
          <w:szCs w:val="17"/>
        </w:rPr>
        <w:t>chung unter Anwendung des Massenbilanzansatzes erfasst werden, der in Abschnitt 2.1.1 dieses Anhangs spezifiziert wird.</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den Vorgaben von A</w:t>
      </w:r>
      <w:r>
        <w:rPr>
          <w:rFonts w:cs="Arial"/>
          <w:szCs w:val="17"/>
        </w:rPr>
        <w:t>n</w:t>
      </w:r>
      <w:r>
        <w:rPr>
          <w:rFonts w:cs="Arial"/>
          <w:szCs w:val="17"/>
        </w:rPr>
        <w:t>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In Kokereien werden aus folgenden Quellen CO</w:t>
      </w:r>
      <w:r>
        <w:rPr>
          <w:rFonts w:cs="Arial"/>
          <w:szCs w:val="10"/>
          <w:vertAlign w:val="subscript"/>
        </w:rPr>
        <w:t>2</w:t>
      </w:r>
      <w:r>
        <w:rPr>
          <w:rFonts w:cs="Arial"/>
          <w:szCs w:val="17"/>
        </w:rPr>
        <w:t>-Emissionen freigesetzt:</w:t>
      </w:r>
    </w:p>
    <w:p>
      <w:pPr>
        <w:pStyle w:val="GesAbsatz"/>
        <w:jc w:val="both"/>
        <w:rPr>
          <w:rFonts w:cs="Arial"/>
          <w:szCs w:val="17"/>
        </w:rPr>
      </w:pPr>
      <w:r>
        <w:rPr>
          <w:rFonts w:cs="Arial"/>
          <w:szCs w:val="17"/>
        </w:rPr>
        <w:t>-</w:t>
      </w:r>
      <w:r>
        <w:rPr>
          <w:rFonts w:cs="Arial"/>
          <w:szCs w:val="17"/>
        </w:rPr>
        <w:tab/>
        <w:t>Rohstoffe (Kohle oder Petrolkoks),</w:t>
      </w:r>
    </w:p>
    <w:p>
      <w:pPr>
        <w:pStyle w:val="GesAbsatz"/>
        <w:jc w:val="both"/>
        <w:rPr>
          <w:rFonts w:cs="Arial"/>
          <w:szCs w:val="17"/>
        </w:rPr>
      </w:pPr>
      <w:r>
        <w:rPr>
          <w:rFonts w:cs="Arial"/>
          <w:szCs w:val="17"/>
        </w:rPr>
        <w:t>-</w:t>
      </w:r>
      <w:r>
        <w:rPr>
          <w:rFonts w:cs="Arial"/>
          <w:szCs w:val="17"/>
        </w:rPr>
        <w:tab/>
        <w:t>herkömmliche Brennstoffe (z. B. Erdgas),</w:t>
      </w:r>
    </w:p>
    <w:p>
      <w:pPr>
        <w:pStyle w:val="GesAbsatz"/>
        <w:jc w:val="both"/>
        <w:rPr>
          <w:rFonts w:cs="Arial"/>
          <w:szCs w:val="17"/>
        </w:rPr>
      </w:pPr>
      <w:r>
        <w:rPr>
          <w:rFonts w:cs="Arial"/>
          <w:szCs w:val="17"/>
        </w:rPr>
        <w:t>-</w:t>
      </w:r>
      <w:r>
        <w:rPr>
          <w:rFonts w:cs="Arial"/>
          <w:szCs w:val="17"/>
        </w:rPr>
        <w:tab/>
        <w:t>Prozessgase (z. B. Gichtgas),</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Ist die Kokerei Teil eines Stahlwerks, kann der Betreiber die Emissionen wie folgt berechnen:</w:t>
      </w:r>
    </w:p>
    <w:p>
      <w:pPr>
        <w:pStyle w:val="GesAbsatz"/>
        <w:jc w:val="both"/>
        <w:rPr>
          <w:rFonts w:cs="Arial"/>
          <w:szCs w:val="17"/>
        </w:rPr>
      </w:pPr>
      <w:r>
        <w:rPr>
          <w:rFonts w:cs="Arial"/>
          <w:szCs w:val="17"/>
        </w:rPr>
        <w:t>a)</w:t>
      </w:r>
      <w:r>
        <w:rPr>
          <w:rFonts w:cs="Arial"/>
          <w:szCs w:val="17"/>
        </w:rPr>
        <w:tab/>
        <w:t>für das Stahlwerk insgesamt unter Verwendung des Massenbilanzansatzes oder</w:t>
      </w:r>
    </w:p>
    <w:p>
      <w:pPr>
        <w:pStyle w:val="GesAbsatz"/>
        <w:jc w:val="both"/>
        <w:rPr>
          <w:rFonts w:cs="Arial"/>
          <w:szCs w:val="17"/>
        </w:rPr>
      </w:pPr>
      <w:r>
        <w:rPr>
          <w:rFonts w:cs="Arial"/>
          <w:szCs w:val="17"/>
        </w:rPr>
        <w:t>b)</w:t>
      </w:r>
      <w:r>
        <w:rPr>
          <w:rFonts w:cs="Arial"/>
          <w:szCs w:val="17"/>
        </w:rPr>
        <w:tab/>
        <w:t>für die Kokerei als einzelne Tätigkeit des Stahlwerks.</w:t>
      </w:r>
    </w:p>
    <w:p>
      <w:pPr>
        <w:pStyle w:val="GesAbsatz"/>
        <w:jc w:val="both"/>
        <w:rPr>
          <w:rFonts w:cs="Arial"/>
          <w:i/>
          <w:iCs/>
          <w:szCs w:val="17"/>
        </w:rPr>
      </w:pPr>
      <w:r>
        <w:rPr>
          <w:rFonts w:cs="Arial"/>
          <w:szCs w:val="17"/>
        </w:rPr>
        <w:t xml:space="preserve">2.1.1. </w:t>
      </w:r>
      <w:r>
        <w:rPr>
          <w:rFonts w:cs="Arial"/>
          <w:i/>
          <w:iCs/>
          <w:szCs w:val="17"/>
        </w:rPr>
        <w:t>Massenbilanzansatz</w:t>
      </w:r>
    </w:p>
    <w:p>
      <w:pPr>
        <w:pStyle w:val="GesAbsatz"/>
        <w:jc w:val="both"/>
        <w:rPr>
          <w:rFonts w:cs="Arial"/>
          <w:szCs w:val="17"/>
        </w:rPr>
      </w:pPr>
      <w:r>
        <w:rPr>
          <w:rFonts w:cs="Arial"/>
          <w:szCs w:val="17"/>
        </w:rPr>
        <w:t>Im Rahmen des Massenbilanzansatzes werden für die Ermittlung der Treibhausgasemissionen einer A</w:t>
      </w:r>
      <w:r>
        <w:rPr>
          <w:rFonts w:cs="Arial"/>
          <w:szCs w:val="17"/>
        </w:rPr>
        <w:t>n</w:t>
      </w:r>
      <w:r>
        <w:rPr>
          <w:rFonts w:cs="Arial"/>
          <w:szCs w:val="17"/>
        </w:rPr>
        <w:t>lage der im Input-Material, in Akkumulationen, Produkten und Exporten enthaltene Kohlenstoff analysiert. Dazu wird folgende Gleichung zugrunde gelegt:</w:t>
      </w:r>
    </w:p>
    <w:p>
      <w:pPr>
        <w:pStyle w:val="GesAbsatz"/>
        <w:jc w:val="both"/>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(Input-Produkte-Export – Lagerbestandsveränderungen) × Umsetzungsfaktor CO</w:t>
      </w:r>
      <w:r>
        <w:rPr>
          <w:rFonts w:cs="Arial"/>
          <w:szCs w:val="10"/>
          <w:vertAlign w:val="subscript"/>
        </w:rPr>
        <w:t>2</w:t>
      </w:r>
      <w:r>
        <w:rPr>
          <w:rFonts w:cs="Arial"/>
          <w:szCs w:val="17"/>
        </w:rPr>
        <w:t>/C</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w:t>
      </w:r>
      <w:r>
        <w:rPr>
          <w:rFonts w:cs="Arial"/>
          <w:szCs w:val="17"/>
        </w:rPr>
        <w:tab/>
        <w:t>Input [t C]: der gesamte Kohlenstoff, der in der Anlage eingesetzt wird,</w:t>
      </w:r>
    </w:p>
    <w:p>
      <w:pPr>
        <w:pStyle w:val="GesAbsatz"/>
        <w:ind w:left="426" w:hanging="426"/>
        <w:jc w:val="both"/>
        <w:rPr>
          <w:rFonts w:cs="Arial"/>
          <w:szCs w:val="17"/>
        </w:rPr>
      </w:pPr>
      <w:r>
        <w:rPr>
          <w:rFonts w:cs="Arial"/>
          <w:szCs w:val="17"/>
        </w:rPr>
        <w:t>-</w:t>
      </w:r>
      <w:r>
        <w:rPr>
          <w:rFonts w:cs="Arial"/>
          <w:szCs w:val="17"/>
        </w:rPr>
        <w:tab/>
        <w:t>Produkte [t C]: der gesamte Kohlenstoff in Produkten und Stoffen (auch in Nebenprodukten), der aus der Massenbilanz fällt,</w:t>
      </w:r>
    </w:p>
    <w:p>
      <w:pPr>
        <w:pStyle w:val="GesAbsatz"/>
        <w:ind w:left="426" w:hanging="426"/>
        <w:jc w:val="both"/>
        <w:rPr>
          <w:rFonts w:cs="Arial"/>
          <w:szCs w:val="17"/>
        </w:rPr>
      </w:pPr>
      <w:r>
        <w:rPr>
          <w:rFonts w:cs="Arial"/>
          <w:szCs w:val="17"/>
        </w:rPr>
        <w:t>-</w:t>
      </w:r>
      <w:r>
        <w:rPr>
          <w:rFonts w:cs="Arial"/>
          <w:szCs w:val="17"/>
        </w:rPr>
        <w:tab/>
        <w:t>Export [t C]: der Kohlenstoff, der exportiert (sprich abgeleitet) wird und so der aus der Massenbilanz fällt, z. B. Einleitung in Abwasserkanal, Ablagerung auf einer Deponie oder Verluste. Die Freisetzung von Treibhausgasen in die Atmosphäre gilt nicht als Export,</w:t>
      </w:r>
    </w:p>
    <w:p>
      <w:pPr>
        <w:pStyle w:val="GesAbsatz"/>
        <w:ind w:left="426" w:hanging="426"/>
        <w:jc w:val="both"/>
        <w:rPr>
          <w:rFonts w:cs="Arial"/>
          <w:szCs w:val="17"/>
        </w:rPr>
      </w:pPr>
      <w:r>
        <w:rPr>
          <w:rFonts w:cs="Arial"/>
          <w:szCs w:val="17"/>
        </w:rPr>
        <w:t>-</w:t>
      </w:r>
      <w:r>
        <w:rPr>
          <w:rFonts w:cs="Arial"/>
          <w:szCs w:val="17"/>
        </w:rPr>
        <w:tab/>
        <w:t>Lagerbestandsveränderungen [t C]: die Zunahme der Lagerbestände an Kohlenstoff innerhalb der Anlage.</w:t>
      </w:r>
    </w:p>
    <w:p>
      <w:pPr>
        <w:pStyle w:val="GesAbsatz"/>
        <w:jc w:val="both"/>
        <w:rPr>
          <w:rFonts w:cs="Arial"/>
          <w:szCs w:val="17"/>
        </w:rPr>
      </w:pPr>
      <w:r>
        <w:rPr>
          <w:rFonts w:cs="Arial"/>
          <w:szCs w:val="17"/>
        </w:rPr>
        <w:t>Für die Berechnung ist folgende Gleichung anzuwenden:</w:t>
      </w:r>
    </w:p>
    <w:p>
      <w:pPr>
        <w:pStyle w:val="GesAbsatz"/>
        <w:jc w:val="center"/>
        <w:rPr>
          <w:rFonts w:cs="Arial"/>
          <w:szCs w:val="17"/>
        </w:rPr>
      </w:pPr>
      <w:r>
        <w:rPr>
          <w:rFonts w:cs="Arial"/>
          <w:szCs w:val="17"/>
        </w:rPr>
        <w:lastRenderedPageBreak/>
        <w:t>CO</w:t>
      </w:r>
      <w:r>
        <w:rPr>
          <w:rFonts w:cs="Arial"/>
          <w:szCs w:val="10"/>
          <w:vertAlign w:val="subscript"/>
        </w:rPr>
        <w:t>2</w:t>
      </w:r>
      <w:r>
        <w:rPr>
          <w:rFonts w:cs="Arial"/>
          <w:szCs w:val="17"/>
        </w:rPr>
        <w:t>-Emissionen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Input</w:t>
      </w:r>
      <w:r>
        <w:rPr>
          <w:rFonts w:cs="Arial"/>
          <w:szCs w:val="10"/>
        </w:rPr>
        <w:t xml:space="preserve"> </w:t>
      </w:r>
      <w:r>
        <w:rPr>
          <w:rFonts w:cs="Arial"/>
          <w:szCs w:val="17"/>
        </w:rPr>
        <w:t>× Kohlenstoffgehalt</w:t>
      </w:r>
      <w:r>
        <w:rPr>
          <w:rFonts w:cs="Arial"/>
          <w:szCs w:val="10"/>
          <w:vertAlign w:val="subscript"/>
        </w:rPr>
        <w:t>Input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Produ</w:t>
      </w:r>
      <w:r>
        <w:rPr>
          <w:rFonts w:cs="Arial"/>
          <w:szCs w:val="10"/>
          <w:vertAlign w:val="subscript"/>
        </w:rPr>
        <w:t>k</w:t>
      </w:r>
      <w:r>
        <w:rPr>
          <w:rFonts w:cs="Arial"/>
          <w:szCs w:val="10"/>
          <w:vertAlign w:val="subscript"/>
        </w:rPr>
        <w:t>te</w:t>
      </w:r>
      <w:r>
        <w:rPr>
          <w:rFonts w:cs="Arial"/>
          <w:szCs w:val="10"/>
        </w:rPr>
        <w:t xml:space="preserve"> </w:t>
      </w:r>
      <w:r>
        <w:rPr>
          <w:rFonts w:cs="Arial"/>
          <w:szCs w:val="17"/>
        </w:rPr>
        <w:t>× Kohlenstoffgehalt</w:t>
      </w:r>
      <w:r>
        <w:rPr>
          <w:rFonts w:cs="Arial"/>
          <w:szCs w:val="10"/>
          <w:vertAlign w:val="subscript"/>
        </w:rPr>
        <w:t>Produkte</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Export</w:t>
      </w:r>
      <w:r>
        <w:rPr>
          <w:rFonts w:cs="Arial"/>
          <w:szCs w:val="10"/>
        </w:rPr>
        <w:t xml:space="preserve"> </w:t>
      </w:r>
      <w:r>
        <w:rPr>
          <w:rFonts w:cs="Arial"/>
          <w:szCs w:val="17"/>
        </w:rPr>
        <w:t>× Kohlenstoffgehalt</w:t>
      </w:r>
      <w:r>
        <w:rPr>
          <w:rFonts w:cs="Arial"/>
          <w:szCs w:val="10"/>
          <w:vertAlign w:val="subscript"/>
        </w:rPr>
        <w:t>Export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Lagerb</w:t>
      </w:r>
      <w:r>
        <w:rPr>
          <w:rFonts w:cs="Arial"/>
          <w:szCs w:val="10"/>
          <w:vertAlign w:val="subscript"/>
        </w:rPr>
        <w:t>e</w:t>
      </w:r>
      <w:r>
        <w:rPr>
          <w:rFonts w:cs="Arial"/>
          <w:szCs w:val="10"/>
          <w:vertAlign w:val="subscript"/>
        </w:rPr>
        <w:t>standsveränderungen</w:t>
      </w:r>
      <w:r>
        <w:rPr>
          <w:rFonts w:cs="Arial"/>
          <w:szCs w:val="10"/>
        </w:rPr>
        <w:t xml:space="preserve"> </w:t>
      </w:r>
      <w:r>
        <w:rPr>
          <w:rFonts w:cs="Arial"/>
          <w:szCs w:val="17"/>
        </w:rPr>
        <w:t>× Kohlenstoffgehalt</w:t>
      </w:r>
      <w:r>
        <w:rPr>
          <w:rFonts w:cs="Arial"/>
          <w:szCs w:val="10"/>
          <w:vertAlign w:val="subscript"/>
        </w:rPr>
        <w:t>Lagerbestandsveränderungen</w:t>
      </w:r>
      <w:r>
        <w:rPr>
          <w:rFonts w:cs="Arial"/>
          <w:szCs w:val="17"/>
        </w:rPr>
        <w:t>)) × 3,664</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Betreiber analysiert die Massenströme in die und aus der Anlage bzw. die diesbezüglichen Lagerb</w:t>
      </w:r>
      <w:r>
        <w:rPr>
          <w:rFonts w:cs="Arial"/>
          <w:szCs w:val="17"/>
        </w:rPr>
        <w:t>e</w:t>
      </w:r>
      <w:r>
        <w:rPr>
          <w:rFonts w:cs="Arial"/>
          <w:szCs w:val="17"/>
        </w:rPr>
        <w:t>standsveränderungen für alle relevanten Brenn- und Einsatzstoffe getrennt und erstattet Bericht darüber.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7,5 % je Messvo</w:t>
      </w:r>
      <w:r>
        <w:rPr>
          <w:rFonts w:cs="Arial"/>
          <w:szCs w:val="17"/>
        </w:rPr>
        <w:t>r</w:t>
      </w:r>
      <w:r>
        <w:rPr>
          <w:rFonts w:cs="Arial"/>
          <w:szCs w:val="17"/>
        </w:rPr>
        <w:t>gang ermittelt. Alle anderen Brennstoffmassen- und Stoffmengenströmen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5,0 % je Messvo</w:t>
      </w:r>
      <w:r>
        <w:rPr>
          <w:rFonts w:cs="Arial"/>
          <w:szCs w:val="17"/>
        </w:rPr>
        <w:t>r</w:t>
      </w:r>
      <w:r>
        <w:rPr>
          <w:rFonts w:cs="Arial"/>
          <w:szCs w:val="17"/>
        </w:rPr>
        <w:t>gang ermittelt. Alle anderen Brennstoffmassen- und Stoffmengenströmen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2,5 % je Messvorgang ermittelt.</w:t>
      </w:r>
    </w:p>
    <w:p>
      <w:pPr>
        <w:pStyle w:val="GesAbsatz"/>
        <w:jc w:val="both"/>
        <w:rPr>
          <w:rFonts w:cs="Arial"/>
          <w:szCs w:val="17"/>
        </w:rPr>
      </w:pPr>
      <w:r>
        <w:rPr>
          <w:rFonts w:cs="Arial"/>
          <w:szCs w:val="17"/>
        </w:rPr>
        <w:t>Ebene 4:</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1,0 % je Messvorgang ermittelt.</w:t>
      </w:r>
    </w:p>
    <w:p>
      <w:pPr>
        <w:pStyle w:val="GesAbsatz"/>
        <w:jc w:val="both"/>
        <w:rPr>
          <w:rFonts w:cs="Arial"/>
          <w:szCs w:val="17"/>
          <w:u w:val="single"/>
        </w:rPr>
      </w:pPr>
      <w:r>
        <w:rPr>
          <w:rFonts w:cs="Arial"/>
          <w:szCs w:val="17"/>
          <w:u w:val="single"/>
        </w:rPr>
        <w:t>b) Kohlenstoffgehalt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Bei der Berechnung der Massenbilanz hält sich der Betreiber an die Vorgaben, die in Abschnitt 10 des Anhangs I in Bezug auf die repräsentative Probenahme von Brennstoffen, Produkten und Nebenprodu</w:t>
      </w:r>
      <w:r>
        <w:rPr>
          <w:rFonts w:cs="Arial"/>
          <w:szCs w:val="17"/>
        </w:rPr>
        <w:t>k</w:t>
      </w:r>
      <w:r>
        <w:rPr>
          <w:rFonts w:cs="Arial"/>
          <w:szCs w:val="17"/>
        </w:rPr>
        <w:t>ten bzw. in Bezug auf die Ermittlung ihres Kohlenstoffgehalts und des Biomasse-Anteils angeführt sind.</w:t>
      </w:r>
    </w:p>
    <w:p>
      <w:pPr>
        <w:pStyle w:val="GesAbsatz"/>
        <w:jc w:val="both"/>
        <w:rPr>
          <w:rFonts w:cs="Arial"/>
          <w:szCs w:val="17"/>
          <w:u w:val="single"/>
        </w:rPr>
      </w:pPr>
      <w:r>
        <w:rPr>
          <w:rFonts w:cs="Arial"/>
          <w:szCs w:val="17"/>
          <w:u w:val="single"/>
        </w:rPr>
        <w:t>c) Energiegehalt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 eine einheitliche Berichterstattung zu gewährleisten, ist der Energiegehalt eines jeden Brennstoff- und Einsatzstoffstroms (ausgedrückt als spezifischer Heizwert des betreffenden Stroms) zu berechnen.</w:t>
      </w:r>
    </w:p>
    <w:p>
      <w:pPr>
        <w:pStyle w:val="GesAbsatz"/>
        <w:jc w:val="both"/>
        <w:rPr>
          <w:rFonts w:cs="Arial"/>
          <w:i/>
          <w:iCs/>
          <w:szCs w:val="17"/>
        </w:rPr>
      </w:pPr>
      <w:r>
        <w:rPr>
          <w:rFonts w:cs="Arial"/>
          <w:szCs w:val="17"/>
        </w:rPr>
        <w:t xml:space="preserve">2.1.2. </w:t>
      </w:r>
      <w:r>
        <w:rPr>
          <w:rFonts w:cs="Arial"/>
          <w:i/>
          <w:iCs/>
          <w:szCs w:val="17"/>
        </w:rPr>
        <w:t>Emissionen aus der Verbrennung</w:t>
      </w:r>
    </w:p>
    <w:p>
      <w:pPr>
        <w:pStyle w:val="GesAbsatz"/>
        <w:jc w:val="both"/>
        <w:rPr>
          <w:rFonts w:cs="Arial"/>
          <w:szCs w:val="17"/>
        </w:rPr>
      </w:pPr>
      <w:r>
        <w:rPr>
          <w:rFonts w:cs="Arial"/>
          <w:szCs w:val="17"/>
        </w:rPr>
        <w:t>Die Verbrennungsprozesse, die in Kokereien stattfinden und bei denen Brennstoffe (z. B. Koks, Kohle und Erdgas) nicht als Reduktionsmittel eingesetzt werden bzw. nicht aus metallurgischen Reaktionen sta</w:t>
      </w:r>
      <w:r>
        <w:rPr>
          <w:rFonts w:cs="Arial"/>
          <w:szCs w:val="17"/>
        </w:rPr>
        <w:t>m</w:t>
      </w:r>
      <w:r>
        <w:rPr>
          <w:rFonts w:cs="Arial"/>
          <w:szCs w:val="17"/>
        </w:rPr>
        <w:t>men, sind in Einklang mit den Vorgaben von Anhang II zu überwachen und zu melden.</w:t>
      </w:r>
    </w:p>
    <w:p>
      <w:pPr>
        <w:pStyle w:val="GesAbsatz"/>
        <w:jc w:val="both"/>
        <w:rPr>
          <w:rFonts w:cs="Arial"/>
          <w:i/>
          <w:iCs/>
          <w:szCs w:val="17"/>
        </w:rPr>
      </w:pPr>
      <w:r>
        <w:rPr>
          <w:rFonts w:cs="Arial"/>
          <w:szCs w:val="17"/>
        </w:rPr>
        <w:t xml:space="preserve">2.1.3. </w:t>
      </w:r>
      <w:r>
        <w:rPr>
          <w:rFonts w:cs="Arial"/>
          <w:i/>
          <w:iCs/>
          <w:szCs w:val="17"/>
        </w:rPr>
        <w:t>Prozessemissionen</w:t>
      </w:r>
    </w:p>
    <w:p>
      <w:pPr>
        <w:pStyle w:val="GesAbsatz"/>
        <w:jc w:val="both"/>
        <w:rPr>
          <w:rFonts w:cs="Arial"/>
          <w:szCs w:val="17"/>
        </w:rPr>
      </w:pPr>
      <w:r>
        <w:rPr>
          <w:rFonts w:cs="Arial"/>
          <w:szCs w:val="17"/>
        </w:rPr>
        <w:t>Während der Verkokung in der Kokskammer der Kokerei wird die Kohle unter Luftausschluss in Koks und rohes Kokereigas umgewandelt. Das wichtigste kohlenstoffhaltige Eingangsmaterial/Einsatzstoffstrom ist Kohle, aber auch ein Einsatz von Koksgrus, Petrolkoks, Öl und Prozessabgasen, wie z. B. Gichtgas, ist möglich. Das rohe Kokereigas enthält als Teil des Prozessoutputs viele kohlenstoffhaltige Bestandteile, darunter Kohlend</w:t>
      </w:r>
      <w:r>
        <w:rPr>
          <w:rFonts w:cs="Arial"/>
          <w:szCs w:val="17"/>
        </w:rPr>
        <w:t>i</w:t>
      </w:r>
      <w:r>
        <w:rPr>
          <w:rFonts w:cs="Arial"/>
          <w:szCs w:val="17"/>
        </w:rPr>
        <w:t>oxid (CO</w:t>
      </w:r>
      <w:r>
        <w:rPr>
          <w:rFonts w:cs="Arial"/>
          <w:szCs w:val="10"/>
          <w:vertAlign w:val="subscript"/>
        </w:rPr>
        <w:t>2</w:t>
      </w:r>
      <w:r>
        <w:rPr>
          <w:rFonts w:cs="Arial"/>
          <w:szCs w:val="17"/>
        </w:rPr>
        <w:t>), Kohlenmonoxid (CO), Methan (CH</w:t>
      </w:r>
      <w:r>
        <w:rPr>
          <w:rFonts w:cs="Arial"/>
          <w:szCs w:val="10"/>
          <w:vertAlign w:val="subscript"/>
        </w:rPr>
        <w:t>4</w:t>
      </w:r>
      <w:r>
        <w:rPr>
          <w:rFonts w:cs="Arial"/>
          <w:szCs w:val="17"/>
        </w:rPr>
        <w:t>), Kohlenwasserstoffe (C</w:t>
      </w:r>
      <w:r>
        <w:rPr>
          <w:rFonts w:cs="Arial"/>
          <w:szCs w:val="10"/>
          <w:vertAlign w:val="subscript"/>
        </w:rPr>
        <w:t>x</w:t>
      </w:r>
      <w:r>
        <w:rPr>
          <w:rFonts w:cs="Arial"/>
          <w:szCs w:val="17"/>
        </w:rPr>
        <w:t>H</w:t>
      </w:r>
      <w:r>
        <w:rPr>
          <w:rFonts w:cs="Arial"/>
          <w:szCs w:val="10"/>
          <w:vertAlign w:val="subscript"/>
        </w:rPr>
        <w:t>y</w:t>
      </w:r>
      <w:r>
        <w:rPr>
          <w:rFonts w:cs="Arial"/>
          <w:szCs w:val="17"/>
        </w:rPr>
        <w:t>).</w:t>
      </w:r>
    </w:p>
    <w:p>
      <w:pPr>
        <w:pStyle w:val="GesAbsatz"/>
        <w:jc w:val="both"/>
        <w:rPr>
          <w:rFonts w:cs="Arial"/>
          <w:szCs w:val="17"/>
        </w:rPr>
      </w:pPr>
      <w:r>
        <w:rPr>
          <w:rFonts w:cs="Arial"/>
          <w:szCs w:val="17"/>
        </w:rPr>
        <w:t>Die gesamten CO</w:t>
      </w:r>
      <w:r>
        <w:rPr>
          <w:rFonts w:cs="Arial"/>
          <w:szCs w:val="10"/>
          <w:vertAlign w:val="subscript"/>
        </w:rPr>
        <w:t>2</w:t>
      </w:r>
      <w:r>
        <w:rPr>
          <w:rFonts w:cs="Arial"/>
          <w:szCs w:val="17"/>
        </w:rPr>
        <w:t>-Emissionen aus Kokereien werden wie folgt berechnet:</w:t>
      </w:r>
    </w:p>
    <w:p>
      <w:pPr>
        <w:pStyle w:val="GesAbsatz"/>
        <w:jc w:val="center"/>
        <w:rPr>
          <w:rFonts w:cs="Arial"/>
          <w:szCs w:val="17"/>
        </w:rPr>
      </w:pPr>
      <w:r>
        <w:rPr>
          <w:rFonts w:cs="Arial"/>
          <w:szCs w:val="17"/>
        </w:rPr>
        <w:lastRenderedPageBreak/>
        <w:t>CO</w:t>
      </w:r>
      <w:r>
        <w:rPr>
          <w:rFonts w:cs="Arial"/>
          <w:szCs w:val="10"/>
          <w:vertAlign w:val="subscript"/>
        </w:rPr>
        <w:t>2</w:t>
      </w:r>
      <w:r>
        <w:rPr>
          <w:rFonts w:cs="Arial"/>
          <w:szCs w:val="17"/>
        </w:rPr>
        <w:t>-Emission [t CO</w:t>
      </w:r>
      <w:r>
        <w:rPr>
          <w:rFonts w:cs="Arial"/>
          <w:szCs w:val="10"/>
          <w:vertAlign w:val="subscript"/>
        </w:rPr>
        <w:t>2</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INPUT</w:t>
      </w:r>
      <w:r>
        <w:rPr>
          <w:rFonts w:cs="Arial"/>
          <w:szCs w:val="10"/>
        </w:rPr>
        <w:t xml:space="preserve"> </w:t>
      </w:r>
      <w:r>
        <w:rPr>
          <w:rFonts w:cs="Arial"/>
          <w:szCs w:val="17"/>
        </w:rPr>
        <w:t>× Emissionsfaktor</w:t>
      </w:r>
      <w:r>
        <w:rPr>
          <w:rFonts w:cs="Arial"/>
          <w:szCs w:val="10"/>
          <w:vertAlign w:val="subscript"/>
        </w:rPr>
        <w:t>INPUT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OUTPUT</w:t>
      </w:r>
      <w:r>
        <w:rPr>
          <w:rFonts w:cs="Arial"/>
          <w:szCs w:val="10"/>
        </w:rPr>
        <w:t xml:space="preserve"> </w:t>
      </w:r>
      <w:r>
        <w:rPr>
          <w:rFonts w:cs="Arial"/>
          <w:szCs w:val="17"/>
        </w:rPr>
        <w:t>× Emissionsfaktor</w:t>
      </w:r>
      <w:r>
        <w:rPr>
          <w:rFonts w:cs="Arial"/>
          <w:szCs w:val="10"/>
          <w:vertAlign w:val="subscript"/>
        </w:rPr>
        <w:t>OUTPUT</w:t>
      </w:r>
      <w:r>
        <w:rPr>
          <w:rFonts w:cs="Arial"/>
          <w:szCs w:val="17"/>
        </w:rPr>
        <w:t>)</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Die Tätigkeitsdaten</w:t>
      </w:r>
      <w:r>
        <w:rPr>
          <w:rFonts w:cs="Arial"/>
          <w:szCs w:val="10"/>
          <w:vertAlign w:val="subscript"/>
        </w:rPr>
        <w:t>INPUT</w:t>
      </w:r>
      <w:r>
        <w:rPr>
          <w:rFonts w:cs="Arial"/>
          <w:szCs w:val="10"/>
        </w:rPr>
        <w:t xml:space="preserve"> </w:t>
      </w:r>
      <w:r>
        <w:rPr>
          <w:rFonts w:cs="Arial"/>
          <w:szCs w:val="17"/>
        </w:rPr>
        <w:t>beziehen sich auf Kohle als Rohstoff, Koksgrus, Petrolkoks, Öl, Gichtgas, Kok</w:t>
      </w:r>
      <w:r>
        <w:rPr>
          <w:rFonts w:cs="Arial"/>
          <w:szCs w:val="17"/>
        </w:rPr>
        <w:t>e</w:t>
      </w:r>
      <w:r>
        <w:rPr>
          <w:rFonts w:cs="Arial"/>
          <w:szCs w:val="17"/>
        </w:rPr>
        <w:t>reigas u. Ä. umfassen. Die Tätigkeitsdaten</w:t>
      </w:r>
      <w:r>
        <w:rPr>
          <w:rFonts w:cs="Arial"/>
          <w:szCs w:val="10"/>
          <w:vertAlign w:val="subscript"/>
        </w:rPr>
        <w:t>OUTPUT</w:t>
      </w:r>
      <w:r>
        <w:rPr>
          <w:rFonts w:cs="Arial"/>
          <w:szCs w:val="10"/>
        </w:rPr>
        <w:t xml:space="preserve"> </w:t>
      </w:r>
      <w:r>
        <w:rPr>
          <w:rFonts w:cs="Arial"/>
          <w:szCs w:val="17"/>
        </w:rPr>
        <w:t>können sich beziehen auf: Koks, Teer, Leichtöl, Kokere</w:t>
      </w:r>
      <w:r>
        <w:rPr>
          <w:rFonts w:cs="Arial"/>
          <w:szCs w:val="17"/>
        </w:rPr>
        <w:t>i</w:t>
      </w:r>
      <w:r>
        <w:rPr>
          <w:rFonts w:cs="Arial"/>
          <w:szCs w:val="17"/>
        </w:rPr>
        <w:t>gas u. Ä.</w:t>
      </w:r>
    </w:p>
    <w:p>
      <w:pPr>
        <w:pStyle w:val="GesAbsatz"/>
        <w:jc w:val="both"/>
        <w:rPr>
          <w:rFonts w:cs="Arial"/>
          <w:szCs w:val="17"/>
        </w:rPr>
      </w:pPr>
      <w:r>
        <w:rPr>
          <w:rFonts w:cs="Arial"/>
          <w:szCs w:val="17"/>
        </w:rPr>
        <w:t>a1) Brennstoffe als Prozessinput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Der Massenstrom von Brennstoffen in die und aus der Anlage wird anhand von Messgeräten mit einem maximal zulässigen Unsicherheitsfaktor von weniger als ± 7,5 % je Messvorgang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Der Massenstrom von Brennstoffen in die und aus der Anlage wird anhand von Messgeräten mit einem maximal zulässigen Unsicherheitsfaktor von weniger als ± 5,0 % je Messvorgang ermittelt.</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Der Massenstrom des Brennstoffs in die bzw. aus der Anlage wird anhand von Messgeräten mit einem maximal zulässigen Unsicherheitsfaktor von weniger als ± 2,5 % je Messvorgang ermittelt.</w:t>
      </w:r>
    </w:p>
    <w:p>
      <w:pPr>
        <w:pStyle w:val="GesAbsatz"/>
        <w:jc w:val="both"/>
        <w:rPr>
          <w:rFonts w:cs="Arial"/>
          <w:szCs w:val="17"/>
        </w:rPr>
      </w:pPr>
      <w:r>
        <w:rPr>
          <w:rFonts w:cs="Arial"/>
          <w:szCs w:val="17"/>
        </w:rPr>
        <w:t>Ebene 4:</w:t>
      </w:r>
    </w:p>
    <w:p>
      <w:pPr>
        <w:pStyle w:val="GesAbsatz"/>
        <w:jc w:val="both"/>
        <w:rPr>
          <w:rFonts w:cs="Arial"/>
          <w:szCs w:val="17"/>
        </w:rPr>
      </w:pPr>
      <w:r>
        <w:rPr>
          <w:rFonts w:cs="Arial"/>
          <w:szCs w:val="17"/>
        </w:rPr>
        <w:t>Der Massenstrom des Brennstoffs in die bzw. aus der Anlage wird anhand von Messgeräten mit einem maximal zulässigen Unsicherheitsfaktor von weniger als ± 1,0 % je Messvorgang ermittelt.</w:t>
      </w:r>
    </w:p>
    <w:p>
      <w:pPr>
        <w:pStyle w:val="GesAbsatz"/>
        <w:jc w:val="both"/>
        <w:rPr>
          <w:rFonts w:cs="Arial"/>
          <w:szCs w:val="17"/>
        </w:rPr>
      </w:pPr>
      <w:r>
        <w:rPr>
          <w:rFonts w:cs="Arial"/>
          <w:szCs w:val="17"/>
        </w:rPr>
        <w:t>a2) Spezifischer Heizwert</w:t>
      </w:r>
    </w:p>
    <w:p>
      <w:pPr>
        <w:pStyle w:val="GesAbsatz"/>
        <w:jc w:val="both"/>
        <w:rPr>
          <w:rFonts w:cs="Arial"/>
          <w:szCs w:val="17"/>
        </w:rPr>
      </w:pPr>
      <w:r>
        <w:rPr>
          <w:rFonts w:cs="Arial"/>
          <w:szCs w:val="17"/>
        </w:rPr>
        <w:t>Ebene 1:</w:t>
      </w:r>
    </w:p>
    <w:p>
      <w:pPr>
        <w:pStyle w:val="GesAbsatz"/>
        <w:jc w:val="both"/>
        <w:rPr>
          <w:rFonts w:cs="Arial"/>
          <w:szCs w:val="17"/>
          <w:lang w:val="en-GB"/>
        </w:rPr>
      </w:pPr>
      <w:r>
        <w:rPr>
          <w:rFonts w:cs="Arial"/>
          <w:szCs w:val="17"/>
        </w:rPr>
        <w:t xml:space="preserve">Der Betreiber legt für jeden Brennstoff einen länderspezifischen Heizwert zugrunde. </w:t>
      </w:r>
      <w:r>
        <w:rPr>
          <w:rFonts w:cs="Arial"/>
          <w:szCs w:val="17"/>
          <w:lang w:val="en-GB"/>
        </w:rPr>
        <w:t>Diese sind in Anl</w:t>
      </w:r>
      <w:r>
        <w:rPr>
          <w:rFonts w:cs="Arial"/>
          <w:szCs w:val="17"/>
          <w:lang w:val="en-GB"/>
        </w:rPr>
        <w:t>a</w:t>
      </w:r>
      <w:r>
        <w:rPr>
          <w:rFonts w:cs="Arial"/>
          <w:szCs w:val="17"/>
          <w:lang w:val="en-GB"/>
        </w:rPr>
        <w:t>ge 2.1 A.3 „1990 country specific net calorific values“ zur 2000 IPCC „Good Practice Guidance and Unce</w:t>
      </w:r>
      <w:r>
        <w:rPr>
          <w:rFonts w:cs="Arial"/>
          <w:szCs w:val="17"/>
          <w:lang w:val="en-GB"/>
        </w:rPr>
        <w:t>r</w:t>
      </w:r>
      <w:r>
        <w:rPr>
          <w:rFonts w:cs="Arial"/>
          <w:szCs w:val="17"/>
          <w:lang w:val="en-GB"/>
        </w:rPr>
        <w:t>tainty Management in National Greenhouse Gas Inventories“ (http://www.ipcc.ch/pub/guide.htm) fes</w:t>
      </w:r>
      <w:r>
        <w:rPr>
          <w:rFonts w:cs="Arial"/>
          <w:szCs w:val="17"/>
          <w:lang w:val="en-GB"/>
        </w:rPr>
        <w:t>t</w:t>
      </w:r>
      <w:r>
        <w:rPr>
          <w:rFonts w:cs="Arial"/>
          <w:szCs w:val="17"/>
          <w:lang w:val="en-GB"/>
        </w:rPr>
        <w:t>gelegt.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Der Betreiber legt für jeden Brennstoff einen länderspezifischen Heizwert zugrunde, wie er von dem für ihn relevanten Mitgliedstaat in seinem letzten Nationalen Treibhausgasinventar an das Sekretariat der Klim</w:t>
      </w:r>
      <w:r>
        <w:rPr>
          <w:rFonts w:cs="Arial"/>
          <w:szCs w:val="17"/>
        </w:rPr>
        <w:t>a</w:t>
      </w:r>
      <w:r>
        <w:rPr>
          <w:rFonts w:cs="Arial"/>
          <w:szCs w:val="17"/>
        </w:rPr>
        <w:t>rahmenkonvention der Vereinten Nationen übermittelt wurde.</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Der für die einzelnen Brennstoffchargen repräsentative spezifische Heizwert wird vom Betreiber, einem beauftragten Labor oder dem Brennstofflieferanten in Einklang mit den Vorgaben von Abschnitt 10 des Anhangs I gemessen.</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anzuwendenden Referenzfaktoren sind der unten stehenden Tabelle oder Abschnitt 8 des Anhangs I zu entnehmen:</w:t>
      </w:r>
    </w:p>
    <w:p>
      <w:pPr>
        <w:pStyle w:val="GesAbsatz"/>
        <w:jc w:val="both"/>
        <w:rPr>
          <w:rFonts w:cs="Arial"/>
          <w:b/>
          <w:szCs w:val="17"/>
        </w:rPr>
      </w:pPr>
      <w:r>
        <w:rPr>
          <w:rFonts w:cs="Arial"/>
          <w:b/>
          <w:szCs w:val="17"/>
        </w:rPr>
        <w:br w:type="page"/>
      </w:r>
      <w:r>
        <w:rPr>
          <w:rFonts w:cs="Arial"/>
          <w:b/>
          <w:szCs w:val="17"/>
        </w:rPr>
        <w:lastRenderedPageBreak/>
        <w:t>TABELLE 1</w:t>
      </w:r>
    </w:p>
    <w:p>
      <w:pPr>
        <w:pStyle w:val="GesAbsatz"/>
        <w:jc w:val="both"/>
        <w:rPr>
          <w:rFonts w:cs="Arial"/>
          <w:szCs w:val="17"/>
        </w:rPr>
      </w:pPr>
      <w:r>
        <w:rPr>
          <w:rFonts w:cs="Arial"/>
          <w:b/>
          <w:bCs/>
          <w:szCs w:val="17"/>
        </w:rPr>
        <w:t>Emissionsfaktoren für Prozessgase (einschließlich des CO</w:t>
      </w:r>
      <w:r>
        <w:rPr>
          <w:rFonts w:cs="Arial"/>
          <w:b/>
          <w:bCs/>
          <w:szCs w:val="10"/>
          <w:vertAlign w:val="subscript"/>
        </w:rPr>
        <w:t>2</w:t>
      </w:r>
      <w:r>
        <w:rPr>
          <w:rFonts w:cs="Arial"/>
          <w:b/>
          <w:bCs/>
          <w:szCs w:val="17"/>
        </w:rPr>
        <w:t>-Bestandteils im Brennstoff)</w:t>
      </w:r>
      <w:r>
        <w:rPr>
          <w:rStyle w:val="Funotenzeichen"/>
          <w:rFonts w:cs="Arial"/>
          <w:b/>
          <w:bCs/>
          <w:szCs w:val="17"/>
        </w:rPr>
        <w:footnoteReference w:id="26"/>
      </w:r>
      <w:r>
        <w:rPr>
          <w:rFonts w:cs="Arial"/>
          <w:b/>
          <w:bCs/>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1"/>
        <w:gridCol w:w="3130"/>
        <w:gridCol w:w="3133"/>
      </w:tblGrid>
      <w:tr>
        <w:tblPrEx>
          <w:tblCellMar>
            <w:top w:w="0" w:type="dxa"/>
            <w:bottom w:w="0" w:type="dxa"/>
          </w:tblCellMar>
        </w:tblPrEx>
        <w:trPr>
          <w:cantSplit/>
        </w:trPr>
        <w:tc>
          <w:tcPr>
            <w:tcW w:w="6362" w:type="dxa"/>
            <w:gridSpan w:val="2"/>
          </w:tcPr>
          <w:p>
            <w:pPr>
              <w:pStyle w:val="GesAbsatz"/>
              <w:jc w:val="both"/>
              <w:rPr>
                <w:rFonts w:cs="Arial"/>
                <w:szCs w:val="15"/>
              </w:rPr>
            </w:pPr>
            <w:r>
              <w:rPr>
                <w:rFonts w:cs="Arial"/>
                <w:szCs w:val="15"/>
              </w:rPr>
              <w:t>Emissionsfaktor [t CO</w:t>
            </w:r>
            <w:r>
              <w:rPr>
                <w:rFonts w:cs="Arial"/>
                <w:szCs w:val="8"/>
                <w:vertAlign w:val="subscript"/>
              </w:rPr>
              <w:t>2</w:t>
            </w:r>
            <w:r>
              <w:rPr>
                <w:rFonts w:cs="Arial"/>
                <w:szCs w:val="15"/>
              </w:rPr>
              <w:t>/TJ]</w:t>
            </w:r>
          </w:p>
        </w:tc>
        <w:tc>
          <w:tcPr>
            <w:tcW w:w="3182" w:type="dxa"/>
          </w:tcPr>
          <w:p>
            <w:pPr>
              <w:pStyle w:val="GesAbsatz"/>
              <w:jc w:val="both"/>
              <w:rPr>
                <w:rFonts w:cs="Arial"/>
                <w:szCs w:val="15"/>
              </w:rPr>
            </w:pPr>
            <w:r>
              <w:rPr>
                <w:rFonts w:cs="Arial"/>
                <w:szCs w:val="15"/>
              </w:rPr>
              <w:t>Quelle</w:t>
            </w:r>
          </w:p>
        </w:tc>
      </w:tr>
      <w:tr>
        <w:tblPrEx>
          <w:tblCellMar>
            <w:top w:w="0" w:type="dxa"/>
            <w:bottom w:w="0" w:type="dxa"/>
          </w:tblCellMar>
        </w:tblPrEx>
        <w:tc>
          <w:tcPr>
            <w:tcW w:w="3181" w:type="dxa"/>
          </w:tcPr>
          <w:p>
            <w:pPr>
              <w:pStyle w:val="GesAbsatz"/>
              <w:jc w:val="both"/>
              <w:rPr>
                <w:rFonts w:cs="Arial"/>
                <w:szCs w:val="15"/>
              </w:rPr>
            </w:pPr>
            <w:r>
              <w:rPr>
                <w:rFonts w:cs="Arial"/>
                <w:szCs w:val="17"/>
              </w:rPr>
              <w:t>Kokereigas</w:t>
            </w:r>
          </w:p>
        </w:tc>
        <w:tc>
          <w:tcPr>
            <w:tcW w:w="3181" w:type="dxa"/>
          </w:tcPr>
          <w:p>
            <w:pPr>
              <w:pStyle w:val="GesAbsatz"/>
              <w:jc w:val="both"/>
              <w:rPr>
                <w:rFonts w:cs="Arial"/>
                <w:szCs w:val="15"/>
              </w:rPr>
            </w:pPr>
            <w:r>
              <w:rPr>
                <w:rFonts w:cs="Arial"/>
                <w:szCs w:val="17"/>
              </w:rPr>
              <w:t>47,7</w:t>
            </w:r>
          </w:p>
        </w:tc>
        <w:tc>
          <w:tcPr>
            <w:tcW w:w="3182" w:type="dxa"/>
          </w:tcPr>
          <w:p>
            <w:pPr>
              <w:pStyle w:val="GesAbsatz"/>
              <w:jc w:val="both"/>
              <w:rPr>
                <w:rFonts w:cs="Arial"/>
                <w:szCs w:val="15"/>
              </w:rPr>
            </w:pPr>
            <w:r>
              <w:rPr>
                <w:rFonts w:cs="Arial"/>
                <w:szCs w:val="17"/>
              </w:rPr>
              <w:t>IPCC</w:t>
            </w:r>
          </w:p>
        </w:tc>
      </w:tr>
      <w:tr>
        <w:tblPrEx>
          <w:tblCellMar>
            <w:top w:w="0" w:type="dxa"/>
            <w:bottom w:w="0" w:type="dxa"/>
          </w:tblCellMar>
        </w:tblPrEx>
        <w:tc>
          <w:tcPr>
            <w:tcW w:w="3181" w:type="dxa"/>
          </w:tcPr>
          <w:p>
            <w:pPr>
              <w:pStyle w:val="GesAbsatz"/>
              <w:jc w:val="both"/>
              <w:rPr>
                <w:rFonts w:cs="Arial"/>
                <w:szCs w:val="17"/>
              </w:rPr>
            </w:pPr>
            <w:r>
              <w:rPr>
                <w:rFonts w:cs="Arial"/>
                <w:szCs w:val="17"/>
              </w:rPr>
              <w:t>Gichtgas</w:t>
            </w:r>
          </w:p>
        </w:tc>
        <w:tc>
          <w:tcPr>
            <w:tcW w:w="3181" w:type="dxa"/>
          </w:tcPr>
          <w:p>
            <w:pPr>
              <w:pStyle w:val="GesAbsatz"/>
              <w:jc w:val="both"/>
              <w:rPr>
                <w:rFonts w:cs="Arial"/>
                <w:szCs w:val="17"/>
              </w:rPr>
            </w:pPr>
            <w:r>
              <w:rPr>
                <w:rFonts w:cs="Arial"/>
                <w:szCs w:val="17"/>
              </w:rPr>
              <w:t>241,8</w:t>
            </w:r>
          </w:p>
        </w:tc>
        <w:tc>
          <w:tcPr>
            <w:tcW w:w="3182" w:type="dxa"/>
          </w:tcPr>
          <w:p>
            <w:pPr>
              <w:pStyle w:val="GesAbsatz"/>
              <w:jc w:val="both"/>
              <w:rPr>
                <w:rFonts w:cs="Arial"/>
                <w:szCs w:val="17"/>
              </w:rPr>
            </w:pPr>
            <w:r>
              <w:rPr>
                <w:rFonts w:cs="Arial"/>
                <w:szCs w:val="17"/>
              </w:rPr>
              <w:t>IPCC</w:t>
            </w:r>
          </w:p>
        </w:tc>
      </w:tr>
    </w:tbl>
    <w:p>
      <w:pPr>
        <w:pStyle w:val="GesAbsatz"/>
        <w:jc w:val="both"/>
        <w:rPr>
          <w:rFonts w:cs="Arial"/>
          <w:szCs w:val="15"/>
        </w:rPr>
      </w:pP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spezifischen Emissionsfaktoren werden in Einklang mit den Vorgaben von Abschnitt 10 des A</w:t>
      </w:r>
      <w:r>
        <w:rPr>
          <w:rFonts w:cs="Arial"/>
          <w:szCs w:val="17"/>
        </w:rPr>
        <w:t>n</w:t>
      </w:r>
      <w:r>
        <w:rPr>
          <w:rFonts w:cs="Arial"/>
          <w:szCs w:val="17"/>
        </w:rPr>
        <w:t>hangs I ermittelt.</w:t>
      </w:r>
    </w:p>
    <w:p>
      <w:pPr>
        <w:pStyle w:val="GesAbsatz"/>
        <w:jc w:val="both"/>
        <w:rPr>
          <w:rFonts w:cs="Arial"/>
          <w:szCs w:val="17"/>
        </w:rPr>
      </w:pPr>
      <w:r>
        <w:rPr>
          <w:rFonts w:cs="Arial"/>
          <w:szCs w:val="17"/>
        </w:rPr>
        <w:t>2.2. Messung der CO</w:t>
      </w:r>
      <w:r>
        <w:rPr>
          <w:rFonts w:cs="Arial"/>
          <w:szCs w:val="10"/>
          <w:vertAlign w:val="subscript"/>
        </w:rPr>
        <w:t>2</w:t>
      </w:r>
      <w:r>
        <w:rPr>
          <w:rFonts w:cs="Arial"/>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pPr>
      <w:r>
        <w:br w:type="page"/>
      </w:r>
      <w:bookmarkStart w:id="8" w:name="_Toc67281923"/>
      <w:r>
        <w:lastRenderedPageBreak/>
        <w:t>ANHANG V</w:t>
      </w:r>
      <w:r>
        <w:br/>
        <w:t>Tätigkeitsspezifische Leitlinien für Röst- und Sinteranlagen für Metallerz gemäß Anhang I der Richtlinie</w:t>
      </w:r>
      <w:bookmarkEnd w:id="8"/>
    </w:p>
    <w:p>
      <w:pPr>
        <w:pStyle w:val="GesAbsatz"/>
        <w:jc w:val="both"/>
        <w:rPr>
          <w:rFonts w:cs="Arial"/>
          <w:b/>
          <w:szCs w:val="17"/>
        </w:rPr>
      </w:pPr>
      <w:r>
        <w:rPr>
          <w:rFonts w:cs="Arial"/>
          <w:b/>
          <w:szCs w:val="17"/>
        </w:rPr>
        <w:t>1. EINSCHRÄNKUNGEN UND VOLLSTÄNDIGKEIT</w:t>
      </w:r>
    </w:p>
    <w:p>
      <w:pPr>
        <w:pStyle w:val="GesAbsatz"/>
        <w:jc w:val="both"/>
        <w:rPr>
          <w:rFonts w:cs="Arial"/>
          <w:szCs w:val="17"/>
        </w:rPr>
      </w:pPr>
      <w:r>
        <w:rPr>
          <w:rFonts w:cs="Arial"/>
          <w:szCs w:val="17"/>
        </w:rPr>
        <w:t>Röst- und Sinteranlagen für Metallerz sind oftmals ein fester Bestandteil von Stahlwerken und stehen in einem direkten technischen Zusammenhang mit Kokereien und Anlagen für die Herstellung von Rohe</w:t>
      </w:r>
      <w:r>
        <w:rPr>
          <w:rFonts w:cs="Arial"/>
          <w:szCs w:val="17"/>
        </w:rPr>
        <w:t>i</w:t>
      </w:r>
      <w:r>
        <w:rPr>
          <w:rFonts w:cs="Arial"/>
          <w:szCs w:val="17"/>
        </w:rPr>
        <w:t>sen und Stahl, einschließlich Stranggießen. Infolgedessen entsteht während des regulären Betriebs ein inte</w:t>
      </w:r>
      <w:r>
        <w:rPr>
          <w:rFonts w:cs="Arial"/>
          <w:szCs w:val="17"/>
        </w:rPr>
        <w:t>n</w:t>
      </w:r>
      <w:r>
        <w:rPr>
          <w:rFonts w:cs="Arial"/>
          <w:szCs w:val="17"/>
        </w:rPr>
        <w:t>siver Ene</w:t>
      </w:r>
      <w:r>
        <w:rPr>
          <w:rFonts w:cs="Arial"/>
          <w:szCs w:val="17"/>
        </w:rPr>
        <w:t>r</w:t>
      </w:r>
      <w:r>
        <w:rPr>
          <w:rFonts w:cs="Arial"/>
          <w:szCs w:val="17"/>
        </w:rPr>
        <w:t>gie- und Materialaustausch (beispielsweise Gichtgas, Kokereigas, Koks, Kalk). Wenn sich die Genehmigung der Anlage gemäß den Artikeln 4, 5 und 6 der Richtlinie nicht nur auf die Röst- und Sinte</w:t>
      </w:r>
      <w:r>
        <w:rPr>
          <w:rFonts w:cs="Arial"/>
          <w:szCs w:val="17"/>
        </w:rPr>
        <w:t>r</w:t>
      </w:r>
      <w:r>
        <w:rPr>
          <w:rFonts w:cs="Arial"/>
          <w:szCs w:val="17"/>
        </w:rPr>
        <w:t>anlagen für Metallerz, so</w:t>
      </w:r>
      <w:r>
        <w:rPr>
          <w:rFonts w:cs="Arial"/>
          <w:szCs w:val="17"/>
        </w:rPr>
        <w:t>n</w:t>
      </w:r>
      <w:r>
        <w:rPr>
          <w:rFonts w:cs="Arial"/>
          <w:szCs w:val="17"/>
        </w:rPr>
        <w:t>dern auf das gesamte Stahlwerk erstreckt, so können die CO</w:t>
      </w:r>
      <w:r>
        <w:rPr>
          <w:rFonts w:cs="Arial"/>
          <w:szCs w:val="10"/>
          <w:vertAlign w:val="subscript"/>
        </w:rPr>
        <w:t>2</w:t>
      </w:r>
      <w:r>
        <w:rPr>
          <w:rFonts w:cs="Arial"/>
          <w:szCs w:val="17"/>
        </w:rPr>
        <w:t>-Emissionen auch im Rahmen der für das gesamte Werk laufenden Überwachung unter Anwendung des Massenbilanza</w:t>
      </w:r>
      <w:r>
        <w:rPr>
          <w:rFonts w:cs="Arial"/>
          <w:szCs w:val="17"/>
        </w:rPr>
        <w:t>n</w:t>
      </w:r>
      <w:r>
        <w:rPr>
          <w:rFonts w:cs="Arial"/>
          <w:szCs w:val="17"/>
        </w:rPr>
        <w:t>satzes erfasst werden, der in Abschnitt 2.1.1 dieses Anhangs spezifiziert wird.</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den Vorgaben von A</w:t>
      </w:r>
      <w:r>
        <w:rPr>
          <w:rFonts w:cs="Arial"/>
          <w:szCs w:val="17"/>
        </w:rPr>
        <w:t>n</w:t>
      </w:r>
      <w:r>
        <w:rPr>
          <w:rFonts w:cs="Arial"/>
          <w:szCs w:val="17"/>
        </w:rPr>
        <w:t>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In Röst- und Sinteranlagen für Metallerz können aus folgenden Quellen CO</w:t>
      </w:r>
      <w:r>
        <w:rPr>
          <w:rFonts w:cs="Arial"/>
          <w:szCs w:val="10"/>
          <w:vertAlign w:val="subscript"/>
        </w:rPr>
        <w:t>2</w:t>
      </w:r>
      <w:r>
        <w:rPr>
          <w:rFonts w:cs="Arial"/>
          <w:szCs w:val="17"/>
        </w:rPr>
        <w:t>-Emissionen freigesetzt we</w:t>
      </w:r>
      <w:r>
        <w:rPr>
          <w:rFonts w:cs="Arial"/>
          <w:szCs w:val="17"/>
        </w:rPr>
        <w:t>r</w:t>
      </w:r>
      <w:r>
        <w:rPr>
          <w:rFonts w:cs="Arial"/>
          <w:szCs w:val="17"/>
        </w:rPr>
        <w:t>den:</w:t>
      </w:r>
    </w:p>
    <w:p>
      <w:pPr>
        <w:pStyle w:val="GesAbsatz"/>
        <w:jc w:val="both"/>
        <w:rPr>
          <w:rFonts w:cs="Arial"/>
          <w:szCs w:val="17"/>
        </w:rPr>
      </w:pPr>
      <w:r>
        <w:rPr>
          <w:rFonts w:cs="Arial"/>
          <w:szCs w:val="17"/>
        </w:rPr>
        <w:t>-</w:t>
      </w:r>
      <w:r>
        <w:rPr>
          <w:rFonts w:cs="Arial"/>
          <w:szCs w:val="17"/>
        </w:rPr>
        <w:tab/>
        <w:t>Rohstoffe (Brennen von Kalk und Dolomit),</w:t>
      </w:r>
    </w:p>
    <w:p>
      <w:pPr>
        <w:pStyle w:val="GesAbsatz"/>
        <w:jc w:val="both"/>
        <w:rPr>
          <w:rFonts w:cs="Arial"/>
          <w:szCs w:val="17"/>
        </w:rPr>
      </w:pPr>
      <w:r>
        <w:rPr>
          <w:rFonts w:cs="Arial"/>
          <w:szCs w:val="17"/>
        </w:rPr>
        <w:t>-</w:t>
      </w:r>
      <w:r>
        <w:rPr>
          <w:rFonts w:cs="Arial"/>
          <w:szCs w:val="17"/>
        </w:rPr>
        <w:tab/>
        <w:t>herkömmliche Brennstoffe (Erdgas und Koks/Koksgrus),</w:t>
      </w:r>
    </w:p>
    <w:p>
      <w:pPr>
        <w:pStyle w:val="GesAbsatz"/>
        <w:jc w:val="both"/>
        <w:rPr>
          <w:rFonts w:cs="Arial"/>
          <w:szCs w:val="17"/>
        </w:rPr>
      </w:pPr>
      <w:r>
        <w:rPr>
          <w:rFonts w:cs="Arial"/>
          <w:szCs w:val="17"/>
        </w:rPr>
        <w:t>-</w:t>
      </w:r>
      <w:r>
        <w:rPr>
          <w:rFonts w:cs="Arial"/>
          <w:szCs w:val="17"/>
        </w:rPr>
        <w:tab/>
        <w:t>Prozessgase (z. B. Kokereigas und Gichtgas),</w:t>
      </w:r>
    </w:p>
    <w:p>
      <w:pPr>
        <w:pStyle w:val="GesAbsatz"/>
        <w:ind w:left="426" w:hanging="426"/>
        <w:jc w:val="both"/>
        <w:rPr>
          <w:rFonts w:cs="Arial"/>
          <w:szCs w:val="17"/>
        </w:rPr>
      </w:pPr>
      <w:r>
        <w:rPr>
          <w:rFonts w:cs="Arial"/>
          <w:szCs w:val="17"/>
        </w:rPr>
        <w:t>-</w:t>
      </w:r>
      <w:r>
        <w:rPr>
          <w:rFonts w:cs="Arial"/>
          <w:szCs w:val="17"/>
        </w:rPr>
        <w:tab/>
        <w:t>als Input eingesetzte Prozessrückstände wie Filterstaub aus Sinteranlagen, dem Konverter und dem Hochofen,</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Der Betreiber kann die Emissionen entweder anhand des Massenbilanzansatzes oder aber für jede Que</w:t>
      </w:r>
      <w:r>
        <w:rPr>
          <w:rFonts w:cs="Arial"/>
          <w:szCs w:val="17"/>
        </w:rPr>
        <w:t>l</w:t>
      </w:r>
      <w:r>
        <w:rPr>
          <w:rFonts w:cs="Arial"/>
          <w:szCs w:val="17"/>
        </w:rPr>
        <w:t>le der Anlage einzeln berechnen.</w:t>
      </w:r>
    </w:p>
    <w:p>
      <w:pPr>
        <w:pStyle w:val="GesAbsatz"/>
        <w:jc w:val="both"/>
        <w:rPr>
          <w:rFonts w:cs="Arial"/>
          <w:i/>
          <w:iCs/>
          <w:szCs w:val="17"/>
        </w:rPr>
      </w:pPr>
      <w:r>
        <w:rPr>
          <w:rFonts w:cs="Arial"/>
          <w:szCs w:val="17"/>
        </w:rPr>
        <w:t xml:space="preserve">2.1.1. </w:t>
      </w:r>
      <w:r>
        <w:rPr>
          <w:rFonts w:cs="Arial"/>
          <w:i/>
          <w:iCs/>
          <w:szCs w:val="17"/>
        </w:rPr>
        <w:t>Massenbilanzansatz</w:t>
      </w:r>
    </w:p>
    <w:p>
      <w:pPr>
        <w:pStyle w:val="GesAbsatz"/>
        <w:jc w:val="both"/>
        <w:rPr>
          <w:rFonts w:cs="Arial"/>
          <w:szCs w:val="17"/>
        </w:rPr>
      </w:pPr>
      <w:r>
        <w:rPr>
          <w:rFonts w:cs="Arial"/>
          <w:szCs w:val="17"/>
        </w:rPr>
        <w:t>Im Rahmen des Massenbilanzansatzes werden für die Ermittlung der Treibhausgasemissionen einer A</w:t>
      </w:r>
      <w:r>
        <w:rPr>
          <w:rFonts w:cs="Arial"/>
          <w:szCs w:val="17"/>
        </w:rPr>
        <w:t>n</w:t>
      </w:r>
      <w:r>
        <w:rPr>
          <w:rFonts w:cs="Arial"/>
          <w:szCs w:val="17"/>
        </w:rPr>
        <w:t>lage der im Input-Material, in Akkumulationen, Produkten und Exporten enthaltene Kohlenstoff analysiert. Dazu wird folgende Gleichung zugrunde gelegt: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(Input-Produkte-Export – Lagerbestandsveränderungen) × Umsetzungsfaktor CO</w:t>
      </w:r>
      <w:r>
        <w:rPr>
          <w:rFonts w:cs="Arial"/>
          <w:szCs w:val="10"/>
          <w:vertAlign w:val="subscript"/>
        </w:rPr>
        <w:t>2</w:t>
      </w:r>
      <w:r>
        <w:rPr>
          <w:rFonts w:cs="Arial"/>
          <w:szCs w:val="17"/>
        </w:rPr>
        <w:t>/C</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w:t>
      </w:r>
      <w:r>
        <w:rPr>
          <w:rFonts w:cs="Arial"/>
          <w:szCs w:val="17"/>
        </w:rPr>
        <w:tab/>
        <w:t>Input [t C]: der gesamte Kohlenstoff, der in der Anlage eingesetzt wird,</w:t>
      </w:r>
    </w:p>
    <w:p>
      <w:pPr>
        <w:pStyle w:val="GesAbsatz"/>
        <w:ind w:left="426" w:hanging="426"/>
        <w:jc w:val="both"/>
        <w:rPr>
          <w:rFonts w:cs="Arial"/>
          <w:szCs w:val="17"/>
        </w:rPr>
      </w:pPr>
      <w:r>
        <w:rPr>
          <w:rFonts w:cs="Arial"/>
          <w:szCs w:val="17"/>
        </w:rPr>
        <w:t>-</w:t>
      </w:r>
      <w:r>
        <w:rPr>
          <w:rFonts w:cs="Arial"/>
          <w:szCs w:val="17"/>
        </w:rPr>
        <w:tab/>
        <w:t>Produkte [t C]: der gesamte Kohlenstoff in Produkten und Stoffen (auch in Nebenprodukten), der aus der Massenbilanz fällt,</w:t>
      </w:r>
    </w:p>
    <w:p>
      <w:pPr>
        <w:pStyle w:val="GesAbsatz"/>
        <w:ind w:left="426" w:hanging="426"/>
        <w:jc w:val="both"/>
        <w:rPr>
          <w:rFonts w:cs="Arial"/>
          <w:szCs w:val="17"/>
        </w:rPr>
      </w:pPr>
      <w:r>
        <w:rPr>
          <w:rFonts w:cs="Arial"/>
          <w:szCs w:val="17"/>
        </w:rPr>
        <w:t>-</w:t>
      </w:r>
      <w:r>
        <w:rPr>
          <w:rFonts w:cs="Arial"/>
          <w:szCs w:val="17"/>
        </w:rPr>
        <w:tab/>
        <w:t>Export [t C]: der Kohlenstoff, der exportiert (sprich abgeleitet) wird und so der aus der Massenbilanz fällt, z. B. Einleitung in Abwasserkanal, Ablagerung auf einer Deponie oder Verluste. Die Freisetzung von Treibhausgasen in die Atmosphäre gilt nicht als Export,</w:t>
      </w:r>
    </w:p>
    <w:p>
      <w:pPr>
        <w:pStyle w:val="GesAbsatz"/>
        <w:ind w:left="426" w:hanging="426"/>
        <w:jc w:val="both"/>
        <w:rPr>
          <w:rFonts w:cs="Arial"/>
          <w:szCs w:val="17"/>
        </w:rPr>
      </w:pPr>
      <w:r>
        <w:rPr>
          <w:rFonts w:cs="Arial"/>
          <w:szCs w:val="17"/>
        </w:rPr>
        <w:t>-</w:t>
      </w:r>
      <w:r>
        <w:rPr>
          <w:rFonts w:cs="Arial"/>
          <w:szCs w:val="17"/>
        </w:rPr>
        <w:tab/>
        <w:t>Lagerbestandsveränderungen [t C]: die Zunahme der Lagerbestände an Kohlenstoff innerhalb der Anl</w:t>
      </w:r>
      <w:r>
        <w:rPr>
          <w:rFonts w:cs="Arial"/>
          <w:szCs w:val="17"/>
        </w:rPr>
        <w:t>a</w:t>
      </w:r>
      <w:r>
        <w:rPr>
          <w:rFonts w:cs="Arial"/>
          <w:szCs w:val="17"/>
        </w:rPr>
        <w:t>ge.</w:t>
      </w:r>
    </w:p>
    <w:p>
      <w:pPr>
        <w:pStyle w:val="GesAbsatz"/>
        <w:jc w:val="both"/>
        <w:rPr>
          <w:rFonts w:cs="Arial"/>
          <w:szCs w:val="17"/>
        </w:rPr>
      </w:pPr>
      <w:r>
        <w:rPr>
          <w:rFonts w:cs="Arial"/>
          <w:szCs w:val="17"/>
        </w:rPr>
        <w:t>Für die Berechnung ist folgende Gleichung anzuwenden:</w:t>
      </w:r>
    </w:p>
    <w:p>
      <w:pPr>
        <w:pStyle w:val="GesAbsatz"/>
        <w:jc w:val="center"/>
        <w:rPr>
          <w:rFonts w:cs="Arial"/>
          <w:szCs w:val="17"/>
        </w:rPr>
      </w:pPr>
      <w:r>
        <w:rPr>
          <w:rFonts w:cs="Arial"/>
          <w:szCs w:val="17"/>
        </w:rPr>
        <w:lastRenderedPageBreak/>
        <w:t>CO</w:t>
      </w:r>
      <w:r>
        <w:rPr>
          <w:rFonts w:cs="Arial"/>
          <w:szCs w:val="10"/>
          <w:vertAlign w:val="subscript"/>
        </w:rPr>
        <w:t>2</w:t>
      </w:r>
      <w:r>
        <w:rPr>
          <w:rFonts w:cs="Arial"/>
          <w:szCs w:val="17"/>
        </w:rPr>
        <w:t>-Emissionen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Input</w:t>
      </w:r>
      <w:r>
        <w:rPr>
          <w:rFonts w:cs="Arial"/>
          <w:szCs w:val="10"/>
        </w:rPr>
        <w:t xml:space="preserve"> </w:t>
      </w:r>
      <w:r>
        <w:rPr>
          <w:rFonts w:cs="Arial"/>
          <w:szCs w:val="17"/>
        </w:rPr>
        <w:t>× Kohlenstoffgehalt</w:t>
      </w:r>
      <w:r>
        <w:rPr>
          <w:rFonts w:cs="Arial"/>
          <w:szCs w:val="10"/>
          <w:vertAlign w:val="subscript"/>
        </w:rPr>
        <w:t>Input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Pr</w:t>
      </w:r>
      <w:r>
        <w:rPr>
          <w:rFonts w:cs="Arial"/>
          <w:szCs w:val="10"/>
          <w:vertAlign w:val="subscript"/>
        </w:rPr>
        <w:t>o</w:t>
      </w:r>
      <w:r>
        <w:rPr>
          <w:rFonts w:cs="Arial"/>
          <w:szCs w:val="10"/>
          <w:vertAlign w:val="subscript"/>
        </w:rPr>
        <w:t>dukte</w:t>
      </w:r>
      <w:r>
        <w:rPr>
          <w:rFonts w:cs="Arial"/>
          <w:szCs w:val="10"/>
        </w:rPr>
        <w:t xml:space="preserve"> </w:t>
      </w:r>
      <w:r>
        <w:rPr>
          <w:rFonts w:cs="Arial"/>
          <w:szCs w:val="17"/>
        </w:rPr>
        <w:t>× Kohlenstoffgehalt</w:t>
      </w:r>
      <w:r>
        <w:rPr>
          <w:rFonts w:cs="Arial"/>
          <w:szCs w:val="10"/>
          <w:vertAlign w:val="subscript"/>
        </w:rPr>
        <w:t>Produkte</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Export</w:t>
      </w:r>
      <w:r>
        <w:rPr>
          <w:rFonts w:cs="Arial"/>
          <w:szCs w:val="10"/>
        </w:rPr>
        <w:t xml:space="preserve"> </w:t>
      </w:r>
      <w:r>
        <w:rPr>
          <w:rFonts w:cs="Arial"/>
          <w:szCs w:val="17"/>
        </w:rPr>
        <w:t>× Kohlenstoffgehalt</w:t>
      </w:r>
      <w:r>
        <w:rPr>
          <w:rFonts w:cs="Arial"/>
          <w:szCs w:val="10"/>
          <w:vertAlign w:val="subscript"/>
        </w:rPr>
        <w:t>Export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Lagerb</w:t>
      </w:r>
      <w:r>
        <w:rPr>
          <w:rFonts w:cs="Arial"/>
          <w:szCs w:val="10"/>
          <w:vertAlign w:val="subscript"/>
        </w:rPr>
        <w:t>e</w:t>
      </w:r>
      <w:r>
        <w:rPr>
          <w:rFonts w:cs="Arial"/>
          <w:szCs w:val="10"/>
          <w:vertAlign w:val="subscript"/>
        </w:rPr>
        <w:t>standsveränderungen</w:t>
      </w:r>
      <w:r>
        <w:rPr>
          <w:rFonts w:cs="Arial"/>
          <w:szCs w:val="10"/>
        </w:rPr>
        <w:t xml:space="preserve"> </w:t>
      </w:r>
      <w:r>
        <w:rPr>
          <w:rFonts w:cs="Arial"/>
          <w:szCs w:val="17"/>
        </w:rPr>
        <w:t>× Kohlenstoffgehalt</w:t>
      </w:r>
      <w:r>
        <w:rPr>
          <w:rFonts w:cs="Arial"/>
          <w:szCs w:val="10"/>
          <w:vertAlign w:val="subscript"/>
        </w:rPr>
        <w:t>Lagerbestandsveränderungen</w:t>
      </w:r>
      <w:r>
        <w:rPr>
          <w:rFonts w:cs="Arial"/>
          <w:szCs w:val="17"/>
        </w:rPr>
        <w:t>)) × 3,664</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Betreiber analysiert die Massenströme in die und aus der Anlage bzw. die diesbezüglichen Lagerb</w:t>
      </w:r>
      <w:r>
        <w:rPr>
          <w:rFonts w:cs="Arial"/>
          <w:szCs w:val="17"/>
        </w:rPr>
        <w:t>e</w:t>
      </w:r>
      <w:r>
        <w:rPr>
          <w:rFonts w:cs="Arial"/>
          <w:szCs w:val="17"/>
        </w:rPr>
        <w:t>standsveränderungen für alle relevanten Brenn- und Einsatzstoffe getrennt und erstattet Bericht darüber.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7,5 % je Messvo</w:t>
      </w:r>
      <w:r>
        <w:rPr>
          <w:rFonts w:cs="Arial"/>
          <w:szCs w:val="17"/>
        </w:rPr>
        <w:t>r</w:t>
      </w:r>
      <w:r>
        <w:rPr>
          <w:rFonts w:cs="Arial"/>
          <w:szCs w:val="17"/>
        </w:rPr>
        <w:t>gang ermittelt. Alle anderen Brennstoffmassen- und Stoffmengenströme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5,0 % je Messvo</w:t>
      </w:r>
      <w:r>
        <w:rPr>
          <w:rFonts w:cs="Arial"/>
          <w:szCs w:val="17"/>
        </w:rPr>
        <w:t>r</w:t>
      </w:r>
      <w:r>
        <w:rPr>
          <w:rFonts w:cs="Arial"/>
          <w:szCs w:val="17"/>
        </w:rPr>
        <w:t>gang ermittelt. Alle anderen Brennstoffmassen- und Stoffmengenströme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2,5 % je Messvorgang ermittelt.</w:t>
      </w:r>
    </w:p>
    <w:p>
      <w:pPr>
        <w:pStyle w:val="GesAbsatz"/>
        <w:jc w:val="both"/>
        <w:rPr>
          <w:rFonts w:cs="Arial"/>
          <w:szCs w:val="17"/>
        </w:rPr>
      </w:pPr>
      <w:r>
        <w:rPr>
          <w:rFonts w:cs="Arial"/>
          <w:szCs w:val="17"/>
        </w:rPr>
        <w:t>Ebene 4:</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1,0 % je Messvorgang ermittelt.</w:t>
      </w:r>
    </w:p>
    <w:p>
      <w:pPr>
        <w:pStyle w:val="GesAbsatz"/>
        <w:jc w:val="both"/>
        <w:rPr>
          <w:rFonts w:cs="Arial"/>
          <w:szCs w:val="17"/>
          <w:u w:val="single"/>
        </w:rPr>
      </w:pPr>
      <w:r>
        <w:rPr>
          <w:rFonts w:cs="Arial"/>
          <w:szCs w:val="17"/>
          <w:u w:val="single"/>
        </w:rPr>
        <w:t>b) Kohlenstoffgehalt</w:t>
      </w:r>
    </w:p>
    <w:p>
      <w:pPr>
        <w:pStyle w:val="GesAbsatz"/>
        <w:jc w:val="both"/>
        <w:rPr>
          <w:rFonts w:cs="Arial"/>
          <w:szCs w:val="17"/>
        </w:rPr>
      </w:pPr>
      <w:r>
        <w:rPr>
          <w:rFonts w:cs="Arial"/>
          <w:szCs w:val="17"/>
        </w:rPr>
        <w:t>Bei der Berechnung der Massenbilanz hält sich der Betreiber an die Vorgaben, die in Abschnitt 10 des Anhangs I in Bezug auf die repräsentative Probenahme von Brennstoffen, Produkten und Nebenprodu</w:t>
      </w:r>
      <w:r>
        <w:rPr>
          <w:rFonts w:cs="Arial"/>
          <w:szCs w:val="17"/>
        </w:rPr>
        <w:t>k</w:t>
      </w:r>
      <w:r>
        <w:rPr>
          <w:rFonts w:cs="Arial"/>
          <w:szCs w:val="17"/>
        </w:rPr>
        <w:t>ten bzw. in Bezug auf die Ermittlung ihres Kohlenstoffgehalts und des Biomasse-Anteils angeführt sind.</w:t>
      </w:r>
    </w:p>
    <w:p>
      <w:pPr>
        <w:pStyle w:val="GesAbsatz"/>
        <w:jc w:val="both"/>
        <w:rPr>
          <w:rFonts w:cs="Arial"/>
          <w:szCs w:val="17"/>
          <w:u w:val="single"/>
        </w:rPr>
      </w:pPr>
      <w:r>
        <w:rPr>
          <w:rFonts w:cs="Arial"/>
          <w:szCs w:val="17"/>
          <w:u w:val="single"/>
        </w:rPr>
        <w:t>c) Energiegehalt</w:t>
      </w:r>
    </w:p>
    <w:p>
      <w:pPr>
        <w:pStyle w:val="GesAbsatz"/>
        <w:jc w:val="both"/>
        <w:rPr>
          <w:rFonts w:cs="Arial"/>
          <w:szCs w:val="17"/>
        </w:rPr>
      </w:pPr>
      <w:r>
        <w:rPr>
          <w:rFonts w:cs="Arial"/>
          <w:szCs w:val="17"/>
        </w:rPr>
        <w:t>Um eine einheitliche Berichterstattung zu gewährleisten, ist der Energiegehalt eines jeden Brennstoff- und Einsatzstoffstroms (ausgedrückt als spezifischer Heizwert des betreffenden Stroms) zu berechnen.</w:t>
      </w:r>
    </w:p>
    <w:p>
      <w:pPr>
        <w:pStyle w:val="GesAbsatz"/>
        <w:jc w:val="both"/>
        <w:rPr>
          <w:rFonts w:cs="Arial"/>
          <w:i/>
          <w:iCs/>
          <w:szCs w:val="17"/>
        </w:rPr>
      </w:pPr>
      <w:r>
        <w:rPr>
          <w:rFonts w:cs="Arial"/>
          <w:szCs w:val="17"/>
        </w:rPr>
        <w:t xml:space="preserve">2.1.2. </w:t>
      </w:r>
      <w:r>
        <w:rPr>
          <w:rFonts w:cs="Arial"/>
          <w:i/>
          <w:iCs/>
          <w:szCs w:val="17"/>
        </w:rPr>
        <w:t>Emissionen aus der Verbrennung</w:t>
      </w:r>
    </w:p>
    <w:p>
      <w:pPr>
        <w:pStyle w:val="GesAbsatz"/>
        <w:jc w:val="both"/>
        <w:rPr>
          <w:rFonts w:cs="Arial"/>
          <w:szCs w:val="17"/>
        </w:rPr>
      </w:pPr>
      <w:r>
        <w:rPr>
          <w:rFonts w:cs="Arial"/>
          <w:szCs w:val="17"/>
        </w:rPr>
        <w:t>Die in Röst- und Sinteranlagen für Metallerz stattfindenden Verbrennungsprozesse sind in Einklang mit den Vorgaben von Anhang II zu überwachen und zu melden.</w:t>
      </w:r>
    </w:p>
    <w:p>
      <w:pPr>
        <w:pStyle w:val="GesAbsatz"/>
        <w:jc w:val="both"/>
        <w:rPr>
          <w:rFonts w:cs="Arial"/>
          <w:i/>
          <w:iCs/>
          <w:szCs w:val="17"/>
        </w:rPr>
      </w:pPr>
      <w:r>
        <w:rPr>
          <w:rFonts w:cs="Arial"/>
          <w:szCs w:val="17"/>
        </w:rPr>
        <w:t xml:space="preserve">2.1.3. </w:t>
      </w:r>
      <w:r>
        <w:rPr>
          <w:rFonts w:cs="Arial"/>
          <w:i/>
          <w:iCs/>
          <w:szCs w:val="17"/>
        </w:rPr>
        <w:t>Prozessemissionen</w:t>
      </w:r>
    </w:p>
    <w:p>
      <w:pPr>
        <w:pStyle w:val="GesAbsatz"/>
        <w:jc w:val="both"/>
        <w:rPr>
          <w:rFonts w:cs="Arial"/>
          <w:szCs w:val="17"/>
        </w:rPr>
      </w:pPr>
      <w:r>
        <w:rPr>
          <w:rFonts w:cs="Arial"/>
          <w:szCs w:val="17"/>
        </w:rPr>
        <w:t>Während des Brennens auf dem Sinterrost wird aus dem Input-Material, d. h. dem Rohstoff-Mix (in der Regel aus Kalziumkarbonat), und erneut eingesetzten Prozessrückständen CO</w:t>
      </w:r>
      <w:r>
        <w:rPr>
          <w:rFonts w:cs="Arial"/>
          <w:szCs w:val="10"/>
          <w:vertAlign w:val="subscript"/>
        </w:rPr>
        <w:t>2</w:t>
      </w:r>
      <w:r>
        <w:rPr>
          <w:rFonts w:cs="Arial"/>
          <w:szCs w:val="10"/>
        </w:rPr>
        <w:t xml:space="preserve"> </w:t>
      </w:r>
      <w:r>
        <w:rPr>
          <w:rFonts w:cs="Arial"/>
          <w:szCs w:val="17"/>
        </w:rPr>
        <w:t>freigesetzt. Die CO</w:t>
      </w:r>
      <w:r>
        <w:rPr>
          <w:rFonts w:cs="Arial"/>
          <w:szCs w:val="10"/>
          <w:vertAlign w:val="subscript"/>
        </w:rPr>
        <w:t>2</w:t>
      </w:r>
      <w:r>
        <w:rPr>
          <w:rFonts w:cs="Arial"/>
          <w:szCs w:val="17"/>
        </w:rPr>
        <w:t>-Menge wird für jedes Input-Material wie folgt berechnet: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 {Tätigkeitsdaten</w:t>
      </w:r>
      <w:r>
        <w:rPr>
          <w:rFonts w:cs="Arial"/>
          <w:szCs w:val="10"/>
          <w:vertAlign w:val="subscript"/>
        </w:rPr>
        <w:t>Prozessinput</w:t>
      </w:r>
      <w:r>
        <w:rPr>
          <w:rFonts w:cs="Arial"/>
          <w:szCs w:val="10"/>
        </w:rPr>
        <w:t xml:space="preserve"> </w:t>
      </w:r>
      <w:r>
        <w:rPr>
          <w:rFonts w:cs="Arial"/>
          <w:szCs w:val="17"/>
        </w:rPr>
        <w:t>× Emissionsfaktor × Umsetzungsfaktor}</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lastRenderedPageBreak/>
        <w:t>Die Mengen [t] des Karbonat-Inputs [t</w:t>
      </w:r>
      <w:r>
        <w:rPr>
          <w:rFonts w:cs="Arial"/>
          <w:szCs w:val="10"/>
          <w:vertAlign w:val="subscript"/>
        </w:rPr>
        <w:t>CaCO</w:t>
      </w:r>
      <w:r>
        <w:rPr>
          <w:rFonts w:cs="Arial"/>
          <w:szCs w:val="5"/>
          <w:vertAlign w:val="subscript"/>
        </w:rPr>
        <w:t>3</w:t>
      </w:r>
      <w:r>
        <w:rPr>
          <w:rFonts w:cs="Arial"/>
          <w:szCs w:val="17"/>
          <w:vertAlign w:val="subscript"/>
        </w:rPr>
        <w:t>, t</w:t>
      </w:r>
      <w:r>
        <w:rPr>
          <w:rFonts w:cs="Arial"/>
          <w:szCs w:val="10"/>
          <w:vertAlign w:val="subscript"/>
        </w:rPr>
        <w:t>MgCO</w:t>
      </w:r>
      <w:r>
        <w:rPr>
          <w:rFonts w:cs="Arial"/>
          <w:szCs w:val="5"/>
          <w:vertAlign w:val="subscript"/>
        </w:rPr>
        <w:t>3</w:t>
      </w:r>
      <w:r>
        <w:rPr>
          <w:rFonts w:cs="Arial"/>
          <w:szCs w:val="5"/>
        </w:rPr>
        <w:t xml:space="preserve"> </w:t>
      </w:r>
      <w:r>
        <w:rPr>
          <w:rFonts w:cs="Arial"/>
          <w:szCs w:val="17"/>
        </w:rPr>
        <w:t>oder t</w:t>
      </w:r>
      <w:r>
        <w:rPr>
          <w:rFonts w:cs="Arial"/>
          <w:szCs w:val="10"/>
          <w:vertAlign w:val="subscript"/>
        </w:rPr>
        <w:t>CaCO</w:t>
      </w:r>
      <w:r>
        <w:rPr>
          <w:rFonts w:cs="Arial"/>
          <w:szCs w:val="5"/>
          <w:vertAlign w:val="subscript"/>
        </w:rPr>
        <w:t>3</w:t>
      </w:r>
      <w:r>
        <w:rPr>
          <w:rFonts w:cs="Arial"/>
          <w:szCs w:val="10"/>
          <w:vertAlign w:val="subscript"/>
        </w:rPr>
        <w:t>-MgCO</w:t>
      </w:r>
      <w:r>
        <w:rPr>
          <w:rFonts w:cs="Arial"/>
          <w:szCs w:val="5"/>
          <w:vertAlign w:val="subscript"/>
        </w:rPr>
        <w:t>3</w:t>
      </w:r>
      <w:r>
        <w:rPr>
          <w:rFonts w:cs="Arial"/>
          <w:szCs w:val="17"/>
        </w:rPr>
        <w:t>] und der als Input-Material verwend</w:t>
      </w:r>
      <w:r>
        <w:rPr>
          <w:rFonts w:cs="Arial"/>
          <w:szCs w:val="17"/>
        </w:rPr>
        <w:t>e</w:t>
      </w:r>
      <w:r>
        <w:rPr>
          <w:rFonts w:cs="Arial"/>
          <w:szCs w:val="17"/>
        </w:rPr>
        <w:t>ten Prozessrückstände werden vom Betreiber oder Lieferanten mit einem maximal zulässigen Unsicherheit</w:t>
      </w:r>
      <w:r>
        <w:rPr>
          <w:rFonts w:cs="Arial"/>
          <w:szCs w:val="17"/>
        </w:rPr>
        <w:t>s</w:t>
      </w:r>
      <w:r>
        <w:rPr>
          <w:rFonts w:cs="Arial"/>
          <w:szCs w:val="17"/>
        </w:rPr>
        <w:t>faktor von weniger als ± 5,0 % je Messvorgang gewogen.</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Mengen [t] des Karbonat-Inputs [t</w:t>
      </w:r>
      <w:r>
        <w:rPr>
          <w:rFonts w:cs="Arial"/>
          <w:szCs w:val="10"/>
          <w:vertAlign w:val="subscript"/>
        </w:rPr>
        <w:t>CaCO</w:t>
      </w:r>
      <w:r>
        <w:rPr>
          <w:rFonts w:cs="Arial"/>
          <w:szCs w:val="5"/>
          <w:vertAlign w:val="subscript"/>
        </w:rPr>
        <w:t>3</w:t>
      </w:r>
      <w:r>
        <w:rPr>
          <w:rFonts w:cs="Arial"/>
          <w:szCs w:val="17"/>
          <w:vertAlign w:val="subscript"/>
        </w:rPr>
        <w:t>, t</w:t>
      </w:r>
      <w:r>
        <w:rPr>
          <w:rFonts w:cs="Arial"/>
          <w:szCs w:val="10"/>
          <w:vertAlign w:val="subscript"/>
        </w:rPr>
        <w:t>MgCO</w:t>
      </w:r>
      <w:r>
        <w:rPr>
          <w:rFonts w:cs="Arial"/>
          <w:szCs w:val="5"/>
          <w:vertAlign w:val="subscript"/>
        </w:rPr>
        <w:t>3</w:t>
      </w:r>
      <w:r>
        <w:rPr>
          <w:rFonts w:cs="Arial"/>
          <w:szCs w:val="5"/>
        </w:rPr>
        <w:t xml:space="preserve"> </w:t>
      </w:r>
      <w:r>
        <w:rPr>
          <w:rFonts w:cs="Arial"/>
          <w:szCs w:val="17"/>
        </w:rPr>
        <w:t>oder t</w:t>
      </w:r>
      <w:r>
        <w:rPr>
          <w:rFonts w:cs="Arial"/>
          <w:szCs w:val="10"/>
          <w:vertAlign w:val="subscript"/>
        </w:rPr>
        <w:t>CaCO</w:t>
      </w:r>
      <w:r>
        <w:rPr>
          <w:rFonts w:cs="Arial"/>
          <w:szCs w:val="5"/>
          <w:vertAlign w:val="subscript"/>
        </w:rPr>
        <w:t>3</w:t>
      </w:r>
      <w:r>
        <w:rPr>
          <w:rFonts w:cs="Arial"/>
          <w:szCs w:val="10"/>
          <w:vertAlign w:val="subscript"/>
        </w:rPr>
        <w:t>-MgCO</w:t>
      </w:r>
      <w:r>
        <w:rPr>
          <w:rFonts w:cs="Arial"/>
          <w:szCs w:val="5"/>
          <w:vertAlign w:val="subscript"/>
        </w:rPr>
        <w:t>3</w:t>
      </w:r>
      <w:r>
        <w:rPr>
          <w:rFonts w:cs="Arial"/>
          <w:szCs w:val="17"/>
        </w:rPr>
        <w:t>] und der als Input-Material verwend</w:t>
      </w:r>
      <w:r>
        <w:rPr>
          <w:rFonts w:cs="Arial"/>
          <w:szCs w:val="17"/>
        </w:rPr>
        <w:t>e</w:t>
      </w:r>
      <w:r>
        <w:rPr>
          <w:rFonts w:cs="Arial"/>
          <w:szCs w:val="17"/>
        </w:rPr>
        <w:t>ten Prozessrückstände werden vom Betreiber oder Lieferanten mit einem maximal zulässigen Unsicherheit</w:t>
      </w:r>
      <w:r>
        <w:rPr>
          <w:rFonts w:cs="Arial"/>
          <w:szCs w:val="17"/>
        </w:rPr>
        <w:t>s</w:t>
      </w:r>
      <w:r>
        <w:rPr>
          <w:rFonts w:cs="Arial"/>
          <w:szCs w:val="17"/>
        </w:rPr>
        <w:t>faktor von weniger als ± 2,5 % je Messvorgang gewogen.</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Für Karbonate - Anwendung der in der unten stehenden Tabelle 1 aufgeführten stöchiometrischen Ve</w:t>
      </w:r>
      <w:r>
        <w:rPr>
          <w:rFonts w:cs="Arial"/>
          <w:szCs w:val="17"/>
        </w:rPr>
        <w:t>r</w:t>
      </w:r>
      <w:r>
        <w:rPr>
          <w:rFonts w:cs="Arial"/>
          <w:szCs w:val="17"/>
        </w:rPr>
        <w:t>hältnisse.</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4"/>
        <w:gridCol w:w="3378"/>
      </w:tblGrid>
      <w:tr>
        <w:tblPrEx>
          <w:tblCellMar>
            <w:top w:w="0" w:type="dxa"/>
            <w:bottom w:w="0" w:type="dxa"/>
          </w:tblCellMar>
        </w:tblPrEx>
        <w:trPr>
          <w:cantSplit/>
        </w:trPr>
        <w:tc>
          <w:tcPr>
            <w:tcW w:w="6662" w:type="dxa"/>
            <w:gridSpan w:val="2"/>
          </w:tcPr>
          <w:p>
            <w:pPr>
              <w:pStyle w:val="GesAbsatz"/>
              <w:jc w:val="center"/>
              <w:rPr>
                <w:rFonts w:cs="Arial"/>
                <w:szCs w:val="15"/>
              </w:rPr>
            </w:pPr>
            <w:r>
              <w:rPr>
                <w:rFonts w:cs="Arial"/>
                <w:szCs w:val="15"/>
              </w:rPr>
              <w:t>Emissionsfaktor</w:t>
            </w:r>
          </w:p>
        </w:tc>
      </w:tr>
      <w:tr>
        <w:tblPrEx>
          <w:tblCellMar>
            <w:top w:w="0" w:type="dxa"/>
            <w:bottom w:w="0" w:type="dxa"/>
          </w:tblCellMar>
        </w:tblPrEx>
        <w:tc>
          <w:tcPr>
            <w:tcW w:w="3284" w:type="dxa"/>
          </w:tcPr>
          <w:p>
            <w:pPr>
              <w:pStyle w:val="GesAbsatz"/>
              <w:jc w:val="both"/>
              <w:rPr>
                <w:rFonts w:cs="Arial"/>
                <w:szCs w:val="15"/>
                <w:lang w:val="fr-FR"/>
              </w:rPr>
            </w:pPr>
            <w:r>
              <w:rPr>
                <w:rFonts w:cs="Arial"/>
                <w:szCs w:val="17"/>
                <w:lang w:val="fr-FR"/>
              </w:rPr>
              <w:t>CaCO</w:t>
            </w:r>
            <w:r>
              <w:rPr>
                <w:rFonts w:cs="Arial"/>
                <w:szCs w:val="10"/>
                <w:vertAlign w:val="subscript"/>
                <w:lang w:val="fr-FR"/>
              </w:rPr>
              <w:t>3</w:t>
            </w:r>
          </w:p>
        </w:tc>
        <w:tc>
          <w:tcPr>
            <w:tcW w:w="3378" w:type="dxa"/>
          </w:tcPr>
          <w:p>
            <w:pPr>
              <w:pStyle w:val="GesAbsatz"/>
              <w:jc w:val="both"/>
              <w:rPr>
                <w:rFonts w:cs="Arial"/>
                <w:szCs w:val="15"/>
                <w:lang w:val="fr-FR"/>
              </w:rPr>
            </w:pPr>
            <w:r>
              <w:rPr>
                <w:rFonts w:cs="Arial"/>
                <w:szCs w:val="17"/>
                <w:lang w:val="fr-FR"/>
              </w:rPr>
              <w:t>0,440 t CO</w:t>
            </w:r>
            <w:r>
              <w:rPr>
                <w:rFonts w:cs="Arial"/>
                <w:szCs w:val="10"/>
                <w:vertAlign w:val="subscript"/>
                <w:lang w:val="fr-FR"/>
              </w:rPr>
              <w:t>2</w:t>
            </w:r>
            <w:r>
              <w:rPr>
                <w:rFonts w:cs="Arial"/>
                <w:szCs w:val="17"/>
                <w:lang w:val="fr-FR"/>
              </w:rPr>
              <w:t>/t CaCO</w:t>
            </w:r>
            <w:r>
              <w:rPr>
                <w:rFonts w:cs="Arial"/>
                <w:szCs w:val="10"/>
                <w:vertAlign w:val="subscript"/>
                <w:lang w:val="fr-FR"/>
              </w:rPr>
              <w:t>3</w:t>
            </w:r>
          </w:p>
        </w:tc>
      </w:tr>
      <w:tr>
        <w:tblPrEx>
          <w:tblCellMar>
            <w:top w:w="0" w:type="dxa"/>
            <w:bottom w:w="0" w:type="dxa"/>
          </w:tblCellMar>
        </w:tblPrEx>
        <w:tc>
          <w:tcPr>
            <w:tcW w:w="3284" w:type="dxa"/>
          </w:tcPr>
          <w:p>
            <w:pPr>
              <w:pStyle w:val="GesAbsatz"/>
              <w:jc w:val="both"/>
              <w:rPr>
                <w:rFonts w:cs="Arial"/>
                <w:szCs w:val="17"/>
              </w:rPr>
            </w:pPr>
            <w:r>
              <w:rPr>
                <w:rFonts w:cs="Arial"/>
                <w:szCs w:val="17"/>
              </w:rPr>
              <w:t>MgCO</w:t>
            </w:r>
            <w:r>
              <w:rPr>
                <w:rFonts w:cs="Arial"/>
                <w:szCs w:val="10"/>
                <w:vertAlign w:val="subscript"/>
              </w:rPr>
              <w:t>3</w:t>
            </w:r>
          </w:p>
        </w:tc>
        <w:tc>
          <w:tcPr>
            <w:tcW w:w="3378" w:type="dxa"/>
          </w:tcPr>
          <w:p>
            <w:pPr>
              <w:pStyle w:val="GesAbsatz"/>
              <w:jc w:val="both"/>
              <w:rPr>
                <w:rFonts w:cs="Arial"/>
                <w:szCs w:val="17"/>
              </w:rPr>
            </w:pPr>
            <w:r>
              <w:rPr>
                <w:rFonts w:cs="Arial"/>
                <w:szCs w:val="17"/>
              </w:rPr>
              <w:t>0,5</w:t>
            </w:r>
            <w:r>
              <w:rPr>
                <w:rFonts w:cs="Arial"/>
                <w:szCs w:val="17"/>
                <w:vertAlign w:val="subscript"/>
              </w:rPr>
              <w:t>2</w:t>
            </w:r>
            <w:r>
              <w:rPr>
                <w:rFonts w:cs="Arial"/>
                <w:szCs w:val="17"/>
              </w:rPr>
              <w:t>2 t CO</w:t>
            </w:r>
            <w:r>
              <w:rPr>
                <w:rFonts w:cs="Arial"/>
                <w:szCs w:val="10"/>
                <w:vertAlign w:val="subscript"/>
              </w:rPr>
              <w:t>2</w:t>
            </w:r>
            <w:r>
              <w:rPr>
                <w:rFonts w:cs="Arial"/>
                <w:szCs w:val="17"/>
              </w:rPr>
              <w:t>/t MgCO</w:t>
            </w:r>
            <w:r>
              <w:rPr>
                <w:rFonts w:cs="Arial"/>
                <w:szCs w:val="10"/>
                <w:vertAlign w:val="subscript"/>
              </w:rPr>
              <w:t>3</w:t>
            </w:r>
          </w:p>
        </w:tc>
      </w:tr>
    </w:tbl>
    <w:p>
      <w:pPr>
        <w:pStyle w:val="GesAbsatz"/>
        <w:jc w:val="both"/>
        <w:rPr>
          <w:rFonts w:cs="Arial"/>
          <w:szCs w:val="15"/>
        </w:rPr>
      </w:pPr>
    </w:p>
    <w:p>
      <w:pPr>
        <w:pStyle w:val="GesAbsatz"/>
        <w:jc w:val="both"/>
        <w:rPr>
          <w:rFonts w:cs="Arial"/>
          <w:szCs w:val="17"/>
        </w:rPr>
      </w:pPr>
      <w:r>
        <w:rPr>
          <w:rFonts w:cs="Arial"/>
          <w:szCs w:val="17"/>
        </w:rPr>
        <w:t>Diese Werte werden um den jeweiligen Feuchte- und Gangart-Gehalt des eingesetzten Karbonats bere</w:t>
      </w:r>
      <w:r>
        <w:rPr>
          <w:rFonts w:cs="Arial"/>
          <w:szCs w:val="17"/>
        </w:rPr>
        <w:t>i</w:t>
      </w:r>
      <w:r>
        <w:rPr>
          <w:rFonts w:cs="Arial"/>
          <w:szCs w:val="17"/>
        </w:rPr>
        <w:t>nigt. Für Prozessrückstände - Ermittlung der tätigkeitsspezifischen Faktoren entsprechend den Vorg</w:t>
      </w:r>
      <w:r>
        <w:rPr>
          <w:rFonts w:cs="Arial"/>
          <w:szCs w:val="17"/>
        </w:rPr>
        <w:t>a</w:t>
      </w:r>
      <w:r>
        <w:rPr>
          <w:rFonts w:cs="Arial"/>
          <w:szCs w:val="17"/>
        </w:rPr>
        <w:t>ben von Abschnitt 10 des Anhangs I.</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tätigkeitsspezifischen Faktoren werden entsprechend den Vorgaben des Abschnitt 10 des Anhangs I ermittelt; dabei wird die im Sintererzeugnis bzw. im Filterstaub enthaltene Menge Kohlenstoff bestimmt. Wird der Filterstaub erneut im Prozess eingesetzt, so ist die in ihm enthaltene Menge Kohlenstoff [t] nicht berücksichtigt, um eine Doppelzählung zu vermeiden.</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rPr>
          <w:bCs/>
        </w:rPr>
      </w:pPr>
      <w:r>
        <w:br w:type="page"/>
      </w:r>
      <w:bookmarkStart w:id="9" w:name="_Toc67281924"/>
      <w:r>
        <w:lastRenderedPageBreak/>
        <w:t>ANHANG VI</w:t>
      </w:r>
      <w:r>
        <w:br/>
      </w:r>
      <w:r>
        <w:rPr>
          <w:bCs/>
        </w:rPr>
        <w:t>Tätigkeitsspezifische Leitlinien für Anlagen für die Herstellung von Roheisen oder Stahl, ei</w:t>
      </w:r>
      <w:r>
        <w:rPr>
          <w:bCs/>
        </w:rPr>
        <w:t>n</w:t>
      </w:r>
      <w:r>
        <w:rPr>
          <w:bCs/>
        </w:rPr>
        <w:t>schließlich Stranggießen, gemäß Anhang I der Richtlinie</w:t>
      </w:r>
      <w:bookmarkEnd w:id="9"/>
    </w:p>
    <w:p>
      <w:pPr>
        <w:pStyle w:val="GesAbsatz"/>
        <w:jc w:val="both"/>
        <w:rPr>
          <w:rFonts w:cs="Arial"/>
          <w:b/>
          <w:szCs w:val="17"/>
        </w:rPr>
      </w:pPr>
      <w:r>
        <w:rPr>
          <w:rFonts w:cs="Arial"/>
          <w:b/>
          <w:szCs w:val="17"/>
        </w:rPr>
        <w:t>1. EINSCHRÄNKUNGEN UND VOLLSTÄNDIGKEIT</w:t>
      </w:r>
    </w:p>
    <w:p>
      <w:pPr>
        <w:pStyle w:val="GesAbsatz"/>
        <w:jc w:val="both"/>
        <w:rPr>
          <w:rFonts w:cs="Arial"/>
          <w:szCs w:val="17"/>
        </w:rPr>
      </w:pPr>
      <w:r>
        <w:rPr>
          <w:rFonts w:cs="Arial"/>
          <w:szCs w:val="17"/>
        </w:rPr>
        <w:t>Die in diesem Anhang enthaltenen Leitlinien erstrecken sich auf Emissionen aus Anlagen für die Herste</w:t>
      </w:r>
      <w:r>
        <w:rPr>
          <w:rFonts w:cs="Arial"/>
          <w:szCs w:val="17"/>
        </w:rPr>
        <w:t>l</w:t>
      </w:r>
      <w:r>
        <w:rPr>
          <w:rFonts w:cs="Arial"/>
          <w:szCs w:val="17"/>
        </w:rPr>
        <w:t>lung von Roheisen und Stahl, einschließlich Stranggießen. Sie beziehen sich auf die primäre [Gichtofen und Sa</w:t>
      </w:r>
      <w:r>
        <w:rPr>
          <w:rFonts w:cs="Arial"/>
          <w:szCs w:val="17"/>
        </w:rPr>
        <w:t>u</w:t>
      </w:r>
      <w:r>
        <w:rPr>
          <w:rFonts w:cs="Arial"/>
          <w:szCs w:val="17"/>
        </w:rPr>
        <w:t>erstoffaufblaskonverter] und die sekundäre [Lichtbogenofen] Stahlerzeugung.</w:t>
      </w:r>
    </w:p>
    <w:p>
      <w:pPr>
        <w:pStyle w:val="GesAbsatz"/>
        <w:jc w:val="both"/>
        <w:rPr>
          <w:rFonts w:cs="Arial"/>
          <w:szCs w:val="17"/>
        </w:rPr>
      </w:pPr>
      <w:r>
        <w:rPr>
          <w:rFonts w:cs="Arial"/>
          <w:szCs w:val="17"/>
        </w:rPr>
        <w:t>Anlagen für die Herstellung von Roheisen und Stahl, einschließlich Stranggießen, sind in der Regel ein fester Bestandteil von Stahlwerken und stehen in einem direkten technischen Zusammenhang zu Kokere</w:t>
      </w:r>
      <w:r>
        <w:rPr>
          <w:rFonts w:cs="Arial"/>
          <w:szCs w:val="17"/>
        </w:rPr>
        <w:t>i</w:t>
      </w:r>
      <w:r>
        <w:rPr>
          <w:rFonts w:cs="Arial"/>
          <w:szCs w:val="17"/>
        </w:rPr>
        <w:t>en und Sinteranlagen. Infolgedessen entsteht während des regulären Betriebs ein intensiver Energie- und Mat</w:t>
      </w:r>
      <w:r>
        <w:rPr>
          <w:rFonts w:cs="Arial"/>
          <w:szCs w:val="17"/>
        </w:rPr>
        <w:t>e</w:t>
      </w:r>
      <w:r>
        <w:rPr>
          <w:rFonts w:cs="Arial"/>
          <w:szCs w:val="17"/>
        </w:rPr>
        <w:t>rialaustausch (beispielsweise Gichtgas, Kokereigas, Koks, Kalk). Wenn sich die Genehmigung der Anlage gemäß den Artikeln 4, 5 und 6 der Richtlinie nicht nur auf den Hochofen, sondern auf das gesamte Stahlwerk erstreckt, so können die CO</w:t>
      </w:r>
      <w:r>
        <w:rPr>
          <w:rFonts w:cs="Arial"/>
          <w:szCs w:val="10"/>
          <w:vertAlign w:val="subscript"/>
        </w:rPr>
        <w:t>2</w:t>
      </w:r>
      <w:r>
        <w:rPr>
          <w:rFonts w:cs="Arial"/>
          <w:szCs w:val="17"/>
        </w:rPr>
        <w:t>-Emissionen auch im Rahmen der für das gesamte Werk laufe</w:t>
      </w:r>
      <w:r>
        <w:rPr>
          <w:rFonts w:cs="Arial"/>
          <w:szCs w:val="17"/>
        </w:rPr>
        <w:t>n</w:t>
      </w:r>
      <w:r>
        <w:rPr>
          <w:rFonts w:cs="Arial"/>
          <w:szCs w:val="17"/>
        </w:rPr>
        <w:t>den Überwachung unter Anwendung des Massenbilanzansatzes erfasst werden, der in A</w:t>
      </w:r>
      <w:r>
        <w:rPr>
          <w:rFonts w:cs="Arial"/>
          <w:szCs w:val="17"/>
        </w:rPr>
        <w:t>b</w:t>
      </w:r>
      <w:r>
        <w:rPr>
          <w:rFonts w:cs="Arial"/>
          <w:szCs w:val="17"/>
        </w:rPr>
        <w:t>schnitt 2.1.1 dieses Anhangs spezifiziert wird.</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den Vorgaben von A</w:t>
      </w:r>
      <w:r>
        <w:rPr>
          <w:rFonts w:cs="Arial"/>
          <w:szCs w:val="17"/>
        </w:rPr>
        <w:t>n</w:t>
      </w:r>
      <w:r>
        <w:rPr>
          <w:rFonts w:cs="Arial"/>
          <w:szCs w:val="17"/>
        </w:rPr>
        <w:t>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In Anlagen für die Herstellung von Roheisen und Stahl, einschließlich Stranggießen, können CO</w:t>
      </w:r>
      <w:r>
        <w:rPr>
          <w:rFonts w:cs="Arial"/>
          <w:szCs w:val="10"/>
          <w:vertAlign w:val="subscript"/>
        </w:rPr>
        <w:t>2</w:t>
      </w:r>
      <w:r>
        <w:rPr>
          <w:rFonts w:cs="Arial"/>
          <w:szCs w:val="17"/>
        </w:rPr>
        <w:t>-Emissionen aus folgenden Quellen freigesetzt werden:</w:t>
      </w:r>
    </w:p>
    <w:p>
      <w:pPr>
        <w:pStyle w:val="GesAbsatz"/>
        <w:jc w:val="both"/>
        <w:rPr>
          <w:rFonts w:cs="Arial"/>
          <w:szCs w:val="17"/>
        </w:rPr>
      </w:pPr>
      <w:r>
        <w:rPr>
          <w:rFonts w:cs="Arial"/>
          <w:szCs w:val="17"/>
        </w:rPr>
        <w:t>-</w:t>
      </w:r>
      <w:r>
        <w:rPr>
          <w:rFonts w:cs="Arial"/>
          <w:szCs w:val="17"/>
        </w:rPr>
        <w:tab/>
        <w:t>Rohstoffe (Brennen von Kalk und/oder Dolomit),</w:t>
      </w:r>
    </w:p>
    <w:p>
      <w:pPr>
        <w:pStyle w:val="GesAbsatz"/>
        <w:jc w:val="both"/>
        <w:rPr>
          <w:rFonts w:cs="Arial"/>
          <w:szCs w:val="17"/>
        </w:rPr>
      </w:pPr>
      <w:r>
        <w:rPr>
          <w:rFonts w:cs="Arial"/>
          <w:szCs w:val="17"/>
        </w:rPr>
        <w:t>-</w:t>
      </w:r>
      <w:r>
        <w:rPr>
          <w:rFonts w:cs="Arial"/>
          <w:szCs w:val="17"/>
        </w:rPr>
        <w:tab/>
        <w:t>herkömmliche Brennstoffe (Erdgas, Kohle und Koks),</w:t>
      </w:r>
    </w:p>
    <w:p>
      <w:pPr>
        <w:pStyle w:val="GesAbsatz"/>
        <w:jc w:val="both"/>
        <w:rPr>
          <w:rFonts w:cs="Arial"/>
          <w:szCs w:val="17"/>
        </w:rPr>
      </w:pPr>
      <w:r>
        <w:rPr>
          <w:rFonts w:cs="Arial"/>
          <w:szCs w:val="17"/>
        </w:rPr>
        <w:t>-</w:t>
      </w:r>
      <w:r>
        <w:rPr>
          <w:rFonts w:cs="Arial"/>
          <w:szCs w:val="17"/>
        </w:rPr>
        <w:tab/>
        <w:t>Reduktionsmittel (Koks, Kohle, Kunststoff usw.),</w:t>
      </w:r>
    </w:p>
    <w:p>
      <w:pPr>
        <w:pStyle w:val="GesAbsatz"/>
        <w:jc w:val="both"/>
        <w:rPr>
          <w:rFonts w:cs="Arial"/>
          <w:szCs w:val="17"/>
        </w:rPr>
      </w:pPr>
      <w:r>
        <w:rPr>
          <w:rFonts w:cs="Arial"/>
          <w:szCs w:val="17"/>
        </w:rPr>
        <w:t>-</w:t>
      </w:r>
      <w:r>
        <w:rPr>
          <w:rFonts w:cs="Arial"/>
          <w:szCs w:val="17"/>
        </w:rPr>
        <w:tab/>
        <w:t>Prozessgase (z. B. Kokereigas, Gichtgas und Sauerstoffaufblaskonvertergas),</w:t>
      </w:r>
    </w:p>
    <w:p>
      <w:pPr>
        <w:pStyle w:val="GesAbsatz"/>
        <w:jc w:val="both"/>
        <w:rPr>
          <w:rFonts w:cs="Arial"/>
          <w:szCs w:val="17"/>
        </w:rPr>
      </w:pPr>
      <w:r>
        <w:rPr>
          <w:rFonts w:cs="Arial"/>
          <w:szCs w:val="17"/>
        </w:rPr>
        <w:t>-</w:t>
      </w:r>
      <w:r>
        <w:rPr>
          <w:rFonts w:cs="Arial"/>
          <w:szCs w:val="17"/>
        </w:rPr>
        <w:tab/>
        <w:t>Verbrauch von Grafitelektroden,</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Der Betreiber kann die Emissionen entweder anhand des Massenbilanzansatzes oder aber für jede Que</w:t>
      </w:r>
      <w:r>
        <w:rPr>
          <w:rFonts w:cs="Arial"/>
          <w:szCs w:val="17"/>
        </w:rPr>
        <w:t>l</w:t>
      </w:r>
      <w:r>
        <w:rPr>
          <w:rFonts w:cs="Arial"/>
          <w:szCs w:val="17"/>
        </w:rPr>
        <w:t>le der Anlage einzeln berechnen.</w:t>
      </w:r>
    </w:p>
    <w:p>
      <w:pPr>
        <w:pStyle w:val="GesAbsatz"/>
        <w:jc w:val="both"/>
        <w:rPr>
          <w:rFonts w:cs="Arial"/>
          <w:i/>
          <w:iCs/>
          <w:szCs w:val="17"/>
        </w:rPr>
      </w:pPr>
      <w:r>
        <w:rPr>
          <w:rFonts w:cs="Arial"/>
          <w:szCs w:val="17"/>
        </w:rPr>
        <w:t xml:space="preserve">2.1.1. </w:t>
      </w:r>
      <w:r>
        <w:rPr>
          <w:rFonts w:cs="Arial"/>
          <w:i/>
          <w:iCs/>
          <w:szCs w:val="17"/>
        </w:rPr>
        <w:t>Massenbilanzansatz</w:t>
      </w:r>
    </w:p>
    <w:p>
      <w:pPr>
        <w:pStyle w:val="GesAbsatz"/>
        <w:jc w:val="both"/>
        <w:rPr>
          <w:rFonts w:cs="Arial"/>
          <w:szCs w:val="17"/>
        </w:rPr>
      </w:pPr>
      <w:r>
        <w:rPr>
          <w:rFonts w:cs="Arial"/>
          <w:szCs w:val="17"/>
        </w:rPr>
        <w:t>Im Rahmen des Massenbilanzansatzes werden für die Ermittlung der Treibhausgasemissionen einer A</w:t>
      </w:r>
      <w:r>
        <w:rPr>
          <w:rFonts w:cs="Arial"/>
          <w:szCs w:val="17"/>
        </w:rPr>
        <w:t>n</w:t>
      </w:r>
      <w:r>
        <w:rPr>
          <w:rFonts w:cs="Arial"/>
          <w:szCs w:val="17"/>
        </w:rPr>
        <w:t>lage der im Input-Material, in Akkumulationen, Produkten und Exporten enthaltene Kohlenstoff analysiert. Dazu wird folgende Gleichung zugrunde gelegt: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(Input-Produkte-Export – Lagerbestandsveränderungen) × Umsetzungsfaktor CO</w:t>
      </w:r>
      <w:r>
        <w:rPr>
          <w:rFonts w:cs="Arial"/>
          <w:szCs w:val="10"/>
          <w:vertAlign w:val="subscript"/>
        </w:rPr>
        <w:t>2</w:t>
      </w:r>
      <w:r>
        <w:rPr>
          <w:rFonts w:cs="Arial"/>
          <w:szCs w:val="17"/>
        </w:rPr>
        <w:t>/C</w:t>
      </w:r>
    </w:p>
    <w:p>
      <w:pPr>
        <w:pStyle w:val="GesAbsatz"/>
        <w:jc w:val="both"/>
        <w:rPr>
          <w:rFonts w:cs="Arial"/>
          <w:szCs w:val="17"/>
        </w:rPr>
      </w:pPr>
      <w:r>
        <w:rPr>
          <w:rFonts w:cs="Arial"/>
          <w:szCs w:val="17"/>
        </w:rPr>
        <w:t>wobei</w:t>
      </w:r>
    </w:p>
    <w:p>
      <w:pPr>
        <w:pStyle w:val="GesAbsatz"/>
        <w:jc w:val="both"/>
        <w:rPr>
          <w:rFonts w:cs="Arial"/>
          <w:szCs w:val="17"/>
        </w:rPr>
      </w:pPr>
      <w:r>
        <w:rPr>
          <w:rFonts w:cs="Arial"/>
          <w:szCs w:val="17"/>
        </w:rPr>
        <w:t>-</w:t>
      </w:r>
      <w:r>
        <w:rPr>
          <w:rFonts w:cs="Arial"/>
          <w:szCs w:val="17"/>
        </w:rPr>
        <w:tab/>
        <w:t>Input [t C]: der gesamte Kohlenstoff, der in der Anlage eingesetzt wird,</w:t>
      </w:r>
    </w:p>
    <w:p>
      <w:pPr>
        <w:pStyle w:val="GesAbsatz"/>
        <w:ind w:left="426" w:hanging="426"/>
        <w:jc w:val="both"/>
        <w:rPr>
          <w:rFonts w:cs="Arial"/>
          <w:szCs w:val="17"/>
        </w:rPr>
      </w:pPr>
      <w:r>
        <w:rPr>
          <w:rFonts w:cs="Arial"/>
          <w:szCs w:val="17"/>
        </w:rPr>
        <w:t>-</w:t>
      </w:r>
      <w:r>
        <w:rPr>
          <w:rFonts w:cs="Arial"/>
          <w:szCs w:val="17"/>
        </w:rPr>
        <w:tab/>
        <w:t>Produkte [t C]: der gesamte Kohlenstoff in Produkten und Stoffen (auch in Nebenprodukten), der aus der Massenbilanz fällt,</w:t>
      </w:r>
    </w:p>
    <w:p>
      <w:pPr>
        <w:pStyle w:val="GesAbsatz"/>
        <w:ind w:left="426" w:hanging="426"/>
        <w:jc w:val="both"/>
        <w:rPr>
          <w:rFonts w:cs="Arial"/>
          <w:szCs w:val="17"/>
        </w:rPr>
      </w:pPr>
      <w:r>
        <w:rPr>
          <w:rFonts w:cs="Arial"/>
          <w:szCs w:val="17"/>
        </w:rPr>
        <w:t>-</w:t>
      </w:r>
      <w:r>
        <w:rPr>
          <w:rFonts w:cs="Arial"/>
          <w:szCs w:val="17"/>
        </w:rPr>
        <w:tab/>
        <w:t>Export [t C]: der Kohlenstoff, der exportiert (sprich abgeleitet) wird und so der aus der Massenbilanz fällt, z. B. Einleitung in Abwasserkanal, Ablagerung auf einer Deponie oder Verluste. Die Freisetzung von Treibhausgasen in die Atmosphäre gilt nicht als Export,</w:t>
      </w:r>
    </w:p>
    <w:p>
      <w:pPr>
        <w:pStyle w:val="GesAbsatz"/>
        <w:ind w:left="426" w:hanging="426"/>
        <w:jc w:val="both"/>
        <w:rPr>
          <w:rFonts w:cs="Arial"/>
          <w:szCs w:val="17"/>
        </w:rPr>
      </w:pPr>
      <w:r>
        <w:rPr>
          <w:rFonts w:cs="Arial"/>
          <w:szCs w:val="17"/>
        </w:rPr>
        <w:lastRenderedPageBreak/>
        <w:t>-</w:t>
      </w:r>
      <w:r>
        <w:rPr>
          <w:rFonts w:cs="Arial"/>
          <w:szCs w:val="17"/>
        </w:rPr>
        <w:tab/>
        <w:t>Lagerbestandsveränderungen [t C]: die Zunahme der Lagerbestände an Kohlenstoff innerhalb der Anlage.</w:t>
      </w:r>
    </w:p>
    <w:p>
      <w:pPr>
        <w:pStyle w:val="GesAbsatz"/>
        <w:jc w:val="both"/>
        <w:rPr>
          <w:rFonts w:cs="Arial"/>
          <w:szCs w:val="17"/>
        </w:rPr>
      </w:pPr>
      <w:r>
        <w:rPr>
          <w:rFonts w:cs="Arial"/>
          <w:szCs w:val="17"/>
        </w:rPr>
        <w:t>Für die Berechnung ist folgende Gleichung anzuwenden: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Input</w:t>
      </w:r>
      <w:r>
        <w:rPr>
          <w:rFonts w:cs="Arial"/>
          <w:szCs w:val="10"/>
        </w:rPr>
        <w:t xml:space="preserve"> </w:t>
      </w:r>
      <w:r>
        <w:rPr>
          <w:rFonts w:cs="Arial"/>
          <w:szCs w:val="17"/>
        </w:rPr>
        <w:t>× Kohlenstoffgehalt</w:t>
      </w:r>
      <w:r>
        <w:rPr>
          <w:rFonts w:cs="Arial"/>
          <w:szCs w:val="10"/>
          <w:vertAlign w:val="subscript"/>
        </w:rPr>
        <w:t>Input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Produ</w:t>
      </w:r>
      <w:r>
        <w:rPr>
          <w:rFonts w:cs="Arial"/>
          <w:szCs w:val="10"/>
          <w:vertAlign w:val="subscript"/>
        </w:rPr>
        <w:t>k</w:t>
      </w:r>
      <w:r>
        <w:rPr>
          <w:rFonts w:cs="Arial"/>
          <w:szCs w:val="10"/>
          <w:vertAlign w:val="subscript"/>
        </w:rPr>
        <w:t>te</w:t>
      </w:r>
      <w:r>
        <w:rPr>
          <w:rFonts w:cs="Arial"/>
          <w:szCs w:val="10"/>
        </w:rPr>
        <w:t xml:space="preserve"> </w:t>
      </w:r>
      <w:r>
        <w:rPr>
          <w:rFonts w:cs="Arial"/>
          <w:szCs w:val="17"/>
        </w:rPr>
        <w:t>× Kohlenstoffgehalt</w:t>
      </w:r>
      <w:r>
        <w:rPr>
          <w:rFonts w:cs="Arial"/>
          <w:szCs w:val="10"/>
          <w:vertAlign w:val="subscript"/>
        </w:rPr>
        <w:t>Produkte</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Export</w:t>
      </w:r>
      <w:r>
        <w:rPr>
          <w:rFonts w:cs="Arial"/>
          <w:szCs w:val="10"/>
        </w:rPr>
        <w:t xml:space="preserve"> </w:t>
      </w:r>
      <w:r>
        <w:rPr>
          <w:rFonts w:cs="Arial"/>
          <w:szCs w:val="17"/>
        </w:rPr>
        <w:t>× Kohlenstoffgehalt</w:t>
      </w:r>
      <w:r>
        <w:rPr>
          <w:rFonts w:cs="Arial"/>
          <w:szCs w:val="10"/>
          <w:vertAlign w:val="subscript"/>
        </w:rPr>
        <w:t>Export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Lagerb</w:t>
      </w:r>
      <w:r>
        <w:rPr>
          <w:rFonts w:cs="Arial"/>
          <w:szCs w:val="10"/>
          <w:vertAlign w:val="subscript"/>
        </w:rPr>
        <w:t>e</w:t>
      </w:r>
      <w:r>
        <w:rPr>
          <w:rFonts w:cs="Arial"/>
          <w:szCs w:val="10"/>
          <w:vertAlign w:val="subscript"/>
        </w:rPr>
        <w:t>standsveränderungen</w:t>
      </w:r>
      <w:r>
        <w:rPr>
          <w:rFonts w:cs="Arial"/>
          <w:szCs w:val="10"/>
        </w:rPr>
        <w:t xml:space="preserve"> </w:t>
      </w:r>
      <w:r>
        <w:rPr>
          <w:rFonts w:cs="Arial"/>
          <w:szCs w:val="17"/>
        </w:rPr>
        <w:t>× Kohlenstoffgehalt</w:t>
      </w:r>
      <w:r>
        <w:rPr>
          <w:rFonts w:cs="Arial"/>
          <w:szCs w:val="10"/>
          <w:vertAlign w:val="subscript"/>
        </w:rPr>
        <w:t>Lagerbestandsveränderungen</w:t>
      </w:r>
      <w:r>
        <w:rPr>
          <w:rFonts w:cs="Arial"/>
          <w:szCs w:val="17"/>
        </w:rPr>
        <w:t>)) × 3,664</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Betreiber analysiert die Massenströme in die und aus der Anlage bzw. die diesbezüglichen Lagerb</w:t>
      </w:r>
      <w:r>
        <w:rPr>
          <w:rFonts w:cs="Arial"/>
          <w:szCs w:val="17"/>
        </w:rPr>
        <w:t>e</w:t>
      </w:r>
      <w:r>
        <w:rPr>
          <w:rFonts w:cs="Arial"/>
          <w:szCs w:val="17"/>
        </w:rPr>
        <w:t>standsveränderungen für alle relevanten Brenn- und Einsatzstoffe getrennt und erstattet Bericht darüber.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7,5 % je Messvo</w:t>
      </w:r>
      <w:r>
        <w:rPr>
          <w:rFonts w:cs="Arial"/>
          <w:szCs w:val="17"/>
        </w:rPr>
        <w:t>r</w:t>
      </w:r>
      <w:r>
        <w:rPr>
          <w:rFonts w:cs="Arial"/>
          <w:szCs w:val="17"/>
        </w:rPr>
        <w:t>gang ermittelt. Alle anderen Brennstoffmassen- und Stoffmengenströme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Eine Teilmenge der Brennstoffmassen- und Stoffmengenströme in die und aus der Anlage wird mit Hilfe von Messgeräten mit einem maximal zulässigen Unsicherheitsfaktor von weniger als ± 5,0 % je Messvo</w:t>
      </w:r>
      <w:r>
        <w:rPr>
          <w:rFonts w:cs="Arial"/>
          <w:szCs w:val="17"/>
        </w:rPr>
        <w:t>r</w:t>
      </w:r>
      <w:r>
        <w:rPr>
          <w:rFonts w:cs="Arial"/>
          <w:szCs w:val="17"/>
        </w:rPr>
        <w:t>gang ermittelt. Alle anderen Brennstoffmassen- und Stoffmengenströme in die und aus der Anlage we</w:t>
      </w:r>
      <w:r>
        <w:rPr>
          <w:rFonts w:cs="Arial"/>
          <w:szCs w:val="17"/>
        </w:rPr>
        <w:t>r</w:t>
      </w:r>
      <w:r>
        <w:rPr>
          <w:rFonts w:cs="Arial"/>
          <w:szCs w:val="17"/>
        </w:rPr>
        <w:t>den mit Hilfe von Messgeräten mit einem maximal zulässigen Unsicherheitsfaktor von weniger als ± 2,5 % je Messvorgang ermittelt.</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2,5 % je Messvorgang ermittelt.</w:t>
      </w:r>
    </w:p>
    <w:p>
      <w:pPr>
        <w:pStyle w:val="GesAbsatz"/>
        <w:jc w:val="both"/>
        <w:rPr>
          <w:rFonts w:cs="Arial"/>
          <w:szCs w:val="17"/>
        </w:rPr>
      </w:pPr>
      <w:r>
        <w:rPr>
          <w:rFonts w:cs="Arial"/>
          <w:szCs w:val="17"/>
        </w:rPr>
        <w:t>Ebene 4:</w:t>
      </w:r>
    </w:p>
    <w:p>
      <w:pPr>
        <w:pStyle w:val="GesAbsatz"/>
        <w:jc w:val="both"/>
        <w:rPr>
          <w:rFonts w:cs="Arial"/>
          <w:szCs w:val="17"/>
        </w:rPr>
      </w:pPr>
      <w:r>
        <w:rPr>
          <w:rFonts w:cs="Arial"/>
          <w:szCs w:val="17"/>
        </w:rPr>
        <w:t>Die Massenströme in die und aus der Anlage werden mit Hilfe von Messgeräten mit einem maximal zulä</w:t>
      </w:r>
      <w:r>
        <w:rPr>
          <w:rFonts w:cs="Arial"/>
          <w:szCs w:val="17"/>
        </w:rPr>
        <w:t>s</w:t>
      </w:r>
      <w:r>
        <w:rPr>
          <w:rFonts w:cs="Arial"/>
          <w:szCs w:val="17"/>
        </w:rPr>
        <w:t>sigen Unsicherheitsfaktor von weniger als ± 1,0 % je Messvorgang ermittelt.</w:t>
      </w:r>
    </w:p>
    <w:p>
      <w:pPr>
        <w:pStyle w:val="GesAbsatz"/>
        <w:jc w:val="both"/>
        <w:rPr>
          <w:rFonts w:cs="Arial"/>
          <w:szCs w:val="17"/>
          <w:u w:val="single"/>
        </w:rPr>
      </w:pPr>
      <w:r>
        <w:rPr>
          <w:rFonts w:cs="Arial"/>
          <w:szCs w:val="17"/>
          <w:u w:val="single"/>
        </w:rPr>
        <w:t>b) Kohlenstoffgehalt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Bei der Berechnung der Massenbilanz hält sich der Betreiber an die Vorgaben, die in Abschnitt 10 des Anhangs I in Bezug auf die repräsentative Probenahme von Brennstoffen, Produkten und Nebenprodu</w:t>
      </w:r>
      <w:r>
        <w:rPr>
          <w:rFonts w:cs="Arial"/>
          <w:szCs w:val="17"/>
        </w:rPr>
        <w:t>k</w:t>
      </w:r>
      <w:r>
        <w:rPr>
          <w:rFonts w:cs="Arial"/>
          <w:szCs w:val="17"/>
        </w:rPr>
        <w:t>ten bzw. in Bezug auf die Ermittlung ihres Kohlenstoffgehalts und des Biomasse-Anteils angeführt sind.</w:t>
      </w:r>
    </w:p>
    <w:p>
      <w:pPr>
        <w:pStyle w:val="GesAbsatz"/>
        <w:jc w:val="both"/>
        <w:rPr>
          <w:rFonts w:cs="Arial"/>
          <w:szCs w:val="17"/>
          <w:u w:val="single"/>
        </w:rPr>
      </w:pPr>
      <w:r>
        <w:rPr>
          <w:rFonts w:cs="Arial"/>
          <w:szCs w:val="17"/>
          <w:u w:val="single"/>
        </w:rPr>
        <w:t>c) Energiegehalt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 eine einheitliche Berichterstattung zu gewährleisten, ist der Energiegehalt eines jeden Brennstoff- und Einsatzstoffstroms (ausgedrückt als spezifischer Heizwert des betreffenden Stroms) zu berechnen.</w:t>
      </w:r>
    </w:p>
    <w:p>
      <w:pPr>
        <w:pStyle w:val="GesAbsatz"/>
        <w:jc w:val="both"/>
        <w:rPr>
          <w:rFonts w:cs="Arial"/>
          <w:i/>
          <w:iCs/>
          <w:szCs w:val="17"/>
        </w:rPr>
      </w:pPr>
      <w:r>
        <w:rPr>
          <w:rFonts w:cs="Arial"/>
          <w:szCs w:val="17"/>
        </w:rPr>
        <w:t xml:space="preserve">2.1.2. </w:t>
      </w:r>
      <w:r>
        <w:rPr>
          <w:rFonts w:cs="Arial"/>
          <w:i/>
          <w:iCs/>
          <w:szCs w:val="17"/>
        </w:rPr>
        <w:t>Emissionen aus der Verbrennung</w:t>
      </w:r>
    </w:p>
    <w:p>
      <w:pPr>
        <w:pStyle w:val="GesAbsatz"/>
        <w:jc w:val="both"/>
        <w:rPr>
          <w:rFonts w:cs="Arial"/>
          <w:szCs w:val="17"/>
        </w:rPr>
      </w:pPr>
      <w:r>
        <w:rPr>
          <w:rFonts w:cs="Arial"/>
          <w:szCs w:val="17"/>
        </w:rPr>
        <w:t>Die Verbrennungsprozesse, die in Anlagen für die Herstellung von Roheisen und Stahl, einschließlich Stranggießen stattfindend und bei denen Brennstoffe (z. B. Koks, Kohle und Erdgas) nicht als Redukt</w:t>
      </w:r>
      <w:r>
        <w:rPr>
          <w:rFonts w:cs="Arial"/>
          <w:szCs w:val="17"/>
        </w:rPr>
        <w:t>i</w:t>
      </w:r>
      <w:r>
        <w:rPr>
          <w:rFonts w:cs="Arial"/>
          <w:szCs w:val="17"/>
        </w:rPr>
        <w:t>onsmittel eingesetzt werden bzw. nicht aus metallurgischen Reaktionen stammen, sind in Einklang mit den Vorg</w:t>
      </w:r>
      <w:r>
        <w:rPr>
          <w:rFonts w:cs="Arial"/>
          <w:szCs w:val="17"/>
        </w:rPr>
        <w:t>a</w:t>
      </w:r>
      <w:r>
        <w:rPr>
          <w:rFonts w:cs="Arial"/>
          <w:szCs w:val="17"/>
        </w:rPr>
        <w:t>ben von Anhang II zu überwachen und zu melden.</w:t>
      </w:r>
    </w:p>
    <w:p>
      <w:pPr>
        <w:pStyle w:val="GesAbsatz"/>
        <w:jc w:val="both"/>
        <w:rPr>
          <w:rFonts w:cs="Arial"/>
          <w:i/>
          <w:iCs/>
          <w:szCs w:val="17"/>
        </w:rPr>
      </w:pPr>
      <w:r>
        <w:rPr>
          <w:rFonts w:cs="Arial"/>
          <w:szCs w:val="17"/>
        </w:rPr>
        <w:t xml:space="preserve">2.1.3. </w:t>
      </w:r>
      <w:r>
        <w:rPr>
          <w:rFonts w:cs="Arial"/>
          <w:i/>
          <w:iCs/>
          <w:szCs w:val="17"/>
        </w:rPr>
        <w:t>Prozessemissionen</w:t>
      </w:r>
    </w:p>
    <w:p>
      <w:pPr>
        <w:pStyle w:val="GesAbsatz"/>
        <w:jc w:val="both"/>
        <w:rPr>
          <w:rFonts w:cs="Arial"/>
          <w:szCs w:val="17"/>
        </w:rPr>
      </w:pPr>
      <w:r>
        <w:rPr>
          <w:rFonts w:cs="Arial"/>
          <w:szCs w:val="17"/>
        </w:rPr>
        <w:lastRenderedPageBreak/>
        <w:t>Anlagen für die Herstellung von Roheisen und Stahl, einschließlich Stranggießen, zeichnen sich in der Regel durch eine Reihe nachgeschalteter Anlagen aus (z. B. Hochofen, Sauerstoffaufblaskonverter, Warmwalzwerk). Diese Anlagen stehen häufig in direktem technischen Zusammenhang zu anderen Anl</w:t>
      </w:r>
      <w:r>
        <w:rPr>
          <w:rFonts w:cs="Arial"/>
          <w:szCs w:val="17"/>
        </w:rPr>
        <w:t>a</w:t>
      </w:r>
      <w:r>
        <w:rPr>
          <w:rFonts w:cs="Arial"/>
          <w:szCs w:val="17"/>
        </w:rPr>
        <w:t>gen (z. B. Kokereiofen, Sinteranlage, Starkstromanlage). Innerhalb dieser Anlagen wird eine Vielzahl Brennstoffe als Redukt</w:t>
      </w:r>
      <w:r>
        <w:rPr>
          <w:rFonts w:cs="Arial"/>
          <w:szCs w:val="17"/>
        </w:rPr>
        <w:t>i</w:t>
      </w:r>
      <w:r>
        <w:rPr>
          <w:rFonts w:cs="Arial"/>
          <w:szCs w:val="17"/>
        </w:rPr>
        <w:t>onsmittel eingesetzt. Im Allgemeinen entstehen aus diesen Anlagen auch Gase unterschiedlicher Zusammense</w:t>
      </w:r>
      <w:r>
        <w:rPr>
          <w:rFonts w:cs="Arial"/>
          <w:szCs w:val="17"/>
        </w:rPr>
        <w:t>t</w:t>
      </w:r>
      <w:r>
        <w:rPr>
          <w:rFonts w:cs="Arial"/>
          <w:szCs w:val="17"/>
        </w:rPr>
        <w:t>zung, z. B. Kokereigas, Gichtgas, Sauerstoffaufblaskonvertergas.</w:t>
      </w:r>
    </w:p>
    <w:p>
      <w:pPr>
        <w:pStyle w:val="GesAbsatz"/>
        <w:jc w:val="both"/>
        <w:rPr>
          <w:rFonts w:cs="Arial"/>
          <w:szCs w:val="17"/>
        </w:rPr>
      </w:pPr>
      <w:r>
        <w:rPr>
          <w:rFonts w:cs="Arial"/>
          <w:szCs w:val="17"/>
        </w:rPr>
        <w:t>Die gesamten CO</w:t>
      </w:r>
      <w:r>
        <w:rPr>
          <w:rFonts w:cs="Arial"/>
          <w:szCs w:val="10"/>
          <w:vertAlign w:val="subscript"/>
        </w:rPr>
        <w:t>2</w:t>
      </w:r>
      <w:r>
        <w:rPr>
          <w:rFonts w:cs="Arial"/>
          <w:szCs w:val="17"/>
        </w:rPr>
        <w:t>-Emissionen aus Anlagen für die Herstellung von Roheisen und Stahl, einschließlich Stranggießen, werden wie folgt berechnet:</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INPUT</w:t>
      </w:r>
      <w:r>
        <w:rPr>
          <w:rFonts w:cs="Arial"/>
          <w:szCs w:val="10"/>
        </w:rPr>
        <w:t xml:space="preserve"> </w:t>
      </w:r>
      <w:r>
        <w:rPr>
          <w:rFonts w:cs="Arial"/>
          <w:szCs w:val="17"/>
        </w:rPr>
        <w:t>× Emissionsfaktor</w:t>
      </w:r>
      <w:r>
        <w:rPr>
          <w:rFonts w:cs="Arial"/>
          <w:szCs w:val="10"/>
          <w:vertAlign w:val="subscript"/>
        </w:rPr>
        <w:t>INPUT</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OUTPUT</w:t>
      </w:r>
      <w:r>
        <w:rPr>
          <w:rFonts w:cs="Arial"/>
          <w:szCs w:val="10"/>
        </w:rPr>
        <w:t xml:space="preserve"> </w:t>
      </w:r>
      <w:r>
        <w:rPr>
          <w:rFonts w:cs="Arial"/>
          <w:szCs w:val="17"/>
        </w:rPr>
        <w:t>× Emissionsfaktor</w:t>
      </w:r>
      <w:r>
        <w:rPr>
          <w:rFonts w:cs="Arial"/>
          <w:szCs w:val="10"/>
          <w:vertAlign w:val="subscript"/>
        </w:rPr>
        <w:t>OUTPUT</w:t>
      </w:r>
      <w:r>
        <w:rPr>
          <w:rFonts w:cs="Arial"/>
          <w:szCs w:val="17"/>
        </w:rPr>
        <w:t>)</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a1) Eingesetzter Brennstoff</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Der Massenstrom des Brennstoffs in die bzw. aus der Anlage wird anhand von Messgeräten mit einem maximal zulässigen Unsicherheitsfaktor von weniger als ± 7,5 % je Messvorgang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Der Massenstrom des Brennstoffs in die bzw. aus der Anlage wird anhand von Messgeräten mit einem maximal zulässigen Unsicherheitsfaktor von weniger als ± 5,0 % je Messvorgang ermittelt.</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Der Massenstrom des Brennstoffs in die bzw. aus der Anlage wird anhand von Messgeräten mit einem maximal zulässigen Unsicherheitsfaktor von weniger als ± 2,5 % je Messvorgang ermittelt.</w:t>
      </w:r>
    </w:p>
    <w:p>
      <w:pPr>
        <w:pStyle w:val="GesAbsatz"/>
        <w:jc w:val="both"/>
        <w:rPr>
          <w:rFonts w:cs="Arial"/>
          <w:szCs w:val="17"/>
        </w:rPr>
      </w:pPr>
      <w:r>
        <w:rPr>
          <w:rFonts w:cs="Arial"/>
          <w:szCs w:val="17"/>
        </w:rPr>
        <w:t>Ebene 4:</w:t>
      </w:r>
    </w:p>
    <w:p>
      <w:pPr>
        <w:pStyle w:val="GesAbsatz"/>
        <w:jc w:val="both"/>
        <w:rPr>
          <w:rFonts w:cs="Arial"/>
          <w:szCs w:val="17"/>
        </w:rPr>
      </w:pPr>
      <w:r>
        <w:rPr>
          <w:rFonts w:cs="Arial"/>
          <w:szCs w:val="17"/>
        </w:rPr>
        <w:t>Der Massenstrom des Brennstoffs in die bzw. aus der Anlage wird anhand von Messgeräten mit einem maximal zulässigen Unsicherheitsfaktor von weniger als ± 1,0 % je Messvorgang ermittelt.</w:t>
      </w:r>
    </w:p>
    <w:p>
      <w:pPr>
        <w:pStyle w:val="GesAbsatz"/>
        <w:jc w:val="both"/>
        <w:rPr>
          <w:rFonts w:cs="Arial"/>
          <w:szCs w:val="17"/>
        </w:rPr>
      </w:pPr>
      <w:r>
        <w:rPr>
          <w:rFonts w:cs="Arial"/>
          <w:szCs w:val="17"/>
        </w:rPr>
        <w:t>a2) Spezifischer Heizwert (sofern anwendbar)</w:t>
      </w:r>
    </w:p>
    <w:p>
      <w:pPr>
        <w:pStyle w:val="GesAbsatz"/>
        <w:jc w:val="both"/>
        <w:rPr>
          <w:rFonts w:cs="Arial"/>
          <w:szCs w:val="17"/>
        </w:rPr>
      </w:pPr>
      <w:r>
        <w:rPr>
          <w:rFonts w:cs="Arial"/>
          <w:szCs w:val="17"/>
        </w:rPr>
        <w:t>Ebene 1:</w:t>
      </w:r>
    </w:p>
    <w:p>
      <w:pPr>
        <w:pStyle w:val="GesAbsatz"/>
        <w:jc w:val="both"/>
        <w:rPr>
          <w:rFonts w:cs="Arial"/>
          <w:szCs w:val="17"/>
          <w:lang w:val="en-GB"/>
        </w:rPr>
      </w:pPr>
      <w:r>
        <w:rPr>
          <w:rFonts w:cs="Arial"/>
          <w:szCs w:val="17"/>
        </w:rPr>
        <w:t xml:space="preserve">Der Betreiber legt für jeden Brennstoff einen länderspezifischen Heizwert zugrunde. </w:t>
      </w:r>
      <w:r>
        <w:rPr>
          <w:rFonts w:cs="Arial"/>
          <w:szCs w:val="17"/>
          <w:lang w:val="en-GB"/>
        </w:rPr>
        <w:t>Diese sind in Anl</w:t>
      </w:r>
      <w:r>
        <w:rPr>
          <w:rFonts w:cs="Arial"/>
          <w:szCs w:val="17"/>
          <w:lang w:val="en-GB"/>
        </w:rPr>
        <w:t>a</w:t>
      </w:r>
      <w:r>
        <w:rPr>
          <w:rFonts w:cs="Arial"/>
          <w:szCs w:val="17"/>
          <w:lang w:val="en-GB"/>
        </w:rPr>
        <w:t>ge 2.1 A.3 „1990 country specific net calorific values“ zur 2000 IPCC „Good Practice Guidance and Unce</w:t>
      </w:r>
      <w:r>
        <w:rPr>
          <w:rFonts w:cs="Arial"/>
          <w:szCs w:val="17"/>
          <w:lang w:val="en-GB"/>
        </w:rPr>
        <w:t>r</w:t>
      </w:r>
      <w:r>
        <w:rPr>
          <w:rFonts w:cs="Arial"/>
          <w:szCs w:val="17"/>
          <w:lang w:val="en-GB"/>
        </w:rPr>
        <w:t>tainty Management in National Greenhouse Gas Inventories“ (http://www.ipcc.ch/pub/guide.htm) fes</w:t>
      </w:r>
      <w:r>
        <w:rPr>
          <w:rFonts w:cs="Arial"/>
          <w:szCs w:val="17"/>
          <w:lang w:val="en-GB"/>
        </w:rPr>
        <w:t>t</w:t>
      </w:r>
      <w:r>
        <w:rPr>
          <w:rFonts w:cs="Arial"/>
          <w:szCs w:val="17"/>
          <w:lang w:val="en-GB"/>
        </w:rPr>
        <w:t>gelegt.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Der Betreiber legt für jeden Brennstoff einen länderspezifischen Heizwert zugrunde, wie er von dem für ihn relevanten Mitgliedstaat in seinem letzten Nationalen Treibhausgasinventar an das Sekretariat der Klim</w:t>
      </w:r>
      <w:r>
        <w:rPr>
          <w:rFonts w:cs="Arial"/>
          <w:szCs w:val="17"/>
        </w:rPr>
        <w:t>a</w:t>
      </w:r>
      <w:r>
        <w:rPr>
          <w:rFonts w:cs="Arial"/>
          <w:szCs w:val="17"/>
        </w:rPr>
        <w:t>rahmenkonvention der Vereinten Nationen übermittelt wurde.</w:t>
      </w:r>
    </w:p>
    <w:p>
      <w:pPr>
        <w:pStyle w:val="GesAbsatz"/>
        <w:jc w:val="both"/>
        <w:rPr>
          <w:rFonts w:cs="Arial"/>
          <w:szCs w:val="17"/>
        </w:rPr>
      </w:pPr>
      <w:r>
        <w:rPr>
          <w:rFonts w:cs="Arial"/>
          <w:szCs w:val="17"/>
        </w:rPr>
        <w:t>Ebene 3:</w:t>
      </w:r>
    </w:p>
    <w:p>
      <w:pPr>
        <w:pStyle w:val="GesAbsatz"/>
        <w:jc w:val="both"/>
        <w:rPr>
          <w:rFonts w:cs="Arial"/>
          <w:szCs w:val="17"/>
        </w:rPr>
      </w:pPr>
      <w:r>
        <w:rPr>
          <w:rFonts w:cs="Arial"/>
          <w:szCs w:val="17"/>
        </w:rPr>
        <w:t>Der für die einzelnen Brennstoffchargen repräsentative spezifische Heizwert wird vom Betreiber, einem beauftragten Labor oder dem Brennstofflieferanten in Einklang mit den Vorgaben von Abschnitt 10 des Anhangs I gemessen.</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Der Emissionsfaktor für die Tätigkeitsdaten</w:t>
      </w:r>
      <w:r>
        <w:rPr>
          <w:rFonts w:cs="Arial"/>
          <w:szCs w:val="10"/>
          <w:vertAlign w:val="subscript"/>
        </w:rPr>
        <w:t>OUTPUT</w:t>
      </w:r>
      <w:r>
        <w:rPr>
          <w:rFonts w:cs="Arial"/>
          <w:szCs w:val="10"/>
        </w:rPr>
        <w:t xml:space="preserve"> </w:t>
      </w:r>
      <w:r>
        <w:rPr>
          <w:rFonts w:cs="Arial"/>
          <w:szCs w:val="17"/>
        </w:rPr>
        <w:t>bezieht sich auf die Menge Nicht-CO</w:t>
      </w:r>
      <w:r>
        <w:rPr>
          <w:rFonts w:cs="Arial"/>
          <w:szCs w:val="10"/>
          <w:vertAlign w:val="subscript"/>
        </w:rPr>
        <w:t>2</w:t>
      </w:r>
      <w:r>
        <w:rPr>
          <w:rFonts w:cs="Arial"/>
          <w:szCs w:val="17"/>
        </w:rPr>
        <w:t>-Kohlenstoff im Prozessoutput, der als t CO</w:t>
      </w:r>
      <w:r>
        <w:rPr>
          <w:rFonts w:cs="Arial"/>
          <w:szCs w:val="10"/>
          <w:vertAlign w:val="subscript"/>
        </w:rPr>
        <w:t>2</w:t>
      </w:r>
      <w:r>
        <w:rPr>
          <w:rFonts w:cs="Arial"/>
          <w:szCs w:val="17"/>
        </w:rPr>
        <w:t>/t ausgedrückt wird, um die Vergleichbarkeit zu verbessern.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lastRenderedPageBreak/>
        <w:t>Die Referenzfaktoren für das Input- und Output-Material sind den unten stehenden Tabellen 1 und 2 u</w:t>
      </w:r>
      <w:r>
        <w:rPr>
          <w:rFonts w:cs="Arial"/>
          <w:szCs w:val="17"/>
        </w:rPr>
        <w:t>n</w:t>
      </w:r>
      <w:r>
        <w:rPr>
          <w:rFonts w:cs="Arial"/>
          <w:szCs w:val="17"/>
        </w:rPr>
        <w:t>ten sowie Abschnitt 8 des Anhangs I zu entnehmen.</w:t>
      </w:r>
    </w:p>
    <w:p>
      <w:pPr>
        <w:pStyle w:val="GesAbsatz"/>
        <w:jc w:val="both"/>
        <w:rPr>
          <w:rFonts w:cs="Arial"/>
          <w:b/>
          <w:szCs w:val="17"/>
        </w:rPr>
      </w:pPr>
      <w:r>
        <w:rPr>
          <w:rFonts w:cs="Arial"/>
          <w:b/>
          <w:szCs w:val="17"/>
        </w:rPr>
        <w:t>TABELLE 1</w:t>
      </w:r>
    </w:p>
    <w:p>
      <w:pPr>
        <w:pStyle w:val="GesAbsatz"/>
        <w:jc w:val="both"/>
        <w:rPr>
          <w:rFonts w:cs="Arial"/>
          <w:szCs w:val="17"/>
        </w:rPr>
      </w:pPr>
      <w:r>
        <w:rPr>
          <w:rFonts w:cs="Arial"/>
          <w:b/>
          <w:bCs/>
          <w:szCs w:val="17"/>
        </w:rPr>
        <w:t>Referenzemissionsfaktoren für Input-Material</w:t>
      </w:r>
      <w:r>
        <w:rPr>
          <w:rStyle w:val="Funotenzeichen"/>
          <w:rFonts w:cs="Arial"/>
          <w:b/>
          <w:bCs/>
          <w:szCs w:val="17"/>
        </w:rPr>
        <w:footnoteReference w:id="27"/>
      </w:r>
    </w:p>
    <w:p>
      <w:pPr>
        <w:pStyle w:val="GesAbsatz"/>
        <w:jc w:val="both"/>
        <w:rPr>
          <w:rFonts w:cs="Arial"/>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3126"/>
        <w:gridCol w:w="3139"/>
      </w:tblGrid>
      <w:tr>
        <w:tblPrEx>
          <w:tblCellMar>
            <w:top w:w="0" w:type="dxa"/>
            <w:bottom w:w="0" w:type="dxa"/>
          </w:tblCellMar>
        </w:tblPrEx>
        <w:trPr>
          <w:cantSplit/>
        </w:trPr>
        <w:tc>
          <w:tcPr>
            <w:tcW w:w="6362" w:type="dxa"/>
            <w:gridSpan w:val="2"/>
          </w:tcPr>
          <w:p>
            <w:pPr>
              <w:pStyle w:val="GesAbsatz"/>
              <w:jc w:val="center"/>
              <w:rPr>
                <w:rFonts w:cs="Arial"/>
                <w:szCs w:val="15"/>
              </w:rPr>
            </w:pPr>
            <w:r>
              <w:rPr>
                <w:rFonts w:cs="Arial"/>
                <w:szCs w:val="15"/>
              </w:rPr>
              <w:t>Emissionsfaktor</w:t>
            </w:r>
          </w:p>
        </w:tc>
        <w:tc>
          <w:tcPr>
            <w:tcW w:w="3182" w:type="dxa"/>
          </w:tcPr>
          <w:p>
            <w:pPr>
              <w:pStyle w:val="GesAbsatz"/>
              <w:jc w:val="center"/>
              <w:rPr>
                <w:rFonts w:cs="Arial"/>
                <w:szCs w:val="15"/>
              </w:rPr>
            </w:pPr>
            <w:r>
              <w:rPr>
                <w:rFonts w:cs="Arial"/>
                <w:szCs w:val="15"/>
              </w:rPr>
              <w:t>Quelle des Emissionsfaktors</w:t>
            </w:r>
          </w:p>
        </w:tc>
      </w:tr>
      <w:tr>
        <w:tblPrEx>
          <w:tblCellMar>
            <w:top w:w="0" w:type="dxa"/>
            <w:bottom w:w="0" w:type="dxa"/>
          </w:tblCellMar>
        </w:tblPrEx>
        <w:tc>
          <w:tcPr>
            <w:tcW w:w="3181" w:type="dxa"/>
          </w:tcPr>
          <w:p>
            <w:pPr>
              <w:pStyle w:val="GesAbsatz"/>
              <w:jc w:val="both"/>
              <w:rPr>
                <w:rFonts w:cs="Arial"/>
                <w:szCs w:val="15"/>
              </w:rPr>
            </w:pPr>
            <w:r>
              <w:rPr>
                <w:rFonts w:cs="Arial"/>
                <w:szCs w:val="17"/>
              </w:rPr>
              <w:t>Kokereigas</w:t>
            </w:r>
          </w:p>
        </w:tc>
        <w:tc>
          <w:tcPr>
            <w:tcW w:w="3181" w:type="dxa"/>
          </w:tcPr>
          <w:p>
            <w:pPr>
              <w:pStyle w:val="GesAbsatz"/>
              <w:jc w:val="both"/>
              <w:rPr>
                <w:rFonts w:cs="Arial"/>
                <w:szCs w:val="15"/>
                <w:lang w:val="en-GB"/>
              </w:rPr>
            </w:pPr>
            <w:r>
              <w:rPr>
                <w:rFonts w:cs="Arial"/>
                <w:szCs w:val="17"/>
                <w:lang w:val="en-GB"/>
              </w:rPr>
              <w:t>47,7 t CO</w:t>
            </w:r>
            <w:r>
              <w:rPr>
                <w:rFonts w:cs="Arial"/>
                <w:szCs w:val="10"/>
                <w:vertAlign w:val="subscript"/>
                <w:lang w:val="en-GB"/>
              </w:rPr>
              <w:t>2</w:t>
            </w:r>
            <w:r>
              <w:rPr>
                <w:rFonts w:cs="Arial"/>
                <w:szCs w:val="17"/>
                <w:lang w:val="en-GB"/>
              </w:rPr>
              <w:t>/TJ</w:t>
            </w:r>
          </w:p>
        </w:tc>
        <w:tc>
          <w:tcPr>
            <w:tcW w:w="3182" w:type="dxa"/>
          </w:tcPr>
          <w:p>
            <w:pPr>
              <w:pStyle w:val="GesAbsatz"/>
              <w:jc w:val="both"/>
              <w:rPr>
                <w:rFonts w:cs="Arial"/>
                <w:szCs w:val="15"/>
                <w:lang w:val="en-GB"/>
              </w:rPr>
            </w:pPr>
            <w:r>
              <w:rPr>
                <w:rFonts w:cs="Arial"/>
                <w:szCs w:val="17"/>
                <w:lang w:val="en-GB"/>
              </w:rPr>
              <w:t>IPCC</w:t>
            </w:r>
          </w:p>
        </w:tc>
      </w:tr>
      <w:tr>
        <w:tblPrEx>
          <w:tblCellMar>
            <w:top w:w="0" w:type="dxa"/>
            <w:bottom w:w="0" w:type="dxa"/>
          </w:tblCellMar>
        </w:tblPrEx>
        <w:tc>
          <w:tcPr>
            <w:tcW w:w="3181" w:type="dxa"/>
          </w:tcPr>
          <w:p>
            <w:pPr>
              <w:pStyle w:val="GesAbsatz"/>
              <w:jc w:val="both"/>
              <w:rPr>
                <w:rFonts w:cs="Arial"/>
                <w:szCs w:val="17"/>
                <w:lang w:val="en-GB"/>
              </w:rPr>
            </w:pPr>
            <w:r>
              <w:rPr>
                <w:rFonts w:cs="Arial"/>
                <w:szCs w:val="17"/>
                <w:lang w:val="en-GB"/>
              </w:rPr>
              <w:t>Gichtgas</w:t>
            </w:r>
          </w:p>
        </w:tc>
        <w:tc>
          <w:tcPr>
            <w:tcW w:w="3181" w:type="dxa"/>
          </w:tcPr>
          <w:p>
            <w:pPr>
              <w:pStyle w:val="GesAbsatz"/>
              <w:jc w:val="both"/>
              <w:rPr>
                <w:rFonts w:cs="Arial"/>
                <w:szCs w:val="17"/>
                <w:lang w:val="en-GB"/>
              </w:rPr>
            </w:pPr>
            <w:r>
              <w:rPr>
                <w:rFonts w:cs="Arial"/>
                <w:szCs w:val="17"/>
                <w:lang w:val="en-GB"/>
              </w:rPr>
              <w:t>241,8 t CO</w:t>
            </w:r>
            <w:r>
              <w:rPr>
                <w:rFonts w:cs="Arial"/>
                <w:szCs w:val="10"/>
                <w:vertAlign w:val="subscript"/>
                <w:lang w:val="en-GB"/>
              </w:rPr>
              <w:t>2</w:t>
            </w:r>
            <w:r>
              <w:rPr>
                <w:rFonts w:cs="Arial"/>
                <w:szCs w:val="17"/>
                <w:lang w:val="en-GB"/>
              </w:rPr>
              <w:t>/TJ</w:t>
            </w:r>
          </w:p>
        </w:tc>
        <w:tc>
          <w:tcPr>
            <w:tcW w:w="3182" w:type="dxa"/>
          </w:tcPr>
          <w:p>
            <w:pPr>
              <w:pStyle w:val="GesAbsatz"/>
              <w:jc w:val="both"/>
              <w:rPr>
                <w:rFonts w:cs="Arial"/>
                <w:szCs w:val="17"/>
              </w:rPr>
            </w:pPr>
            <w:r>
              <w:rPr>
                <w:rFonts w:cs="Arial"/>
                <w:szCs w:val="17"/>
              </w:rPr>
              <w:t>IPCC</w:t>
            </w:r>
          </w:p>
        </w:tc>
      </w:tr>
      <w:tr>
        <w:tblPrEx>
          <w:tblCellMar>
            <w:top w:w="0" w:type="dxa"/>
            <w:bottom w:w="0" w:type="dxa"/>
          </w:tblCellMar>
        </w:tblPrEx>
        <w:tc>
          <w:tcPr>
            <w:tcW w:w="3181" w:type="dxa"/>
          </w:tcPr>
          <w:p>
            <w:pPr>
              <w:pStyle w:val="GesAbsatz"/>
              <w:jc w:val="both"/>
              <w:rPr>
                <w:rFonts w:cs="Arial"/>
                <w:szCs w:val="17"/>
              </w:rPr>
            </w:pPr>
            <w:r>
              <w:rPr>
                <w:rFonts w:cs="Arial"/>
                <w:szCs w:val="17"/>
              </w:rPr>
              <w:t>Sauerstoffaufblaskonvertergas</w:t>
            </w:r>
          </w:p>
        </w:tc>
        <w:tc>
          <w:tcPr>
            <w:tcW w:w="3181" w:type="dxa"/>
          </w:tcPr>
          <w:p>
            <w:pPr>
              <w:pStyle w:val="GesAbsatz"/>
              <w:jc w:val="both"/>
              <w:rPr>
                <w:rFonts w:cs="Arial"/>
                <w:szCs w:val="17"/>
              </w:rPr>
            </w:pPr>
            <w:r>
              <w:rPr>
                <w:rFonts w:cs="Arial"/>
                <w:szCs w:val="17"/>
              </w:rPr>
              <w:t>186,6 t CO</w:t>
            </w:r>
            <w:r>
              <w:rPr>
                <w:rFonts w:cs="Arial"/>
                <w:szCs w:val="10"/>
                <w:vertAlign w:val="subscript"/>
              </w:rPr>
              <w:t>2</w:t>
            </w:r>
            <w:r>
              <w:rPr>
                <w:rFonts w:cs="Arial"/>
                <w:szCs w:val="17"/>
              </w:rPr>
              <w:t>/TJ</w:t>
            </w:r>
          </w:p>
        </w:tc>
        <w:tc>
          <w:tcPr>
            <w:tcW w:w="3182" w:type="dxa"/>
          </w:tcPr>
          <w:p>
            <w:pPr>
              <w:pStyle w:val="GesAbsatz"/>
              <w:jc w:val="both"/>
              <w:rPr>
                <w:rFonts w:cs="Arial"/>
                <w:szCs w:val="17"/>
              </w:rPr>
            </w:pPr>
            <w:r>
              <w:rPr>
                <w:rFonts w:cs="Arial"/>
                <w:szCs w:val="17"/>
              </w:rPr>
              <w:t>WBCSD/WRI</w:t>
            </w:r>
          </w:p>
        </w:tc>
      </w:tr>
      <w:tr>
        <w:tblPrEx>
          <w:tblCellMar>
            <w:top w:w="0" w:type="dxa"/>
            <w:bottom w:w="0" w:type="dxa"/>
          </w:tblCellMar>
        </w:tblPrEx>
        <w:tc>
          <w:tcPr>
            <w:tcW w:w="3181" w:type="dxa"/>
          </w:tcPr>
          <w:p>
            <w:pPr>
              <w:pStyle w:val="GesAbsatz"/>
              <w:jc w:val="both"/>
              <w:rPr>
                <w:rFonts w:cs="Arial"/>
                <w:szCs w:val="17"/>
              </w:rPr>
            </w:pPr>
            <w:r>
              <w:rPr>
                <w:rFonts w:cs="Arial"/>
                <w:szCs w:val="17"/>
              </w:rPr>
              <w:t>Grafitelektroden</w:t>
            </w:r>
          </w:p>
        </w:tc>
        <w:tc>
          <w:tcPr>
            <w:tcW w:w="3181" w:type="dxa"/>
          </w:tcPr>
          <w:p>
            <w:pPr>
              <w:pStyle w:val="GesAbsatz"/>
              <w:jc w:val="both"/>
              <w:rPr>
                <w:rFonts w:cs="Arial"/>
                <w:szCs w:val="17"/>
              </w:rPr>
            </w:pPr>
            <w:r>
              <w:rPr>
                <w:rFonts w:cs="Arial"/>
                <w:szCs w:val="17"/>
              </w:rPr>
              <w:t>3,60 t CO</w:t>
            </w:r>
            <w:r>
              <w:rPr>
                <w:rFonts w:cs="Arial"/>
                <w:szCs w:val="10"/>
                <w:vertAlign w:val="subscript"/>
              </w:rPr>
              <w:t>2</w:t>
            </w:r>
            <w:r>
              <w:rPr>
                <w:rFonts w:cs="Arial"/>
                <w:szCs w:val="17"/>
              </w:rPr>
              <w:t>/t Elektrode</w:t>
            </w:r>
          </w:p>
        </w:tc>
        <w:tc>
          <w:tcPr>
            <w:tcW w:w="3182" w:type="dxa"/>
          </w:tcPr>
          <w:p>
            <w:pPr>
              <w:pStyle w:val="GesAbsatz"/>
              <w:jc w:val="both"/>
              <w:rPr>
                <w:rFonts w:cs="Arial"/>
                <w:szCs w:val="17"/>
                <w:lang w:val="en-GB"/>
              </w:rPr>
            </w:pPr>
            <w:r>
              <w:rPr>
                <w:rFonts w:cs="Arial"/>
                <w:szCs w:val="17"/>
                <w:lang w:val="en-GB"/>
              </w:rPr>
              <w:t>IPCC</w:t>
            </w:r>
          </w:p>
        </w:tc>
      </w:tr>
      <w:tr>
        <w:tblPrEx>
          <w:tblCellMar>
            <w:top w:w="0" w:type="dxa"/>
            <w:bottom w:w="0" w:type="dxa"/>
          </w:tblCellMar>
        </w:tblPrEx>
        <w:tc>
          <w:tcPr>
            <w:tcW w:w="3181" w:type="dxa"/>
          </w:tcPr>
          <w:p>
            <w:pPr>
              <w:pStyle w:val="GesAbsatz"/>
              <w:jc w:val="both"/>
              <w:rPr>
                <w:rFonts w:cs="Arial"/>
                <w:szCs w:val="17"/>
                <w:lang w:val="en-GB"/>
              </w:rPr>
            </w:pPr>
            <w:r>
              <w:rPr>
                <w:rFonts w:cs="Arial"/>
                <w:szCs w:val="17"/>
                <w:lang w:val="en-GB"/>
              </w:rPr>
              <w:t>PET</w:t>
            </w:r>
          </w:p>
        </w:tc>
        <w:tc>
          <w:tcPr>
            <w:tcW w:w="3181" w:type="dxa"/>
          </w:tcPr>
          <w:p>
            <w:pPr>
              <w:pStyle w:val="GesAbsatz"/>
              <w:jc w:val="both"/>
              <w:rPr>
                <w:rFonts w:cs="Arial"/>
                <w:szCs w:val="17"/>
                <w:lang w:val="en-GB"/>
              </w:rPr>
            </w:pPr>
            <w:r>
              <w:rPr>
                <w:rFonts w:cs="Arial"/>
                <w:szCs w:val="17"/>
                <w:lang w:val="en-GB"/>
              </w:rPr>
              <w:t>2,24 t CO</w:t>
            </w:r>
            <w:r>
              <w:rPr>
                <w:rFonts w:cs="Arial"/>
                <w:szCs w:val="10"/>
                <w:vertAlign w:val="subscript"/>
                <w:lang w:val="en-GB"/>
              </w:rPr>
              <w:t>2</w:t>
            </w:r>
            <w:r>
              <w:rPr>
                <w:rFonts w:cs="Arial"/>
                <w:szCs w:val="17"/>
                <w:lang w:val="en-GB"/>
              </w:rPr>
              <w:t>/t PET</w:t>
            </w:r>
          </w:p>
        </w:tc>
        <w:tc>
          <w:tcPr>
            <w:tcW w:w="3182" w:type="dxa"/>
          </w:tcPr>
          <w:p>
            <w:pPr>
              <w:pStyle w:val="GesAbsatz"/>
              <w:jc w:val="both"/>
              <w:rPr>
                <w:rFonts w:cs="Arial"/>
                <w:szCs w:val="17"/>
                <w:lang w:val="en-GB"/>
              </w:rPr>
            </w:pPr>
            <w:r>
              <w:rPr>
                <w:rFonts w:cs="Arial"/>
                <w:szCs w:val="17"/>
                <w:lang w:val="en-GB"/>
              </w:rPr>
              <w:t>WBCSD/WRI</w:t>
            </w:r>
          </w:p>
        </w:tc>
      </w:tr>
      <w:tr>
        <w:tblPrEx>
          <w:tblCellMar>
            <w:top w:w="0" w:type="dxa"/>
            <w:bottom w:w="0" w:type="dxa"/>
          </w:tblCellMar>
        </w:tblPrEx>
        <w:tc>
          <w:tcPr>
            <w:tcW w:w="3181" w:type="dxa"/>
          </w:tcPr>
          <w:p>
            <w:pPr>
              <w:pStyle w:val="GesAbsatz"/>
              <w:jc w:val="both"/>
              <w:rPr>
                <w:rFonts w:cs="Arial"/>
                <w:szCs w:val="17"/>
                <w:lang w:val="fr-FR"/>
              </w:rPr>
            </w:pPr>
            <w:r>
              <w:rPr>
                <w:rFonts w:cs="Arial"/>
                <w:szCs w:val="17"/>
                <w:lang w:val="fr-FR"/>
              </w:rPr>
              <w:t>PE</w:t>
            </w:r>
          </w:p>
        </w:tc>
        <w:tc>
          <w:tcPr>
            <w:tcW w:w="3181" w:type="dxa"/>
          </w:tcPr>
          <w:p>
            <w:pPr>
              <w:pStyle w:val="GesAbsatz"/>
              <w:jc w:val="both"/>
              <w:rPr>
                <w:rFonts w:cs="Arial"/>
                <w:szCs w:val="17"/>
                <w:lang w:val="fr-FR"/>
              </w:rPr>
            </w:pPr>
            <w:r>
              <w:rPr>
                <w:rFonts w:cs="Arial"/>
                <w:szCs w:val="17"/>
                <w:lang w:val="fr-FR"/>
              </w:rPr>
              <w:t>2,85 t CO</w:t>
            </w:r>
            <w:r>
              <w:rPr>
                <w:rFonts w:cs="Arial"/>
                <w:szCs w:val="10"/>
                <w:vertAlign w:val="subscript"/>
                <w:lang w:val="fr-FR"/>
              </w:rPr>
              <w:t>2</w:t>
            </w:r>
            <w:r>
              <w:rPr>
                <w:rFonts w:cs="Arial"/>
                <w:szCs w:val="17"/>
                <w:lang w:val="fr-FR"/>
              </w:rPr>
              <w:t>/t PE</w:t>
            </w:r>
          </w:p>
        </w:tc>
        <w:tc>
          <w:tcPr>
            <w:tcW w:w="3182" w:type="dxa"/>
          </w:tcPr>
          <w:p>
            <w:pPr>
              <w:pStyle w:val="GesAbsatz"/>
              <w:jc w:val="both"/>
              <w:rPr>
                <w:rFonts w:cs="Arial"/>
                <w:szCs w:val="17"/>
                <w:lang w:val="it-IT"/>
              </w:rPr>
            </w:pPr>
            <w:r>
              <w:rPr>
                <w:rFonts w:cs="Arial"/>
                <w:szCs w:val="17"/>
                <w:lang w:val="it-IT"/>
              </w:rPr>
              <w:t>WBCSD/WRI</w:t>
            </w:r>
          </w:p>
        </w:tc>
      </w:tr>
      <w:tr>
        <w:tblPrEx>
          <w:tblCellMar>
            <w:top w:w="0" w:type="dxa"/>
            <w:bottom w:w="0" w:type="dxa"/>
          </w:tblCellMar>
        </w:tblPrEx>
        <w:tc>
          <w:tcPr>
            <w:tcW w:w="3181" w:type="dxa"/>
          </w:tcPr>
          <w:p>
            <w:pPr>
              <w:pStyle w:val="GesAbsatz"/>
              <w:jc w:val="both"/>
              <w:rPr>
                <w:rFonts w:cs="Arial"/>
                <w:szCs w:val="17"/>
                <w:lang w:val="it-IT"/>
              </w:rPr>
            </w:pPr>
            <w:r>
              <w:rPr>
                <w:rFonts w:cs="Arial"/>
                <w:szCs w:val="17"/>
                <w:lang w:val="it-IT"/>
              </w:rPr>
              <w:t>CaCO</w:t>
            </w:r>
            <w:r>
              <w:rPr>
                <w:rFonts w:cs="Arial"/>
                <w:szCs w:val="10"/>
                <w:vertAlign w:val="subscript"/>
                <w:lang w:val="it-IT"/>
              </w:rPr>
              <w:t>3</w:t>
            </w:r>
          </w:p>
        </w:tc>
        <w:tc>
          <w:tcPr>
            <w:tcW w:w="3181" w:type="dxa"/>
          </w:tcPr>
          <w:p>
            <w:pPr>
              <w:pStyle w:val="GesAbsatz"/>
              <w:jc w:val="both"/>
              <w:rPr>
                <w:rFonts w:cs="Arial"/>
                <w:szCs w:val="17"/>
                <w:lang w:val="fr-FR"/>
              </w:rPr>
            </w:pPr>
            <w:r>
              <w:rPr>
                <w:rFonts w:cs="Arial"/>
                <w:szCs w:val="17"/>
                <w:lang w:val="fr-FR"/>
              </w:rPr>
              <w:t>0,44 t CO</w:t>
            </w:r>
            <w:r>
              <w:rPr>
                <w:rFonts w:cs="Arial"/>
                <w:szCs w:val="10"/>
                <w:vertAlign w:val="subscript"/>
                <w:lang w:val="fr-FR"/>
              </w:rPr>
              <w:t>2</w:t>
            </w:r>
            <w:r>
              <w:rPr>
                <w:rFonts w:cs="Arial"/>
                <w:szCs w:val="17"/>
                <w:lang w:val="fr-FR"/>
              </w:rPr>
              <w:t>/t CaCO</w:t>
            </w:r>
            <w:r>
              <w:rPr>
                <w:rFonts w:cs="Arial"/>
                <w:szCs w:val="10"/>
                <w:vertAlign w:val="subscript"/>
                <w:lang w:val="fr-FR"/>
              </w:rPr>
              <w:t>3</w:t>
            </w:r>
          </w:p>
        </w:tc>
        <w:tc>
          <w:tcPr>
            <w:tcW w:w="3182" w:type="dxa"/>
          </w:tcPr>
          <w:p>
            <w:pPr>
              <w:pStyle w:val="GesAbsatz"/>
              <w:jc w:val="both"/>
              <w:rPr>
                <w:rFonts w:cs="Arial"/>
                <w:szCs w:val="17"/>
              </w:rPr>
            </w:pPr>
            <w:r>
              <w:rPr>
                <w:rFonts w:cs="Arial"/>
                <w:szCs w:val="17"/>
              </w:rPr>
              <w:t>Stöchiometrisches Verhältnis</w:t>
            </w:r>
          </w:p>
        </w:tc>
      </w:tr>
      <w:tr>
        <w:tblPrEx>
          <w:tblCellMar>
            <w:top w:w="0" w:type="dxa"/>
            <w:bottom w:w="0" w:type="dxa"/>
          </w:tblCellMar>
        </w:tblPrEx>
        <w:tc>
          <w:tcPr>
            <w:tcW w:w="3181" w:type="dxa"/>
          </w:tcPr>
          <w:p>
            <w:pPr>
              <w:pStyle w:val="GesAbsatz"/>
              <w:jc w:val="both"/>
              <w:rPr>
                <w:rFonts w:cs="Arial"/>
                <w:szCs w:val="17"/>
              </w:rPr>
            </w:pPr>
            <w:r>
              <w:rPr>
                <w:rFonts w:cs="Arial"/>
                <w:szCs w:val="17"/>
              </w:rPr>
              <w:t>CaCO</w:t>
            </w:r>
            <w:r>
              <w:rPr>
                <w:rFonts w:cs="Arial"/>
                <w:szCs w:val="10"/>
                <w:vertAlign w:val="subscript"/>
              </w:rPr>
              <w:t>3</w:t>
            </w:r>
            <w:r>
              <w:rPr>
                <w:rFonts w:cs="Arial"/>
                <w:szCs w:val="17"/>
              </w:rPr>
              <w:t>-MgCO</w:t>
            </w:r>
            <w:r>
              <w:rPr>
                <w:rFonts w:cs="Arial"/>
                <w:szCs w:val="10"/>
                <w:vertAlign w:val="subscript"/>
              </w:rPr>
              <w:t>3</w:t>
            </w:r>
          </w:p>
        </w:tc>
        <w:tc>
          <w:tcPr>
            <w:tcW w:w="3181" w:type="dxa"/>
          </w:tcPr>
          <w:p>
            <w:pPr>
              <w:pStyle w:val="GesAbsatz"/>
              <w:jc w:val="both"/>
              <w:rPr>
                <w:rFonts w:cs="Arial"/>
                <w:szCs w:val="17"/>
                <w:lang w:val="fr-FR"/>
              </w:rPr>
            </w:pPr>
            <w:r>
              <w:rPr>
                <w:rFonts w:cs="Arial"/>
                <w:szCs w:val="17"/>
                <w:lang w:val="fr-FR"/>
              </w:rPr>
              <w:t>0,477 t CO</w:t>
            </w:r>
            <w:r>
              <w:rPr>
                <w:rFonts w:cs="Arial"/>
                <w:szCs w:val="10"/>
                <w:vertAlign w:val="subscript"/>
                <w:lang w:val="fr-FR"/>
              </w:rPr>
              <w:t>2</w:t>
            </w:r>
            <w:r>
              <w:rPr>
                <w:rFonts w:cs="Arial"/>
                <w:szCs w:val="17"/>
                <w:lang w:val="fr-FR"/>
              </w:rPr>
              <w:t>/t CaCO</w:t>
            </w:r>
            <w:r>
              <w:rPr>
                <w:rFonts w:cs="Arial"/>
                <w:szCs w:val="10"/>
                <w:vertAlign w:val="subscript"/>
                <w:lang w:val="fr-FR"/>
              </w:rPr>
              <w:t>3</w:t>
            </w:r>
            <w:r>
              <w:rPr>
                <w:rFonts w:cs="Arial"/>
                <w:szCs w:val="17"/>
                <w:lang w:val="fr-FR"/>
              </w:rPr>
              <w:t>-MgCO</w:t>
            </w:r>
            <w:r>
              <w:rPr>
                <w:rFonts w:cs="Arial"/>
                <w:szCs w:val="10"/>
                <w:vertAlign w:val="subscript"/>
                <w:lang w:val="fr-FR"/>
              </w:rPr>
              <w:t>3</w:t>
            </w:r>
          </w:p>
        </w:tc>
        <w:tc>
          <w:tcPr>
            <w:tcW w:w="3182" w:type="dxa"/>
          </w:tcPr>
          <w:p>
            <w:pPr>
              <w:pStyle w:val="GesAbsatz"/>
              <w:jc w:val="both"/>
              <w:rPr>
                <w:rFonts w:cs="Arial"/>
                <w:szCs w:val="17"/>
              </w:rPr>
            </w:pPr>
            <w:r>
              <w:rPr>
                <w:rFonts w:cs="Arial"/>
                <w:szCs w:val="17"/>
              </w:rPr>
              <w:t>Stöchiometrisches Verhältnis</w:t>
            </w:r>
          </w:p>
        </w:tc>
      </w:tr>
    </w:tbl>
    <w:p>
      <w:pPr>
        <w:pStyle w:val="GesAbsatz"/>
        <w:jc w:val="both"/>
        <w:rPr>
          <w:rFonts w:cs="Arial"/>
          <w:szCs w:val="15"/>
        </w:rPr>
      </w:pPr>
    </w:p>
    <w:p>
      <w:pPr>
        <w:pStyle w:val="GesAbsatz"/>
        <w:jc w:val="both"/>
        <w:rPr>
          <w:rFonts w:cs="Arial"/>
          <w:b/>
          <w:bCs/>
          <w:szCs w:val="17"/>
        </w:rPr>
      </w:pPr>
      <w:r>
        <w:rPr>
          <w:rFonts w:cs="Arial"/>
          <w:b/>
          <w:bCs/>
          <w:szCs w:val="17"/>
        </w:rPr>
        <w:t>TABELLE 2</w:t>
      </w:r>
    </w:p>
    <w:p>
      <w:pPr>
        <w:pStyle w:val="GesAbsatz"/>
        <w:jc w:val="both"/>
        <w:rPr>
          <w:rFonts w:cs="Arial"/>
          <w:b/>
          <w:bCs/>
          <w:szCs w:val="17"/>
        </w:rPr>
      </w:pPr>
      <w:r>
        <w:rPr>
          <w:rFonts w:cs="Arial"/>
          <w:b/>
          <w:bCs/>
          <w:szCs w:val="17"/>
        </w:rPr>
        <w:t>Referenzemissionsfaktor für Output-Material (auf der Grundlage des Kohlenstoffgehalts)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1873"/>
        <w:gridCol w:w="3131"/>
      </w:tblGrid>
      <w:tr>
        <w:tblPrEx>
          <w:tblCellMar>
            <w:top w:w="0" w:type="dxa"/>
            <w:bottom w:w="0" w:type="dxa"/>
          </w:tblCellMar>
        </w:tblPrEx>
        <w:trPr>
          <w:cantSplit/>
        </w:trPr>
        <w:tc>
          <w:tcPr>
            <w:tcW w:w="6362" w:type="dxa"/>
            <w:gridSpan w:val="2"/>
          </w:tcPr>
          <w:p>
            <w:pPr>
              <w:pStyle w:val="GesAbsatz"/>
              <w:jc w:val="center"/>
              <w:rPr>
                <w:rFonts w:cs="Arial"/>
                <w:szCs w:val="15"/>
              </w:rPr>
            </w:pPr>
            <w:r>
              <w:rPr>
                <w:rFonts w:cs="Arial"/>
                <w:szCs w:val="15"/>
              </w:rPr>
              <w:t>Emissionsfaktor [t CO</w:t>
            </w:r>
            <w:r>
              <w:rPr>
                <w:rFonts w:cs="Arial"/>
                <w:szCs w:val="8"/>
                <w:vertAlign w:val="subscript"/>
              </w:rPr>
              <w:t>2</w:t>
            </w:r>
            <w:r>
              <w:rPr>
                <w:rFonts w:cs="Arial"/>
                <w:szCs w:val="15"/>
              </w:rPr>
              <w:t>/t]</w:t>
            </w:r>
          </w:p>
        </w:tc>
        <w:tc>
          <w:tcPr>
            <w:tcW w:w="3182" w:type="dxa"/>
          </w:tcPr>
          <w:p>
            <w:pPr>
              <w:pStyle w:val="GesAbsatz"/>
              <w:jc w:val="center"/>
              <w:rPr>
                <w:rFonts w:cs="Arial"/>
                <w:szCs w:val="15"/>
              </w:rPr>
            </w:pPr>
            <w:r>
              <w:rPr>
                <w:rFonts w:cs="Arial"/>
                <w:szCs w:val="15"/>
              </w:rPr>
              <w:t>Quelle des Emissionsfaktors</w:t>
            </w:r>
          </w:p>
        </w:tc>
      </w:tr>
      <w:tr>
        <w:tblPrEx>
          <w:tblCellMar>
            <w:top w:w="0" w:type="dxa"/>
            <w:bottom w:w="0" w:type="dxa"/>
          </w:tblCellMar>
        </w:tblPrEx>
        <w:tc>
          <w:tcPr>
            <w:tcW w:w="4465" w:type="dxa"/>
          </w:tcPr>
          <w:p>
            <w:pPr>
              <w:pStyle w:val="GesAbsatz"/>
              <w:jc w:val="both"/>
              <w:rPr>
                <w:rFonts w:cs="Arial"/>
                <w:szCs w:val="15"/>
              </w:rPr>
            </w:pPr>
            <w:r>
              <w:rPr>
                <w:rFonts w:cs="Arial"/>
                <w:szCs w:val="17"/>
              </w:rPr>
              <w:t>Erz</w:t>
            </w:r>
          </w:p>
        </w:tc>
        <w:tc>
          <w:tcPr>
            <w:tcW w:w="1897" w:type="dxa"/>
          </w:tcPr>
          <w:p>
            <w:pPr>
              <w:pStyle w:val="GesAbsatz"/>
              <w:jc w:val="both"/>
              <w:rPr>
                <w:rFonts w:cs="Arial"/>
                <w:szCs w:val="15"/>
              </w:rPr>
            </w:pPr>
            <w:r>
              <w:rPr>
                <w:rFonts w:cs="Arial"/>
                <w:szCs w:val="17"/>
              </w:rPr>
              <w:t>0</w:t>
            </w:r>
          </w:p>
        </w:tc>
        <w:tc>
          <w:tcPr>
            <w:tcW w:w="3182" w:type="dxa"/>
          </w:tcPr>
          <w:p>
            <w:pPr>
              <w:pStyle w:val="GesAbsatz"/>
              <w:jc w:val="both"/>
              <w:rPr>
                <w:rFonts w:cs="Arial"/>
                <w:szCs w:val="15"/>
              </w:rPr>
            </w:pPr>
            <w:r>
              <w:rPr>
                <w:rFonts w:cs="Arial"/>
                <w:szCs w:val="17"/>
              </w:rPr>
              <w:t>IPCC</w:t>
            </w:r>
          </w:p>
        </w:tc>
      </w:tr>
      <w:tr>
        <w:tblPrEx>
          <w:tblCellMar>
            <w:top w:w="0" w:type="dxa"/>
            <w:bottom w:w="0" w:type="dxa"/>
          </w:tblCellMar>
        </w:tblPrEx>
        <w:tc>
          <w:tcPr>
            <w:tcW w:w="4465" w:type="dxa"/>
          </w:tcPr>
          <w:p>
            <w:pPr>
              <w:pStyle w:val="GesAbsatz"/>
              <w:jc w:val="both"/>
              <w:rPr>
                <w:rFonts w:cs="Arial"/>
                <w:szCs w:val="17"/>
              </w:rPr>
            </w:pPr>
            <w:r>
              <w:rPr>
                <w:rFonts w:cs="Arial"/>
                <w:szCs w:val="17"/>
              </w:rPr>
              <w:t>Roheisen, Roheisen-Schrott, Eisene</w:t>
            </w:r>
            <w:r>
              <w:rPr>
                <w:rFonts w:cs="Arial"/>
                <w:szCs w:val="17"/>
              </w:rPr>
              <w:t>r</w:t>
            </w:r>
            <w:r>
              <w:rPr>
                <w:rFonts w:cs="Arial"/>
                <w:szCs w:val="17"/>
              </w:rPr>
              <w:t>zeugnisse</w:t>
            </w:r>
          </w:p>
        </w:tc>
        <w:tc>
          <w:tcPr>
            <w:tcW w:w="1897" w:type="dxa"/>
          </w:tcPr>
          <w:p>
            <w:pPr>
              <w:pStyle w:val="GesAbsatz"/>
              <w:jc w:val="both"/>
              <w:rPr>
                <w:rFonts w:cs="Arial"/>
                <w:szCs w:val="17"/>
              </w:rPr>
            </w:pPr>
            <w:r>
              <w:rPr>
                <w:rFonts w:cs="Arial"/>
                <w:szCs w:val="17"/>
              </w:rPr>
              <w:t>0,1467</w:t>
            </w:r>
          </w:p>
        </w:tc>
        <w:tc>
          <w:tcPr>
            <w:tcW w:w="3182" w:type="dxa"/>
          </w:tcPr>
          <w:p>
            <w:pPr>
              <w:pStyle w:val="GesAbsatz"/>
              <w:jc w:val="both"/>
              <w:rPr>
                <w:rFonts w:cs="Arial"/>
                <w:szCs w:val="17"/>
              </w:rPr>
            </w:pPr>
            <w:r>
              <w:rPr>
                <w:rFonts w:cs="Arial"/>
                <w:szCs w:val="17"/>
              </w:rPr>
              <w:t>IPCC</w:t>
            </w:r>
          </w:p>
        </w:tc>
      </w:tr>
      <w:tr>
        <w:tblPrEx>
          <w:tblCellMar>
            <w:top w:w="0" w:type="dxa"/>
            <w:bottom w:w="0" w:type="dxa"/>
          </w:tblCellMar>
        </w:tblPrEx>
        <w:tc>
          <w:tcPr>
            <w:tcW w:w="4465" w:type="dxa"/>
          </w:tcPr>
          <w:p>
            <w:pPr>
              <w:pStyle w:val="GesAbsatz"/>
              <w:jc w:val="both"/>
              <w:rPr>
                <w:rFonts w:cs="Arial"/>
                <w:szCs w:val="17"/>
              </w:rPr>
            </w:pPr>
            <w:r>
              <w:rPr>
                <w:rFonts w:cs="Arial"/>
                <w:szCs w:val="17"/>
              </w:rPr>
              <w:t>Stahlschrott, Stahlerzeugnisse</w:t>
            </w:r>
          </w:p>
        </w:tc>
        <w:tc>
          <w:tcPr>
            <w:tcW w:w="1897" w:type="dxa"/>
          </w:tcPr>
          <w:p>
            <w:pPr>
              <w:pStyle w:val="GesAbsatz"/>
              <w:jc w:val="both"/>
              <w:rPr>
                <w:rFonts w:cs="Arial"/>
                <w:szCs w:val="17"/>
              </w:rPr>
            </w:pPr>
            <w:r>
              <w:rPr>
                <w:rFonts w:cs="Arial"/>
                <w:szCs w:val="17"/>
              </w:rPr>
              <w:t>0,0147</w:t>
            </w:r>
          </w:p>
        </w:tc>
        <w:tc>
          <w:tcPr>
            <w:tcW w:w="3182" w:type="dxa"/>
          </w:tcPr>
          <w:p>
            <w:pPr>
              <w:pStyle w:val="GesAbsatz"/>
              <w:jc w:val="both"/>
              <w:rPr>
                <w:rFonts w:cs="Arial"/>
                <w:szCs w:val="17"/>
              </w:rPr>
            </w:pPr>
            <w:r>
              <w:rPr>
                <w:rFonts w:cs="Arial"/>
                <w:szCs w:val="17"/>
              </w:rPr>
              <w:t>IPCC</w:t>
            </w:r>
          </w:p>
        </w:tc>
      </w:tr>
    </w:tbl>
    <w:p>
      <w:pPr>
        <w:pStyle w:val="GesAbsatz"/>
        <w:jc w:val="both"/>
        <w:rPr>
          <w:rFonts w:cs="Arial"/>
          <w:szCs w:val="15"/>
        </w:rPr>
      </w:pP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spezifischen Emissionsfaktoren (t CO</w:t>
      </w:r>
      <w:r>
        <w:rPr>
          <w:rFonts w:cs="Arial"/>
          <w:szCs w:val="10"/>
          <w:vertAlign w:val="subscript"/>
        </w:rPr>
        <w:t>2</w:t>
      </w:r>
      <w:r>
        <w:rPr>
          <w:rFonts w:cs="Arial"/>
          <w:szCs w:val="17"/>
        </w:rPr>
        <w:t>/t</w:t>
      </w:r>
      <w:r>
        <w:rPr>
          <w:rFonts w:cs="Arial"/>
          <w:szCs w:val="10"/>
          <w:vertAlign w:val="subscript"/>
        </w:rPr>
        <w:t>INPUT</w:t>
      </w:r>
      <w:r>
        <w:rPr>
          <w:rFonts w:cs="Arial"/>
          <w:szCs w:val="10"/>
        </w:rPr>
        <w:t xml:space="preserve"> </w:t>
      </w:r>
      <w:r>
        <w:rPr>
          <w:rFonts w:cs="Arial"/>
          <w:szCs w:val="17"/>
        </w:rPr>
        <w:t>oder t</w:t>
      </w:r>
      <w:r>
        <w:rPr>
          <w:rFonts w:cs="Arial"/>
          <w:szCs w:val="10"/>
          <w:vertAlign w:val="subscript"/>
        </w:rPr>
        <w:t>OUTPUT</w:t>
      </w:r>
      <w:r>
        <w:rPr>
          <w:rFonts w:cs="Arial"/>
          <w:szCs w:val="17"/>
        </w:rPr>
        <w:t>) des Input- und Output-Materials sind en</w:t>
      </w:r>
      <w:r>
        <w:rPr>
          <w:rFonts w:cs="Arial"/>
          <w:szCs w:val="17"/>
        </w:rPr>
        <w:t>t</w:t>
      </w:r>
      <w:r>
        <w:rPr>
          <w:rFonts w:cs="Arial"/>
          <w:szCs w:val="17"/>
        </w:rPr>
        <w:t>sprechend den Vorgaben von Abschnitt 10 des Anhangs I zu ermitteln.</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pPr>
      <w:r>
        <w:rPr>
          <w:i/>
          <w:iCs/>
        </w:rPr>
        <w:br w:type="page"/>
      </w:r>
      <w:bookmarkStart w:id="10" w:name="_Toc67281925"/>
      <w:r>
        <w:lastRenderedPageBreak/>
        <w:t>ANHANG VII</w:t>
      </w:r>
      <w:r>
        <w:br/>
        <w:t>Tätigkeitsspezifische Leitlinien für Anlagen zur Herstellung von Zementklinker gemäß Anhang I der Rich</w:t>
      </w:r>
      <w:r>
        <w:t>t</w:t>
      </w:r>
      <w:r>
        <w:t>linie</w:t>
      </w:r>
      <w:bookmarkEnd w:id="10"/>
    </w:p>
    <w:p>
      <w:pPr>
        <w:pStyle w:val="GesAbsatz"/>
        <w:jc w:val="both"/>
        <w:rPr>
          <w:rFonts w:cs="Arial"/>
          <w:b/>
          <w:szCs w:val="17"/>
        </w:rPr>
      </w:pPr>
      <w:r>
        <w:rPr>
          <w:rFonts w:cs="Arial"/>
          <w:b/>
          <w:szCs w:val="17"/>
        </w:rPr>
        <w:t>1. EINSCHRÄNKUNGEN UND VOLLSTÄNDIGKEIT</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den Vorgaben von A</w:t>
      </w:r>
      <w:r>
        <w:rPr>
          <w:rFonts w:cs="Arial"/>
          <w:szCs w:val="17"/>
        </w:rPr>
        <w:t>n</w:t>
      </w:r>
      <w:r>
        <w:rPr>
          <w:rFonts w:cs="Arial"/>
          <w:szCs w:val="17"/>
        </w:rPr>
        <w:t>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In Anlagen zur Herstellung von Zement werden aus den folgenden Quellen CO</w:t>
      </w:r>
      <w:r>
        <w:rPr>
          <w:rFonts w:cs="Arial"/>
          <w:szCs w:val="10"/>
          <w:vertAlign w:val="subscript"/>
        </w:rPr>
        <w:t>2</w:t>
      </w:r>
      <w:r>
        <w:rPr>
          <w:rFonts w:cs="Arial"/>
          <w:szCs w:val="17"/>
        </w:rPr>
        <w:t>-Emissionen freigesetzt:</w:t>
      </w:r>
    </w:p>
    <w:p>
      <w:pPr>
        <w:pStyle w:val="GesAbsatz"/>
        <w:jc w:val="both"/>
        <w:rPr>
          <w:rFonts w:cs="Arial"/>
          <w:szCs w:val="17"/>
        </w:rPr>
      </w:pPr>
      <w:r>
        <w:rPr>
          <w:rFonts w:cs="Arial"/>
          <w:szCs w:val="17"/>
        </w:rPr>
        <w:t>-</w:t>
      </w:r>
      <w:r>
        <w:rPr>
          <w:rFonts w:cs="Arial"/>
          <w:szCs w:val="17"/>
        </w:rPr>
        <w:tab/>
        <w:t>Kalzinierung von Kalkstein in den Rohstoffen,</w:t>
      </w:r>
    </w:p>
    <w:p>
      <w:pPr>
        <w:pStyle w:val="GesAbsatz"/>
        <w:jc w:val="both"/>
        <w:rPr>
          <w:rFonts w:cs="Arial"/>
          <w:szCs w:val="17"/>
        </w:rPr>
      </w:pPr>
      <w:r>
        <w:rPr>
          <w:rFonts w:cs="Arial"/>
          <w:szCs w:val="17"/>
        </w:rPr>
        <w:t>-</w:t>
      </w:r>
      <w:r>
        <w:rPr>
          <w:rFonts w:cs="Arial"/>
          <w:szCs w:val="17"/>
        </w:rPr>
        <w:tab/>
        <w:t>konventionelle fossile Ofenbrennstoffe,</w:t>
      </w:r>
    </w:p>
    <w:p>
      <w:pPr>
        <w:pStyle w:val="GesAbsatz"/>
        <w:jc w:val="both"/>
        <w:rPr>
          <w:rFonts w:cs="Arial"/>
          <w:szCs w:val="17"/>
        </w:rPr>
      </w:pPr>
      <w:r>
        <w:rPr>
          <w:rFonts w:cs="Arial"/>
          <w:szCs w:val="17"/>
        </w:rPr>
        <w:t>-</w:t>
      </w:r>
      <w:r>
        <w:rPr>
          <w:rFonts w:cs="Arial"/>
          <w:szCs w:val="17"/>
        </w:rPr>
        <w:tab/>
        <w:t>alternative fossile Ofenbrennstoffe und Rohstoffe,</w:t>
      </w:r>
    </w:p>
    <w:p>
      <w:pPr>
        <w:pStyle w:val="GesAbsatz"/>
        <w:jc w:val="both"/>
        <w:rPr>
          <w:rFonts w:cs="Arial"/>
          <w:szCs w:val="17"/>
        </w:rPr>
      </w:pPr>
      <w:r>
        <w:rPr>
          <w:rFonts w:cs="Arial"/>
          <w:szCs w:val="17"/>
        </w:rPr>
        <w:t>-</w:t>
      </w:r>
      <w:r>
        <w:rPr>
          <w:rFonts w:cs="Arial"/>
          <w:szCs w:val="17"/>
        </w:rPr>
        <w:tab/>
        <w:t>Biomasse-Ofenbrennstoffe (Biomasse-Abfälle),</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i/>
          <w:iCs/>
          <w:szCs w:val="17"/>
        </w:rPr>
      </w:pPr>
      <w:r>
        <w:rPr>
          <w:rFonts w:cs="Arial"/>
          <w:szCs w:val="17"/>
        </w:rPr>
        <w:t xml:space="preserve">2.1.1. </w:t>
      </w:r>
      <w:r>
        <w:rPr>
          <w:rFonts w:cs="Arial"/>
          <w:i/>
          <w:iCs/>
          <w:szCs w:val="17"/>
        </w:rPr>
        <w:t>Emissionen aus der Verbrennung</w:t>
      </w:r>
    </w:p>
    <w:p>
      <w:pPr>
        <w:pStyle w:val="GesAbsatz"/>
        <w:jc w:val="both"/>
        <w:rPr>
          <w:rFonts w:cs="Arial"/>
          <w:szCs w:val="17"/>
        </w:rPr>
      </w:pPr>
      <w:r>
        <w:rPr>
          <w:rFonts w:cs="Arial"/>
          <w:szCs w:val="17"/>
        </w:rPr>
        <w:t>Verbrennungsprozesse in Anlagen zur Herstellung von Zementklinker, bei denen verschiedene Brennsto</w:t>
      </w:r>
      <w:r>
        <w:rPr>
          <w:rFonts w:cs="Arial"/>
          <w:szCs w:val="17"/>
        </w:rPr>
        <w:t>f</w:t>
      </w:r>
      <w:r>
        <w:rPr>
          <w:rFonts w:cs="Arial"/>
          <w:szCs w:val="17"/>
        </w:rPr>
        <w:t>fe zum Einsatz kommen (z. B. Kohle, Petrolkoks, Heizöl, Erdgas und die breite Palette an Abfallbrennsto</w:t>
      </w:r>
      <w:r>
        <w:rPr>
          <w:rFonts w:cs="Arial"/>
          <w:szCs w:val="17"/>
        </w:rPr>
        <w:t>f</w:t>
      </w:r>
      <w:r>
        <w:rPr>
          <w:rFonts w:cs="Arial"/>
          <w:szCs w:val="17"/>
        </w:rPr>
        <w:t>fen), sind in Einklang mit Anhang II zu überwachen und zu melden. Emissionen aus der Verbrennung des organischen Anteils (alternativer) Rohstoffe sind ebenfalls gemäß Anhang II zu berec</w:t>
      </w:r>
      <w:r>
        <w:rPr>
          <w:rFonts w:cs="Arial"/>
          <w:szCs w:val="17"/>
        </w:rPr>
        <w:t>h</w:t>
      </w:r>
      <w:r>
        <w:rPr>
          <w:rFonts w:cs="Arial"/>
          <w:szCs w:val="17"/>
        </w:rPr>
        <w:t>nen.</w:t>
      </w:r>
    </w:p>
    <w:p>
      <w:pPr>
        <w:pStyle w:val="GesAbsatz"/>
        <w:jc w:val="both"/>
        <w:rPr>
          <w:rFonts w:cs="Arial"/>
          <w:szCs w:val="17"/>
        </w:rPr>
      </w:pPr>
      <w:r>
        <w:rPr>
          <w:rFonts w:cs="Arial"/>
          <w:szCs w:val="17"/>
        </w:rPr>
        <w:t>In Zementöfen ist die unvollständige Verbrennung der fossilen Brennstoffe vernachlässigbar, da die Ve</w:t>
      </w:r>
      <w:r>
        <w:rPr>
          <w:rFonts w:cs="Arial"/>
          <w:szCs w:val="17"/>
        </w:rPr>
        <w:t>r</w:t>
      </w:r>
      <w:r>
        <w:rPr>
          <w:rFonts w:cs="Arial"/>
          <w:szCs w:val="17"/>
        </w:rPr>
        <w:t>brennungstemperaturen sehr hoch, die Verweilzeiten im Ofen sehr lang und die Kohlenstoffrückstä</w:t>
      </w:r>
      <w:r>
        <w:rPr>
          <w:rFonts w:cs="Arial"/>
          <w:szCs w:val="17"/>
        </w:rPr>
        <w:t>n</w:t>
      </w:r>
      <w:r>
        <w:rPr>
          <w:rFonts w:cs="Arial"/>
          <w:szCs w:val="17"/>
        </w:rPr>
        <w:t>de im Klinker sehr gering sind. Daher ist bei allen Ofenbrennstoffen von einer vollständigen Oxidation (Oxid</w:t>
      </w:r>
      <w:r>
        <w:rPr>
          <w:rFonts w:cs="Arial"/>
          <w:szCs w:val="17"/>
        </w:rPr>
        <w:t>a</w:t>
      </w:r>
      <w:r>
        <w:rPr>
          <w:rFonts w:cs="Arial"/>
          <w:szCs w:val="17"/>
        </w:rPr>
        <w:t>tionsfaktor = 1,0) des Kohlenstoffs auszugehen.</w:t>
      </w:r>
    </w:p>
    <w:p>
      <w:pPr>
        <w:pStyle w:val="GesAbsatz"/>
        <w:jc w:val="both"/>
        <w:rPr>
          <w:rFonts w:cs="Arial"/>
          <w:i/>
          <w:iCs/>
          <w:szCs w:val="17"/>
        </w:rPr>
      </w:pPr>
      <w:r>
        <w:rPr>
          <w:rFonts w:cs="Arial"/>
          <w:szCs w:val="17"/>
        </w:rPr>
        <w:t xml:space="preserve">2.1.2. </w:t>
      </w:r>
      <w:r>
        <w:rPr>
          <w:rFonts w:cs="Arial"/>
          <w:i/>
          <w:iCs/>
          <w:szCs w:val="17"/>
        </w:rPr>
        <w:t>Prozessemissionen</w:t>
      </w:r>
    </w:p>
    <w:p>
      <w:pPr>
        <w:pStyle w:val="GesAbsatz"/>
        <w:jc w:val="both"/>
        <w:rPr>
          <w:rFonts w:cs="Arial"/>
          <w:szCs w:val="17"/>
        </w:rPr>
      </w:pPr>
      <w:r>
        <w:rPr>
          <w:rFonts w:cs="Arial"/>
          <w:szCs w:val="17"/>
        </w:rPr>
        <w:t>Während der Kalzinierung im Ofen wird das in den Karbonaten enthaltene CO</w:t>
      </w:r>
      <w:r>
        <w:rPr>
          <w:rFonts w:cs="Arial"/>
          <w:szCs w:val="10"/>
          <w:vertAlign w:val="subscript"/>
        </w:rPr>
        <w:t>2</w:t>
      </w:r>
      <w:r>
        <w:rPr>
          <w:rFonts w:cs="Arial"/>
          <w:szCs w:val="10"/>
        </w:rPr>
        <w:t xml:space="preserve"> </w:t>
      </w:r>
      <w:r>
        <w:rPr>
          <w:rFonts w:cs="Arial"/>
          <w:szCs w:val="17"/>
        </w:rPr>
        <w:t>aus der Rohstoffm</w:t>
      </w:r>
      <w:r>
        <w:rPr>
          <w:rFonts w:cs="Arial"/>
          <w:szCs w:val="17"/>
        </w:rPr>
        <w:t>i</w:t>
      </w:r>
      <w:r>
        <w:rPr>
          <w:rFonts w:cs="Arial"/>
          <w:szCs w:val="17"/>
        </w:rPr>
        <w:t>schung freigesetzt. Das Kalzinierungs-CO</w:t>
      </w:r>
      <w:r>
        <w:rPr>
          <w:rFonts w:cs="Arial"/>
          <w:szCs w:val="10"/>
          <w:vertAlign w:val="subscript"/>
        </w:rPr>
        <w:t>2</w:t>
      </w:r>
      <w:r>
        <w:rPr>
          <w:rFonts w:cs="Arial"/>
          <w:szCs w:val="10"/>
        </w:rPr>
        <w:t xml:space="preserve"> </w:t>
      </w:r>
      <w:r>
        <w:rPr>
          <w:rFonts w:cs="Arial"/>
          <w:szCs w:val="17"/>
        </w:rPr>
        <w:t>steht in einem technischen Zusammenhang mit der Klinkerherste</w:t>
      </w:r>
      <w:r>
        <w:rPr>
          <w:rFonts w:cs="Arial"/>
          <w:szCs w:val="17"/>
        </w:rPr>
        <w:t>l</w:t>
      </w:r>
      <w:r>
        <w:rPr>
          <w:rFonts w:cs="Arial"/>
          <w:szCs w:val="17"/>
        </w:rPr>
        <w:t>lung.</w:t>
      </w:r>
    </w:p>
    <w:p>
      <w:pPr>
        <w:pStyle w:val="GesAbsatz"/>
        <w:jc w:val="both"/>
        <w:rPr>
          <w:rFonts w:cs="Arial"/>
          <w:szCs w:val="17"/>
        </w:rPr>
      </w:pPr>
      <w:r>
        <w:rPr>
          <w:rFonts w:cs="Arial"/>
          <w:szCs w:val="17"/>
        </w:rPr>
        <w:t>2.1.2.1. CO</w:t>
      </w:r>
      <w:r>
        <w:rPr>
          <w:rFonts w:cs="Arial"/>
          <w:szCs w:val="10"/>
          <w:vertAlign w:val="subscript"/>
        </w:rPr>
        <w:t>2</w:t>
      </w:r>
      <w:r>
        <w:rPr>
          <w:rFonts w:cs="Arial"/>
          <w:szCs w:val="10"/>
        </w:rPr>
        <w:t xml:space="preserve"> </w:t>
      </w:r>
      <w:r>
        <w:rPr>
          <w:rFonts w:cs="Arial"/>
          <w:szCs w:val="17"/>
        </w:rPr>
        <w:t>aus der Klinkerherstellung</w:t>
      </w:r>
    </w:p>
    <w:p>
      <w:pPr>
        <w:pStyle w:val="GesAbsatz"/>
        <w:jc w:val="both"/>
        <w:rPr>
          <w:rFonts w:cs="Arial"/>
          <w:szCs w:val="17"/>
        </w:rPr>
      </w:pPr>
      <w:r>
        <w:rPr>
          <w:rFonts w:cs="Arial"/>
          <w:szCs w:val="17"/>
        </w:rPr>
        <w:t>Das Kalzinierungs-CO</w:t>
      </w:r>
      <w:r>
        <w:rPr>
          <w:rFonts w:cs="Arial"/>
          <w:szCs w:val="10"/>
          <w:vertAlign w:val="subscript"/>
        </w:rPr>
        <w:t>2</w:t>
      </w:r>
      <w:r>
        <w:rPr>
          <w:rFonts w:cs="Arial"/>
          <w:szCs w:val="10"/>
        </w:rPr>
        <w:t xml:space="preserve"> </w:t>
      </w:r>
      <w:r>
        <w:rPr>
          <w:rFonts w:cs="Arial"/>
          <w:szCs w:val="17"/>
        </w:rPr>
        <w:t>ist auf Basis der hergestellten Klinkermengen und den CaO- und MgO-Gehalten des Klinkers zu berechnen. Der Emissionsfaktor ist um das bereits kalzinierte Ca und Mg zu bereinigen, das zum Beispiel über Flugasche oder alternative Brennstoffe und Rohstoffe mit bedeutendem CaO-Gehalt (z. B. Klärschlamm) in den Ofen gelangt.</w:t>
      </w:r>
    </w:p>
    <w:p>
      <w:pPr>
        <w:pStyle w:val="GesAbsatz"/>
        <w:jc w:val="both"/>
        <w:rPr>
          <w:rFonts w:cs="Arial"/>
          <w:szCs w:val="17"/>
        </w:rPr>
      </w:pPr>
      <w:r>
        <w:rPr>
          <w:rFonts w:cs="Arial"/>
          <w:szCs w:val="17"/>
        </w:rPr>
        <w:t>Die Emissionen sind auf Basis des Karbonat-Gehalts des Prozessinputs (Berechnungsmethode A) oder anhand der Menge des hergestellten Klinkers (Berechnungsmethode B) zu berechnen. Beide Methoden werden als gleichwertig betrachtet.</w:t>
      </w:r>
    </w:p>
    <w:p>
      <w:pPr>
        <w:pStyle w:val="GesAbsatz"/>
        <w:jc w:val="both"/>
        <w:rPr>
          <w:rFonts w:cs="Arial"/>
          <w:szCs w:val="17"/>
        </w:rPr>
      </w:pPr>
      <w:r>
        <w:rPr>
          <w:rFonts w:cs="Arial"/>
          <w:szCs w:val="17"/>
        </w:rPr>
        <w:t>Berechnungsmethode A: Karbonate</w:t>
      </w:r>
    </w:p>
    <w:p>
      <w:pPr>
        <w:pStyle w:val="GesAbsatz"/>
        <w:jc w:val="both"/>
        <w:rPr>
          <w:rFonts w:cs="Arial"/>
          <w:szCs w:val="17"/>
        </w:rPr>
      </w:pPr>
      <w:r>
        <w:rPr>
          <w:rFonts w:cs="Arial"/>
          <w:szCs w:val="17"/>
        </w:rPr>
        <w:t>Die Berechnung basiert auf dem Karbonat-Gehalt des Prozessinputs. Die CO</w:t>
      </w:r>
      <w:r>
        <w:rPr>
          <w:rFonts w:cs="Arial"/>
          <w:szCs w:val="10"/>
          <w:vertAlign w:val="subscript"/>
        </w:rPr>
        <w:t>2</w:t>
      </w:r>
      <w:r>
        <w:rPr>
          <w:rFonts w:cs="Arial"/>
          <w:szCs w:val="17"/>
        </w:rPr>
        <w:t>-Emissionen sind anhand folgender Formel zu berechnen: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w:t>
      </w:r>
      <w:r>
        <w:rPr>
          <w:rFonts w:cs="Arial"/>
          <w:szCs w:val="10"/>
          <w:vertAlign w:val="subscript"/>
        </w:rPr>
        <w:t>Klinker</w:t>
      </w:r>
      <w:r>
        <w:rPr>
          <w:rFonts w:cs="Arial"/>
          <w:szCs w:val="10"/>
        </w:rPr>
        <w:t xml:space="preserve"> </w:t>
      </w:r>
      <w:r>
        <w:rPr>
          <w:rFonts w:cs="Arial"/>
          <w:szCs w:val="17"/>
        </w:rPr>
        <w:t>= Tätigkeitsdaten ×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lastRenderedPageBreak/>
        <w:t>Die Menge reiner Karbonate (z. B. Kalkstein), die im Rohmehl [t] enthalten sind, das während des B</w:t>
      </w:r>
      <w:r>
        <w:rPr>
          <w:rFonts w:cs="Arial"/>
          <w:szCs w:val="17"/>
        </w:rPr>
        <w:t>e</w:t>
      </w:r>
      <w:r>
        <w:rPr>
          <w:rFonts w:cs="Arial"/>
          <w:szCs w:val="17"/>
        </w:rPr>
        <w:t>richtszeitraums als Prozessinput eingesetzt wird, ermittelt durch Wiegen des Rohmehls mit einem max</w:t>
      </w:r>
      <w:r>
        <w:rPr>
          <w:rFonts w:cs="Arial"/>
          <w:szCs w:val="17"/>
        </w:rPr>
        <w:t>i</w:t>
      </w:r>
      <w:r>
        <w:rPr>
          <w:rFonts w:cs="Arial"/>
          <w:szCs w:val="17"/>
        </w:rPr>
        <w:t>mal zulässigen Unsicherheitsfaktor von weniger als ± 5,0 %. Der Karbonatanteil in der Zusammense</w:t>
      </w:r>
      <w:r>
        <w:rPr>
          <w:rFonts w:cs="Arial"/>
          <w:szCs w:val="17"/>
        </w:rPr>
        <w:t>t</w:t>
      </w:r>
      <w:r>
        <w:rPr>
          <w:rFonts w:cs="Arial"/>
          <w:szCs w:val="17"/>
        </w:rPr>
        <w:t>zung des betreffenden Rohstoffs wird in Anlehnung an die Leitlinien der Industrie hinsichtlich der bewährtesten Pr</w:t>
      </w:r>
      <w:r>
        <w:rPr>
          <w:rFonts w:cs="Arial"/>
          <w:szCs w:val="17"/>
        </w:rPr>
        <w:t>a</w:t>
      </w:r>
      <w:r>
        <w:rPr>
          <w:rFonts w:cs="Arial"/>
          <w:szCs w:val="17"/>
        </w:rPr>
        <w:t>xis („Best Practice Guidelines“) ermittelt.</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Menge reiner Karbonate (z. B. Kalkstein), die im Rohmehl [t] enthalten sind, das während des B</w:t>
      </w:r>
      <w:r>
        <w:rPr>
          <w:rFonts w:cs="Arial"/>
          <w:szCs w:val="17"/>
        </w:rPr>
        <w:t>e</w:t>
      </w:r>
      <w:r>
        <w:rPr>
          <w:rFonts w:cs="Arial"/>
          <w:szCs w:val="17"/>
        </w:rPr>
        <w:t>richtszeitraums als Prozessinput eingesetzt wird, ermittelt durch Wiegen des Rohmehls mit einem max</w:t>
      </w:r>
      <w:r>
        <w:rPr>
          <w:rFonts w:cs="Arial"/>
          <w:szCs w:val="17"/>
        </w:rPr>
        <w:t>i</w:t>
      </w:r>
      <w:r>
        <w:rPr>
          <w:rFonts w:cs="Arial"/>
          <w:szCs w:val="17"/>
        </w:rPr>
        <w:t>mal zulässigen Unsicherheitsfaktor von weniger als ± 2,5 %. Der Karbonatanteil in der Zusammense</w:t>
      </w:r>
      <w:r>
        <w:rPr>
          <w:rFonts w:cs="Arial"/>
          <w:szCs w:val="17"/>
        </w:rPr>
        <w:t>t</w:t>
      </w:r>
      <w:r>
        <w:rPr>
          <w:rFonts w:cs="Arial"/>
          <w:szCs w:val="17"/>
        </w:rPr>
        <w:t>zung des betreffenden Rohstoffs wird durch den Betreiber in Einklang mit Abschnitt 10 des Anhangs I ermittelt.</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Es sind die stöchiometrischen Verhältnisse der Karbonate im Prozessinput, die in der unten stehenden Tabelle 1 aufgeführt sind, anzuwenden.</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6"/>
        <w:gridCol w:w="3095"/>
      </w:tblGrid>
      <w:tr>
        <w:tblPrEx>
          <w:tblCellMar>
            <w:top w:w="0" w:type="dxa"/>
            <w:bottom w:w="0" w:type="dxa"/>
          </w:tblCellMar>
        </w:tblPrEx>
        <w:tc>
          <w:tcPr>
            <w:tcW w:w="3426" w:type="dxa"/>
          </w:tcPr>
          <w:p>
            <w:pPr>
              <w:pStyle w:val="GesAbsatz"/>
              <w:jc w:val="center"/>
              <w:rPr>
                <w:rFonts w:cs="Arial"/>
                <w:szCs w:val="15"/>
              </w:rPr>
            </w:pPr>
            <w:r>
              <w:rPr>
                <w:rFonts w:cs="Arial"/>
                <w:szCs w:val="15"/>
              </w:rPr>
              <w:t>Karbonate</w:t>
            </w:r>
          </w:p>
        </w:tc>
        <w:tc>
          <w:tcPr>
            <w:tcW w:w="3095" w:type="dxa"/>
          </w:tcPr>
          <w:p>
            <w:pPr>
              <w:pStyle w:val="GesAbsatz"/>
              <w:jc w:val="center"/>
              <w:rPr>
                <w:rFonts w:cs="Arial"/>
                <w:szCs w:val="15"/>
                <w:lang w:val="en-GB"/>
              </w:rPr>
            </w:pPr>
            <w:r>
              <w:rPr>
                <w:rFonts w:cs="Arial"/>
                <w:szCs w:val="15"/>
                <w:lang w:val="en-GB"/>
              </w:rPr>
              <w:t>Emissionsfaktor</w:t>
            </w:r>
          </w:p>
        </w:tc>
      </w:tr>
      <w:tr>
        <w:tblPrEx>
          <w:tblCellMar>
            <w:top w:w="0" w:type="dxa"/>
            <w:bottom w:w="0" w:type="dxa"/>
          </w:tblCellMar>
        </w:tblPrEx>
        <w:tc>
          <w:tcPr>
            <w:tcW w:w="3426" w:type="dxa"/>
          </w:tcPr>
          <w:p>
            <w:pPr>
              <w:pStyle w:val="GesAbsatz"/>
              <w:jc w:val="both"/>
              <w:rPr>
                <w:rFonts w:cs="Arial"/>
                <w:szCs w:val="15"/>
                <w:lang w:val="en-GB"/>
              </w:rPr>
            </w:pPr>
            <w:r>
              <w:rPr>
                <w:rFonts w:cs="Arial"/>
                <w:szCs w:val="17"/>
                <w:lang w:val="en-GB"/>
              </w:rPr>
              <w:t>CaCO</w:t>
            </w:r>
            <w:r>
              <w:rPr>
                <w:rFonts w:cs="Arial"/>
                <w:szCs w:val="10"/>
                <w:vertAlign w:val="subscript"/>
                <w:lang w:val="en-GB"/>
              </w:rPr>
              <w:t>3</w:t>
            </w:r>
          </w:p>
        </w:tc>
        <w:tc>
          <w:tcPr>
            <w:tcW w:w="3095" w:type="dxa"/>
          </w:tcPr>
          <w:p>
            <w:pPr>
              <w:pStyle w:val="GesAbsatz"/>
              <w:jc w:val="both"/>
              <w:rPr>
                <w:rFonts w:cs="Arial"/>
                <w:szCs w:val="15"/>
                <w:lang w:val="en-GB"/>
              </w:rPr>
            </w:pPr>
            <w:r>
              <w:rPr>
                <w:rFonts w:cs="Arial"/>
                <w:szCs w:val="17"/>
                <w:lang w:val="en-GB"/>
              </w:rPr>
              <w:t>0,440 [t CO</w:t>
            </w:r>
            <w:r>
              <w:rPr>
                <w:rFonts w:cs="Arial"/>
                <w:szCs w:val="10"/>
                <w:vertAlign w:val="subscript"/>
                <w:lang w:val="en-GB"/>
              </w:rPr>
              <w:t>2</w:t>
            </w:r>
            <w:r>
              <w:rPr>
                <w:rFonts w:cs="Arial"/>
                <w:szCs w:val="17"/>
                <w:lang w:val="en-GB"/>
              </w:rPr>
              <w:t>/CaCO</w:t>
            </w:r>
            <w:r>
              <w:rPr>
                <w:rFonts w:cs="Arial"/>
                <w:szCs w:val="10"/>
                <w:vertAlign w:val="subscript"/>
                <w:lang w:val="en-GB"/>
              </w:rPr>
              <w:t>3</w:t>
            </w:r>
            <w:r>
              <w:rPr>
                <w:rFonts w:cs="Arial"/>
                <w:szCs w:val="17"/>
                <w:lang w:val="en-GB"/>
              </w:rPr>
              <w:t>]</w:t>
            </w:r>
          </w:p>
        </w:tc>
      </w:tr>
      <w:tr>
        <w:tblPrEx>
          <w:tblCellMar>
            <w:top w:w="0" w:type="dxa"/>
            <w:bottom w:w="0" w:type="dxa"/>
          </w:tblCellMar>
        </w:tblPrEx>
        <w:tc>
          <w:tcPr>
            <w:tcW w:w="3426" w:type="dxa"/>
          </w:tcPr>
          <w:p>
            <w:pPr>
              <w:pStyle w:val="GesAbsatz"/>
              <w:jc w:val="both"/>
              <w:rPr>
                <w:rFonts w:cs="Arial"/>
                <w:szCs w:val="17"/>
                <w:lang w:val="en-GB"/>
              </w:rPr>
            </w:pPr>
            <w:r>
              <w:rPr>
                <w:rFonts w:cs="Arial"/>
                <w:szCs w:val="17"/>
                <w:lang w:val="en-GB"/>
              </w:rPr>
              <w:t>MgCO</w:t>
            </w:r>
            <w:r>
              <w:rPr>
                <w:rFonts w:cs="Arial"/>
                <w:szCs w:val="10"/>
                <w:vertAlign w:val="subscript"/>
                <w:lang w:val="en-GB"/>
              </w:rPr>
              <w:t>3</w:t>
            </w:r>
          </w:p>
        </w:tc>
        <w:tc>
          <w:tcPr>
            <w:tcW w:w="3095" w:type="dxa"/>
          </w:tcPr>
          <w:p>
            <w:pPr>
              <w:pStyle w:val="GesAbsatz"/>
              <w:jc w:val="both"/>
              <w:rPr>
                <w:rFonts w:cs="Arial"/>
                <w:szCs w:val="17"/>
                <w:lang w:val="en-GB"/>
              </w:rPr>
            </w:pPr>
            <w:r>
              <w:rPr>
                <w:rFonts w:cs="Arial"/>
                <w:szCs w:val="17"/>
                <w:lang w:val="en-GB"/>
              </w:rPr>
              <w:t>0,522 [t CO</w:t>
            </w:r>
            <w:r>
              <w:rPr>
                <w:rFonts w:cs="Arial"/>
                <w:szCs w:val="10"/>
                <w:vertAlign w:val="subscript"/>
                <w:lang w:val="en-GB"/>
              </w:rPr>
              <w:t>2</w:t>
            </w:r>
            <w:r>
              <w:rPr>
                <w:rFonts w:cs="Arial"/>
                <w:szCs w:val="17"/>
                <w:lang w:val="en-GB"/>
              </w:rPr>
              <w:t>/MgCO</w:t>
            </w:r>
            <w:r>
              <w:rPr>
                <w:rFonts w:cs="Arial"/>
                <w:szCs w:val="10"/>
                <w:vertAlign w:val="subscript"/>
                <w:lang w:val="en-GB"/>
              </w:rPr>
              <w:t>3</w:t>
            </w:r>
            <w:r>
              <w:rPr>
                <w:rFonts w:cs="Arial"/>
                <w:szCs w:val="17"/>
                <w:lang w:val="en-GB"/>
              </w:rPr>
              <w:t>]</w:t>
            </w:r>
          </w:p>
        </w:tc>
      </w:tr>
    </w:tbl>
    <w:p>
      <w:pPr>
        <w:pStyle w:val="GesAbsatz"/>
        <w:jc w:val="both"/>
        <w:rPr>
          <w:rFonts w:cs="Arial"/>
          <w:szCs w:val="15"/>
          <w:lang w:val="en-GB"/>
        </w:rPr>
      </w:pP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Berechnungsmethode B: Klinkerherstellung</w:t>
      </w:r>
    </w:p>
    <w:p>
      <w:pPr>
        <w:pStyle w:val="GesAbsatz"/>
        <w:jc w:val="both"/>
        <w:rPr>
          <w:rFonts w:cs="Arial"/>
          <w:szCs w:val="17"/>
        </w:rPr>
      </w:pPr>
      <w:r>
        <w:rPr>
          <w:rFonts w:cs="Arial"/>
          <w:szCs w:val="17"/>
        </w:rPr>
        <w:t>Die Berechnungsmethode basiert auf der Menge des hergestellten Klinkers. Die CO</w:t>
      </w:r>
      <w:r>
        <w:rPr>
          <w:rFonts w:cs="Arial"/>
          <w:szCs w:val="10"/>
          <w:vertAlign w:val="subscript"/>
        </w:rPr>
        <w:t>2</w:t>
      </w:r>
      <w:r>
        <w:rPr>
          <w:rFonts w:cs="Arial"/>
          <w:szCs w:val="17"/>
        </w:rPr>
        <w:t>-Emissionen sind anhand folgender Formel zu berechnen: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w:t>
      </w:r>
      <w:r>
        <w:rPr>
          <w:rFonts w:cs="Arial"/>
          <w:szCs w:val="10"/>
          <w:vertAlign w:val="subscript"/>
        </w:rPr>
        <w:t>Klinker</w:t>
      </w:r>
      <w:r>
        <w:rPr>
          <w:rFonts w:cs="Arial"/>
          <w:szCs w:val="10"/>
        </w:rPr>
        <w:t xml:space="preserve"> </w:t>
      </w:r>
      <w:r>
        <w:rPr>
          <w:rFonts w:cs="Arial"/>
          <w:szCs w:val="17"/>
        </w:rPr>
        <w:t>= Tätigkeitsdaten × Emissionsfaktor × Umsetzungsfaktor</w:t>
      </w:r>
    </w:p>
    <w:p>
      <w:pPr>
        <w:pStyle w:val="GesAbsatz"/>
        <w:jc w:val="both"/>
        <w:rPr>
          <w:rFonts w:cs="Arial"/>
          <w:szCs w:val="17"/>
        </w:rPr>
      </w:pPr>
      <w:r>
        <w:rPr>
          <w:rFonts w:cs="Arial"/>
          <w:szCs w:val="17"/>
        </w:rPr>
        <w:t>Wenn die Emissionsschätzungen auf dem hergestellten Klinker basieren, muss bei Anlagen, die Zemen</w:t>
      </w:r>
      <w:r>
        <w:rPr>
          <w:rFonts w:cs="Arial"/>
          <w:szCs w:val="17"/>
        </w:rPr>
        <w:t>t</w:t>
      </w:r>
      <w:r>
        <w:rPr>
          <w:rFonts w:cs="Arial"/>
          <w:szCs w:val="17"/>
        </w:rPr>
        <w:t>ofenstaub (Cement Kiln Dust - CKD) abscheiden, das bei der CKD-Kalzinierung freigesetzte CO</w:t>
      </w:r>
      <w:r>
        <w:rPr>
          <w:rFonts w:cs="Arial"/>
          <w:szCs w:val="10"/>
          <w:vertAlign w:val="subscript"/>
        </w:rPr>
        <w:t>2</w:t>
      </w:r>
      <w:r>
        <w:rPr>
          <w:rFonts w:cs="Arial"/>
          <w:szCs w:val="10"/>
        </w:rPr>
        <w:t xml:space="preserve"> </w:t>
      </w:r>
      <w:r>
        <w:rPr>
          <w:rFonts w:cs="Arial"/>
          <w:szCs w:val="17"/>
        </w:rPr>
        <w:t>berüc</w:t>
      </w:r>
      <w:r>
        <w:rPr>
          <w:rFonts w:cs="Arial"/>
          <w:szCs w:val="17"/>
        </w:rPr>
        <w:t>k</w:t>
      </w:r>
      <w:r>
        <w:rPr>
          <w:rFonts w:cs="Arial"/>
          <w:szCs w:val="17"/>
        </w:rPr>
        <w:t>sichtigt werden. Die Emissionen aus Klinkerherstellung und aus Zementofenstaub sind getrennt zu ermi</w:t>
      </w:r>
      <w:r>
        <w:rPr>
          <w:rFonts w:cs="Arial"/>
          <w:szCs w:val="17"/>
        </w:rPr>
        <w:t>t</w:t>
      </w:r>
      <w:r>
        <w:rPr>
          <w:rFonts w:cs="Arial"/>
          <w:szCs w:val="17"/>
        </w:rPr>
        <w:t>teln und als Gesamtemission aufzuaddieren.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w:t>
      </w:r>
      <w:r>
        <w:rPr>
          <w:rFonts w:cs="Arial"/>
          <w:szCs w:val="10"/>
          <w:vertAlign w:val="subscript"/>
        </w:rPr>
        <w:t xml:space="preserve">Gesamtprozess </w:t>
      </w:r>
      <w:r>
        <w:rPr>
          <w:rFonts w:cs="Arial"/>
          <w:szCs w:val="17"/>
        </w:rPr>
        <w:t>[t] = CO</w:t>
      </w:r>
      <w:r>
        <w:rPr>
          <w:rFonts w:cs="Arial"/>
          <w:szCs w:val="10"/>
          <w:vertAlign w:val="subscript"/>
        </w:rPr>
        <w:t>2</w:t>
      </w:r>
      <w:r>
        <w:rPr>
          <w:rFonts w:cs="Arial"/>
          <w:szCs w:val="17"/>
        </w:rPr>
        <w:t>-Emissionen</w:t>
      </w:r>
      <w:r>
        <w:rPr>
          <w:rFonts w:cs="Arial"/>
          <w:szCs w:val="10"/>
          <w:vertAlign w:val="subscript"/>
        </w:rPr>
        <w:t>Klinker</w:t>
      </w:r>
      <w:r>
        <w:rPr>
          <w:rFonts w:cs="Arial"/>
          <w:szCs w:val="10"/>
        </w:rPr>
        <w:t xml:space="preserve"> </w:t>
      </w:r>
      <w:r>
        <w:rPr>
          <w:rFonts w:cs="Arial"/>
          <w:szCs w:val="17"/>
        </w:rPr>
        <w:t>[t] + CO</w:t>
      </w:r>
      <w:r>
        <w:rPr>
          <w:rFonts w:cs="Arial"/>
          <w:szCs w:val="10"/>
          <w:vertAlign w:val="subscript"/>
        </w:rPr>
        <w:t>2</w:t>
      </w:r>
      <w:r>
        <w:rPr>
          <w:rFonts w:cs="Arial"/>
          <w:szCs w:val="17"/>
        </w:rPr>
        <w:t>-Emissionen</w:t>
      </w:r>
      <w:r>
        <w:rPr>
          <w:rFonts w:cs="Arial"/>
          <w:szCs w:val="10"/>
          <w:vertAlign w:val="subscript"/>
        </w:rPr>
        <w:t>Staub</w:t>
      </w:r>
      <w:r>
        <w:rPr>
          <w:rFonts w:cs="Arial"/>
          <w:szCs w:val="10"/>
        </w:rPr>
        <w:t xml:space="preserve"> </w:t>
      </w:r>
      <w:r>
        <w:rPr>
          <w:rFonts w:cs="Arial"/>
          <w:szCs w:val="17"/>
        </w:rPr>
        <w:t>[t]</w:t>
      </w:r>
    </w:p>
    <w:p>
      <w:pPr>
        <w:pStyle w:val="GesAbsatz"/>
        <w:jc w:val="both"/>
        <w:rPr>
          <w:rFonts w:cs="Arial"/>
          <w:szCs w:val="17"/>
        </w:rPr>
      </w:pPr>
      <w:r>
        <w:rPr>
          <w:rFonts w:cs="Arial"/>
          <w:szCs w:val="17"/>
        </w:rPr>
        <w:t>Emissionen im Zusammenhang mit der Klinkerherstellung</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Menge des Klinkers [t], der während des Berichtszeitraums hergestellt wird.</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Menge des herstellten Klinkers [t], ermittelt durch Wiegen mit einem zulässigen Unsicherheitsfaktor von weniger als ± 5 % je Messvorgang.</w:t>
      </w:r>
    </w:p>
    <w:p>
      <w:pPr>
        <w:pStyle w:val="GesAbsatz"/>
        <w:jc w:val="both"/>
        <w:rPr>
          <w:rFonts w:cs="Arial"/>
          <w:szCs w:val="17"/>
        </w:rPr>
      </w:pPr>
      <w:r>
        <w:rPr>
          <w:rFonts w:cs="Arial"/>
          <w:szCs w:val="17"/>
        </w:rPr>
        <w:t>Ebene 2a:</w:t>
      </w:r>
    </w:p>
    <w:p>
      <w:pPr>
        <w:pStyle w:val="GesAbsatz"/>
        <w:jc w:val="both"/>
        <w:rPr>
          <w:rFonts w:cs="Arial"/>
          <w:szCs w:val="17"/>
        </w:rPr>
      </w:pPr>
      <w:r>
        <w:rPr>
          <w:rFonts w:cs="Arial"/>
          <w:szCs w:val="17"/>
        </w:rPr>
        <w:t>Menge des herstellten Klinkers [t], ermittelt durch Wiegen mit einem zulässigen Unsicherheitsfaktor von weniger als ± 2,5 % je Messvorgang.</w:t>
      </w:r>
    </w:p>
    <w:p>
      <w:pPr>
        <w:pStyle w:val="GesAbsatz"/>
        <w:jc w:val="both"/>
        <w:rPr>
          <w:rFonts w:cs="Arial"/>
          <w:szCs w:val="17"/>
        </w:rPr>
      </w:pPr>
      <w:r>
        <w:rPr>
          <w:rFonts w:cs="Arial"/>
          <w:szCs w:val="17"/>
        </w:rPr>
        <w:t>Ebene 2b:</w:t>
      </w:r>
    </w:p>
    <w:p>
      <w:pPr>
        <w:pStyle w:val="GesAbsatz"/>
        <w:jc w:val="both"/>
        <w:rPr>
          <w:rFonts w:cs="Arial"/>
          <w:szCs w:val="17"/>
        </w:rPr>
      </w:pPr>
      <w:r>
        <w:rPr>
          <w:rFonts w:cs="Arial"/>
          <w:szCs w:val="17"/>
        </w:rPr>
        <w:lastRenderedPageBreak/>
        <w:t>Der Klinkeroutput [t] aus der Zementproduktion, mit einem zulässigen Unsicherheitsfaktor von weniger als ± 1,5 % je Messvorgang gewogen, wird anhand der folgenden Formel berechnet (in der Materialbilanz sind versendeter Klinker, zugelieferter Klinker sowie Klinker-Lagerbestandsveränderungen zu berücksic</w:t>
      </w:r>
      <w:r>
        <w:rPr>
          <w:rFonts w:cs="Arial"/>
          <w:szCs w:val="17"/>
        </w:rPr>
        <w:t>h</w:t>
      </w:r>
      <w:r>
        <w:rPr>
          <w:rFonts w:cs="Arial"/>
          <w:szCs w:val="17"/>
        </w:rPr>
        <w:t>tigen):</w:t>
      </w:r>
    </w:p>
    <w:p>
      <w:pPr>
        <w:pStyle w:val="GesAbsatz"/>
        <w:jc w:val="center"/>
        <w:rPr>
          <w:rFonts w:cs="Arial"/>
          <w:szCs w:val="17"/>
        </w:rPr>
      </w:pPr>
      <w:r>
        <w:rPr>
          <w:rFonts w:cs="Arial"/>
          <w:szCs w:val="17"/>
        </w:rPr>
        <w:t>hergestellter Klinker [t] = ((hergestellter Zement [t] × Klinker/Zement-Verhältnis [t Klinker/t Zement])</w:t>
      </w:r>
    </w:p>
    <w:p>
      <w:pPr>
        <w:pStyle w:val="GesAbsatz"/>
        <w:jc w:val="both"/>
        <w:rPr>
          <w:rFonts w:cs="Arial"/>
          <w:szCs w:val="17"/>
        </w:rPr>
      </w:pPr>
      <w:r>
        <w:rPr>
          <w:rFonts w:cs="Arial"/>
          <w:szCs w:val="17"/>
        </w:rPr>
        <w:t>-</w:t>
      </w:r>
      <w:r>
        <w:rPr>
          <w:rFonts w:cs="Arial"/>
          <w:szCs w:val="17"/>
        </w:rPr>
        <w:tab/>
        <w:t>– (zugelieferter Klinker [t]) + (versendeter Klinker [t])</w:t>
      </w:r>
    </w:p>
    <w:p>
      <w:pPr>
        <w:pStyle w:val="GesAbsatz"/>
        <w:jc w:val="both"/>
        <w:rPr>
          <w:rFonts w:cs="Arial"/>
          <w:szCs w:val="17"/>
        </w:rPr>
      </w:pPr>
      <w:r>
        <w:rPr>
          <w:rFonts w:cs="Arial"/>
          <w:szCs w:val="17"/>
        </w:rPr>
        <w:t>-</w:t>
      </w:r>
      <w:r>
        <w:rPr>
          <w:rFonts w:cs="Arial"/>
          <w:szCs w:val="17"/>
        </w:rPr>
        <w:tab/>
        <w:t>– (Klinker-Lagerbestandsveränderung [t])</w:t>
      </w:r>
    </w:p>
    <w:p>
      <w:pPr>
        <w:pStyle w:val="GesAbsatz"/>
        <w:jc w:val="both"/>
        <w:rPr>
          <w:rFonts w:cs="Arial"/>
          <w:szCs w:val="17"/>
        </w:rPr>
      </w:pPr>
      <w:r>
        <w:rPr>
          <w:rFonts w:cs="Arial"/>
          <w:szCs w:val="17"/>
        </w:rPr>
        <w:t>Das Verhältnis Klinker/Zement ist für die verschiedenen Zementarten, die in der spezifischen Anlage he</w:t>
      </w:r>
      <w:r>
        <w:rPr>
          <w:rFonts w:cs="Arial"/>
          <w:szCs w:val="17"/>
        </w:rPr>
        <w:t>r</w:t>
      </w:r>
      <w:r>
        <w:rPr>
          <w:rFonts w:cs="Arial"/>
          <w:szCs w:val="17"/>
        </w:rPr>
        <w:t>gestellt werden, getrennt zu berechnen und anzuwenden. Die Mengen des versendeten und zugeli</w:t>
      </w:r>
      <w:r>
        <w:rPr>
          <w:rFonts w:cs="Arial"/>
          <w:szCs w:val="17"/>
        </w:rPr>
        <w:t>e</w:t>
      </w:r>
      <w:r>
        <w:rPr>
          <w:rFonts w:cs="Arial"/>
          <w:szCs w:val="17"/>
        </w:rPr>
        <w:t>ferten Klinkers sind mit einem zulässigen Unsicherheitsfaktor von weniger als ± 2,5 % je Messvorgang zu b</w:t>
      </w:r>
      <w:r>
        <w:rPr>
          <w:rFonts w:cs="Arial"/>
          <w:szCs w:val="17"/>
        </w:rPr>
        <w:t>e</w:t>
      </w:r>
      <w:r>
        <w:rPr>
          <w:rFonts w:cs="Arial"/>
          <w:szCs w:val="17"/>
        </w:rPr>
        <w:t>stimmen. Die über den Berichtszeitraum verzeichneten Lagerbestandsveränderungen sind mit einem U</w:t>
      </w:r>
      <w:r>
        <w:rPr>
          <w:rFonts w:cs="Arial"/>
          <w:szCs w:val="17"/>
        </w:rPr>
        <w:t>n</w:t>
      </w:r>
      <w:r>
        <w:rPr>
          <w:rFonts w:cs="Arial"/>
          <w:szCs w:val="17"/>
        </w:rPr>
        <w:t>sicherheitsfaktor von weniger als ± 10 % zu bestimmen.</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Emissionsfaktor: 0,525 t CO</w:t>
      </w:r>
      <w:r>
        <w:rPr>
          <w:rFonts w:cs="Arial"/>
          <w:szCs w:val="10"/>
          <w:vertAlign w:val="subscript"/>
        </w:rPr>
        <w:t>2</w:t>
      </w:r>
      <w:r>
        <w:rPr>
          <w:rFonts w:cs="Arial"/>
          <w:szCs w:val="17"/>
        </w:rPr>
        <w:t>/t Klinker</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Der Emissionsfaktor berechnet sich aus der CaO- und MgO-Bilanz, unter der Annahme, dass diese tei</w:t>
      </w:r>
      <w:r>
        <w:rPr>
          <w:rFonts w:cs="Arial"/>
          <w:szCs w:val="17"/>
        </w:rPr>
        <w:t>l</w:t>
      </w:r>
      <w:r>
        <w:rPr>
          <w:rFonts w:cs="Arial"/>
          <w:szCs w:val="17"/>
        </w:rPr>
        <w:t>weise nicht das Ergebnis der Umwandlung der Karbonate sind, sondern bereits in dem Prozessinput en</w:t>
      </w:r>
      <w:r>
        <w:rPr>
          <w:rFonts w:cs="Arial"/>
          <w:szCs w:val="17"/>
        </w:rPr>
        <w:t>t</w:t>
      </w:r>
      <w:r>
        <w:rPr>
          <w:rFonts w:cs="Arial"/>
          <w:szCs w:val="17"/>
        </w:rPr>
        <w:t>halten waren. Die Zusammensetzung des Klinkers und der betreffenden Rohstoffe ist in Einklang mit den Vorgaben von Abschnitt 10 des Anhangs I zu ermitteln.</w:t>
      </w:r>
    </w:p>
    <w:p>
      <w:pPr>
        <w:pStyle w:val="GesAbsatz"/>
        <w:jc w:val="both"/>
        <w:rPr>
          <w:rFonts w:cs="Arial"/>
          <w:szCs w:val="17"/>
        </w:rPr>
      </w:pPr>
      <w:r>
        <w:rPr>
          <w:rFonts w:cs="Arial"/>
          <w:szCs w:val="17"/>
        </w:rPr>
        <w:t>Der Emissionsfaktor ist anhand folgender Gleichung zu berechnen:</w:t>
      </w:r>
    </w:p>
    <w:p>
      <w:pPr>
        <w:pStyle w:val="GesAbsatz"/>
        <w:jc w:val="center"/>
        <w:rPr>
          <w:rFonts w:cs="Arial"/>
          <w:szCs w:val="17"/>
        </w:rPr>
      </w:pPr>
      <w:r>
        <w:rPr>
          <w:rFonts w:cs="Arial"/>
          <w:szCs w:val="17"/>
        </w:rPr>
        <w:t>Emissionsfaktor [t CO</w:t>
      </w:r>
      <w:r>
        <w:rPr>
          <w:rFonts w:cs="Arial"/>
          <w:szCs w:val="10"/>
          <w:vertAlign w:val="subscript"/>
        </w:rPr>
        <w:t>2</w:t>
      </w:r>
      <w:r>
        <w:rPr>
          <w:rFonts w:cs="Arial"/>
          <w:szCs w:val="17"/>
        </w:rPr>
        <w:t>/t Klinker] = 0,785 × (Output</w:t>
      </w:r>
      <w:r>
        <w:rPr>
          <w:rFonts w:cs="Arial"/>
          <w:szCs w:val="10"/>
          <w:vertAlign w:val="subscript"/>
        </w:rPr>
        <w:t>CaO</w:t>
      </w:r>
      <w:r>
        <w:rPr>
          <w:rFonts w:cs="Arial"/>
          <w:szCs w:val="10"/>
        </w:rPr>
        <w:t xml:space="preserve"> </w:t>
      </w:r>
      <w:r>
        <w:rPr>
          <w:rFonts w:cs="Arial"/>
          <w:szCs w:val="17"/>
        </w:rPr>
        <w:t>[t CaO/t Klinker] – Input</w:t>
      </w:r>
      <w:r>
        <w:rPr>
          <w:rFonts w:cs="Arial"/>
          <w:szCs w:val="10"/>
          <w:vertAlign w:val="subscript"/>
        </w:rPr>
        <w:t>CaO</w:t>
      </w:r>
      <w:r>
        <w:rPr>
          <w:rFonts w:cs="Arial"/>
          <w:szCs w:val="10"/>
        </w:rPr>
        <w:t xml:space="preserve"> </w:t>
      </w:r>
      <w:r>
        <w:rPr>
          <w:rFonts w:cs="Arial"/>
          <w:szCs w:val="17"/>
        </w:rPr>
        <w:t>[t CaO/t Inputmater</w:t>
      </w:r>
      <w:r>
        <w:rPr>
          <w:rFonts w:cs="Arial"/>
          <w:szCs w:val="17"/>
        </w:rPr>
        <w:t>i</w:t>
      </w:r>
      <w:r>
        <w:rPr>
          <w:rFonts w:cs="Arial"/>
          <w:szCs w:val="17"/>
        </w:rPr>
        <w:t>al]) +1,092 × (Output</w:t>
      </w:r>
      <w:r>
        <w:rPr>
          <w:rFonts w:cs="Arial"/>
          <w:szCs w:val="10"/>
          <w:vertAlign w:val="subscript"/>
        </w:rPr>
        <w:t>MgO</w:t>
      </w:r>
      <w:r>
        <w:rPr>
          <w:rFonts w:cs="Arial"/>
          <w:szCs w:val="10"/>
        </w:rPr>
        <w:t xml:space="preserve"> </w:t>
      </w:r>
      <w:r>
        <w:rPr>
          <w:rFonts w:cs="Arial"/>
          <w:szCs w:val="17"/>
        </w:rPr>
        <w:t>[t MgO/t Klinker] – Input</w:t>
      </w:r>
      <w:r>
        <w:rPr>
          <w:rFonts w:cs="Arial"/>
          <w:szCs w:val="10"/>
          <w:vertAlign w:val="subscript"/>
        </w:rPr>
        <w:t>MgO</w:t>
      </w:r>
      <w:r>
        <w:rPr>
          <w:rFonts w:cs="Arial"/>
          <w:szCs w:val="10"/>
        </w:rPr>
        <w:t xml:space="preserve"> </w:t>
      </w:r>
      <w:r>
        <w:rPr>
          <w:rFonts w:cs="Arial"/>
          <w:szCs w:val="17"/>
        </w:rPr>
        <w:t>[t MgO/t Inputmaterial])</w:t>
      </w:r>
    </w:p>
    <w:p>
      <w:pPr>
        <w:pStyle w:val="GesAbsatz"/>
        <w:jc w:val="both"/>
        <w:rPr>
          <w:rFonts w:cs="Arial"/>
          <w:szCs w:val="17"/>
        </w:rPr>
      </w:pPr>
      <w:r>
        <w:rPr>
          <w:rFonts w:cs="Arial"/>
          <w:szCs w:val="17"/>
        </w:rPr>
        <w:t>Diese Gleichung basiert auf dem stöchiometrischen Verhältnis von CO</w:t>
      </w:r>
      <w:r>
        <w:rPr>
          <w:rFonts w:cs="Arial"/>
          <w:szCs w:val="10"/>
          <w:vertAlign w:val="subscript"/>
        </w:rPr>
        <w:t>2</w:t>
      </w:r>
      <w:r>
        <w:rPr>
          <w:rFonts w:cs="Arial"/>
          <w:szCs w:val="17"/>
        </w:rPr>
        <w:t>/CaO und CO</w:t>
      </w:r>
      <w:r>
        <w:rPr>
          <w:rFonts w:cs="Arial"/>
          <w:szCs w:val="10"/>
          <w:vertAlign w:val="subscript"/>
        </w:rPr>
        <w:t>2</w:t>
      </w:r>
      <w:r>
        <w:rPr>
          <w:rFonts w:cs="Arial"/>
          <w:szCs w:val="17"/>
        </w:rPr>
        <w:t>/MgO, wie in nac</w:t>
      </w:r>
      <w:r>
        <w:rPr>
          <w:rFonts w:cs="Arial"/>
          <w:szCs w:val="17"/>
        </w:rPr>
        <w:t>h</w:t>
      </w:r>
      <w:r>
        <w:rPr>
          <w:rFonts w:cs="Arial"/>
          <w:szCs w:val="17"/>
        </w:rPr>
        <w:t>folgender Tabelle 2 aufgeführt.</w:t>
      </w:r>
    </w:p>
    <w:p>
      <w:pPr>
        <w:pStyle w:val="GesAbsatz"/>
        <w:jc w:val="both"/>
        <w:rPr>
          <w:rFonts w:cs="Arial"/>
          <w:b/>
          <w:szCs w:val="17"/>
        </w:rPr>
      </w:pPr>
      <w:r>
        <w:rPr>
          <w:rFonts w:cs="Arial"/>
          <w:b/>
          <w:szCs w:val="17"/>
        </w:rPr>
        <w:t>TABELLE 2</w:t>
      </w:r>
    </w:p>
    <w:p>
      <w:pPr>
        <w:pStyle w:val="GesAbsatz"/>
        <w:jc w:val="both"/>
        <w:rPr>
          <w:rFonts w:cs="Arial"/>
          <w:b/>
          <w:bCs/>
          <w:szCs w:val="17"/>
        </w:rPr>
      </w:pPr>
      <w:r>
        <w:rPr>
          <w:rFonts w:cs="Arial"/>
          <w:b/>
          <w:bCs/>
          <w:szCs w:val="17"/>
        </w:rPr>
        <w:t>Stöchiometrische Emissionsfaktoren für CaO und MgO (Netto-Produktion)</w:t>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2953"/>
      </w:tblGrid>
      <w:tr>
        <w:tblPrEx>
          <w:tblCellMar>
            <w:top w:w="0" w:type="dxa"/>
            <w:bottom w:w="0" w:type="dxa"/>
          </w:tblCellMar>
        </w:tblPrEx>
        <w:tc>
          <w:tcPr>
            <w:tcW w:w="3142" w:type="dxa"/>
          </w:tcPr>
          <w:p>
            <w:pPr>
              <w:pStyle w:val="GesAbsatz"/>
              <w:jc w:val="center"/>
              <w:rPr>
                <w:rFonts w:cs="Arial"/>
                <w:szCs w:val="15"/>
                <w:lang w:val="en-GB"/>
              </w:rPr>
            </w:pPr>
            <w:r>
              <w:rPr>
                <w:rFonts w:cs="Arial"/>
                <w:szCs w:val="15"/>
                <w:lang w:val="en-GB"/>
              </w:rPr>
              <w:t>Oxide</w:t>
            </w:r>
          </w:p>
        </w:tc>
        <w:tc>
          <w:tcPr>
            <w:tcW w:w="2953" w:type="dxa"/>
          </w:tcPr>
          <w:p>
            <w:pPr>
              <w:pStyle w:val="GesAbsatz"/>
              <w:jc w:val="center"/>
              <w:rPr>
                <w:rFonts w:cs="Arial"/>
                <w:szCs w:val="15"/>
                <w:lang w:val="en-GB"/>
              </w:rPr>
            </w:pPr>
            <w:r>
              <w:rPr>
                <w:rFonts w:cs="Arial"/>
                <w:szCs w:val="15"/>
                <w:lang w:val="en-GB"/>
              </w:rPr>
              <w:t>Emissionsfaktor</w:t>
            </w:r>
          </w:p>
        </w:tc>
      </w:tr>
      <w:tr>
        <w:tblPrEx>
          <w:tblCellMar>
            <w:top w:w="0" w:type="dxa"/>
            <w:bottom w:w="0" w:type="dxa"/>
          </w:tblCellMar>
        </w:tblPrEx>
        <w:tc>
          <w:tcPr>
            <w:tcW w:w="3142" w:type="dxa"/>
          </w:tcPr>
          <w:p>
            <w:pPr>
              <w:pStyle w:val="GesAbsatz"/>
              <w:jc w:val="both"/>
              <w:rPr>
                <w:rFonts w:cs="Arial"/>
                <w:szCs w:val="15"/>
                <w:lang w:val="en-GB"/>
              </w:rPr>
            </w:pPr>
            <w:r>
              <w:rPr>
                <w:rFonts w:cs="Arial"/>
                <w:szCs w:val="17"/>
                <w:lang w:val="en-GB"/>
              </w:rPr>
              <w:t>CaO</w:t>
            </w:r>
          </w:p>
        </w:tc>
        <w:tc>
          <w:tcPr>
            <w:tcW w:w="2953" w:type="dxa"/>
          </w:tcPr>
          <w:p>
            <w:pPr>
              <w:pStyle w:val="GesAbsatz"/>
              <w:jc w:val="both"/>
              <w:rPr>
                <w:rFonts w:cs="Arial"/>
                <w:szCs w:val="15"/>
                <w:lang w:val="en-GB"/>
              </w:rPr>
            </w:pPr>
            <w:r>
              <w:rPr>
                <w:rFonts w:cs="Arial"/>
                <w:szCs w:val="17"/>
                <w:lang w:val="en-GB"/>
              </w:rPr>
              <w:t>0,785 [t CO</w:t>
            </w:r>
            <w:r>
              <w:rPr>
                <w:rFonts w:cs="Arial"/>
                <w:szCs w:val="10"/>
                <w:vertAlign w:val="subscript"/>
                <w:lang w:val="en-GB"/>
              </w:rPr>
              <w:t>2</w:t>
            </w:r>
            <w:r>
              <w:rPr>
                <w:rFonts w:cs="Arial"/>
                <w:szCs w:val="17"/>
                <w:lang w:val="en-GB"/>
              </w:rPr>
              <w:t>/CaO]</w:t>
            </w:r>
          </w:p>
        </w:tc>
      </w:tr>
      <w:tr>
        <w:tblPrEx>
          <w:tblCellMar>
            <w:top w:w="0" w:type="dxa"/>
            <w:bottom w:w="0" w:type="dxa"/>
          </w:tblCellMar>
        </w:tblPrEx>
        <w:tc>
          <w:tcPr>
            <w:tcW w:w="3142" w:type="dxa"/>
          </w:tcPr>
          <w:p>
            <w:pPr>
              <w:pStyle w:val="GesAbsatz"/>
              <w:jc w:val="both"/>
              <w:rPr>
                <w:rFonts w:cs="Arial"/>
                <w:szCs w:val="17"/>
                <w:lang w:val="en-GB"/>
              </w:rPr>
            </w:pPr>
            <w:r>
              <w:rPr>
                <w:rFonts w:cs="Arial"/>
                <w:szCs w:val="17"/>
                <w:lang w:val="en-GB"/>
              </w:rPr>
              <w:t>MgO</w:t>
            </w:r>
          </w:p>
        </w:tc>
        <w:tc>
          <w:tcPr>
            <w:tcW w:w="2953" w:type="dxa"/>
          </w:tcPr>
          <w:p>
            <w:pPr>
              <w:pStyle w:val="GesAbsatz"/>
              <w:jc w:val="both"/>
              <w:rPr>
                <w:rFonts w:cs="Arial"/>
                <w:szCs w:val="17"/>
                <w:lang w:val="en-GB"/>
              </w:rPr>
            </w:pPr>
            <w:r>
              <w:rPr>
                <w:rFonts w:cs="Arial"/>
                <w:szCs w:val="17"/>
                <w:lang w:val="en-GB"/>
              </w:rPr>
              <w:t>1,092 [t CO</w:t>
            </w:r>
            <w:r>
              <w:rPr>
                <w:rFonts w:cs="Arial"/>
                <w:szCs w:val="10"/>
                <w:vertAlign w:val="subscript"/>
                <w:lang w:val="en-GB"/>
              </w:rPr>
              <w:t>2</w:t>
            </w:r>
            <w:r>
              <w:rPr>
                <w:rFonts w:cs="Arial"/>
                <w:szCs w:val="17"/>
                <w:lang w:val="en-GB"/>
              </w:rPr>
              <w:t>/MgO]</w:t>
            </w:r>
          </w:p>
        </w:tc>
      </w:tr>
    </w:tbl>
    <w:p>
      <w:pPr>
        <w:pStyle w:val="GesAbsatz"/>
        <w:jc w:val="both"/>
        <w:rPr>
          <w:rFonts w:cs="Arial"/>
          <w:szCs w:val="15"/>
          <w:lang w:val="en-GB"/>
        </w:rPr>
      </w:pP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Emissionen in Zusammenhang mit Staubabscheidungen</w:t>
      </w:r>
    </w:p>
    <w:p>
      <w:pPr>
        <w:pStyle w:val="GesAbsatz"/>
        <w:jc w:val="both"/>
        <w:rPr>
          <w:rFonts w:cs="Arial"/>
          <w:szCs w:val="17"/>
        </w:rPr>
      </w:pPr>
      <w:r>
        <w:rPr>
          <w:rFonts w:cs="Arial"/>
          <w:szCs w:val="17"/>
        </w:rPr>
        <w:t>Die CO</w:t>
      </w:r>
      <w:r>
        <w:rPr>
          <w:rFonts w:cs="Arial"/>
          <w:szCs w:val="10"/>
          <w:vertAlign w:val="subscript"/>
        </w:rPr>
        <w:t>2</w:t>
      </w:r>
      <w:r>
        <w:rPr>
          <w:rFonts w:cs="Arial"/>
          <w:szCs w:val="17"/>
        </w:rPr>
        <w:t>-Emissionen aus abgeschiedenem Bypass-Staub oder Zementofenstaub (CKD) sind auf Grundl</w:t>
      </w:r>
      <w:r>
        <w:rPr>
          <w:rFonts w:cs="Arial"/>
          <w:szCs w:val="17"/>
        </w:rPr>
        <w:t>a</w:t>
      </w:r>
      <w:r>
        <w:rPr>
          <w:rFonts w:cs="Arial"/>
          <w:szCs w:val="17"/>
        </w:rPr>
        <w:t>ge der abgeschiedenen Mengen Staub und des Emissionsfaktors für Klinker zu berechnen, bereinigt um die teilweise Kalzinierung des CKD. Abgeschiedener Bypass-Staub ist im Gegensatz zu CKD als vollstä</w:t>
      </w:r>
      <w:r>
        <w:rPr>
          <w:rFonts w:cs="Arial"/>
          <w:szCs w:val="17"/>
        </w:rPr>
        <w:t>n</w:t>
      </w:r>
      <w:r>
        <w:rPr>
          <w:rFonts w:cs="Arial"/>
          <w:szCs w:val="17"/>
        </w:rPr>
        <w:t>dig kalziniert zu betrachten. Die Emissionen sind wie folgt zu berechnen: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w:t>
      </w:r>
      <w:r>
        <w:rPr>
          <w:rFonts w:cs="Arial"/>
          <w:szCs w:val="10"/>
        </w:rPr>
        <w:t xml:space="preserve">Staub </w:t>
      </w:r>
      <w:r>
        <w:rPr>
          <w:rFonts w:cs="Arial"/>
          <w:szCs w:val="17"/>
        </w:rPr>
        <w:t>= Tätigkeitsdaten ×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lastRenderedPageBreak/>
        <w:t>Die während des Berichtszeitraums abgeschiedene Menge CKD oder Bypass-Staub [t], ermittelt durch Wiegen mit einem zulässigen Unsicherheitsfaktor von weniger als ± 10 % je Messvorgang.</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während des Berichtszeitraums abgeschiedene Menge CKD oder Bypass-Staub [t], ermittelt durch Wiegen mit einem zulässigen Unsicherheitsfaktor von weniger als ± 5,0 % je Messvorgang.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Der Referenzwert von 0,525 t CO</w:t>
      </w:r>
      <w:r>
        <w:rPr>
          <w:rFonts w:cs="Arial"/>
          <w:szCs w:val="10"/>
          <w:vertAlign w:val="subscript"/>
        </w:rPr>
        <w:t>2</w:t>
      </w:r>
      <w:r>
        <w:rPr>
          <w:rFonts w:cs="Arial"/>
          <w:szCs w:val="10"/>
        </w:rPr>
        <w:t xml:space="preserve"> </w:t>
      </w:r>
      <w:r>
        <w:rPr>
          <w:rFonts w:cs="Arial"/>
          <w:szCs w:val="17"/>
        </w:rPr>
        <w:t>pro Tonne Klinker ist auch für CKD zu verwenden.</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Ausgehend von dem Grad der CKD-Kalzinierung ist ein Emissionsfaktor [t CO</w:t>
      </w:r>
      <w:r>
        <w:rPr>
          <w:rFonts w:cs="Arial"/>
          <w:szCs w:val="10"/>
          <w:vertAlign w:val="subscript"/>
        </w:rPr>
        <w:t>2</w:t>
      </w:r>
      <w:r>
        <w:rPr>
          <w:rFonts w:cs="Arial"/>
          <w:szCs w:val="17"/>
        </w:rPr>
        <w:t>/t CKD] zu berechnen. Das Verhältnis zwischen dem Grad der CKD-Kalzinierung und den CO</w:t>
      </w:r>
      <w:r>
        <w:rPr>
          <w:rFonts w:cs="Arial"/>
          <w:szCs w:val="10"/>
          <w:vertAlign w:val="subscript"/>
        </w:rPr>
        <w:t>2</w:t>
      </w:r>
      <w:r>
        <w:rPr>
          <w:rFonts w:cs="Arial"/>
          <w:szCs w:val="17"/>
        </w:rPr>
        <w:t>-Emissionen pro Tonnen CKD ist nicht linear. Anhand der folgenden Formel ist ein Näherungswert zu berechnen:</w:t>
      </w:r>
    </w:p>
    <w:p>
      <w:pPr>
        <w:pStyle w:val="GesAbsatz"/>
        <w:jc w:val="center"/>
        <w:rPr>
          <w:rFonts w:cs="Arial"/>
          <w:szCs w:val="17"/>
        </w:rPr>
      </w:pPr>
      <w:r>
        <w:rPr>
          <w:rFonts w:cs="Arial"/>
          <w:position w:val="-68"/>
          <w:szCs w:val="17"/>
        </w:rPr>
        <w:object w:dxaOrig="290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15pt;height:73.75pt" o:ole="">
            <v:imagedata r:id="rId10" o:title=""/>
          </v:shape>
          <o:OLEObject Type="Embed" ProgID="Equation.3" ShapeID="_x0000_i1025" DrawAspect="Content" ObjectID="_1780913912" r:id="rId11"/>
        </w:object>
      </w:r>
    </w:p>
    <w:p>
      <w:pPr>
        <w:pStyle w:val="GesAbsatz"/>
        <w:jc w:val="both"/>
        <w:rPr>
          <w:rFonts w:cs="Arial"/>
          <w:szCs w:val="17"/>
        </w:rPr>
      </w:pPr>
      <w:r>
        <w:rPr>
          <w:rFonts w:cs="Arial"/>
          <w:szCs w:val="17"/>
        </w:rPr>
        <w:t>wobei</w:t>
      </w:r>
    </w:p>
    <w:p>
      <w:pPr>
        <w:pStyle w:val="GesAbsatz"/>
        <w:ind w:left="851" w:hanging="851"/>
        <w:jc w:val="both"/>
        <w:rPr>
          <w:rFonts w:cs="Arial"/>
          <w:szCs w:val="17"/>
        </w:rPr>
      </w:pPr>
      <w:r>
        <w:rPr>
          <w:rFonts w:cs="Arial"/>
          <w:szCs w:val="17"/>
        </w:rPr>
        <w:t>EF</w:t>
      </w:r>
      <w:r>
        <w:rPr>
          <w:rFonts w:cs="Arial"/>
          <w:szCs w:val="10"/>
          <w:vertAlign w:val="subscript"/>
        </w:rPr>
        <w:t>CKD</w:t>
      </w:r>
      <w:r>
        <w:rPr>
          <w:rFonts w:cs="Arial"/>
          <w:szCs w:val="10"/>
        </w:rPr>
        <w:t xml:space="preserve"> </w:t>
      </w:r>
      <w:r>
        <w:rPr>
          <w:rFonts w:cs="Arial"/>
          <w:szCs w:val="17"/>
        </w:rPr>
        <w:t>=</w:t>
      </w:r>
      <w:r>
        <w:rPr>
          <w:rFonts w:cs="Arial"/>
          <w:szCs w:val="17"/>
        </w:rPr>
        <w:tab/>
        <w:t>Emissionsfaktor des teilweise kalzinierten Zementofenstaubs [t CO</w:t>
      </w:r>
      <w:r>
        <w:rPr>
          <w:rFonts w:cs="Arial"/>
          <w:szCs w:val="10"/>
          <w:vertAlign w:val="subscript"/>
        </w:rPr>
        <w:t>2</w:t>
      </w:r>
      <w:r>
        <w:rPr>
          <w:rFonts w:cs="Arial"/>
          <w:szCs w:val="17"/>
        </w:rPr>
        <w:t>/t CKD]</w:t>
      </w:r>
    </w:p>
    <w:p>
      <w:pPr>
        <w:pStyle w:val="GesAbsatz"/>
        <w:ind w:left="851" w:hanging="851"/>
        <w:jc w:val="both"/>
        <w:rPr>
          <w:rFonts w:cs="Arial"/>
          <w:szCs w:val="17"/>
        </w:rPr>
      </w:pPr>
      <w:r>
        <w:rPr>
          <w:rFonts w:cs="Arial"/>
          <w:szCs w:val="17"/>
        </w:rPr>
        <w:t>EF</w:t>
      </w:r>
      <w:r>
        <w:rPr>
          <w:rFonts w:cs="Arial"/>
          <w:szCs w:val="10"/>
          <w:vertAlign w:val="subscript"/>
        </w:rPr>
        <w:t>Cli</w:t>
      </w:r>
      <w:r>
        <w:rPr>
          <w:rFonts w:cs="Arial"/>
          <w:szCs w:val="10"/>
        </w:rPr>
        <w:t xml:space="preserve"> </w:t>
      </w:r>
      <w:r>
        <w:rPr>
          <w:rFonts w:cs="Arial"/>
          <w:szCs w:val="17"/>
        </w:rPr>
        <w:t>=</w:t>
      </w:r>
      <w:r>
        <w:rPr>
          <w:rFonts w:cs="Arial"/>
          <w:szCs w:val="17"/>
        </w:rPr>
        <w:tab/>
        <w:t>anlagenspezifischer Emissionsfaktor des Klinkers ([CO</w:t>
      </w:r>
      <w:r>
        <w:rPr>
          <w:rFonts w:cs="Arial"/>
          <w:szCs w:val="10"/>
          <w:vertAlign w:val="subscript"/>
        </w:rPr>
        <w:t>2</w:t>
      </w:r>
      <w:r>
        <w:rPr>
          <w:rFonts w:cs="Arial"/>
          <w:szCs w:val="17"/>
        </w:rPr>
        <w:t>/t Klinker]</w:t>
      </w:r>
    </w:p>
    <w:p>
      <w:pPr>
        <w:pStyle w:val="GesAbsatz"/>
        <w:ind w:left="851" w:hanging="851"/>
        <w:jc w:val="both"/>
        <w:rPr>
          <w:rFonts w:cs="Arial"/>
          <w:szCs w:val="17"/>
        </w:rPr>
      </w:pPr>
      <w:r>
        <w:rPr>
          <w:rFonts w:cs="Arial"/>
          <w:szCs w:val="17"/>
        </w:rPr>
        <w:t>d =</w:t>
      </w:r>
      <w:r>
        <w:rPr>
          <w:rFonts w:cs="Arial"/>
          <w:szCs w:val="17"/>
        </w:rPr>
        <w:tab/>
      </w:r>
      <w:r>
        <w:rPr>
          <w:rFonts w:cs="Arial"/>
          <w:szCs w:val="17"/>
        </w:rPr>
        <w:tab/>
        <w:t>Grad der CKD-Kalzinierung (freigesetztes CO</w:t>
      </w:r>
      <w:r>
        <w:rPr>
          <w:rFonts w:cs="Arial"/>
          <w:szCs w:val="10"/>
          <w:vertAlign w:val="subscript"/>
        </w:rPr>
        <w:t>2</w:t>
      </w:r>
      <w:r>
        <w:rPr>
          <w:rFonts w:cs="Arial"/>
          <w:szCs w:val="10"/>
        </w:rPr>
        <w:t xml:space="preserve"> </w:t>
      </w:r>
      <w:r>
        <w:rPr>
          <w:rFonts w:cs="Arial"/>
          <w:szCs w:val="17"/>
        </w:rPr>
        <w:t>als prozentualer Anteil des Gesamtkarbonat-CO</w:t>
      </w:r>
      <w:r>
        <w:rPr>
          <w:rFonts w:cs="Arial"/>
          <w:szCs w:val="10"/>
          <w:vertAlign w:val="subscript"/>
        </w:rPr>
        <w:t>2</w:t>
      </w:r>
      <w:r>
        <w:rPr>
          <w:rFonts w:cs="Arial"/>
          <w:szCs w:val="10"/>
        </w:rPr>
        <w:t xml:space="preserve"> </w:t>
      </w:r>
      <w:r>
        <w:rPr>
          <w:rFonts w:cs="Arial"/>
          <w:szCs w:val="17"/>
        </w:rPr>
        <w:t>in der Rohmischung)</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rPr>
          <w:bCs/>
        </w:rPr>
      </w:pPr>
      <w:r>
        <w:rPr>
          <w:i/>
        </w:rPr>
        <w:br w:type="page"/>
      </w:r>
      <w:bookmarkStart w:id="11" w:name="_Toc67281926"/>
      <w:r>
        <w:lastRenderedPageBreak/>
        <w:t>ANHANG VIII</w:t>
      </w:r>
      <w:r>
        <w:br/>
      </w:r>
      <w:r>
        <w:rPr>
          <w:bCs/>
        </w:rPr>
        <w:t>Tätigkeitsspezifische Leitlinien für Anlagen zur Herstellung von Kalk gemäß Anhang I der Richtl</w:t>
      </w:r>
      <w:r>
        <w:rPr>
          <w:bCs/>
        </w:rPr>
        <w:t>i</w:t>
      </w:r>
      <w:r>
        <w:rPr>
          <w:bCs/>
        </w:rPr>
        <w:t>nie</w:t>
      </w:r>
      <w:bookmarkEnd w:id="11"/>
    </w:p>
    <w:p>
      <w:pPr>
        <w:pStyle w:val="GesAbsatz"/>
        <w:jc w:val="both"/>
        <w:rPr>
          <w:rFonts w:cs="Arial"/>
          <w:b/>
          <w:szCs w:val="17"/>
        </w:rPr>
      </w:pPr>
      <w:r>
        <w:rPr>
          <w:rFonts w:cs="Arial"/>
          <w:b/>
          <w:szCs w:val="17"/>
        </w:rPr>
        <w:t>1. EINSCHRÄNKUNGEN UND VOLLSTÄNDIGKEIT</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Anhang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In Anlagen zur Herstellung von Kalk werden aus den folgenden Quellen CO</w:t>
      </w:r>
      <w:r>
        <w:rPr>
          <w:rFonts w:cs="Arial"/>
          <w:szCs w:val="10"/>
          <w:vertAlign w:val="subscript"/>
        </w:rPr>
        <w:t>2</w:t>
      </w:r>
      <w:r>
        <w:rPr>
          <w:rFonts w:cs="Arial"/>
          <w:szCs w:val="17"/>
        </w:rPr>
        <w:t>-Emissionen freigesetzt:</w:t>
      </w:r>
    </w:p>
    <w:p>
      <w:pPr>
        <w:pStyle w:val="GesAbsatz"/>
        <w:jc w:val="both"/>
        <w:rPr>
          <w:rFonts w:cs="Arial"/>
          <w:szCs w:val="17"/>
        </w:rPr>
      </w:pPr>
      <w:r>
        <w:rPr>
          <w:rFonts w:cs="Arial"/>
          <w:szCs w:val="17"/>
        </w:rPr>
        <w:t>-</w:t>
      </w:r>
      <w:r>
        <w:rPr>
          <w:rFonts w:cs="Arial"/>
          <w:szCs w:val="17"/>
        </w:rPr>
        <w:tab/>
        <w:t>Kalzinierung von Kalkstein und Dolomit in den Rohstoffen,</w:t>
      </w:r>
    </w:p>
    <w:p>
      <w:pPr>
        <w:pStyle w:val="GesAbsatz"/>
        <w:jc w:val="both"/>
        <w:rPr>
          <w:rFonts w:cs="Arial"/>
          <w:szCs w:val="17"/>
        </w:rPr>
      </w:pPr>
      <w:r>
        <w:rPr>
          <w:rFonts w:cs="Arial"/>
          <w:szCs w:val="17"/>
        </w:rPr>
        <w:t>-</w:t>
      </w:r>
      <w:r>
        <w:rPr>
          <w:rFonts w:cs="Arial"/>
          <w:szCs w:val="17"/>
        </w:rPr>
        <w:tab/>
        <w:t>konventionelle fossile Ofenbrennstoffe,</w:t>
      </w:r>
    </w:p>
    <w:p>
      <w:pPr>
        <w:pStyle w:val="GesAbsatz"/>
        <w:jc w:val="both"/>
        <w:rPr>
          <w:rFonts w:cs="Arial"/>
          <w:szCs w:val="17"/>
        </w:rPr>
      </w:pPr>
      <w:r>
        <w:rPr>
          <w:rFonts w:cs="Arial"/>
          <w:szCs w:val="17"/>
        </w:rPr>
        <w:t>-</w:t>
      </w:r>
      <w:r>
        <w:rPr>
          <w:rFonts w:cs="Arial"/>
          <w:szCs w:val="17"/>
        </w:rPr>
        <w:tab/>
        <w:t>alternative fossile Ofenbrennstoffe und Rohstoffe,</w:t>
      </w:r>
    </w:p>
    <w:p>
      <w:pPr>
        <w:pStyle w:val="GesAbsatz"/>
        <w:jc w:val="both"/>
        <w:rPr>
          <w:rFonts w:cs="Arial"/>
          <w:szCs w:val="17"/>
        </w:rPr>
      </w:pPr>
      <w:r>
        <w:rPr>
          <w:rFonts w:cs="Arial"/>
          <w:szCs w:val="17"/>
        </w:rPr>
        <w:t>-</w:t>
      </w:r>
      <w:r>
        <w:rPr>
          <w:rFonts w:cs="Arial"/>
          <w:szCs w:val="17"/>
        </w:rPr>
        <w:tab/>
        <w:t>Biomasse-Ofenbrennstoffe (Biomasse-Abfälle),</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i/>
          <w:iCs/>
          <w:szCs w:val="17"/>
        </w:rPr>
      </w:pPr>
      <w:r>
        <w:rPr>
          <w:rFonts w:cs="Arial"/>
          <w:szCs w:val="17"/>
        </w:rPr>
        <w:t xml:space="preserve">2.1.1. </w:t>
      </w:r>
      <w:r>
        <w:rPr>
          <w:rFonts w:cs="Arial"/>
          <w:i/>
          <w:iCs/>
          <w:szCs w:val="17"/>
        </w:rPr>
        <w:t>Emissionen aus der Verbrennung</w:t>
      </w:r>
    </w:p>
    <w:p>
      <w:pPr>
        <w:pStyle w:val="GesAbsatz"/>
        <w:jc w:val="both"/>
        <w:rPr>
          <w:rFonts w:cs="Arial"/>
          <w:szCs w:val="17"/>
        </w:rPr>
      </w:pPr>
      <w:r>
        <w:rPr>
          <w:rFonts w:cs="Arial"/>
          <w:szCs w:val="17"/>
        </w:rPr>
        <w:t>Verbrennungsprozesse in Anlagen zur Herstellung von Kalk, bei denen verschiedene Brennstoffe zum Einsatz kommen (z. B. Kohle, Petrolkoks, Heizöl, Erdgas und die breite Palette an Abfallbrennstoffen), sind in Einklang mit den Vorgaben von Anhang II zu überwachen und zu melden. Emissionen aus der Ve</w:t>
      </w:r>
      <w:r>
        <w:rPr>
          <w:rFonts w:cs="Arial"/>
          <w:szCs w:val="17"/>
        </w:rPr>
        <w:t>r</w:t>
      </w:r>
      <w:r>
        <w:rPr>
          <w:rFonts w:cs="Arial"/>
          <w:szCs w:val="17"/>
        </w:rPr>
        <w:t>brennung des organischen Anteils (alternativer) Rohstoffe sind ebenfalls gemäß Anhang II zu berec</w:t>
      </w:r>
      <w:r>
        <w:rPr>
          <w:rFonts w:cs="Arial"/>
          <w:szCs w:val="17"/>
        </w:rPr>
        <w:t>h</w:t>
      </w:r>
      <w:r>
        <w:rPr>
          <w:rFonts w:cs="Arial"/>
          <w:szCs w:val="17"/>
        </w:rPr>
        <w:t>nen.</w:t>
      </w:r>
    </w:p>
    <w:p>
      <w:pPr>
        <w:pStyle w:val="GesAbsatz"/>
        <w:jc w:val="both"/>
        <w:rPr>
          <w:rFonts w:cs="Arial"/>
          <w:i/>
          <w:iCs/>
          <w:szCs w:val="17"/>
        </w:rPr>
      </w:pPr>
      <w:r>
        <w:rPr>
          <w:rFonts w:cs="Arial"/>
          <w:szCs w:val="17"/>
        </w:rPr>
        <w:t xml:space="preserve">2.1.2. </w:t>
      </w:r>
      <w:r>
        <w:rPr>
          <w:rFonts w:cs="Arial"/>
          <w:i/>
          <w:iCs/>
          <w:szCs w:val="17"/>
        </w:rPr>
        <w:t>Emissionen aus Industrieprozessen</w:t>
      </w:r>
    </w:p>
    <w:p>
      <w:pPr>
        <w:pStyle w:val="GesAbsatz"/>
        <w:jc w:val="both"/>
        <w:rPr>
          <w:rFonts w:cs="Arial"/>
          <w:szCs w:val="17"/>
        </w:rPr>
      </w:pPr>
      <w:r>
        <w:rPr>
          <w:rFonts w:cs="Arial"/>
          <w:szCs w:val="17"/>
        </w:rPr>
        <w:t>Während der Kalzinierung im Ofen wird das in den Karbonaten enthaltene CO</w:t>
      </w:r>
      <w:r>
        <w:rPr>
          <w:rFonts w:cs="Arial"/>
          <w:szCs w:val="10"/>
          <w:vertAlign w:val="subscript"/>
        </w:rPr>
        <w:t>2</w:t>
      </w:r>
      <w:r>
        <w:rPr>
          <w:rFonts w:cs="Arial"/>
          <w:szCs w:val="10"/>
        </w:rPr>
        <w:t xml:space="preserve"> </w:t>
      </w:r>
      <w:r>
        <w:rPr>
          <w:rFonts w:cs="Arial"/>
          <w:szCs w:val="17"/>
        </w:rPr>
        <w:t>aus den Rohstoffen freig</w:t>
      </w:r>
      <w:r>
        <w:rPr>
          <w:rFonts w:cs="Arial"/>
          <w:szCs w:val="17"/>
        </w:rPr>
        <w:t>e</w:t>
      </w:r>
      <w:r>
        <w:rPr>
          <w:rFonts w:cs="Arial"/>
          <w:szCs w:val="17"/>
        </w:rPr>
        <w:t>setzt. Das Kalzinierungs-CO</w:t>
      </w:r>
      <w:r>
        <w:rPr>
          <w:rFonts w:cs="Arial"/>
          <w:szCs w:val="10"/>
          <w:vertAlign w:val="subscript"/>
        </w:rPr>
        <w:t>2</w:t>
      </w:r>
      <w:r>
        <w:rPr>
          <w:rFonts w:cs="Arial"/>
          <w:szCs w:val="10"/>
        </w:rPr>
        <w:t xml:space="preserve"> </w:t>
      </w:r>
      <w:r>
        <w:rPr>
          <w:rFonts w:cs="Arial"/>
          <w:szCs w:val="17"/>
        </w:rPr>
        <w:t>steht in einem technischen Zusammenhang mit der Klinkerherstellung. Auf Anlagenebene kann das Kalzinierungs-CO</w:t>
      </w:r>
      <w:r>
        <w:rPr>
          <w:rFonts w:cs="Arial"/>
          <w:szCs w:val="10"/>
          <w:vertAlign w:val="subscript"/>
        </w:rPr>
        <w:t>2</w:t>
      </w:r>
      <w:r>
        <w:rPr>
          <w:rFonts w:cs="Arial"/>
          <w:szCs w:val="10"/>
        </w:rPr>
        <w:t xml:space="preserve"> </w:t>
      </w:r>
      <w:r>
        <w:rPr>
          <w:rFonts w:cs="Arial"/>
          <w:szCs w:val="17"/>
        </w:rPr>
        <w:t>auf zwei Weisen berechnet werden: entweder auf der Grun</w:t>
      </w:r>
      <w:r>
        <w:rPr>
          <w:rFonts w:cs="Arial"/>
          <w:szCs w:val="17"/>
        </w:rPr>
        <w:t>d</w:t>
      </w:r>
      <w:r>
        <w:rPr>
          <w:rFonts w:cs="Arial"/>
          <w:szCs w:val="17"/>
        </w:rPr>
        <w:t>lage der Karbonate des im Prozess umgewandelten Rohstoffs (hauptsächlich Kalkstein, Dolomit) (Berec</w:t>
      </w:r>
      <w:r>
        <w:rPr>
          <w:rFonts w:cs="Arial"/>
          <w:szCs w:val="17"/>
        </w:rPr>
        <w:t>h</w:t>
      </w:r>
      <w:r>
        <w:rPr>
          <w:rFonts w:cs="Arial"/>
          <w:szCs w:val="17"/>
        </w:rPr>
        <w:t>nungsmethode A) oder basierend auf der Menge der Alkalimetalloxide in dem hergestellten Kalk (Berec</w:t>
      </w:r>
      <w:r>
        <w:rPr>
          <w:rFonts w:cs="Arial"/>
          <w:szCs w:val="17"/>
        </w:rPr>
        <w:t>h</w:t>
      </w:r>
      <w:r>
        <w:rPr>
          <w:rFonts w:cs="Arial"/>
          <w:szCs w:val="17"/>
        </w:rPr>
        <w:t>nungsmethode B). Beide Ansätze werden als gleichwertig betrachtet.</w:t>
      </w:r>
    </w:p>
    <w:p>
      <w:pPr>
        <w:pStyle w:val="GesAbsatz"/>
        <w:jc w:val="both"/>
        <w:rPr>
          <w:rFonts w:cs="Arial"/>
          <w:szCs w:val="17"/>
        </w:rPr>
      </w:pPr>
      <w:r>
        <w:rPr>
          <w:rFonts w:cs="Arial"/>
          <w:szCs w:val="17"/>
        </w:rPr>
        <w:t>Berechnungsmethode A: Karbonate</w:t>
      </w:r>
    </w:p>
    <w:p>
      <w:pPr>
        <w:pStyle w:val="GesAbsatz"/>
        <w:jc w:val="both"/>
        <w:rPr>
          <w:rFonts w:cs="Arial"/>
          <w:szCs w:val="17"/>
        </w:rPr>
      </w:pPr>
      <w:r>
        <w:rPr>
          <w:rFonts w:cs="Arial"/>
          <w:szCs w:val="17"/>
        </w:rPr>
        <w:t>Die Berechnung basiert auf dem eingesetzten Karbonat. Für die Berechnung der Emission ist folgende Formel ist anzuwenden: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Karbonat-INPUT</w:t>
      </w:r>
      <w:r>
        <w:rPr>
          <w:rFonts w:cs="Arial"/>
          <w:szCs w:val="10"/>
        </w:rPr>
        <w:t xml:space="preserve"> </w:t>
      </w:r>
      <w:r>
        <w:rPr>
          <w:rFonts w:cs="Arial"/>
          <w:szCs w:val="17"/>
        </w:rPr>
        <w:t>– Tätigkeitsdaten</w:t>
      </w:r>
      <w:r>
        <w:rPr>
          <w:rFonts w:cs="Arial"/>
          <w:szCs w:val="10"/>
          <w:vertAlign w:val="subscript"/>
        </w:rPr>
        <w:t>Karbonat-OUTPUT</w:t>
      </w:r>
      <w:r>
        <w:rPr>
          <w:rFonts w:cs="Arial"/>
          <w:szCs w:val="17"/>
        </w:rPr>
        <w:t>) × Emiss</w:t>
      </w:r>
      <w:r>
        <w:rPr>
          <w:rFonts w:cs="Arial"/>
          <w:szCs w:val="17"/>
        </w:rPr>
        <w:t>i</w:t>
      </w:r>
      <w:r>
        <w:rPr>
          <w:rFonts w:cs="Arial"/>
          <w:szCs w:val="17"/>
        </w:rPr>
        <w:t>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Bei den Tätigkeitsdaten</w:t>
      </w:r>
      <w:r>
        <w:rPr>
          <w:rFonts w:cs="Arial"/>
          <w:szCs w:val="10"/>
          <w:vertAlign w:val="subscript"/>
        </w:rPr>
        <w:t>Karbonat-INPUT</w:t>
      </w:r>
      <w:r>
        <w:rPr>
          <w:rFonts w:cs="Arial"/>
          <w:szCs w:val="10"/>
        </w:rPr>
        <w:t xml:space="preserve"> </w:t>
      </w:r>
      <w:r>
        <w:rPr>
          <w:rFonts w:cs="Arial"/>
          <w:szCs w:val="17"/>
        </w:rPr>
        <w:t>und Tätigkeitsdaten</w:t>
      </w:r>
      <w:r>
        <w:rPr>
          <w:rFonts w:cs="Arial"/>
          <w:szCs w:val="10"/>
          <w:vertAlign w:val="subscript"/>
        </w:rPr>
        <w:t>Karbonat-OUPUT</w:t>
      </w:r>
      <w:r>
        <w:rPr>
          <w:rFonts w:cs="Arial"/>
          <w:szCs w:val="10"/>
        </w:rPr>
        <w:t xml:space="preserve"> </w:t>
      </w:r>
      <w:r>
        <w:rPr>
          <w:rFonts w:cs="Arial"/>
          <w:szCs w:val="17"/>
        </w:rPr>
        <w:t>handelt es sich um die Mengen [t] an CaCO</w:t>
      </w:r>
      <w:r>
        <w:rPr>
          <w:rFonts w:cs="Arial"/>
          <w:szCs w:val="10"/>
          <w:vertAlign w:val="subscript"/>
        </w:rPr>
        <w:t>3</w:t>
      </w:r>
      <w:r>
        <w:rPr>
          <w:rFonts w:cs="Arial"/>
          <w:szCs w:val="17"/>
        </w:rPr>
        <w:t>, MgCO</w:t>
      </w:r>
      <w:r>
        <w:rPr>
          <w:rFonts w:cs="Arial"/>
          <w:szCs w:val="10"/>
          <w:vertAlign w:val="subscript"/>
        </w:rPr>
        <w:t>3</w:t>
      </w:r>
      <w:r>
        <w:rPr>
          <w:rFonts w:cs="Arial"/>
          <w:szCs w:val="10"/>
        </w:rPr>
        <w:t xml:space="preserve"> </w:t>
      </w:r>
      <w:r>
        <w:rPr>
          <w:rFonts w:cs="Arial"/>
          <w:szCs w:val="17"/>
        </w:rPr>
        <w:t>oder anderen Erdalkali- oder Alkalikarbonaten, die während des Berichtszeitraums eing</w:t>
      </w:r>
      <w:r>
        <w:rPr>
          <w:rFonts w:cs="Arial"/>
          <w:szCs w:val="17"/>
        </w:rPr>
        <w:t>e</w:t>
      </w:r>
      <w:r>
        <w:rPr>
          <w:rFonts w:cs="Arial"/>
          <w:szCs w:val="17"/>
        </w:rPr>
        <w:t>setzt werden.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Menge reiner Karbonate (z. B. Kalkstein) [t] in dem Prozessinput und -output während des Bericht</w:t>
      </w:r>
      <w:r>
        <w:rPr>
          <w:rFonts w:cs="Arial"/>
          <w:szCs w:val="17"/>
        </w:rPr>
        <w:t>s</w:t>
      </w:r>
      <w:r>
        <w:rPr>
          <w:rFonts w:cs="Arial"/>
          <w:szCs w:val="17"/>
        </w:rPr>
        <w:t>zeitraums, ermittelt durch Wiegen des Rohstoffs mit einem maximal zulässigen Unsicherheitsfaktor von weniger als ± 5,0 % je Messvorgang. Die Zusammensetzung des betreffenden Rohstoffs und des Endpr</w:t>
      </w:r>
      <w:r>
        <w:rPr>
          <w:rFonts w:cs="Arial"/>
          <w:szCs w:val="17"/>
        </w:rPr>
        <w:t>o</w:t>
      </w:r>
      <w:r>
        <w:rPr>
          <w:rFonts w:cs="Arial"/>
          <w:szCs w:val="17"/>
        </w:rPr>
        <w:t>dukts richtet sich nach den Leitlinien der Industrie hinsichtlich der bewährtesten Praxis.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lastRenderedPageBreak/>
        <w:t>Die Menge reiner Karbonate (z. B. Kalkstein) [t] in dem Prozessinput und -output während des Bericht</w:t>
      </w:r>
      <w:r>
        <w:rPr>
          <w:rFonts w:cs="Arial"/>
          <w:szCs w:val="17"/>
        </w:rPr>
        <w:t>s</w:t>
      </w:r>
      <w:r>
        <w:rPr>
          <w:rFonts w:cs="Arial"/>
          <w:szCs w:val="17"/>
        </w:rPr>
        <w:t>zeitraums, ermittelt durch Wiegen des Rohstoffs mit einem maximal zulässigen Unsicherheitsfaktor von weniger als ± 2,5 % je Messvorgang. Die Zusammensetzung des betreffenden Rohstoffs und des Endpr</w:t>
      </w:r>
      <w:r>
        <w:rPr>
          <w:rFonts w:cs="Arial"/>
          <w:szCs w:val="17"/>
        </w:rPr>
        <w:t>o</w:t>
      </w:r>
      <w:r>
        <w:rPr>
          <w:rFonts w:cs="Arial"/>
          <w:szCs w:val="17"/>
        </w:rPr>
        <w:t>dukts wird durch den Betreiber in Einklang mit Abschnitt 10 des Anhangs I ermittelt.</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Es sind die stöchiometrischen Verhältnisse der Karbonate im Prozessinput und -output, die in der unten stehenden Tabelle 1 aufgeführt sind, anzuwenden.</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60"/>
        <w:gridCol w:w="4654"/>
      </w:tblGrid>
      <w:tr>
        <w:tblPrEx>
          <w:tblCellMar>
            <w:top w:w="0" w:type="dxa"/>
            <w:bottom w:w="0" w:type="dxa"/>
          </w:tblCellMar>
        </w:tblPrEx>
        <w:tc>
          <w:tcPr>
            <w:tcW w:w="1630" w:type="dxa"/>
          </w:tcPr>
          <w:p>
            <w:pPr>
              <w:pStyle w:val="GesAbsatz"/>
              <w:jc w:val="center"/>
              <w:rPr>
                <w:rFonts w:cs="Arial"/>
                <w:szCs w:val="15"/>
              </w:rPr>
            </w:pPr>
            <w:r>
              <w:rPr>
                <w:rFonts w:cs="Arial"/>
                <w:szCs w:val="15"/>
              </w:rPr>
              <w:t>Oxid</w:t>
            </w:r>
          </w:p>
        </w:tc>
        <w:tc>
          <w:tcPr>
            <w:tcW w:w="3260" w:type="dxa"/>
          </w:tcPr>
          <w:p>
            <w:pPr>
              <w:pStyle w:val="GesAbsatz"/>
              <w:jc w:val="center"/>
              <w:rPr>
                <w:rFonts w:cs="Arial"/>
                <w:szCs w:val="15"/>
              </w:rPr>
            </w:pPr>
            <w:r>
              <w:rPr>
                <w:rFonts w:cs="Arial"/>
                <w:szCs w:val="15"/>
              </w:rPr>
              <w:t>Emissionsfaktor [t CO</w:t>
            </w:r>
            <w:r>
              <w:rPr>
                <w:rFonts w:cs="Arial"/>
                <w:szCs w:val="8"/>
                <w:vertAlign w:val="subscript"/>
              </w:rPr>
              <w:t>2</w:t>
            </w:r>
            <w:r>
              <w:rPr>
                <w:rFonts w:cs="Arial"/>
                <w:szCs w:val="15"/>
              </w:rPr>
              <w:t>/t Ca-, Mg- oder anderes Karbonat]</w:t>
            </w:r>
          </w:p>
        </w:tc>
        <w:tc>
          <w:tcPr>
            <w:tcW w:w="4654" w:type="dxa"/>
          </w:tcPr>
          <w:p>
            <w:pPr>
              <w:pStyle w:val="GesAbsatz"/>
              <w:jc w:val="center"/>
              <w:rPr>
                <w:rFonts w:cs="Arial"/>
                <w:szCs w:val="15"/>
              </w:rPr>
            </w:pPr>
            <w:r>
              <w:rPr>
                <w:rFonts w:cs="Arial"/>
                <w:szCs w:val="15"/>
              </w:rPr>
              <w:t>Bemerkungen</w:t>
            </w:r>
          </w:p>
        </w:tc>
      </w:tr>
      <w:tr>
        <w:tblPrEx>
          <w:tblCellMar>
            <w:top w:w="0" w:type="dxa"/>
            <w:bottom w:w="0" w:type="dxa"/>
          </w:tblCellMar>
        </w:tblPrEx>
        <w:tc>
          <w:tcPr>
            <w:tcW w:w="1630" w:type="dxa"/>
          </w:tcPr>
          <w:p>
            <w:pPr>
              <w:pStyle w:val="GesAbsatz"/>
              <w:jc w:val="both"/>
              <w:rPr>
                <w:rFonts w:cs="Arial"/>
                <w:szCs w:val="15"/>
              </w:rPr>
            </w:pPr>
            <w:r>
              <w:rPr>
                <w:rFonts w:cs="Arial"/>
                <w:szCs w:val="17"/>
              </w:rPr>
              <w:t>CaCO</w:t>
            </w:r>
            <w:r>
              <w:rPr>
                <w:rFonts w:cs="Arial"/>
                <w:szCs w:val="10"/>
                <w:vertAlign w:val="subscript"/>
              </w:rPr>
              <w:t>3</w:t>
            </w:r>
          </w:p>
        </w:tc>
        <w:tc>
          <w:tcPr>
            <w:tcW w:w="3260" w:type="dxa"/>
          </w:tcPr>
          <w:p>
            <w:pPr>
              <w:pStyle w:val="GesAbsatz"/>
              <w:jc w:val="both"/>
              <w:rPr>
                <w:rFonts w:cs="Arial"/>
                <w:szCs w:val="15"/>
              </w:rPr>
            </w:pPr>
            <w:r>
              <w:rPr>
                <w:rFonts w:cs="Arial"/>
                <w:szCs w:val="17"/>
              </w:rPr>
              <w:t>0,440</w:t>
            </w:r>
          </w:p>
        </w:tc>
        <w:tc>
          <w:tcPr>
            <w:tcW w:w="4654" w:type="dxa"/>
          </w:tcPr>
          <w:p>
            <w:pPr>
              <w:pStyle w:val="GesAbsatz"/>
              <w:rPr>
                <w:rFonts w:cs="Arial"/>
                <w:szCs w:val="15"/>
              </w:rPr>
            </w:pPr>
          </w:p>
        </w:tc>
      </w:tr>
      <w:tr>
        <w:tblPrEx>
          <w:tblCellMar>
            <w:top w:w="0" w:type="dxa"/>
            <w:bottom w:w="0" w:type="dxa"/>
          </w:tblCellMar>
        </w:tblPrEx>
        <w:tc>
          <w:tcPr>
            <w:tcW w:w="1630" w:type="dxa"/>
          </w:tcPr>
          <w:p>
            <w:pPr>
              <w:pStyle w:val="GesAbsatz"/>
              <w:jc w:val="both"/>
              <w:rPr>
                <w:rFonts w:cs="Arial"/>
                <w:szCs w:val="17"/>
              </w:rPr>
            </w:pPr>
            <w:r>
              <w:rPr>
                <w:rFonts w:cs="Arial"/>
                <w:szCs w:val="17"/>
              </w:rPr>
              <w:t>MgCO</w:t>
            </w:r>
            <w:r>
              <w:rPr>
                <w:rFonts w:cs="Arial"/>
                <w:szCs w:val="10"/>
                <w:vertAlign w:val="subscript"/>
              </w:rPr>
              <w:t>3</w:t>
            </w:r>
          </w:p>
        </w:tc>
        <w:tc>
          <w:tcPr>
            <w:tcW w:w="3260" w:type="dxa"/>
          </w:tcPr>
          <w:p>
            <w:pPr>
              <w:pStyle w:val="GesAbsatz"/>
              <w:jc w:val="both"/>
              <w:rPr>
                <w:rFonts w:cs="Arial"/>
                <w:szCs w:val="17"/>
              </w:rPr>
            </w:pPr>
            <w:r>
              <w:rPr>
                <w:rFonts w:cs="Arial"/>
                <w:szCs w:val="17"/>
              </w:rPr>
              <w:t>0,522</w:t>
            </w:r>
          </w:p>
        </w:tc>
        <w:tc>
          <w:tcPr>
            <w:tcW w:w="4654" w:type="dxa"/>
          </w:tcPr>
          <w:p>
            <w:pPr>
              <w:pStyle w:val="GesAbsatz"/>
              <w:rPr>
                <w:rFonts w:cs="Arial"/>
                <w:szCs w:val="15"/>
              </w:rPr>
            </w:pPr>
          </w:p>
        </w:tc>
      </w:tr>
      <w:tr>
        <w:tblPrEx>
          <w:tblCellMar>
            <w:top w:w="0" w:type="dxa"/>
            <w:bottom w:w="0" w:type="dxa"/>
          </w:tblCellMar>
        </w:tblPrEx>
        <w:tc>
          <w:tcPr>
            <w:tcW w:w="1630" w:type="dxa"/>
          </w:tcPr>
          <w:p>
            <w:pPr>
              <w:pStyle w:val="GesAbsatz"/>
              <w:jc w:val="both"/>
              <w:rPr>
                <w:rFonts w:cs="Arial"/>
                <w:szCs w:val="17"/>
              </w:rPr>
            </w:pPr>
            <w:r>
              <w:rPr>
                <w:rFonts w:cs="Arial"/>
                <w:szCs w:val="17"/>
              </w:rPr>
              <w:t>Allgemein:</w:t>
            </w:r>
            <w:r>
              <w:rPr>
                <w:rFonts w:cs="Arial"/>
                <w:szCs w:val="17"/>
              </w:rPr>
              <w:br/>
              <w:t>X</w:t>
            </w:r>
            <w:r>
              <w:rPr>
                <w:rFonts w:cs="Arial"/>
                <w:szCs w:val="10"/>
                <w:vertAlign w:val="subscript"/>
              </w:rPr>
              <w:t>y</w:t>
            </w:r>
            <w:r>
              <w:rPr>
                <w:rFonts w:cs="Arial"/>
                <w:szCs w:val="17"/>
              </w:rPr>
              <w:t>(CO</w:t>
            </w:r>
            <w:r>
              <w:rPr>
                <w:rFonts w:cs="Arial"/>
                <w:szCs w:val="10"/>
                <w:vertAlign w:val="subscript"/>
              </w:rPr>
              <w:t>3</w:t>
            </w:r>
            <w:r>
              <w:rPr>
                <w:rFonts w:cs="Arial"/>
                <w:szCs w:val="17"/>
              </w:rPr>
              <w:t>)</w:t>
            </w:r>
            <w:r>
              <w:rPr>
                <w:rFonts w:cs="Arial"/>
                <w:szCs w:val="10"/>
                <w:vertAlign w:val="subscript"/>
              </w:rPr>
              <w:t>z</w:t>
            </w:r>
          </w:p>
        </w:tc>
        <w:tc>
          <w:tcPr>
            <w:tcW w:w="3260" w:type="dxa"/>
          </w:tcPr>
          <w:p>
            <w:pPr>
              <w:pStyle w:val="GesAbsatz"/>
              <w:rPr>
                <w:rFonts w:cs="Arial"/>
                <w:szCs w:val="17"/>
              </w:rPr>
            </w:pPr>
            <w:r>
              <w:rPr>
                <w:rFonts w:cs="Arial"/>
                <w:szCs w:val="17"/>
              </w:rPr>
              <w:t>Emissionsfaktor =</w:t>
            </w:r>
            <w:r>
              <w:rPr>
                <w:rFonts w:cs="Arial"/>
                <w:szCs w:val="17"/>
              </w:rPr>
              <w:br/>
              <w:t>[M</w:t>
            </w:r>
            <w:r>
              <w:rPr>
                <w:rFonts w:cs="Arial"/>
                <w:szCs w:val="10"/>
                <w:vertAlign w:val="subscript"/>
              </w:rPr>
              <w:t>CO2</w:t>
            </w:r>
            <w:r>
              <w:rPr>
                <w:rFonts w:cs="Arial"/>
                <w:szCs w:val="17"/>
              </w:rPr>
              <w:t>] / {Y × [M</w:t>
            </w:r>
            <w:r>
              <w:rPr>
                <w:rFonts w:cs="Arial"/>
                <w:szCs w:val="10"/>
                <w:vertAlign w:val="subscript"/>
              </w:rPr>
              <w:t>x</w:t>
            </w:r>
            <w:r>
              <w:rPr>
                <w:rFonts w:cs="Arial"/>
                <w:szCs w:val="17"/>
              </w:rPr>
              <w:t>] + Z × [M</w:t>
            </w:r>
            <w:r>
              <w:rPr>
                <w:rFonts w:cs="Arial"/>
                <w:szCs w:val="10"/>
              </w:rPr>
              <w:t>CO</w:t>
            </w:r>
            <w:r>
              <w:rPr>
                <w:rFonts w:cs="Arial"/>
                <w:szCs w:val="10"/>
                <w:vertAlign w:val="subscript"/>
              </w:rPr>
              <w:t>3</w:t>
            </w:r>
            <w:r>
              <w:rPr>
                <w:rFonts w:cs="Arial"/>
                <w:szCs w:val="5"/>
                <w:vertAlign w:val="superscript"/>
              </w:rPr>
              <w:t>2-</w:t>
            </w:r>
            <w:r>
              <w:rPr>
                <w:rFonts w:cs="Arial"/>
                <w:szCs w:val="17"/>
              </w:rPr>
              <w:t>]}</w:t>
            </w:r>
          </w:p>
        </w:tc>
        <w:tc>
          <w:tcPr>
            <w:tcW w:w="4654" w:type="dxa"/>
          </w:tcPr>
          <w:p>
            <w:pPr>
              <w:pStyle w:val="GesAbsatz"/>
              <w:tabs>
                <w:tab w:val="clear" w:pos="425"/>
              </w:tabs>
              <w:ind w:left="922" w:hanging="922"/>
              <w:rPr>
                <w:rFonts w:cs="Arial"/>
                <w:szCs w:val="17"/>
              </w:rPr>
            </w:pPr>
            <w:r>
              <w:rPr>
                <w:rFonts w:cs="Arial"/>
                <w:szCs w:val="17"/>
              </w:rPr>
              <w:t>X =</w:t>
            </w:r>
            <w:r>
              <w:rPr>
                <w:rFonts w:cs="Arial"/>
                <w:szCs w:val="17"/>
              </w:rPr>
              <w:tab/>
              <w:t>Erdalkali- oder Alkalimetall</w:t>
            </w:r>
          </w:p>
          <w:p>
            <w:pPr>
              <w:pStyle w:val="GesAbsatz"/>
              <w:tabs>
                <w:tab w:val="clear" w:pos="425"/>
              </w:tabs>
              <w:ind w:left="922" w:hanging="922"/>
              <w:rPr>
                <w:rFonts w:cs="Arial"/>
                <w:szCs w:val="17"/>
              </w:rPr>
            </w:pPr>
            <w:r>
              <w:rPr>
                <w:rFonts w:cs="Arial"/>
                <w:szCs w:val="17"/>
              </w:rPr>
              <w:t>M</w:t>
            </w:r>
            <w:r>
              <w:rPr>
                <w:rFonts w:cs="Arial"/>
                <w:szCs w:val="10"/>
                <w:vertAlign w:val="subscript"/>
              </w:rPr>
              <w:t>x</w:t>
            </w:r>
            <w:r>
              <w:rPr>
                <w:rFonts w:cs="Arial"/>
                <w:szCs w:val="10"/>
              </w:rPr>
              <w:t xml:space="preserve"> </w:t>
            </w:r>
            <w:r>
              <w:rPr>
                <w:rFonts w:cs="Arial"/>
                <w:szCs w:val="17"/>
              </w:rPr>
              <w:t>=</w:t>
            </w:r>
            <w:r>
              <w:rPr>
                <w:rFonts w:cs="Arial"/>
                <w:szCs w:val="17"/>
              </w:rPr>
              <w:tab/>
              <w:t>Molekulargewicht von X in [g/mol]</w:t>
            </w:r>
          </w:p>
          <w:p>
            <w:pPr>
              <w:pStyle w:val="GesAbsatz"/>
              <w:tabs>
                <w:tab w:val="clear" w:pos="425"/>
              </w:tabs>
              <w:ind w:left="922" w:hanging="922"/>
              <w:rPr>
                <w:rFonts w:cs="Arial"/>
                <w:szCs w:val="17"/>
              </w:rPr>
            </w:pPr>
            <w:r>
              <w:rPr>
                <w:rFonts w:cs="Arial"/>
                <w:szCs w:val="17"/>
              </w:rPr>
              <w:t>M</w:t>
            </w:r>
            <w:r>
              <w:rPr>
                <w:rFonts w:cs="Arial"/>
                <w:szCs w:val="10"/>
                <w:vertAlign w:val="subscript"/>
              </w:rPr>
              <w:t>CO2</w:t>
            </w:r>
            <w:r>
              <w:rPr>
                <w:rFonts w:cs="Arial"/>
                <w:szCs w:val="10"/>
              </w:rPr>
              <w:t xml:space="preserve"> </w:t>
            </w:r>
            <w:r>
              <w:rPr>
                <w:rFonts w:cs="Arial"/>
                <w:szCs w:val="17"/>
              </w:rPr>
              <w:t>=</w:t>
            </w:r>
            <w:r>
              <w:rPr>
                <w:rFonts w:cs="Arial"/>
                <w:szCs w:val="17"/>
              </w:rPr>
              <w:tab/>
              <w:t>Molekulargewicht von CO</w:t>
            </w:r>
            <w:r>
              <w:rPr>
                <w:rFonts w:cs="Arial"/>
                <w:szCs w:val="10"/>
                <w:vertAlign w:val="subscript"/>
              </w:rPr>
              <w:t>2</w:t>
            </w:r>
            <w:r>
              <w:rPr>
                <w:rFonts w:cs="Arial"/>
                <w:szCs w:val="10"/>
              </w:rPr>
              <w:t xml:space="preserve"> </w:t>
            </w:r>
            <w:r>
              <w:rPr>
                <w:rFonts w:cs="Arial"/>
                <w:szCs w:val="17"/>
              </w:rPr>
              <w:t>= 44 [g/mol]</w:t>
            </w:r>
          </w:p>
          <w:p>
            <w:pPr>
              <w:pStyle w:val="GesAbsatz"/>
              <w:tabs>
                <w:tab w:val="clear" w:pos="425"/>
              </w:tabs>
              <w:ind w:left="922" w:hanging="922"/>
              <w:rPr>
                <w:rFonts w:cs="Arial"/>
                <w:szCs w:val="17"/>
              </w:rPr>
            </w:pPr>
            <w:r>
              <w:rPr>
                <w:rFonts w:cs="Arial"/>
                <w:szCs w:val="17"/>
              </w:rPr>
              <w:t>M</w:t>
            </w:r>
            <w:r>
              <w:rPr>
                <w:rFonts w:cs="Arial"/>
                <w:szCs w:val="10"/>
                <w:vertAlign w:val="subscript"/>
              </w:rPr>
              <w:t>CO3-</w:t>
            </w:r>
            <w:r>
              <w:rPr>
                <w:rFonts w:cs="Arial"/>
                <w:szCs w:val="10"/>
              </w:rPr>
              <w:t xml:space="preserve"> </w:t>
            </w:r>
            <w:r>
              <w:rPr>
                <w:rFonts w:cs="Arial"/>
                <w:szCs w:val="17"/>
              </w:rPr>
              <w:t>= Molekulargewicht von CO</w:t>
            </w:r>
            <w:r>
              <w:rPr>
                <w:rFonts w:cs="Arial"/>
                <w:szCs w:val="10"/>
                <w:vertAlign w:val="subscript"/>
              </w:rPr>
              <w:t>3</w:t>
            </w:r>
            <w:r>
              <w:rPr>
                <w:rFonts w:cs="Arial"/>
                <w:szCs w:val="10"/>
                <w:vertAlign w:val="superscript"/>
              </w:rPr>
              <w:t>2-</w:t>
            </w:r>
            <w:r>
              <w:rPr>
                <w:rFonts w:cs="Arial"/>
                <w:szCs w:val="10"/>
              </w:rPr>
              <w:t xml:space="preserve"> </w:t>
            </w:r>
            <w:r>
              <w:rPr>
                <w:rFonts w:cs="Arial"/>
                <w:szCs w:val="17"/>
              </w:rPr>
              <w:t>= 60 [g/mol]</w:t>
            </w:r>
          </w:p>
          <w:p>
            <w:pPr>
              <w:pStyle w:val="GesAbsatz"/>
              <w:tabs>
                <w:tab w:val="clear" w:pos="425"/>
              </w:tabs>
              <w:ind w:left="922" w:hanging="922"/>
              <w:rPr>
                <w:rFonts w:cs="Arial"/>
                <w:szCs w:val="17"/>
              </w:rPr>
            </w:pPr>
            <w:r>
              <w:rPr>
                <w:rFonts w:cs="Arial"/>
                <w:szCs w:val="17"/>
              </w:rPr>
              <w:t>Y =</w:t>
            </w:r>
            <w:r>
              <w:rPr>
                <w:rFonts w:cs="Arial"/>
                <w:szCs w:val="17"/>
              </w:rPr>
              <w:tab/>
              <w:t>stöchiometrische Zahl von X</w:t>
            </w:r>
          </w:p>
          <w:p>
            <w:pPr>
              <w:pStyle w:val="GesAbsatz"/>
              <w:tabs>
                <w:tab w:val="clear" w:pos="425"/>
              </w:tabs>
              <w:ind w:left="922" w:hanging="922"/>
              <w:rPr>
                <w:rFonts w:cs="Arial"/>
                <w:szCs w:val="17"/>
              </w:rPr>
            </w:pPr>
            <w:r>
              <w:rPr>
                <w:rFonts w:cs="Arial"/>
                <w:szCs w:val="17"/>
              </w:rPr>
              <w:tab/>
              <w:t>= 1 (für Erdalkalimetalle)</w:t>
            </w:r>
          </w:p>
          <w:p>
            <w:pPr>
              <w:pStyle w:val="GesAbsatz"/>
              <w:tabs>
                <w:tab w:val="clear" w:pos="425"/>
              </w:tabs>
              <w:ind w:left="922" w:hanging="922"/>
              <w:rPr>
                <w:rFonts w:cs="Arial"/>
                <w:szCs w:val="17"/>
              </w:rPr>
            </w:pPr>
            <w:r>
              <w:rPr>
                <w:rFonts w:cs="Arial"/>
                <w:szCs w:val="17"/>
              </w:rPr>
              <w:tab/>
              <w:t>= 2 (für Alkalimetalle)</w:t>
            </w:r>
          </w:p>
          <w:p>
            <w:pPr>
              <w:pStyle w:val="GesAbsatz"/>
              <w:tabs>
                <w:tab w:val="clear" w:pos="425"/>
              </w:tabs>
              <w:ind w:left="639" w:hanging="639"/>
              <w:rPr>
                <w:rFonts w:cs="Arial"/>
                <w:szCs w:val="15"/>
              </w:rPr>
            </w:pPr>
            <w:r>
              <w:rPr>
                <w:rFonts w:cs="Arial"/>
                <w:szCs w:val="17"/>
              </w:rPr>
              <w:t>Z =</w:t>
            </w:r>
            <w:r>
              <w:rPr>
                <w:rFonts w:cs="Arial"/>
                <w:szCs w:val="17"/>
              </w:rPr>
              <w:tab/>
              <w:t>stöchiometrische Zahl von CO</w:t>
            </w:r>
            <w:r>
              <w:rPr>
                <w:rFonts w:cs="Arial"/>
                <w:szCs w:val="10"/>
                <w:vertAlign w:val="subscript"/>
              </w:rPr>
              <w:t>3</w:t>
            </w:r>
            <w:r>
              <w:rPr>
                <w:rFonts w:cs="Arial"/>
                <w:szCs w:val="10"/>
                <w:vertAlign w:val="superscript"/>
              </w:rPr>
              <w:t>2-</w:t>
            </w:r>
            <w:r>
              <w:rPr>
                <w:rFonts w:cs="Arial"/>
                <w:szCs w:val="10"/>
              </w:rPr>
              <w:t xml:space="preserve"> </w:t>
            </w:r>
            <w:r>
              <w:rPr>
                <w:rFonts w:cs="Arial"/>
                <w:szCs w:val="17"/>
              </w:rPr>
              <w:t>= 1</w:t>
            </w:r>
          </w:p>
        </w:tc>
      </w:tr>
    </w:tbl>
    <w:p>
      <w:pPr>
        <w:pStyle w:val="GesAbsatz"/>
        <w:jc w:val="both"/>
        <w:rPr>
          <w:rFonts w:cs="Arial"/>
          <w:szCs w:val="15"/>
        </w:rPr>
      </w:pP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Berechnungsmethode B: Erdalkalimetalloxide</w:t>
      </w:r>
    </w:p>
    <w:p>
      <w:pPr>
        <w:pStyle w:val="GesAbsatz"/>
        <w:jc w:val="both"/>
        <w:rPr>
          <w:rFonts w:cs="Arial"/>
          <w:szCs w:val="17"/>
        </w:rPr>
      </w:pPr>
      <w:r>
        <w:rPr>
          <w:rFonts w:cs="Arial"/>
          <w:szCs w:val="17"/>
        </w:rPr>
        <w:t>Das CO</w:t>
      </w:r>
      <w:r>
        <w:rPr>
          <w:rFonts w:cs="Arial"/>
          <w:szCs w:val="10"/>
          <w:vertAlign w:val="subscript"/>
        </w:rPr>
        <w:t>2</w:t>
      </w:r>
      <w:r>
        <w:rPr>
          <w:rFonts w:cs="Arial"/>
          <w:szCs w:val="10"/>
        </w:rPr>
        <w:t xml:space="preserve"> </w:t>
      </w:r>
      <w:r>
        <w:rPr>
          <w:rFonts w:cs="Arial"/>
          <w:szCs w:val="17"/>
        </w:rPr>
        <w:t>ist auf der Grundlage der in dem hergestellten Kalk enthaltenen Mengen CaO, MgO und and</w:t>
      </w:r>
      <w:r>
        <w:rPr>
          <w:rFonts w:cs="Arial"/>
          <w:szCs w:val="17"/>
        </w:rPr>
        <w:t>e</w:t>
      </w:r>
      <w:r>
        <w:rPr>
          <w:rFonts w:cs="Arial"/>
          <w:szCs w:val="17"/>
        </w:rPr>
        <w:t>rer Erdalkali-/Alkalimetalloxide zu berechnen. Dabei ist bereits kalziniertes Ca und Mg zu berücksicht</w:t>
      </w:r>
      <w:r>
        <w:rPr>
          <w:rFonts w:cs="Arial"/>
          <w:szCs w:val="17"/>
        </w:rPr>
        <w:t>i</w:t>
      </w:r>
      <w:r>
        <w:rPr>
          <w:rFonts w:cs="Arial"/>
          <w:szCs w:val="17"/>
        </w:rPr>
        <w:t>gen, das über Flugasche oder alternative Brenn- und Rohstoffe mit bedeutendem CaO- oder MgO-Anteil in den Ofen gelangt.</w:t>
      </w:r>
    </w:p>
    <w:p>
      <w:pPr>
        <w:pStyle w:val="GesAbsatz"/>
        <w:jc w:val="both"/>
        <w:rPr>
          <w:rFonts w:cs="Arial"/>
          <w:szCs w:val="17"/>
        </w:rPr>
      </w:pPr>
      <w:r>
        <w:rPr>
          <w:rFonts w:cs="Arial"/>
          <w:szCs w:val="17"/>
        </w:rPr>
        <w:t>Der Berechnung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 xml:space="preserve">Alkalimetalloxide OUTPUT </w:t>
      </w:r>
      <w:r>
        <w:rPr>
          <w:rFonts w:cs="Arial"/>
          <w:szCs w:val="17"/>
        </w:rPr>
        <w:t>– Tätigkeitsdaten</w:t>
      </w:r>
      <w:r>
        <w:rPr>
          <w:rFonts w:cs="Arial"/>
          <w:szCs w:val="10"/>
          <w:vertAlign w:val="subscript"/>
        </w:rPr>
        <w:t>Alkalimetalloxide INPUT</w:t>
      </w:r>
      <w:r>
        <w:rPr>
          <w:rFonts w:cs="Arial"/>
          <w:szCs w:val="17"/>
        </w:rPr>
        <w:t>) × Emi</w:t>
      </w:r>
      <w:r>
        <w:rPr>
          <w:rFonts w:cs="Arial"/>
          <w:szCs w:val="17"/>
        </w:rPr>
        <w:t>s</w:t>
      </w:r>
      <w:r>
        <w:rPr>
          <w:rFonts w:cs="Arial"/>
          <w:szCs w:val="17"/>
        </w:rPr>
        <w:t>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Begriff „Tätigkeitsdaten</w:t>
      </w:r>
      <w:r>
        <w:rPr>
          <w:rFonts w:cs="Arial"/>
          <w:szCs w:val="10"/>
          <w:vertAlign w:val="subscript"/>
        </w:rPr>
        <w:t>O OUTPUT</w:t>
      </w:r>
      <w:r>
        <w:rPr>
          <w:rFonts w:cs="Arial"/>
          <w:szCs w:val="10"/>
        </w:rPr>
        <w:t xml:space="preserve"> </w:t>
      </w:r>
      <w:r>
        <w:rPr>
          <w:rFonts w:cs="Arial"/>
          <w:szCs w:val="17"/>
        </w:rPr>
        <w:t>– Tätigkeitsdaten</w:t>
      </w:r>
      <w:r>
        <w:rPr>
          <w:rFonts w:cs="Arial"/>
          <w:szCs w:val="10"/>
          <w:vertAlign w:val="subscript"/>
        </w:rPr>
        <w:t>O INPUT</w:t>
      </w:r>
      <w:r>
        <w:rPr>
          <w:rFonts w:cs="Arial"/>
          <w:szCs w:val="10"/>
        </w:rPr>
        <w:t xml:space="preserve"> </w:t>
      </w:r>
      <w:r>
        <w:rPr>
          <w:rFonts w:cs="Arial"/>
          <w:szCs w:val="17"/>
        </w:rPr>
        <w:t>“ bezeichnet die Gesamtmenge [t] an CaO, MgO oder anderen Erdalkali- oder Alkalimetalloxiden, die während des Berichtszeitraums aus den betre</w:t>
      </w:r>
      <w:r>
        <w:rPr>
          <w:rFonts w:cs="Arial"/>
          <w:szCs w:val="17"/>
        </w:rPr>
        <w:t>f</w:t>
      </w:r>
      <w:r>
        <w:rPr>
          <w:rFonts w:cs="Arial"/>
          <w:szCs w:val="17"/>
        </w:rPr>
        <w:t>fenden Karbonaten umgewandelt wird.</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lastRenderedPageBreak/>
        <w:t>Die Masse an CaO, MgO oder anderer Erdalkali- oder Alkalimetalloxiden [t] in dem Endprodukt und dem Prozesseingangsstoff während des Berichtszeitraums, ermittelt vom Betreiber durch Wiegen mit einem maximal zulässigen Unsicherheitsfaktor von ± 5,0 % je Messvorgang. Die Zusammensetzung der betre</w:t>
      </w:r>
      <w:r>
        <w:rPr>
          <w:rFonts w:cs="Arial"/>
          <w:szCs w:val="17"/>
        </w:rPr>
        <w:t>f</w:t>
      </w:r>
      <w:r>
        <w:rPr>
          <w:rFonts w:cs="Arial"/>
          <w:szCs w:val="17"/>
        </w:rPr>
        <w:t>fenden Produkttypen und des Rohmaterials richtet sich nach den Leitlinien der Industrie hinsichtlich der bewährtesten Praxis.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Masse an CaO, MgO oder anderer Erdalkali- oder Alkalimetalloxiden [t] in dem Endprodukt und dem Prozesseingangsstoff während des Berichtszeitraums, ermittelt vom Betreiber durch Wiegen mit einem maximal zulässigen Unsicherheitsfaktor von ± 2,5 % je Messvorgang. Die Analyse der jeweiligen Zusa</w:t>
      </w:r>
      <w:r>
        <w:rPr>
          <w:rFonts w:cs="Arial"/>
          <w:szCs w:val="17"/>
        </w:rPr>
        <w:t>m</w:t>
      </w:r>
      <w:r>
        <w:rPr>
          <w:rFonts w:cs="Arial"/>
          <w:szCs w:val="17"/>
        </w:rPr>
        <w:t>mense</w:t>
      </w:r>
      <w:r>
        <w:rPr>
          <w:rFonts w:cs="Arial"/>
          <w:szCs w:val="17"/>
        </w:rPr>
        <w:t>t</w:t>
      </w:r>
      <w:r>
        <w:rPr>
          <w:rFonts w:cs="Arial"/>
          <w:szCs w:val="17"/>
        </w:rPr>
        <w:t>zung erfolgt in Einklang mit den Vorgaben von Abschnitt 10 des Anhangs I.</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Es sind die stöchiometrischen Verhältnisse der Oxide im Prozessinput und -output, die in der unten st</w:t>
      </w:r>
      <w:r>
        <w:rPr>
          <w:rFonts w:cs="Arial"/>
          <w:szCs w:val="17"/>
        </w:rPr>
        <w:t>e</w:t>
      </w:r>
      <w:r>
        <w:rPr>
          <w:rFonts w:cs="Arial"/>
          <w:szCs w:val="17"/>
        </w:rPr>
        <w:t>henden Tabelle 2 aufgeführt sind, anzuwenden.</w:t>
      </w:r>
    </w:p>
    <w:p>
      <w:pPr>
        <w:pStyle w:val="GesAbsatz"/>
        <w:jc w:val="both"/>
        <w:rPr>
          <w:rFonts w:cs="Arial"/>
          <w:b/>
          <w:szCs w:val="17"/>
        </w:rPr>
      </w:pPr>
      <w:r>
        <w:rPr>
          <w:rFonts w:cs="Arial"/>
          <w:b/>
          <w:szCs w:val="17"/>
        </w:rPr>
        <w:t>TABELLE 2</w:t>
      </w:r>
    </w:p>
    <w:p>
      <w:pPr>
        <w:pStyle w:val="GesAbsatz"/>
        <w:jc w:val="both"/>
        <w:rPr>
          <w:rFonts w:cs="Arial"/>
          <w:b/>
          <w:bCs/>
          <w:szCs w:val="17"/>
        </w:rPr>
      </w:pPr>
      <w:r>
        <w:rPr>
          <w:rFonts w:cs="Arial"/>
          <w:b/>
          <w:bCs/>
          <w:szCs w:val="17"/>
        </w:rPr>
        <w:t>Stöchiometrische Emissionsfaktoren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4654"/>
      </w:tblGrid>
      <w:tr>
        <w:tblPrEx>
          <w:tblCellMar>
            <w:top w:w="0" w:type="dxa"/>
            <w:bottom w:w="0" w:type="dxa"/>
          </w:tblCellMar>
        </w:tblPrEx>
        <w:tc>
          <w:tcPr>
            <w:tcW w:w="1488" w:type="dxa"/>
          </w:tcPr>
          <w:p>
            <w:pPr>
              <w:pStyle w:val="GesAbsatz"/>
              <w:jc w:val="center"/>
              <w:rPr>
                <w:rFonts w:cs="Arial"/>
                <w:szCs w:val="15"/>
              </w:rPr>
            </w:pPr>
            <w:r>
              <w:rPr>
                <w:rFonts w:cs="Arial"/>
                <w:szCs w:val="15"/>
              </w:rPr>
              <w:t>Oxid</w:t>
            </w:r>
          </w:p>
        </w:tc>
        <w:tc>
          <w:tcPr>
            <w:tcW w:w="3402" w:type="dxa"/>
          </w:tcPr>
          <w:p>
            <w:pPr>
              <w:pStyle w:val="GesAbsatz"/>
              <w:jc w:val="center"/>
              <w:rPr>
                <w:rFonts w:cs="Arial"/>
                <w:szCs w:val="15"/>
              </w:rPr>
            </w:pPr>
            <w:r>
              <w:rPr>
                <w:rFonts w:cs="Arial"/>
                <w:szCs w:val="15"/>
              </w:rPr>
              <w:t>Emissionsfaktor [t CO</w:t>
            </w:r>
            <w:r>
              <w:rPr>
                <w:rFonts w:cs="Arial"/>
                <w:szCs w:val="8"/>
                <w:vertAlign w:val="subscript"/>
              </w:rPr>
              <w:t>2</w:t>
            </w:r>
            <w:r>
              <w:rPr>
                <w:rFonts w:cs="Arial"/>
                <w:szCs w:val="15"/>
              </w:rPr>
              <w:t>] / [t Ca-, Mg- oder anderes Oxid]</w:t>
            </w:r>
          </w:p>
        </w:tc>
        <w:tc>
          <w:tcPr>
            <w:tcW w:w="4654" w:type="dxa"/>
          </w:tcPr>
          <w:p>
            <w:pPr>
              <w:pStyle w:val="GesAbsatz"/>
              <w:jc w:val="center"/>
              <w:rPr>
                <w:rFonts w:cs="Arial"/>
                <w:szCs w:val="15"/>
              </w:rPr>
            </w:pPr>
            <w:r>
              <w:rPr>
                <w:rFonts w:cs="Arial"/>
                <w:szCs w:val="15"/>
              </w:rPr>
              <w:t>Bemerkungen</w:t>
            </w:r>
          </w:p>
        </w:tc>
      </w:tr>
      <w:tr>
        <w:tblPrEx>
          <w:tblCellMar>
            <w:top w:w="0" w:type="dxa"/>
            <w:bottom w:w="0" w:type="dxa"/>
          </w:tblCellMar>
        </w:tblPrEx>
        <w:tc>
          <w:tcPr>
            <w:tcW w:w="1488" w:type="dxa"/>
          </w:tcPr>
          <w:p>
            <w:pPr>
              <w:pStyle w:val="GesAbsatz"/>
              <w:jc w:val="both"/>
              <w:rPr>
                <w:rFonts w:cs="Arial"/>
                <w:szCs w:val="15"/>
              </w:rPr>
            </w:pPr>
            <w:r>
              <w:rPr>
                <w:rFonts w:cs="Arial"/>
                <w:szCs w:val="17"/>
              </w:rPr>
              <w:t>CaO</w:t>
            </w:r>
          </w:p>
        </w:tc>
        <w:tc>
          <w:tcPr>
            <w:tcW w:w="3402" w:type="dxa"/>
          </w:tcPr>
          <w:p>
            <w:pPr>
              <w:pStyle w:val="GesAbsatz"/>
              <w:jc w:val="both"/>
              <w:rPr>
                <w:rFonts w:cs="Arial"/>
                <w:szCs w:val="15"/>
              </w:rPr>
            </w:pPr>
            <w:r>
              <w:rPr>
                <w:rFonts w:cs="Arial"/>
                <w:szCs w:val="17"/>
              </w:rPr>
              <w:t>0,785</w:t>
            </w:r>
          </w:p>
        </w:tc>
        <w:tc>
          <w:tcPr>
            <w:tcW w:w="4654" w:type="dxa"/>
          </w:tcPr>
          <w:p>
            <w:pPr>
              <w:pStyle w:val="GesAbsatz"/>
              <w:jc w:val="both"/>
              <w:rPr>
                <w:rFonts w:cs="Arial"/>
                <w:szCs w:val="15"/>
              </w:rPr>
            </w:pPr>
          </w:p>
        </w:tc>
      </w:tr>
      <w:tr>
        <w:tblPrEx>
          <w:tblCellMar>
            <w:top w:w="0" w:type="dxa"/>
            <w:bottom w:w="0" w:type="dxa"/>
          </w:tblCellMar>
        </w:tblPrEx>
        <w:tc>
          <w:tcPr>
            <w:tcW w:w="1488" w:type="dxa"/>
          </w:tcPr>
          <w:p>
            <w:pPr>
              <w:pStyle w:val="GesAbsatz"/>
              <w:jc w:val="both"/>
              <w:rPr>
                <w:rFonts w:cs="Arial"/>
                <w:szCs w:val="17"/>
              </w:rPr>
            </w:pPr>
            <w:r>
              <w:rPr>
                <w:rFonts w:cs="Arial"/>
                <w:szCs w:val="17"/>
              </w:rPr>
              <w:t>MgO</w:t>
            </w:r>
          </w:p>
        </w:tc>
        <w:tc>
          <w:tcPr>
            <w:tcW w:w="3402" w:type="dxa"/>
          </w:tcPr>
          <w:p>
            <w:pPr>
              <w:pStyle w:val="GesAbsatz"/>
              <w:jc w:val="both"/>
              <w:rPr>
                <w:rFonts w:cs="Arial"/>
                <w:szCs w:val="17"/>
              </w:rPr>
            </w:pPr>
            <w:r>
              <w:rPr>
                <w:rFonts w:cs="Arial"/>
                <w:szCs w:val="17"/>
              </w:rPr>
              <w:t>1,092</w:t>
            </w:r>
          </w:p>
        </w:tc>
        <w:tc>
          <w:tcPr>
            <w:tcW w:w="4654" w:type="dxa"/>
          </w:tcPr>
          <w:p>
            <w:pPr>
              <w:pStyle w:val="GesAbsatz"/>
              <w:jc w:val="both"/>
              <w:rPr>
                <w:rFonts w:cs="Arial"/>
                <w:szCs w:val="15"/>
              </w:rPr>
            </w:pPr>
          </w:p>
        </w:tc>
      </w:tr>
      <w:tr>
        <w:tblPrEx>
          <w:tblCellMar>
            <w:top w:w="0" w:type="dxa"/>
            <w:bottom w:w="0" w:type="dxa"/>
          </w:tblCellMar>
        </w:tblPrEx>
        <w:tc>
          <w:tcPr>
            <w:tcW w:w="1488" w:type="dxa"/>
          </w:tcPr>
          <w:p>
            <w:pPr>
              <w:pStyle w:val="GesAbsatz"/>
              <w:jc w:val="both"/>
              <w:rPr>
                <w:rFonts w:cs="Arial"/>
                <w:szCs w:val="17"/>
              </w:rPr>
            </w:pPr>
            <w:r>
              <w:rPr>
                <w:rFonts w:cs="Arial"/>
                <w:szCs w:val="17"/>
              </w:rPr>
              <w:t>Allgemein:</w:t>
            </w:r>
            <w:r>
              <w:rPr>
                <w:rFonts w:cs="Arial"/>
                <w:szCs w:val="17"/>
              </w:rPr>
              <w:br/>
              <w:t>X</w:t>
            </w:r>
            <w:r>
              <w:rPr>
                <w:rFonts w:cs="Arial"/>
                <w:szCs w:val="10"/>
                <w:vertAlign w:val="subscript"/>
              </w:rPr>
              <w:t>y</w:t>
            </w:r>
            <w:r>
              <w:rPr>
                <w:rFonts w:cs="Arial"/>
                <w:szCs w:val="17"/>
              </w:rPr>
              <w:t>(O)</w:t>
            </w:r>
            <w:r>
              <w:rPr>
                <w:rFonts w:cs="Arial"/>
                <w:szCs w:val="10"/>
                <w:vertAlign w:val="subscript"/>
              </w:rPr>
              <w:t>z</w:t>
            </w:r>
          </w:p>
        </w:tc>
        <w:tc>
          <w:tcPr>
            <w:tcW w:w="3402" w:type="dxa"/>
          </w:tcPr>
          <w:p>
            <w:pPr>
              <w:pStyle w:val="GesAbsatz"/>
              <w:jc w:val="both"/>
              <w:rPr>
                <w:rFonts w:cs="Arial"/>
                <w:szCs w:val="17"/>
              </w:rPr>
            </w:pPr>
            <w:r>
              <w:rPr>
                <w:rFonts w:cs="Arial"/>
                <w:szCs w:val="17"/>
              </w:rPr>
              <w:t>Emissionsfaktor =</w:t>
            </w:r>
          </w:p>
          <w:p>
            <w:pPr>
              <w:pStyle w:val="GesAbsatz"/>
              <w:jc w:val="both"/>
              <w:rPr>
                <w:rFonts w:cs="Arial"/>
                <w:szCs w:val="17"/>
              </w:rPr>
            </w:pPr>
            <w:r>
              <w:rPr>
                <w:rFonts w:cs="Arial"/>
                <w:szCs w:val="17"/>
              </w:rPr>
              <w:t>[M</w:t>
            </w:r>
            <w:r>
              <w:rPr>
                <w:rFonts w:cs="Arial"/>
                <w:szCs w:val="10"/>
                <w:vertAlign w:val="subscript"/>
              </w:rPr>
              <w:t>CO2</w:t>
            </w:r>
            <w:r>
              <w:rPr>
                <w:rFonts w:cs="Arial"/>
                <w:szCs w:val="17"/>
              </w:rPr>
              <w:t>] / {Y × [M</w:t>
            </w:r>
            <w:r>
              <w:rPr>
                <w:rFonts w:cs="Arial"/>
                <w:szCs w:val="10"/>
                <w:vertAlign w:val="subscript"/>
              </w:rPr>
              <w:t>x</w:t>
            </w:r>
            <w:r>
              <w:rPr>
                <w:rFonts w:cs="Arial"/>
                <w:szCs w:val="17"/>
              </w:rPr>
              <w:t>] + Z × [M</w:t>
            </w:r>
            <w:r>
              <w:rPr>
                <w:rFonts w:cs="Arial"/>
                <w:szCs w:val="10"/>
                <w:vertAlign w:val="subscript"/>
              </w:rPr>
              <w:t>O</w:t>
            </w:r>
            <w:r>
              <w:rPr>
                <w:rFonts w:cs="Arial"/>
                <w:szCs w:val="17"/>
              </w:rPr>
              <w:t>]}</w:t>
            </w:r>
          </w:p>
        </w:tc>
        <w:tc>
          <w:tcPr>
            <w:tcW w:w="4654" w:type="dxa"/>
          </w:tcPr>
          <w:p>
            <w:pPr>
              <w:pStyle w:val="GesAbsatz"/>
              <w:tabs>
                <w:tab w:val="clear" w:pos="425"/>
              </w:tabs>
              <w:ind w:left="780" w:hanging="780"/>
              <w:rPr>
                <w:rFonts w:cs="Arial"/>
                <w:szCs w:val="17"/>
              </w:rPr>
            </w:pPr>
            <w:r>
              <w:rPr>
                <w:rFonts w:cs="Arial"/>
                <w:szCs w:val="17"/>
              </w:rPr>
              <w:t>X =</w:t>
            </w:r>
            <w:r>
              <w:rPr>
                <w:rFonts w:cs="Arial"/>
                <w:szCs w:val="17"/>
              </w:rPr>
              <w:tab/>
              <w:t>Erdalkali- oder Alkalimetall</w:t>
            </w:r>
          </w:p>
          <w:p>
            <w:pPr>
              <w:pStyle w:val="GesAbsatz"/>
              <w:tabs>
                <w:tab w:val="clear" w:pos="425"/>
              </w:tabs>
              <w:ind w:left="780" w:hanging="780"/>
              <w:rPr>
                <w:rFonts w:cs="Arial"/>
                <w:szCs w:val="17"/>
              </w:rPr>
            </w:pPr>
            <w:r>
              <w:rPr>
                <w:rFonts w:cs="Arial"/>
                <w:szCs w:val="17"/>
              </w:rPr>
              <w:t>M</w:t>
            </w:r>
            <w:r>
              <w:rPr>
                <w:rFonts w:cs="Arial"/>
                <w:szCs w:val="10"/>
                <w:vertAlign w:val="subscript"/>
              </w:rPr>
              <w:t>x</w:t>
            </w:r>
            <w:r>
              <w:rPr>
                <w:rFonts w:cs="Arial"/>
                <w:szCs w:val="10"/>
              </w:rPr>
              <w:t xml:space="preserve"> </w:t>
            </w:r>
            <w:r>
              <w:rPr>
                <w:rFonts w:cs="Arial"/>
                <w:szCs w:val="17"/>
              </w:rPr>
              <w:t>=</w:t>
            </w:r>
            <w:r>
              <w:rPr>
                <w:rFonts w:cs="Arial"/>
                <w:szCs w:val="17"/>
              </w:rPr>
              <w:tab/>
              <w:t>Molekulargewicht von X in [g/mol]</w:t>
            </w:r>
          </w:p>
          <w:p>
            <w:pPr>
              <w:pStyle w:val="GesAbsatz"/>
              <w:tabs>
                <w:tab w:val="clear" w:pos="425"/>
              </w:tabs>
              <w:ind w:left="780" w:hanging="780"/>
              <w:rPr>
                <w:rFonts w:cs="Arial"/>
                <w:szCs w:val="17"/>
              </w:rPr>
            </w:pPr>
            <w:r>
              <w:rPr>
                <w:rFonts w:cs="Arial"/>
                <w:szCs w:val="17"/>
              </w:rPr>
              <w:t>M</w:t>
            </w:r>
            <w:r>
              <w:rPr>
                <w:rFonts w:cs="Arial"/>
                <w:szCs w:val="10"/>
                <w:vertAlign w:val="subscript"/>
              </w:rPr>
              <w:t>CO2</w:t>
            </w:r>
            <w:r>
              <w:rPr>
                <w:rFonts w:cs="Arial"/>
                <w:szCs w:val="10"/>
              </w:rPr>
              <w:t xml:space="preserve"> </w:t>
            </w:r>
            <w:r>
              <w:rPr>
                <w:rFonts w:cs="Arial"/>
                <w:szCs w:val="17"/>
              </w:rPr>
              <w:t>=</w:t>
            </w:r>
            <w:r>
              <w:rPr>
                <w:rFonts w:cs="Arial"/>
                <w:szCs w:val="17"/>
              </w:rPr>
              <w:tab/>
              <w:t>Molekulargewicht von CO</w:t>
            </w:r>
            <w:r>
              <w:rPr>
                <w:rFonts w:cs="Arial"/>
                <w:szCs w:val="10"/>
                <w:vertAlign w:val="subscript"/>
              </w:rPr>
              <w:t>2</w:t>
            </w:r>
            <w:r>
              <w:rPr>
                <w:rFonts w:cs="Arial"/>
                <w:szCs w:val="10"/>
              </w:rPr>
              <w:t xml:space="preserve"> </w:t>
            </w:r>
            <w:r>
              <w:rPr>
                <w:rFonts w:cs="Arial"/>
                <w:szCs w:val="17"/>
              </w:rPr>
              <w:t>= 44 [g/mol]</w:t>
            </w:r>
          </w:p>
          <w:p>
            <w:pPr>
              <w:pStyle w:val="GesAbsatz"/>
              <w:tabs>
                <w:tab w:val="clear" w:pos="425"/>
              </w:tabs>
              <w:ind w:left="780" w:hanging="780"/>
              <w:rPr>
                <w:rFonts w:cs="Arial"/>
                <w:szCs w:val="17"/>
              </w:rPr>
            </w:pPr>
            <w:r>
              <w:rPr>
                <w:rFonts w:cs="Arial"/>
                <w:szCs w:val="17"/>
              </w:rPr>
              <w:t>M</w:t>
            </w:r>
            <w:r>
              <w:rPr>
                <w:rFonts w:cs="Arial"/>
                <w:szCs w:val="10"/>
                <w:vertAlign w:val="subscript"/>
              </w:rPr>
              <w:t>O</w:t>
            </w:r>
            <w:r>
              <w:rPr>
                <w:rFonts w:cs="Arial"/>
                <w:szCs w:val="10"/>
              </w:rPr>
              <w:t xml:space="preserve"> </w:t>
            </w:r>
            <w:r>
              <w:rPr>
                <w:rFonts w:cs="Arial"/>
                <w:szCs w:val="17"/>
              </w:rPr>
              <w:t>=</w:t>
            </w:r>
            <w:r>
              <w:rPr>
                <w:rFonts w:cs="Arial"/>
                <w:szCs w:val="17"/>
              </w:rPr>
              <w:tab/>
              <w:t>Molekulargewicht von O = 16 [g/mol]</w:t>
            </w:r>
          </w:p>
          <w:p>
            <w:pPr>
              <w:pStyle w:val="GesAbsatz"/>
              <w:tabs>
                <w:tab w:val="clear" w:pos="425"/>
              </w:tabs>
              <w:ind w:left="780" w:hanging="780"/>
              <w:rPr>
                <w:rFonts w:cs="Arial"/>
                <w:szCs w:val="17"/>
              </w:rPr>
            </w:pPr>
            <w:r>
              <w:rPr>
                <w:rFonts w:cs="Arial"/>
                <w:szCs w:val="17"/>
              </w:rPr>
              <w:t>Y =</w:t>
            </w:r>
            <w:r>
              <w:rPr>
                <w:rFonts w:cs="Arial"/>
                <w:szCs w:val="17"/>
              </w:rPr>
              <w:tab/>
              <w:t>stöchiometrische Zahl von X</w:t>
            </w:r>
          </w:p>
          <w:p>
            <w:pPr>
              <w:pStyle w:val="GesAbsatz"/>
              <w:tabs>
                <w:tab w:val="clear" w:pos="425"/>
              </w:tabs>
              <w:ind w:left="780" w:hanging="780"/>
              <w:rPr>
                <w:rFonts w:cs="Arial"/>
                <w:szCs w:val="17"/>
              </w:rPr>
            </w:pPr>
            <w:r>
              <w:rPr>
                <w:rFonts w:cs="Arial"/>
                <w:szCs w:val="17"/>
              </w:rPr>
              <w:tab/>
              <w:t>= 1 (für Erdalkalimetalle)</w:t>
            </w:r>
          </w:p>
          <w:p>
            <w:pPr>
              <w:pStyle w:val="GesAbsatz"/>
              <w:tabs>
                <w:tab w:val="clear" w:pos="425"/>
              </w:tabs>
              <w:ind w:left="780" w:hanging="780"/>
              <w:rPr>
                <w:rFonts w:cs="Arial"/>
                <w:szCs w:val="17"/>
              </w:rPr>
            </w:pPr>
            <w:r>
              <w:rPr>
                <w:rFonts w:cs="Arial"/>
                <w:szCs w:val="17"/>
              </w:rPr>
              <w:tab/>
              <w:t>= 2 (für Alkalimetalle)</w:t>
            </w:r>
          </w:p>
          <w:p>
            <w:pPr>
              <w:pStyle w:val="GesAbsatz"/>
              <w:tabs>
                <w:tab w:val="clear" w:pos="425"/>
              </w:tabs>
              <w:ind w:left="780" w:hanging="780"/>
              <w:rPr>
                <w:rFonts w:cs="Arial"/>
                <w:szCs w:val="15"/>
              </w:rPr>
            </w:pPr>
            <w:r>
              <w:rPr>
                <w:rFonts w:cs="Arial"/>
                <w:szCs w:val="17"/>
              </w:rPr>
              <w:t>Z =</w:t>
            </w:r>
            <w:r>
              <w:rPr>
                <w:rFonts w:cs="Arial"/>
                <w:szCs w:val="17"/>
              </w:rPr>
              <w:tab/>
              <w:t>stöchiometrische Zahl von O = 1</w:t>
            </w:r>
          </w:p>
        </w:tc>
      </w:tr>
    </w:tbl>
    <w:p>
      <w:pPr>
        <w:pStyle w:val="GesAbsatz"/>
        <w:jc w:val="both"/>
        <w:rPr>
          <w:rFonts w:cs="Arial"/>
          <w:szCs w:val="15"/>
        </w:rPr>
      </w:pP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pPr>
      <w:bookmarkStart w:id="12" w:name="_Toc67281927"/>
      <w:r>
        <w:rPr>
          <w:iCs/>
        </w:rPr>
        <w:lastRenderedPageBreak/>
        <w:t>ANHANG IX</w:t>
      </w:r>
      <w:r>
        <w:rPr>
          <w:iCs/>
        </w:rPr>
        <w:br/>
      </w:r>
      <w:r>
        <w:t>Tätigkeitsspezifische Leitlinien für Anlagen zur Herstellung von Glas gemäß Anhang I der Richtl</w:t>
      </w:r>
      <w:r>
        <w:t>i</w:t>
      </w:r>
      <w:r>
        <w:t>nie</w:t>
      </w:r>
      <w:bookmarkEnd w:id="12"/>
    </w:p>
    <w:p>
      <w:pPr>
        <w:pStyle w:val="GesAbsatz"/>
        <w:jc w:val="both"/>
        <w:rPr>
          <w:rFonts w:cs="Arial"/>
          <w:b/>
          <w:szCs w:val="17"/>
        </w:rPr>
      </w:pPr>
      <w:r>
        <w:rPr>
          <w:rFonts w:cs="Arial"/>
          <w:b/>
          <w:szCs w:val="17"/>
        </w:rPr>
        <w:t>1. EINSCHRÄNKUNGEN UND VOLLSTÄNDIGKEIT</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den Vorgaben von A</w:t>
      </w:r>
      <w:r>
        <w:rPr>
          <w:rFonts w:cs="Arial"/>
          <w:szCs w:val="17"/>
        </w:rPr>
        <w:t>n</w:t>
      </w:r>
      <w:r>
        <w:rPr>
          <w:rFonts w:cs="Arial"/>
          <w:szCs w:val="17"/>
        </w:rPr>
        <w:t>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In Anlagen zur Herstellung von Glas werden aus den folgenden Quellen CO</w:t>
      </w:r>
      <w:r>
        <w:rPr>
          <w:rFonts w:cs="Arial"/>
          <w:szCs w:val="10"/>
          <w:vertAlign w:val="subscript"/>
        </w:rPr>
        <w:t>2</w:t>
      </w:r>
      <w:r>
        <w:rPr>
          <w:rFonts w:cs="Arial"/>
          <w:szCs w:val="17"/>
        </w:rPr>
        <w:t>-Emissionen freigesetzt:</w:t>
      </w:r>
    </w:p>
    <w:p>
      <w:pPr>
        <w:pStyle w:val="GesAbsatz"/>
        <w:jc w:val="both"/>
        <w:rPr>
          <w:rFonts w:cs="Arial"/>
          <w:szCs w:val="17"/>
        </w:rPr>
      </w:pPr>
      <w:r>
        <w:rPr>
          <w:rFonts w:cs="Arial"/>
          <w:szCs w:val="17"/>
        </w:rPr>
        <w:t>-</w:t>
      </w:r>
      <w:r>
        <w:rPr>
          <w:rFonts w:cs="Arial"/>
          <w:szCs w:val="17"/>
        </w:rPr>
        <w:tab/>
        <w:t>Schmelzen von im Rohstoff enthaltenen Alkali- und Erdalkalimetallkarbonaten,</w:t>
      </w:r>
    </w:p>
    <w:p>
      <w:pPr>
        <w:pStyle w:val="GesAbsatz"/>
        <w:jc w:val="both"/>
        <w:rPr>
          <w:rFonts w:cs="Arial"/>
          <w:szCs w:val="17"/>
        </w:rPr>
      </w:pPr>
      <w:r>
        <w:rPr>
          <w:rFonts w:cs="Arial"/>
          <w:szCs w:val="17"/>
        </w:rPr>
        <w:t>-</w:t>
      </w:r>
      <w:r>
        <w:rPr>
          <w:rFonts w:cs="Arial"/>
          <w:szCs w:val="17"/>
        </w:rPr>
        <w:tab/>
        <w:t>konventionelle fossile Ofenbrennstoffe,</w:t>
      </w:r>
    </w:p>
    <w:p>
      <w:pPr>
        <w:pStyle w:val="GesAbsatz"/>
        <w:jc w:val="both"/>
        <w:rPr>
          <w:rFonts w:cs="Arial"/>
          <w:szCs w:val="17"/>
        </w:rPr>
      </w:pPr>
      <w:r>
        <w:rPr>
          <w:rFonts w:cs="Arial"/>
          <w:szCs w:val="17"/>
        </w:rPr>
        <w:t>-</w:t>
      </w:r>
      <w:r>
        <w:rPr>
          <w:rFonts w:cs="Arial"/>
          <w:szCs w:val="17"/>
        </w:rPr>
        <w:tab/>
        <w:t>alternative fossile Ofenbrennstoffe und Rohstoffe,</w:t>
      </w:r>
    </w:p>
    <w:p>
      <w:pPr>
        <w:pStyle w:val="GesAbsatz"/>
        <w:jc w:val="both"/>
        <w:rPr>
          <w:rFonts w:cs="Arial"/>
          <w:szCs w:val="17"/>
        </w:rPr>
      </w:pPr>
      <w:r>
        <w:rPr>
          <w:rFonts w:cs="Arial"/>
          <w:szCs w:val="17"/>
        </w:rPr>
        <w:t>-</w:t>
      </w:r>
      <w:r>
        <w:rPr>
          <w:rFonts w:cs="Arial"/>
          <w:szCs w:val="17"/>
        </w:rPr>
        <w:tab/>
        <w:t>Biomasse-Ofenbrennstoffe (Biomasse-Abfälle),</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kohlenstoffhaltige Zusatzstoffe einschließlich Koks und Kohlenstaub,</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i/>
          <w:iCs/>
          <w:szCs w:val="17"/>
        </w:rPr>
      </w:pPr>
      <w:r>
        <w:rPr>
          <w:rFonts w:cs="Arial"/>
          <w:szCs w:val="17"/>
        </w:rPr>
        <w:t xml:space="preserve">2.1.1. </w:t>
      </w:r>
      <w:r>
        <w:rPr>
          <w:rFonts w:cs="Arial"/>
          <w:i/>
          <w:iCs/>
          <w:szCs w:val="17"/>
        </w:rPr>
        <w:t>Emissionen aus der Verbrennung</w:t>
      </w:r>
    </w:p>
    <w:p>
      <w:pPr>
        <w:pStyle w:val="GesAbsatz"/>
        <w:jc w:val="both"/>
        <w:rPr>
          <w:rFonts w:cs="Arial"/>
          <w:szCs w:val="17"/>
        </w:rPr>
      </w:pPr>
      <w:r>
        <w:rPr>
          <w:rFonts w:cs="Arial"/>
          <w:szCs w:val="17"/>
        </w:rPr>
        <w:t>Die Verbrennungsprozesse in Anlagen zur Herstellung von Glas sind in Einklang mit den Vorgaben von Anhang II zu überwachen und zu melden.</w:t>
      </w:r>
    </w:p>
    <w:p>
      <w:pPr>
        <w:pStyle w:val="GesAbsatz"/>
        <w:jc w:val="both"/>
        <w:rPr>
          <w:rFonts w:cs="Arial"/>
          <w:i/>
          <w:iCs/>
          <w:szCs w:val="17"/>
        </w:rPr>
      </w:pPr>
      <w:r>
        <w:rPr>
          <w:rFonts w:cs="Arial"/>
          <w:szCs w:val="17"/>
        </w:rPr>
        <w:t xml:space="preserve">2.1.2. </w:t>
      </w:r>
      <w:r>
        <w:rPr>
          <w:rFonts w:cs="Arial"/>
          <w:i/>
          <w:iCs/>
          <w:szCs w:val="17"/>
        </w:rPr>
        <w:t>Prozessemissionen</w:t>
      </w:r>
    </w:p>
    <w:p>
      <w:pPr>
        <w:pStyle w:val="GesAbsatz"/>
        <w:jc w:val="both"/>
        <w:rPr>
          <w:rFonts w:cs="Arial"/>
          <w:szCs w:val="17"/>
        </w:rPr>
      </w:pPr>
      <w:r>
        <w:rPr>
          <w:rFonts w:cs="Arial"/>
          <w:szCs w:val="17"/>
        </w:rPr>
        <w:t>CO</w:t>
      </w:r>
      <w:r>
        <w:rPr>
          <w:rFonts w:cs="Arial"/>
          <w:szCs w:val="10"/>
          <w:vertAlign w:val="subscript"/>
        </w:rPr>
        <w:t>2</w:t>
      </w:r>
      <w:r>
        <w:rPr>
          <w:rFonts w:cs="Arial"/>
          <w:szCs w:val="10"/>
        </w:rPr>
        <w:t xml:space="preserve"> </w:t>
      </w:r>
      <w:r>
        <w:rPr>
          <w:rFonts w:cs="Arial"/>
          <w:szCs w:val="17"/>
        </w:rPr>
        <w:t>wird während des Schmelzvorgangs im Ofen, aus den im Rohstoff enthaltenen Karbonaten und bei der Neutralisierung von HF, HCl und SO</w:t>
      </w:r>
      <w:r>
        <w:rPr>
          <w:rFonts w:cs="Arial"/>
          <w:szCs w:val="10"/>
          <w:vertAlign w:val="subscript"/>
        </w:rPr>
        <w:t>2</w:t>
      </w:r>
      <w:r>
        <w:rPr>
          <w:rFonts w:cs="Arial"/>
          <w:szCs w:val="10"/>
        </w:rPr>
        <w:t xml:space="preserve"> </w:t>
      </w:r>
      <w:r>
        <w:rPr>
          <w:rFonts w:cs="Arial"/>
          <w:szCs w:val="17"/>
        </w:rPr>
        <w:t>in den Abgasen mit Hilfe von Kalkstein oder anderen Karbon</w:t>
      </w:r>
      <w:r>
        <w:rPr>
          <w:rFonts w:cs="Arial"/>
          <w:szCs w:val="17"/>
        </w:rPr>
        <w:t>a</w:t>
      </w:r>
      <w:r>
        <w:rPr>
          <w:rFonts w:cs="Arial"/>
          <w:szCs w:val="17"/>
        </w:rPr>
        <w:t>ten freigesetzt. Sowohl die Emissionen, die bei der Zersetzung der Karbonate in dem Schmelzvorgang freig</w:t>
      </w:r>
      <w:r>
        <w:rPr>
          <w:rFonts w:cs="Arial"/>
          <w:szCs w:val="17"/>
        </w:rPr>
        <w:t>e</w:t>
      </w:r>
      <w:r>
        <w:rPr>
          <w:rFonts w:cs="Arial"/>
          <w:szCs w:val="17"/>
        </w:rPr>
        <w:t>setzt werden, als auch die Emissionen aus der Abgaswäsche sind als Emissionen der Anlage zu betrac</w:t>
      </w:r>
      <w:r>
        <w:rPr>
          <w:rFonts w:cs="Arial"/>
          <w:szCs w:val="17"/>
        </w:rPr>
        <w:t>h</w:t>
      </w:r>
      <w:r>
        <w:rPr>
          <w:rFonts w:cs="Arial"/>
          <w:szCs w:val="17"/>
        </w:rPr>
        <w:t>ten. Sie addieren sich zu der Gesamtemission, sind jedoch nach Möglichkeit getrennt zu melden.</w:t>
      </w:r>
    </w:p>
    <w:p>
      <w:pPr>
        <w:pStyle w:val="GesAbsatz"/>
        <w:jc w:val="both"/>
        <w:rPr>
          <w:rFonts w:cs="Arial"/>
          <w:szCs w:val="17"/>
        </w:rPr>
      </w:pPr>
      <w:r>
        <w:rPr>
          <w:rFonts w:cs="Arial"/>
          <w:szCs w:val="17"/>
        </w:rPr>
        <w:t>Das CO</w:t>
      </w:r>
      <w:r>
        <w:rPr>
          <w:rFonts w:cs="Arial"/>
          <w:szCs w:val="10"/>
          <w:vertAlign w:val="subscript"/>
        </w:rPr>
        <w:t>2</w:t>
      </w:r>
      <w:r>
        <w:rPr>
          <w:rFonts w:cs="Arial"/>
          <w:szCs w:val="10"/>
        </w:rPr>
        <w:t xml:space="preserve"> </w:t>
      </w:r>
      <w:r>
        <w:rPr>
          <w:rFonts w:cs="Arial"/>
          <w:szCs w:val="17"/>
        </w:rPr>
        <w:t>aus den Karbonaten im Rohstoff, das während des Schmelzvorgangs im Ofen freigesetzt wird, steht in einem technischen Zusammenhang mit der Herstellung von Glas und kann auf zwei Weisen b</w:t>
      </w:r>
      <w:r>
        <w:rPr>
          <w:rFonts w:cs="Arial"/>
          <w:szCs w:val="17"/>
        </w:rPr>
        <w:t>e</w:t>
      </w:r>
      <w:r>
        <w:rPr>
          <w:rFonts w:cs="Arial"/>
          <w:szCs w:val="17"/>
        </w:rPr>
        <w:t>rechnet werden: zum einen auf Basis der umgewandelten Menge an Karbonaten aus dem Rohstoff - hauptsächlich S</w:t>
      </w:r>
      <w:r>
        <w:rPr>
          <w:rFonts w:cs="Arial"/>
          <w:szCs w:val="17"/>
        </w:rPr>
        <w:t>o</w:t>
      </w:r>
      <w:r>
        <w:rPr>
          <w:rFonts w:cs="Arial"/>
          <w:szCs w:val="17"/>
        </w:rPr>
        <w:t>da, Kalk/Kalkstein, Dolomit und andere Alkali- und Erdalkalikarbonate, ergänzt durch Altglas (Bruchglas) - (Berechnungsmethode A). Die zweite Möglichkeit besteht in der Berechnung auf der Grundlage des Alkalimetalloxidanteils im hergestellten Glas (Berechnungsmethode B). Beide Berec</w:t>
      </w:r>
      <w:r>
        <w:rPr>
          <w:rFonts w:cs="Arial"/>
          <w:szCs w:val="17"/>
        </w:rPr>
        <w:t>h</w:t>
      </w:r>
      <w:r>
        <w:rPr>
          <w:rFonts w:cs="Arial"/>
          <w:szCs w:val="17"/>
        </w:rPr>
        <w:t>nungsmethoden werden als gleichwertig betrachtet.</w:t>
      </w:r>
    </w:p>
    <w:p>
      <w:pPr>
        <w:pStyle w:val="GesAbsatz"/>
        <w:jc w:val="both"/>
        <w:rPr>
          <w:rFonts w:cs="Arial"/>
          <w:szCs w:val="17"/>
        </w:rPr>
      </w:pPr>
      <w:r>
        <w:rPr>
          <w:rFonts w:cs="Arial"/>
          <w:szCs w:val="17"/>
        </w:rPr>
        <w:t>Berechnungsmethode A: Karbonate</w:t>
      </w:r>
    </w:p>
    <w:p>
      <w:pPr>
        <w:pStyle w:val="GesAbsatz"/>
        <w:jc w:val="both"/>
        <w:rPr>
          <w:rFonts w:cs="Arial"/>
          <w:szCs w:val="17"/>
        </w:rPr>
      </w:pPr>
      <w:r>
        <w:rPr>
          <w:rFonts w:cs="Arial"/>
          <w:szCs w:val="17"/>
        </w:rPr>
        <w:t>Die Berechnung basiert auf dem eingesetzten Karbonat. Für die Berechnung der Emission ist folgende Formel ist anzuwenden:</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Karbonat</w:t>
      </w:r>
      <w:r>
        <w:rPr>
          <w:rFonts w:cs="Arial"/>
          <w:szCs w:val="10"/>
        </w:rPr>
        <w:t xml:space="preserve"> </w:t>
      </w:r>
      <w:r>
        <w:rPr>
          <w:rFonts w:cs="Arial"/>
          <w:szCs w:val="17"/>
        </w:rPr>
        <w:t xml:space="preserve">× Emissionsfaktor} + </w:t>
      </w:r>
      <w:r>
        <w:rPr>
          <w:rFonts w:eastAsia="EUAlbertina+22" w:cs="Arial" w:hint="eastAsia"/>
          <w:szCs w:val="17"/>
        </w:rPr>
        <w:t>∑</w:t>
      </w:r>
      <w:r>
        <w:rPr>
          <w:rFonts w:eastAsia="EUAlbertina+22" w:cs="Arial" w:hint="eastAsia"/>
          <w:szCs w:val="17"/>
        </w:rPr>
        <w:t xml:space="preserve"> </w:t>
      </w:r>
      <w:r>
        <w:rPr>
          <w:rFonts w:cs="Arial"/>
          <w:szCs w:val="17"/>
        </w:rPr>
        <w:t>{Zusatzstoff × Emissionsfa</w:t>
      </w:r>
      <w:r>
        <w:rPr>
          <w:rFonts w:cs="Arial"/>
          <w:szCs w:val="17"/>
        </w:rPr>
        <w:t>k</w:t>
      </w:r>
      <w:r>
        <w:rPr>
          <w:rFonts w:cs="Arial"/>
          <w:szCs w:val="17"/>
        </w:rPr>
        <w:t>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Die Tätigkeitsdaten</w:t>
      </w:r>
      <w:r>
        <w:rPr>
          <w:rFonts w:cs="Arial"/>
          <w:szCs w:val="10"/>
          <w:vertAlign w:val="subscript"/>
        </w:rPr>
        <w:t>Karbonat</w:t>
      </w:r>
      <w:r>
        <w:rPr>
          <w:rFonts w:cs="Arial"/>
          <w:szCs w:val="10"/>
        </w:rPr>
        <w:t xml:space="preserve"> </w:t>
      </w:r>
      <w:r>
        <w:rPr>
          <w:rFonts w:cs="Arial"/>
          <w:szCs w:val="17"/>
        </w:rPr>
        <w:t>umfassen die Menge [t] an CaCO</w:t>
      </w:r>
      <w:r>
        <w:rPr>
          <w:rFonts w:cs="Arial"/>
          <w:szCs w:val="10"/>
          <w:vertAlign w:val="subscript"/>
        </w:rPr>
        <w:t>3</w:t>
      </w:r>
      <w:r>
        <w:rPr>
          <w:rFonts w:cs="Arial"/>
          <w:szCs w:val="17"/>
        </w:rPr>
        <w:t>, MgCO</w:t>
      </w:r>
      <w:r>
        <w:rPr>
          <w:rFonts w:cs="Arial"/>
          <w:szCs w:val="10"/>
          <w:vertAlign w:val="subscript"/>
        </w:rPr>
        <w:t>3</w:t>
      </w:r>
      <w:r>
        <w:rPr>
          <w:rFonts w:cs="Arial"/>
          <w:szCs w:val="17"/>
        </w:rPr>
        <w:t>, Na</w:t>
      </w:r>
      <w:r>
        <w:rPr>
          <w:rFonts w:cs="Arial"/>
          <w:szCs w:val="10"/>
          <w:vertAlign w:val="subscript"/>
        </w:rPr>
        <w:t>2</w:t>
      </w:r>
      <w:r>
        <w:rPr>
          <w:rFonts w:cs="Arial"/>
          <w:szCs w:val="17"/>
        </w:rPr>
        <w:t>CO</w:t>
      </w:r>
      <w:r>
        <w:rPr>
          <w:rFonts w:cs="Arial"/>
          <w:szCs w:val="10"/>
          <w:vertAlign w:val="subscript"/>
        </w:rPr>
        <w:t>3</w:t>
      </w:r>
      <w:r>
        <w:rPr>
          <w:rFonts w:cs="Arial"/>
          <w:szCs w:val="17"/>
        </w:rPr>
        <w:t>, BaCO</w:t>
      </w:r>
      <w:r>
        <w:rPr>
          <w:rFonts w:cs="Arial"/>
          <w:szCs w:val="10"/>
          <w:vertAlign w:val="subscript"/>
        </w:rPr>
        <w:t>3</w:t>
      </w:r>
      <w:r>
        <w:rPr>
          <w:rFonts w:cs="Arial"/>
          <w:szCs w:val="10"/>
        </w:rPr>
        <w:t xml:space="preserve"> </w:t>
      </w:r>
      <w:r>
        <w:rPr>
          <w:rFonts w:cs="Arial"/>
          <w:szCs w:val="17"/>
        </w:rPr>
        <w:t>oder anderen Erdalkali- oder Alkalikarbonaten in den Rohstoffen (Soda, Kalk/Kalkstein, Dolomit), die während des B</w:t>
      </w:r>
      <w:r>
        <w:rPr>
          <w:rFonts w:cs="Arial"/>
          <w:szCs w:val="17"/>
        </w:rPr>
        <w:t>e</w:t>
      </w:r>
      <w:r>
        <w:rPr>
          <w:rFonts w:cs="Arial"/>
          <w:szCs w:val="17"/>
        </w:rPr>
        <w:t>richtszeitraums verarbeitet werden, sowie die Menge der kohlenstoffhaltigen Zusatzstoffe.</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lastRenderedPageBreak/>
        <w:t>Die Masse an CaCO</w:t>
      </w:r>
      <w:r>
        <w:rPr>
          <w:rFonts w:cs="Arial"/>
          <w:szCs w:val="10"/>
          <w:vertAlign w:val="subscript"/>
        </w:rPr>
        <w:t>3</w:t>
      </w:r>
      <w:r>
        <w:rPr>
          <w:rFonts w:cs="Arial"/>
          <w:szCs w:val="17"/>
        </w:rPr>
        <w:t>, MgCO</w:t>
      </w:r>
      <w:r>
        <w:rPr>
          <w:rFonts w:cs="Arial"/>
          <w:szCs w:val="10"/>
          <w:vertAlign w:val="subscript"/>
        </w:rPr>
        <w:t>3</w:t>
      </w:r>
      <w:r>
        <w:rPr>
          <w:rFonts w:cs="Arial"/>
          <w:szCs w:val="17"/>
        </w:rPr>
        <w:t>, Na</w:t>
      </w:r>
      <w:r>
        <w:rPr>
          <w:rFonts w:cs="Arial"/>
          <w:szCs w:val="10"/>
          <w:vertAlign w:val="subscript"/>
        </w:rPr>
        <w:t>2</w:t>
      </w:r>
      <w:r>
        <w:rPr>
          <w:rFonts w:cs="Arial"/>
          <w:szCs w:val="17"/>
        </w:rPr>
        <w:t>CO</w:t>
      </w:r>
      <w:r>
        <w:rPr>
          <w:rFonts w:cs="Arial"/>
          <w:szCs w:val="10"/>
          <w:vertAlign w:val="subscript"/>
        </w:rPr>
        <w:t>3</w:t>
      </w:r>
      <w:r>
        <w:rPr>
          <w:rFonts w:cs="Arial"/>
          <w:szCs w:val="17"/>
        </w:rPr>
        <w:t>, BaCO</w:t>
      </w:r>
      <w:r>
        <w:rPr>
          <w:rFonts w:cs="Arial"/>
          <w:szCs w:val="10"/>
          <w:vertAlign w:val="subscript"/>
        </w:rPr>
        <w:t>3</w:t>
      </w:r>
      <w:r>
        <w:rPr>
          <w:rFonts w:cs="Arial"/>
          <w:szCs w:val="10"/>
        </w:rPr>
        <w:t xml:space="preserve"> </w:t>
      </w:r>
      <w:r>
        <w:rPr>
          <w:rFonts w:cs="Arial"/>
          <w:szCs w:val="17"/>
        </w:rPr>
        <w:t>oder anderen Erdalkali- oder Alkalikarbonaten und die Masse der kohlenstoffhaltigen Zusatzstoffe [t], die während des Berichtszeitraums im Prozess eingesetzt werden; ermittelt durch Wiegen der betreffenden Rohstoffe durch den Betreiber oder den Lieferanten mit einem maximal zulässigen Unsicherheitsfaktor von ± 2,5 % je Messvorgang. Die Daten der Zusamme</w:t>
      </w:r>
      <w:r>
        <w:rPr>
          <w:rFonts w:cs="Arial"/>
          <w:szCs w:val="17"/>
        </w:rPr>
        <w:t>n</w:t>
      </w:r>
      <w:r>
        <w:rPr>
          <w:rFonts w:cs="Arial"/>
          <w:szCs w:val="17"/>
        </w:rPr>
        <w:t>setzung richten sich nach den für diese spezielle Produktkategorie geltenden Leitlinien der Industrie hi</w:t>
      </w:r>
      <w:r>
        <w:rPr>
          <w:rFonts w:cs="Arial"/>
          <w:szCs w:val="17"/>
        </w:rPr>
        <w:t>n</w:t>
      </w:r>
      <w:r>
        <w:rPr>
          <w:rFonts w:cs="Arial"/>
          <w:szCs w:val="17"/>
        </w:rPr>
        <w:t>sichtlich der bewährtesten Praxis.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Masse an CaCO</w:t>
      </w:r>
      <w:r>
        <w:rPr>
          <w:rFonts w:cs="Arial"/>
          <w:szCs w:val="10"/>
          <w:vertAlign w:val="subscript"/>
        </w:rPr>
        <w:t>3</w:t>
      </w:r>
      <w:r>
        <w:rPr>
          <w:rFonts w:cs="Arial"/>
          <w:szCs w:val="17"/>
        </w:rPr>
        <w:t>, MgCO</w:t>
      </w:r>
      <w:r>
        <w:rPr>
          <w:rFonts w:cs="Arial"/>
          <w:szCs w:val="10"/>
          <w:vertAlign w:val="subscript"/>
        </w:rPr>
        <w:t>3</w:t>
      </w:r>
      <w:r>
        <w:rPr>
          <w:rFonts w:cs="Arial"/>
          <w:szCs w:val="17"/>
        </w:rPr>
        <w:t>, Na</w:t>
      </w:r>
      <w:r>
        <w:rPr>
          <w:rFonts w:cs="Arial"/>
          <w:szCs w:val="10"/>
          <w:vertAlign w:val="subscript"/>
        </w:rPr>
        <w:t>2</w:t>
      </w:r>
      <w:r>
        <w:rPr>
          <w:rFonts w:cs="Arial"/>
          <w:szCs w:val="17"/>
        </w:rPr>
        <w:t>CO</w:t>
      </w:r>
      <w:r>
        <w:rPr>
          <w:rFonts w:cs="Arial"/>
          <w:szCs w:val="10"/>
          <w:vertAlign w:val="subscript"/>
        </w:rPr>
        <w:t>3</w:t>
      </w:r>
      <w:r>
        <w:rPr>
          <w:rFonts w:cs="Arial"/>
          <w:szCs w:val="17"/>
        </w:rPr>
        <w:t>, BaCO</w:t>
      </w:r>
      <w:r>
        <w:rPr>
          <w:rFonts w:cs="Arial"/>
          <w:szCs w:val="10"/>
          <w:vertAlign w:val="subscript"/>
        </w:rPr>
        <w:t>3</w:t>
      </w:r>
      <w:r>
        <w:rPr>
          <w:rFonts w:cs="Arial"/>
          <w:szCs w:val="10"/>
        </w:rPr>
        <w:t xml:space="preserve"> </w:t>
      </w:r>
      <w:r>
        <w:rPr>
          <w:rFonts w:cs="Arial"/>
          <w:szCs w:val="17"/>
        </w:rPr>
        <w:t>oder anderen Erdalkali- oder Alkalikarbonaten und die Masse der Kohlenstoff enthaltenden Zusatzstoffe [t], die während des Berichtszeitraums im Prozess ei</w:t>
      </w:r>
      <w:r>
        <w:rPr>
          <w:rFonts w:cs="Arial"/>
          <w:szCs w:val="17"/>
        </w:rPr>
        <w:t>n</w:t>
      </w:r>
      <w:r>
        <w:rPr>
          <w:rFonts w:cs="Arial"/>
          <w:szCs w:val="17"/>
        </w:rPr>
        <w:t>gesetzt werden; ermittelt durch Wiegen des betreffenden Rohstoffs durch den Betreiber oder den Liefera</w:t>
      </w:r>
      <w:r>
        <w:rPr>
          <w:rFonts w:cs="Arial"/>
          <w:szCs w:val="17"/>
        </w:rPr>
        <w:t>n</w:t>
      </w:r>
      <w:r>
        <w:rPr>
          <w:rFonts w:cs="Arial"/>
          <w:szCs w:val="17"/>
        </w:rPr>
        <w:t>ten mit einem maximal zulässigen Unsicherheitsfaktor von ± 1,0 % je Messvorgang; die Analysen der Z</w:t>
      </w:r>
      <w:r>
        <w:rPr>
          <w:rFonts w:cs="Arial"/>
          <w:szCs w:val="17"/>
        </w:rPr>
        <w:t>u</w:t>
      </w:r>
      <w:r>
        <w:rPr>
          <w:rFonts w:cs="Arial"/>
          <w:szCs w:val="17"/>
        </w:rPr>
        <w:t>sammensetzung erfo</w:t>
      </w:r>
      <w:r>
        <w:rPr>
          <w:rFonts w:cs="Arial"/>
          <w:szCs w:val="17"/>
        </w:rPr>
        <w:t>l</w:t>
      </w:r>
      <w:r>
        <w:rPr>
          <w:rFonts w:cs="Arial"/>
          <w:szCs w:val="17"/>
        </w:rPr>
        <w:t>gen in Einklang mit den Vorgaben von Abschnitt 10 des Anhangs I.</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Karbonate</w:t>
      </w:r>
    </w:p>
    <w:p>
      <w:pPr>
        <w:pStyle w:val="GesAbsatz"/>
        <w:jc w:val="both"/>
        <w:rPr>
          <w:rFonts w:cs="Arial"/>
          <w:szCs w:val="17"/>
        </w:rPr>
      </w:pPr>
      <w:r>
        <w:rPr>
          <w:rFonts w:cs="Arial"/>
          <w:szCs w:val="17"/>
        </w:rPr>
        <w:t>Es sind die stöchiometrischen Verhältnisse der Karbonate im Prozessinput und -output, die in der unten stehenden Tabelle 1 aufgeführt sind, anzuwenden.</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60"/>
        <w:gridCol w:w="4654"/>
      </w:tblGrid>
      <w:tr>
        <w:tblPrEx>
          <w:tblCellMar>
            <w:top w:w="0" w:type="dxa"/>
            <w:bottom w:w="0" w:type="dxa"/>
          </w:tblCellMar>
        </w:tblPrEx>
        <w:tc>
          <w:tcPr>
            <w:tcW w:w="1630" w:type="dxa"/>
          </w:tcPr>
          <w:p>
            <w:pPr>
              <w:pStyle w:val="GesAbsatz"/>
              <w:jc w:val="center"/>
              <w:rPr>
                <w:rFonts w:cs="Arial"/>
                <w:szCs w:val="15"/>
              </w:rPr>
            </w:pPr>
            <w:r>
              <w:rPr>
                <w:rFonts w:cs="Arial"/>
                <w:szCs w:val="15"/>
              </w:rPr>
              <w:t>Oxid</w:t>
            </w:r>
          </w:p>
        </w:tc>
        <w:tc>
          <w:tcPr>
            <w:tcW w:w="3260" w:type="dxa"/>
          </w:tcPr>
          <w:p>
            <w:pPr>
              <w:pStyle w:val="GesAbsatz"/>
              <w:jc w:val="center"/>
              <w:rPr>
                <w:rFonts w:cs="Arial"/>
                <w:szCs w:val="15"/>
              </w:rPr>
            </w:pPr>
            <w:r>
              <w:rPr>
                <w:rFonts w:cs="Arial"/>
                <w:szCs w:val="15"/>
              </w:rPr>
              <w:t>Emissionsfaktor [t CO</w:t>
            </w:r>
            <w:r>
              <w:rPr>
                <w:rFonts w:cs="Arial"/>
                <w:szCs w:val="8"/>
                <w:vertAlign w:val="subscript"/>
              </w:rPr>
              <w:t>2</w:t>
            </w:r>
            <w:r>
              <w:rPr>
                <w:rFonts w:cs="Arial"/>
                <w:szCs w:val="15"/>
              </w:rPr>
              <w:t>/t Ca-, Mg- Na-, Ba- oder anderes Karbonat]</w:t>
            </w:r>
          </w:p>
        </w:tc>
        <w:tc>
          <w:tcPr>
            <w:tcW w:w="4654" w:type="dxa"/>
          </w:tcPr>
          <w:p>
            <w:pPr>
              <w:pStyle w:val="GesAbsatz"/>
              <w:jc w:val="center"/>
              <w:rPr>
                <w:rFonts w:cs="Arial"/>
                <w:szCs w:val="15"/>
              </w:rPr>
            </w:pPr>
            <w:r>
              <w:rPr>
                <w:rFonts w:cs="Arial"/>
                <w:szCs w:val="15"/>
              </w:rPr>
              <w:t>Bemerkungen</w:t>
            </w:r>
          </w:p>
        </w:tc>
      </w:tr>
      <w:tr>
        <w:tblPrEx>
          <w:tblCellMar>
            <w:top w:w="0" w:type="dxa"/>
            <w:bottom w:w="0" w:type="dxa"/>
          </w:tblCellMar>
        </w:tblPrEx>
        <w:tc>
          <w:tcPr>
            <w:tcW w:w="1630" w:type="dxa"/>
          </w:tcPr>
          <w:p>
            <w:pPr>
              <w:pStyle w:val="GesAbsatz"/>
              <w:rPr>
                <w:rFonts w:cs="Arial"/>
                <w:szCs w:val="15"/>
              </w:rPr>
            </w:pPr>
            <w:r>
              <w:rPr>
                <w:rFonts w:cs="Arial"/>
                <w:szCs w:val="17"/>
              </w:rPr>
              <w:t>CaCO</w:t>
            </w:r>
            <w:r>
              <w:rPr>
                <w:rFonts w:cs="Arial"/>
                <w:szCs w:val="10"/>
                <w:vertAlign w:val="subscript"/>
              </w:rPr>
              <w:t>3</w:t>
            </w:r>
          </w:p>
        </w:tc>
        <w:tc>
          <w:tcPr>
            <w:tcW w:w="3260" w:type="dxa"/>
          </w:tcPr>
          <w:p>
            <w:pPr>
              <w:pStyle w:val="GesAbsatz"/>
              <w:rPr>
                <w:rFonts w:cs="Arial"/>
                <w:szCs w:val="15"/>
              </w:rPr>
            </w:pPr>
            <w:r>
              <w:rPr>
                <w:rFonts w:cs="Arial"/>
                <w:szCs w:val="17"/>
              </w:rPr>
              <w:t>0,440</w:t>
            </w:r>
          </w:p>
        </w:tc>
        <w:tc>
          <w:tcPr>
            <w:tcW w:w="4654" w:type="dxa"/>
          </w:tcPr>
          <w:p>
            <w:pPr>
              <w:pStyle w:val="GesAbsatz"/>
              <w:rPr>
                <w:rFonts w:cs="Arial"/>
                <w:szCs w:val="15"/>
              </w:rPr>
            </w:pPr>
          </w:p>
        </w:tc>
      </w:tr>
      <w:tr>
        <w:tblPrEx>
          <w:tblCellMar>
            <w:top w:w="0" w:type="dxa"/>
            <w:bottom w:w="0" w:type="dxa"/>
          </w:tblCellMar>
        </w:tblPrEx>
        <w:tc>
          <w:tcPr>
            <w:tcW w:w="1630" w:type="dxa"/>
          </w:tcPr>
          <w:p>
            <w:pPr>
              <w:pStyle w:val="GesAbsatz"/>
              <w:rPr>
                <w:rFonts w:cs="Arial"/>
                <w:szCs w:val="17"/>
              </w:rPr>
            </w:pPr>
            <w:r>
              <w:rPr>
                <w:rFonts w:cs="Arial"/>
                <w:szCs w:val="17"/>
              </w:rPr>
              <w:t>MgCO</w:t>
            </w:r>
            <w:r>
              <w:rPr>
                <w:rFonts w:cs="Arial"/>
                <w:szCs w:val="10"/>
                <w:vertAlign w:val="subscript"/>
              </w:rPr>
              <w:t>3</w:t>
            </w:r>
          </w:p>
        </w:tc>
        <w:tc>
          <w:tcPr>
            <w:tcW w:w="3260" w:type="dxa"/>
          </w:tcPr>
          <w:p>
            <w:pPr>
              <w:pStyle w:val="GesAbsatz"/>
              <w:rPr>
                <w:rFonts w:cs="Arial"/>
                <w:szCs w:val="17"/>
                <w:lang w:val="en-GB"/>
              </w:rPr>
            </w:pPr>
            <w:r>
              <w:rPr>
                <w:rFonts w:cs="Arial"/>
                <w:szCs w:val="17"/>
                <w:lang w:val="en-GB"/>
              </w:rPr>
              <w:t>0,522</w:t>
            </w:r>
          </w:p>
        </w:tc>
        <w:tc>
          <w:tcPr>
            <w:tcW w:w="4654" w:type="dxa"/>
          </w:tcPr>
          <w:p>
            <w:pPr>
              <w:pStyle w:val="GesAbsatz"/>
              <w:rPr>
                <w:rFonts w:cs="Arial"/>
                <w:szCs w:val="15"/>
                <w:lang w:val="en-GB"/>
              </w:rPr>
            </w:pPr>
          </w:p>
        </w:tc>
      </w:tr>
      <w:tr>
        <w:tblPrEx>
          <w:tblCellMar>
            <w:top w:w="0" w:type="dxa"/>
            <w:bottom w:w="0" w:type="dxa"/>
          </w:tblCellMar>
        </w:tblPrEx>
        <w:tc>
          <w:tcPr>
            <w:tcW w:w="1630" w:type="dxa"/>
          </w:tcPr>
          <w:p>
            <w:pPr>
              <w:pStyle w:val="GesAbsatz"/>
              <w:rPr>
                <w:rFonts w:cs="Arial"/>
                <w:szCs w:val="17"/>
                <w:lang w:val="en-GB"/>
              </w:rPr>
            </w:pPr>
            <w:r>
              <w:rPr>
                <w:rFonts w:cs="Arial"/>
                <w:szCs w:val="17"/>
                <w:lang w:val="en-GB"/>
              </w:rPr>
              <w:t>Na</w:t>
            </w:r>
            <w:r>
              <w:rPr>
                <w:rFonts w:cs="Arial"/>
                <w:szCs w:val="10"/>
                <w:vertAlign w:val="subscript"/>
                <w:lang w:val="en-GB"/>
              </w:rPr>
              <w:t>2</w:t>
            </w:r>
            <w:r>
              <w:rPr>
                <w:rFonts w:cs="Arial"/>
                <w:szCs w:val="17"/>
                <w:lang w:val="en-GB"/>
              </w:rPr>
              <w:t>CO</w:t>
            </w:r>
            <w:r>
              <w:rPr>
                <w:rFonts w:cs="Arial"/>
                <w:szCs w:val="10"/>
                <w:vertAlign w:val="subscript"/>
                <w:lang w:val="en-GB"/>
              </w:rPr>
              <w:t>3</w:t>
            </w:r>
          </w:p>
        </w:tc>
        <w:tc>
          <w:tcPr>
            <w:tcW w:w="3260" w:type="dxa"/>
          </w:tcPr>
          <w:p>
            <w:pPr>
              <w:pStyle w:val="GesAbsatz"/>
              <w:rPr>
                <w:rFonts w:cs="Arial"/>
                <w:szCs w:val="17"/>
                <w:lang w:val="en-GB"/>
              </w:rPr>
            </w:pPr>
            <w:r>
              <w:rPr>
                <w:rFonts w:cs="Arial"/>
                <w:szCs w:val="17"/>
                <w:lang w:val="en-GB"/>
              </w:rPr>
              <w:t>0,415</w:t>
            </w:r>
          </w:p>
        </w:tc>
        <w:tc>
          <w:tcPr>
            <w:tcW w:w="4654" w:type="dxa"/>
          </w:tcPr>
          <w:p>
            <w:pPr>
              <w:pStyle w:val="GesAbsatz"/>
              <w:rPr>
                <w:rFonts w:cs="Arial"/>
                <w:szCs w:val="15"/>
                <w:lang w:val="en-GB"/>
              </w:rPr>
            </w:pPr>
          </w:p>
        </w:tc>
      </w:tr>
      <w:tr>
        <w:tblPrEx>
          <w:tblCellMar>
            <w:top w:w="0" w:type="dxa"/>
            <w:bottom w:w="0" w:type="dxa"/>
          </w:tblCellMar>
        </w:tblPrEx>
        <w:tc>
          <w:tcPr>
            <w:tcW w:w="1630" w:type="dxa"/>
          </w:tcPr>
          <w:p>
            <w:pPr>
              <w:pStyle w:val="GesAbsatz"/>
              <w:rPr>
                <w:rFonts w:cs="Arial"/>
                <w:szCs w:val="17"/>
                <w:lang w:val="en-GB"/>
              </w:rPr>
            </w:pPr>
            <w:r>
              <w:rPr>
                <w:rFonts w:cs="Arial"/>
                <w:szCs w:val="17"/>
                <w:lang w:val="en-GB"/>
              </w:rPr>
              <w:t>BaCO</w:t>
            </w:r>
            <w:r>
              <w:rPr>
                <w:rFonts w:cs="Arial"/>
                <w:szCs w:val="10"/>
                <w:vertAlign w:val="subscript"/>
                <w:lang w:val="en-GB"/>
              </w:rPr>
              <w:t>3</w:t>
            </w:r>
          </w:p>
        </w:tc>
        <w:tc>
          <w:tcPr>
            <w:tcW w:w="3260" w:type="dxa"/>
          </w:tcPr>
          <w:p>
            <w:pPr>
              <w:pStyle w:val="GesAbsatz"/>
              <w:rPr>
                <w:rFonts w:cs="Arial"/>
                <w:szCs w:val="17"/>
                <w:lang w:val="en-GB"/>
              </w:rPr>
            </w:pPr>
            <w:r>
              <w:rPr>
                <w:rFonts w:cs="Arial"/>
                <w:szCs w:val="17"/>
                <w:lang w:val="en-GB"/>
              </w:rPr>
              <w:t>0,223</w:t>
            </w:r>
          </w:p>
        </w:tc>
        <w:tc>
          <w:tcPr>
            <w:tcW w:w="4654" w:type="dxa"/>
          </w:tcPr>
          <w:p>
            <w:pPr>
              <w:pStyle w:val="GesAbsatz"/>
              <w:rPr>
                <w:rFonts w:cs="Arial"/>
                <w:szCs w:val="15"/>
                <w:lang w:val="en-GB"/>
              </w:rPr>
            </w:pPr>
          </w:p>
        </w:tc>
      </w:tr>
      <w:tr>
        <w:tblPrEx>
          <w:tblCellMar>
            <w:top w:w="0" w:type="dxa"/>
            <w:bottom w:w="0" w:type="dxa"/>
          </w:tblCellMar>
        </w:tblPrEx>
        <w:tc>
          <w:tcPr>
            <w:tcW w:w="1630" w:type="dxa"/>
          </w:tcPr>
          <w:p>
            <w:pPr>
              <w:pStyle w:val="GesAbsatz"/>
              <w:rPr>
                <w:rFonts w:cs="Arial"/>
                <w:szCs w:val="17"/>
                <w:lang w:val="en-GB"/>
              </w:rPr>
            </w:pPr>
            <w:r>
              <w:rPr>
                <w:rFonts w:cs="Arial"/>
                <w:szCs w:val="17"/>
                <w:lang w:val="en-GB"/>
              </w:rPr>
              <w:t>Allgemein:</w:t>
            </w:r>
            <w:r>
              <w:rPr>
                <w:rFonts w:cs="Arial"/>
                <w:szCs w:val="17"/>
                <w:lang w:val="en-GB"/>
              </w:rPr>
              <w:br/>
              <w:t>X</w:t>
            </w:r>
            <w:r>
              <w:rPr>
                <w:rFonts w:cs="Arial"/>
                <w:szCs w:val="10"/>
                <w:vertAlign w:val="subscript"/>
                <w:lang w:val="en-GB"/>
              </w:rPr>
              <w:t>y</w:t>
            </w:r>
            <w:r>
              <w:rPr>
                <w:rFonts w:cs="Arial"/>
                <w:szCs w:val="17"/>
                <w:lang w:val="en-GB"/>
              </w:rPr>
              <w:t>(CO</w:t>
            </w:r>
            <w:r>
              <w:rPr>
                <w:rFonts w:cs="Arial"/>
                <w:szCs w:val="10"/>
                <w:vertAlign w:val="subscript"/>
                <w:lang w:val="en-GB"/>
              </w:rPr>
              <w:t>3</w:t>
            </w:r>
            <w:r>
              <w:rPr>
                <w:rFonts w:cs="Arial"/>
                <w:szCs w:val="17"/>
                <w:lang w:val="en-GB"/>
              </w:rPr>
              <w:t>)</w:t>
            </w:r>
            <w:r>
              <w:rPr>
                <w:rFonts w:cs="Arial"/>
                <w:szCs w:val="10"/>
                <w:vertAlign w:val="subscript"/>
                <w:lang w:val="en-GB"/>
              </w:rPr>
              <w:t>z</w:t>
            </w:r>
          </w:p>
        </w:tc>
        <w:tc>
          <w:tcPr>
            <w:tcW w:w="3260" w:type="dxa"/>
          </w:tcPr>
          <w:p>
            <w:pPr>
              <w:pStyle w:val="GesAbsatz"/>
              <w:rPr>
                <w:rFonts w:cs="Arial"/>
                <w:szCs w:val="17"/>
              </w:rPr>
            </w:pPr>
            <w:r>
              <w:rPr>
                <w:rFonts w:cs="Arial"/>
                <w:szCs w:val="17"/>
              </w:rPr>
              <w:t>Emissionsfaktor =</w:t>
            </w:r>
            <w:r>
              <w:rPr>
                <w:rFonts w:cs="Arial"/>
                <w:szCs w:val="17"/>
              </w:rPr>
              <w:br/>
              <w:t>[M</w:t>
            </w:r>
            <w:r>
              <w:rPr>
                <w:rFonts w:cs="Arial"/>
                <w:szCs w:val="10"/>
                <w:vertAlign w:val="subscript"/>
              </w:rPr>
              <w:t>CO2</w:t>
            </w:r>
            <w:r>
              <w:rPr>
                <w:rFonts w:cs="Arial"/>
                <w:szCs w:val="17"/>
              </w:rPr>
              <w:t>] / {Y × [M</w:t>
            </w:r>
            <w:r>
              <w:rPr>
                <w:rFonts w:cs="Arial"/>
                <w:szCs w:val="10"/>
                <w:vertAlign w:val="subscript"/>
              </w:rPr>
              <w:t>x</w:t>
            </w:r>
            <w:r>
              <w:rPr>
                <w:rFonts w:cs="Arial"/>
                <w:szCs w:val="17"/>
              </w:rPr>
              <w:t>] + Z × [M</w:t>
            </w:r>
            <w:r>
              <w:rPr>
                <w:rFonts w:cs="Arial"/>
                <w:szCs w:val="10"/>
                <w:vertAlign w:val="subscript"/>
              </w:rPr>
              <w:t>CO3</w:t>
            </w:r>
            <w:r>
              <w:rPr>
                <w:rFonts w:cs="Arial"/>
                <w:szCs w:val="5"/>
                <w:vertAlign w:val="superscript"/>
              </w:rPr>
              <w:t>2-</w:t>
            </w:r>
            <w:r>
              <w:rPr>
                <w:rFonts w:cs="Arial"/>
                <w:szCs w:val="17"/>
              </w:rPr>
              <w:t>]}</w:t>
            </w:r>
          </w:p>
        </w:tc>
        <w:tc>
          <w:tcPr>
            <w:tcW w:w="4654" w:type="dxa"/>
          </w:tcPr>
          <w:p>
            <w:pPr>
              <w:pStyle w:val="GesAbsatz"/>
              <w:tabs>
                <w:tab w:val="clear" w:pos="425"/>
              </w:tabs>
              <w:ind w:left="780" w:hanging="780"/>
              <w:rPr>
                <w:rFonts w:cs="Arial"/>
                <w:szCs w:val="17"/>
              </w:rPr>
            </w:pPr>
            <w:r>
              <w:rPr>
                <w:rFonts w:cs="Arial"/>
                <w:szCs w:val="17"/>
              </w:rPr>
              <w:t>X =</w:t>
            </w:r>
            <w:r>
              <w:rPr>
                <w:rFonts w:cs="Arial"/>
                <w:szCs w:val="17"/>
              </w:rPr>
              <w:tab/>
              <w:t>Erdalkali- oder Alkalimetall</w:t>
            </w:r>
          </w:p>
          <w:p>
            <w:pPr>
              <w:pStyle w:val="GesAbsatz"/>
              <w:tabs>
                <w:tab w:val="clear" w:pos="425"/>
              </w:tabs>
              <w:ind w:left="780" w:hanging="780"/>
              <w:rPr>
                <w:rFonts w:cs="Arial"/>
                <w:szCs w:val="17"/>
              </w:rPr>
            </w:pPr>
            <w:r>
              <w:rPr>
                <w:rFonts w:cs="Arial"/>
                <w:szCs w:val="17"/>
              </w:rPr>
              <w:t>M</w:t>
            </w:r>
            <w:r>
              <w:rPr>
                <w:rFonts w:cs="Arial"/>
                <w:szCs w:val="10"/>
                <w:vertAlign w:val="subscript"/>
              </w:rPr>
              <w:t>x</w:t>
            </w:r>
            <w:r>
              <w:rPr>
                <w:rFonts w:cs="Arial"/>
                <w:szCs w:val="10"/>
              </w:rPr>
              <w:t xml:space="preserve"> </w:t>
            </w:r>
            <w:r>
              <w:rPr>
                <w:rFonts w:cs="Arial"/>
                <w:szCs w:val="17"/>
              </w:rPr>
              <w:t>=</w:t>
            </w:r>
            <w:r>
              <w:rPr>
                <w:rFonts w:cs="Arial"/>
                <w:szCs w:val="17"/>
              </w:rPr>
              <w:tab/>
              <w:t>Molekulargewicht von X in [g/mol]</w:t>
            </w:r>
          </w:p>
          <w:p>
            <w:pPr>
              <w:pStyle w:val="GesAbsatz"/>
              <w:tabs>
                <w:tab w:val="clear" w:pos="425"/>
              </w:tabs>
              <w:ind w:left="780" w:hanging="780"/>
              <w:rPr>
                <w:rFonts w:cs="Arial"/>
                <w:szCs w:val="17"/>
              </w:rPr>
            </w:pPr>
            <w:r>
              <w:rPr>
                <w:rFonts w:cs="Arial"/>
                <w:szCs w:val="17"/>
              </w:rPr>
              <w:t>M</w:t>
            </w:r>
            <w:r>
              <w:rPr>
                <w:rFonts w:cs="Arial"/>
                <w:szCs w:val="10"/>
                <w:vertAlign w:val="subscript"/>
              </w:rPr>
              <w:t>CO2</w:t>
            </w:r>
            <w:r>
              <w:rPr>
                <w:rFonts w:cs="Arial"/>
                <w:szCs w:val="10"/>
              </w:rPr>
              <w:t xml:space="preserve"> </w:t>
            </w:r>
            <w:r>
              <w:rPr>
                <w:rFonts w:cs="Arial"/>
                <w:szCs w:val="17"/>
              </w:rPr>
              <w:t>=</w:t>
            </w:r>
            <w:r>
              <w:rPr>
                <w:rFonts w:cs="Arial"/>
                <w:szCs w:val="17"/>
              </w:rPr>
              <w:tab/>
              <w:t>Molekulargewicht von CO</w:t>
            </w:r>
            <w:r>
              <w:rPr>
                <w:rFonts w:cs="Arial"/>
                <w:szCs w:val="10"/>
                <w:vertAlign w:val="subscript"/>
              </w:rPr>
              <w:t>2</w:t>
            </w:r>
            <w:r>
              <w:rPr>
                <w:rFonts w:cs="Arial"/>
                <w:szCs w:val="10"/>
              </w:rPr>
              <w:t xml:space="preserve"> </w:t>
            </w:r>
            <w:r>
              <w:rPr>
                <w:rFonts w:cs="Arial"/>
                <w:szCs w:val="17"/>
              </w:rPr>
              <w:t>= 44 [g/mol]</w:t>
            </w:r>
          </w:p>
          <w:p>
            <w:pPr>
              <w:pStyle w:val="GesAbsatz"/>
              <w:tabs>
                <w:tab w:val="clear" w:pos="425"/>
              </w:tabs>
              <w:ind w:left="780" w:hanging="780"/>
              <w:rPr>
                <w:rFonts w:cs="Arial"/>
                <w:szCs w:val="17"/>
              </w:rPr>
            </w:pPr>
            <w:r>
              <w:rPr>
                <w:rFonts w:cs="Arial"/>
                <w:szCs w:val="17"/>
              </w:rPr>
              <w:t>M</w:t>
            </w:r>
            <w:r>
              <w:rPr>
                <w:rFonts w:cs="Arial"/>
                <w:szCs w:val="10"/>
                <w:vertAlign w:val="subscript"/>
              </w:rPr>
              <w:t>CO3-</w:t>
            </w:r>
            <w:r>
              <w:rPr>
                <w:rFonts w:cs="Arial"/>
                <w:szCs w:val="10"/>
              </w:rPr>
              <w:t xml:space="preserve"> </w:t>
            </w:r>
            <w:r>
              <w:rPr>
                <w:rFonts w:cs="Arial"/>
                <w:szCs w:val="17"/>
              </w:rPr>
              <w:t>=</w:t>
            </w:r>
            <w:r>
              <w:rPr>
                <w:rFonts w:cs="Arial"/>
                <w:szCs w:val="17"/>
              </w:rPr>
              <w:tab/>
              <w:t>Molekulargewicht von CO</w:t>
            </w:r>
            <w:r>
              <w:rPr>
                <w:rFonts w:cs="Arial"/>
                <w:szCs w:val="10"/>
                <w:vertAlign w:val="subscript"/>
              </w:rPr>
              <w:t>3</w:t>
            </w:r>
            <w:r>
              <w:rPr>
                <w:rFonts w:cs="Arial"/>
                <w:szCs w:val="10"/>
                <w:vertAlign w:val="superscript"/>
              </w:rPr>
              <w:t>2-</w:t>
            </w:r>
            <w:r>
              <w:rPr>
                <w:rFonts w:cs="Arial"/>
                <w:szCs w:val="10"/>
              </w:rPr>
              <w:t xml:space="preserve"> </w:t>
            </w:r>
            <w:r>
              <w:rPr>
                <w:rFonts w:cs="Arial"/>
                <w:szCs w:val="17"/>
              </w:rPr>
              <w:t>= 60 [g/mol]</w:t>
            </w:r>
          </w:p>
          <w:p>
            <w:pPr>
              <w:pStyle w:val="GesAbsatz"/>
              <w:tabs>
                <w:tab w:val="clear" w:pos="425"/>
              </w:tabs>
              <w:ind w:left="780" w:hanging="780"/>
              <w:rPr>
                <w:rFonts w:cs="Arial"/>
                <w:szCs w:val="17"/>
              </w:rPr>
            </w:pPr>
            <w:r>
              <w:rPr>
                <w:rFonts w:cs="Arial"/>
                <w:szCs w:val="17"/>
              </w:rPr>
              <w:t>Y =</w:t>
            </w:r>
            <w:r>
              <w:rPr>
                <w:rFonts w:cs="Arial"/>
                <w:szCs w:val="17"/>
              </w:rPr>
              <w:tab/>
              <w:t>stöchiometrische Zahl von X</w:t>
            </w:r>
          </w:p>
          <w:p>
            <w:pPr>
              <w:pStyle w:val="GesAbsatz"/>
              <w:tabs>
                <w:tab w:val="clear" w:pos="425"/>
              </w:tabs>
              <w:ind w:left="780" w:hanging="780"/>
              <w:rPr>
                <w:rFonts w:cs="Arial"/>
                <w:szCs w:val="17"/>
              </w:rPr>
            </w:pPr>
            <w:r>
              <w:rPr>
                <w:rFonts w:cs="Arial"/>
                <w:szCs w:val="17"/>
              </w:rPr>
              <w:tab/>
              <w:t>= 1 (für Erdalkalimetalle)</w:t>
            </w:r>
          </w:p>
          <w:p>
            <w:pPr>
              <w:pStyle w:val="GesAbsatz"/>
              <w:tabs>
                <w:tab w:val="clear" w:pos="425"/>
              </w:tabs>
              <w:ind w:left="780" w:hanging="780"/>
              <w:rPr>
                <w:rFonts w:cs="Arial"/>
                <w:szCs w:val="17"/>
              </w:rPr>
            </w:pPr>
            <w:r>
              <w:rPr>
                <w:rFonts w:cs="Arial"/>
                <w:szCs w:val="17"/>
              </w:rPr>
              <w:tab/>
              <w:t>= 2 (für Alkalimetalle)</w:t>
            </w:r>
          </w:p>
          <w:p>
            <w:pPr>
              <w:pStyle w:val="GesAbsatz"/>
              <w:tabs>
                <w:tab w:val="clear" w:pos="425"/>
              </w:tabs>
              <w:ind w:left="780" w:hanging="780"/>
              <w:rPr>
                <w:rFonts w:cs="Arial"/>
                <w:szCs w:val="15"/>
              </w:rPr>
            </w:pPr>
            <w:r>
              <w:rPr>
                <w:rFonts w:cs="Arial"/>
                <w:szCs w:val="17"/>
              </w:rPr>
              <w:t>Z =</w:t>
            </w:r>
            <w:r>
              <w:rPr>
                <w:rFonts w:cs="Arial"/>
                <w:szCs w:val="17"/>
              </w:rPr>
              <w:tab/>
              <w:t>stöchiometrische Zahl von CO</w:t>
            </w:r>
            <w:r>
              <w:rPr>
                <w:rFonts w:cs="Arial"/>
                <w:szCs w:val="10"/>
                <w:vertAlign w:val="subscript"/>
              </w:rPr>
              <w:t>3</w:t>
            </w:r>
            <w:r>
              <w:rPr>
                <w:rFonts w:cs="Arial"/>
                <w:szCs w:val="10"/>
                <w:vertAlign w:val="superscript"/>
              </w:rPr>
              <w:t>2-</w:t>
            </w:r>
            <w:r>
              <w:rPr>
                <w:rFonts w:cs="Arial"/>
                <w:szCs w:val="10"/>
              </w:rPr>
              <w:t xml:space="preserve"> </w:t>
            </w:r>
            <w:r>
              <w:rPr>
                <w:rFonts w:cs="Arial"/>
                <w:szCs w:val="17"/>
              </w:rPr>
              <w:t>= 1</w:t>
            </w:r>
          </w:p>
        </w:tc>
      </w:tr>
    </w:tbl>
    <w:p>
      <w:pPr>
        <w:pStyle w:val="GesAbsatz"/>
        <w:jc w:val="both"/>
        <w:rPr>
          <w:rFonts w:cs="Arial"/>
          <w:szCs w:val="15"/>
        </w:rPr>
      </w:pPr>
    </w:p>
    <w:p>
      <w:pPr>
        <w:pStyle w:val="GesAbsatz"/>
        <w:jc w:val="both"/>
        <w:rPr>
          <w:rFonts w:cs="Arial"/>
          <w:szCs w:val="17"/>
        </w:rPr>
      </w:pPr>
      <w:r>
        <w:rPr>
          <w:rFonts w:cs="Arial"/>
          <w:szCs w:val="17"/>
        </w:rPr>
        <w:t>Diese Werte sind um den jeweiligen Feuchte- und Gangart-Gehalt der eingesetzten Karbonatmaterialien zu bereinigen.</w:t>
      </w:r>
    </w:p>
    <w:p>
      <w:pPr>
        <w:pStyle w:val="GesAbsatz"/>
        <w:jc w:val="both"/>
        <w:rPr>
          <w:rFonts w:cs="Arial"/>
          <w:szCs w:val="17"/>
        </w:rPr>
      </w:pPr>
      <w:r>
        <w:rPr>
          <w:rFonts w:cs="Arial"/>
          <w:szCs w:val="17"/>
        </w:rPr>
        <w:t>Zusatzstoffe</w:t>
      </w:r>
    </w:p>
    <w:p>
      <w:pPr>
        <w:pStyle w:val="GesAbsatz"/>
        <w:jc w:val="both"/>
        <w:rPr>
          <w:rFonts w:cs="Arial"/>
          <w:szCs w:val="17"/>
        </w:rPr>
      </w:pPr>
      <w:r>
        <w:rPr>
          <w:rFonts w:cs="Arial"/>
          <w:szCs w:val="17"/>
        </w:rPr>
        <w:t>Der spezifische Emissionsfaktor wird in Einklang mit den Vorgaben von Abschnitt 10 des Anhangs I ermi</w:t>
      </w:r>
      <w:r>
        <w:rPr>
          <w:rFonts w:cs="Arial"/>
          <w:szCs w:val="17"/>
        </w:rPr>
        <w:t>t</w:t>
      </w:r>
      <w:r>
        <w:rPr>
          <w:rFonts w:cs="Arial"/>
          <w:szCs w:val="17"/>
        </w:rPr>
        <w:t>telt.</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lastRenderedPageBreak/>
        <w:t>Berechnungsmethode B: Alkalimetalloxide</w:t>
      </w:r>
    </w:p>
    <w:p>
      <w:pPr>
        <w:pStyle w:val="GesAbsatz"/>
        <w:jc w:val="both"/>
        <w:rPr>
          <w:rFonts w:cs="Arial"/>
          <w:szCs w:val="17"/>
        </w:rPr>
      </w:pPr>
      <w:r>
        <w:rPr>
          <w:rFonts w:cs="Arial"/>
          <w:szCs w:val="17"/>
        </w:rPr>
        <w:t>Die CO</w:t>
      </w:r>
      <w:r>
        <w:rPr>
          <w:rFonts w:cs="Arial"/>
          <w:szCs w:val="10"/>
          <w:vertAlign w:val="subscript"/>
        </w:rPr>
        <w:t>2</w:t>
      </w:r>
      <w:r>
        <w:rPr>
          <w:rFonts w:cs="Arial"/>
          <w:szCs w:val="17"/>
        </w:rPr>
        <w:t>-Emissionen sind auf Basis der hergestellten Glasmengen und der Anteile an CaO, MgO, Na</w:t>
      </w:r>
      <w:r>
        <w:rPr>
          <w:rFonts w:cs="Arial"/>
          <w:szCs w:val="10"/>
          <w:vertAlign w:val="subscript"/>
        </w:rPr>
        <w:t>2</w:t>
      </w:r>
      <w:r>
        <w:rPr>
          <w:rFonts w:cs="Arial"/>
          <w:szCs w:val="17"/>
        </w:rPr>
        <w:t>O, BaO und anderen Erdalkali/Alkalimetalloxiden im Glas (Tätigkeitsdateno output) zu berechnen. Der Emi</w:t>
      </w:r>
      <w:r>
        <w:rPr>
          <w:rFonts w:cs="Arial"/>
          <w:szCs w:val="17"/>
        </w:rPr>
        <w:t>s</w:t>
      </w:r>
      <w:r>
        <w:rPr>
          <w:rFonts w:cs="Arial"/>
          <w:szCs w:val="17"/>
        </w:rPr>
        <w:t>sionsfa</w:t>
      </w:r>
      <w:r>
        <w:rPr>
          <w:rFonts w:cs="Arial"/>
          <w:szCs w:val="17"/>
        </w:rPr>
        <w:t>k</w:t>
      </w:r>
      <w:r>
        <w:rPr>
          <w:rFonts w:cs="Arial"/>
          <w:szCs w:val="17"/>
        </w:rPr>
        <w:t>tor ist um die Mengen Ca, Mg, Na, Ba und anderer Erdalkali-/Alkalimetalle zu korrigieren, die dem Ofen nicht als Karbonate zugeführt werden, sondern zum Beispiel über Altglas oder alternative Brennsto</w:t>
      </w:r>
      <w:r>
        <w:rPr>
          <w:rFonts w:cs="Arial"/>
          <w:szCs w:val="17"/>
        </w:rPr>
        <w:t>f</w:t>
      </w:r>
      <w:r>
        <w:rPr>
          <w:rFonts w:cs="Arial"/>
          <w:szCs w:val="17"/>
        </w:rPr>
        <w:t>fe und Rohstoffe mit bedeutendem Anteil an CaO, MgO, Na</w:t>
      </w:r>
      <w:r>
        <w:rPr>
          <w:rFonts w:cs="Arial"/>
          <w:szCs w:val="10"/>
          <w:vertAlign w:val="subscript"/>
        </w:rPr>
        <w:t>2</w:t>
      </w:r>
      <w:r>
        <w:rPr>
          <w:rFonts w:cs="Arial"/>
          <w:szCs w:val="17"/>
        </w:rPr>
        <w:t>O oder BaO und anderen Erdalk</w:t>
      </w:r>
      <w:r>
        <w:rPr>
          <w:rFonts w:cs="Arial"/>
          <w:szCs w:val="17"/>
        </w:rPr>
        <w:t>a</w:t>
      </w:r>
      <w:r>
        <w:rPr>
          <w:rFonts w:cs="Arial"/>
          <w:szCs w:val="17"/>
        </w:rPr>
        <w:t>li-/Alkalimetalloxiden (Tätigkeitsdateno input).</w:t>
      </w:r>
    </w:p>
    <w:p>
      <w:pPr>
        <w:pStyle w:val="GesAbsatz"/>
        <w:jc w:val="both"/>
        <w:rPr>
          <w:rFonts w:cs="Arial"/>
          <w:szCs w:val="17"/>
        </w:rPr>
      </w:pPr>
      <w:r>
        <w:rPr>
          <w:rFonts w:cs="Arial"/>
          <w:szCs w:val="17"/>
        </w:rPr>
        <w:t>Der Berechnung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 xml:space="preserve">O OUTPUT </w:t>
      </w:r>
      <w:r>
        <w:rPr>
          <w:rFonts w:cs="Arial"/>
          <w:szCs w:val="17"/>
        </w:rPr>
        <w:t>– Tätigkeitsdaten</w:t>
      </w:r>
      <w:r>
        <w:rPr>
          <w:rFonts w:cs="Arial"/>
          <w:szCs w:val="10"/>
          <w:vertAlign w:val="subscript"/>
        </w:rPr>
        <w:t>O INPUT</w:t>
      </w:r>
      <w:r>
        <w:rPr>
          <w:rFonts w:cs="Arial"/>
          <w:szCs w:val="17"/>
        </w:rPr>
        <w:t xml:space="preserve">) × Emissionsfaktor} + </w:t>
      </w:r>
      <w:r>
        <w:rPr>
          <w:rFonts w:eastAsia="EUAlbertina+22" w:cs="Arial" w:hint="eastAsia"/>
          <w:szCs w:val="17"/>
        </w:rPr>
        <w:t>∑</w:t>
      </w:r>
      <w:r>
        <w:rPr>
          <w:rFonts w:eastAsia="EUAlbertina+22" w:cs="Arial" w:hint="eastAsia"/>
          <w:szCs w:val="17"/>
        </w:rPr>
        <w:t xml:space="preserve"> </w:t>
      </w:r>
      <w:r>
        <w:rPr>
          <w:rFonts w:cs="Arial"/>
          <w:szCs w:val="17"/>
        </w:rPr>
        <w:t>{Z</w:t>
      </w:r>
      <w:r>
        <w:rPr>
          <w:rFonts w:cs="Arial"/>
          <w:szCs w:val="17"/>
        </w:rPr>
        <w:t>u</w:t>
      </w:r>
      <w:r>
        <w:rPr>
          <w:rFonts w:cs="Arial"/>
          <w:szCs w:val="17"/>
        </w:rPr>
        <w:t>satzstoff ×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Begriff „Tätigkeitsdaten</w:t>
      </w:r>
      <w:r>
        <w:rPr>
          <w:rFonts w:cs="Arial"/>
          <w:szCs w:val="10"/>
          <w:vertAlign w:val="subscript"/>
        </w:rPr>
        <w:t>O OUTPUT</w:t>
      </w:r>
      <w:r>
        <w:rPr>
          <w:rFonts w:cs="Arial"/>
          <w:szCs w:val="10"/>
        </w:rPr>
        <w:t xml:space="preserve"> </w:t>
      </w:r>
      <w:r>
        <w:rPr>
          <w:rFonts w:cs="Arial"/>
          <w:szCs w:val="17"/>
        </w:rPr>
        <w:t>– Tätigkeitsdaten</w:t>
      </w:r>
      <w:r>
        <w:rPr>
          <w:rFonts w:cs="Arial"/>
          <w:szCs w:val="10"/>
          <w:vertAlign w:val="subscript"/>
        </w:rPr>
        <w:t>O INPUT</w:t>
      </w:r>
      <w:r>
        <w:rPr>
          <w:rFonts w:cs="Arial"/>
          <w:szCs w:val="17"/>
        </w:rPr>
        <w:t>“ beschreibt die Masse [t] an CaO, MgO, Na</w:t>
      </w:r>
      <w:r>
        <w:rPr>
          <w:rFonts w:cs="Arial"/>
          <w:szCs w:val="10"/>
          <w:vertAlign w:val="subscript"/>
        </w:rPr>
        <w:t>2</w:t>
      </w:r>
      <w:r>
        <w:rPr>
          <w:rFonts w:cs="Arial"/>
          <w:szCs w:val="17"/>
        </w:rPr>
        <w:t>O, BaO oder anderen Erdalkali- oder Alkalimetalloxiden, die während des Berichtszeitraums aus den Karb</w:t>
      </w:r>
      <w:r>
        <w:rPr>
          <w:rFonts w:cs="Arial"/>
          <w:szCs w:val="17"/>
        </w:rPr>
        <w:t>o</w:t>
      </w:r>
      <w:r>
        <w:rPr>
          <w:rFonts w:cs="Arial"/>
          <w:szCs w:val="17"/>
        </w:rPr>
        <w:t>naten u</w:t>
      </w:r>
      <w:r>
        <w:rPr>
          <w:rFonts w:cs="Arial"/>
          <w:szCs w:val="17"/>
        </w:rPr>
        <w:t>m</w:t>
      </w:r>
      <w:r>
        <w:rPr>
          <w:rFonts w:cs="Arial"/>
          <w:szCs w:val="17"/>
        </w:rPr>
        <w:t>gewandelt werden.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Menge [t] an CaO, MgO, Na</w:t>
      </w:r>
      <w:r>
        <w:rPr>
          <w:rFonts w:cs="Arial"/>
          <w:szCs w:val="10"/>
          <w:vertAlign w:val="subscript"/>
        </w:rPr>
        <w:t>2</w:t>
      </w:r>
      <w:r>
        <w:rPr>
          <w:rFonts w:cs="Arial"/>
          <w:szCs w:val="17"/>
        </w:rPr>
        <w:t>O, BaO oder anderen Erdalkali- oder Alkalimetalloxiden, die während des Berichtszeitraums im Prozessinput und in den Endprodukten eingesetzt wird, sowie die Menge der kohle</w:t>
      </w:r>
      <w:r>
        <w:rPr>
          <w:rFonts w:cs="Arial"/>
          <w:szCs w:val="17"/>
        </w:rPr>
        <w:t>n</w:t>
      </w:r>
      <w:r>
        <w:rPr>
          <w:rFonts w:cs="Arial"/>
          <w:szCs w:val="17"/>
        </w:rPr>
        <w:t>stoffhaltigen Zusatzstoffe, ermittelt durch Wiegen der Eingangstoffe und der Produkte auf Anlage</w:t>
      </w:r>
      <w:r>
        <w:rPr>
          <w:rFonts w:cs="Arial"/>
          <w:szCs w:val="17"/>
        </w:rPr>
        <w:t>n</w:t>
      </w:r>
      <w:r>
        <w:rPr>
          <w:rFonts w:cs="Arial"/>
          <w:szCs w:val="17"/>
        </w:rPr>
        <w:t>ebene mit einem maximal zulässigen Unsicherheitsfaktor von weniger als ± 2,5 % je Messvorgang. Die Daten der Zusammensetzung richten sich nach den für diese spezifische Produktkategorie und Ro</w:t>
      </w:r>
      <w:r>
        <w:rPr>
          <w:rFonts w:cs="Arial"/>
          <w:szCs w:val="17"/>
        </w:rPr>
        <w:t>h</w:t>
      </w:r>
      <w:r>
        <w:rPr>
          <w:rFonts w:cs="Arial"/>
          <w:szCs w:val="17"/>
        </w:rPr>
        <w:t>stoffe geltenden Leitlinien der Industrie hinsichtlich der bewährtesten Praxis.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Menge [t] an CaO, MgO, Na</w:t>
      </w:r>
      <w:r>
        <w:rPr>
          <w:rFonts w:cs="Arial"/>
          <w:szCs w:val="10"/>
          <w:vertAlign w:val="subscript"/>
        </w:rPr>
        <w:t>2</w:t>
      </w:r>
      <w:r>
        <w:rPr>
          <w:rFonts w:cs="Arial"/>
          <w:szCs w:val="17"/>
        </w:rPr>
        <w:t>O, BaO oder anderen Erdalkali- oder Alkalimetalloxiden, die während des Berichtszeitraums im Prozessinput und in den Endprodukten eingesetzt wird, sowie die Menge der kohle</w:t>
      </w:r>
      <w:r>
        <w:rPr>
          <w:rFonts w:cs="Arial"/>
          <w:szCs w:val="17"/>
        </w:rPr>
        <w:t>n</w:t>
      </w:r>
      <w:r>
        <w:rPr>
          <w:rFonts w:cs="Arial"/>
          <w:szCs w:val="17"/>
        </w:rPr>
        <w:t>stoffhaltigen Zusatzstoffe, ermittelt durch Wiegen der Eingangsstoffe und der Produkte auf Anl</w:t>
      </w:r>
      <w:r>
        <w:rPr>
          <w:rFonts w:cs="Arial"/>
          <w:szCs w:val="17"/>
        </w:rPr>
        <w:t>a</w:t>
      </w:r>
      <w:r>
        <w:rPr>
          <w:rFonts w:cs="Arial"/>
          <w:szCs w:val="17"/>
        </w:rPr>
        <w:t>genebene mit einem maximal zulässigen Unsicherheitsfaktor von weniger als ± 1,0 % je Messvorgang; die Analysen der Zusammensetzung erfolgen in Einklang mit den Vorgaben von Abschnitt 10 des A</w:t>
      </w:r>
      <w:r>
        <w:rPr>
          <w:rFonts w:cs="Arial"/>
          <w:szCs w:val="17"/>
        </w:rPr>
        <w:t>n</w:t>
      </w:r>
      <w:r>
        <w:rPr>
          <w:rFonts w:cs="Arial"/>
          <w:szCs w:val="17"/>
        </w:rPr>
        <w:t>hangs I.</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Karbonate</w:t>
      </w:r>
    </w:p>
    <w:p>
      <w:pPr>
        <w:pStyle w:val="GesAbsatz"/>
        <w:jc w:val="both"/>
        <w:rPr>
          <w:rFonts w:cs="Arial"/>
          <w:szCs w:val="17"/>
        </w:rPr>
      </w:pPr>
      <w:r>
        <w:rPr>
          <w:rFonts w:cs="Arial"/>
          <w:szCs w:val="17"/>
        </w:rPr>
        <w:t>Oxide: Es sind die stöchiometrischen Verhältnisse der Oxide im Prozessinput und -output, die in der u</w:t>
      </w:r>
      <w:r>
        <w:rPr>
          <w:rFonts w:cs="Arial"/>
          <w:szCs w:val="17"/>
        </w:rPr>
        <w:t>n</w:t>
      </w:r>
      <w:r>
        <w:rPr>
          <w:rFonts w:cs="Arial"/>
          <w:szCs w:val="17"/>
        </w:rPr>
        <w:t>ten stehenden Tabelle 2 aufgeführt sind, anzuwenden.</w:t>
      </w:r>
    </w:p>
    <w:p>
      <w:pPr>
        <w:pStyle w:val="GesAbsatz"/>
        <w:jc w:val="both"/>
        <w:rPr>
          <w:rFonts w:cs="Arial"/>
          <w:b/>
          <w:szCs w:val="17"/>
        </w:rPr>
      </w:pPr>
      <w:r>
        <w:rPr>
          <w:rFonts w:cs="Arial"/>
          <w:b/>
          <w:szCs w:val="17"/>
        </w:rPr>
        <w:t>TABELLE 2</w:t>
      </w:r>
    </w:p>
    <w:p>
      <w:pPr>
        <w:pStyle w:val="GesAbsatz"/>
        <w:jc w:val="both"/>
        <w:rPr>
          <w:rFonts w:cs="Arial"/>
          <w:b/>
          <w:bCs/>
          <w:szCs w:val="17"/>
        </w:rPr>
      </w:pPr>
      <w:r>
        <w:rPr>
          <w:rFonts w:cs="Arial"/>
          <w:b/>
          <w:bCs/>
          <w:szCs w:val="17"/>
        </w:rPr>
        <w:t>Stöchiometrische Emissionsfaktoren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3260"/>
        <w:gridCol w:w="4938"/>
      </w:tblGrid>
      <w:tr>
        <w:tblPrEx>
          <w:tblCellMar>
            <w:top w:w="0" w:type="dxa"/>
            <w:bottom w:w="0" w:type="dxa"/>
          </w:tblCellMar>
        </w:tblPrEx>
        <w:trPr>
          <w:tblHeader/>
        </w:trPr>
        <w:tc>
          <w:tcPr>
            <w:tcW w:w="1630" w:type="dxa"/>
          </w:tcPr>
          <w:p>
            <w:pPr>
              <w:pStyle w:val="GesAbsatz"/>
              <w:jc w:val="both"/>
              <w:rPr>
                <w:rFonts w:cs="Arial"/>
                <w:szCs w:val="15"/>
              </w:rPr>
            </w:pPr>
            <w:r>
              <w:rPr>
                <w:rFonts w:cs="Arial"/>
                <w:szCs w:val="15"/>
              </w:rPr>
              <w:t>Oxid</w:t>
            </w:r>
          </w:p>
        </w:tc>
        <w:tc>
          <w:tcPr>
            <w:tcW w:w="3260" w:type="dxa"/>
          </w:tcPr>
          <w:p>
            <w:pPr>
              <w:pStyle w:val="GesAbsatz"/>
              <w:jc w:val="both"/>
              <w:rPr>
                <w:rFonts w:cs="Arial"/>
                <w:szCs w:val="15"/>
              </w:rPr>
            </w:pPr>
            <w:r>
              <w:rPr>
                <w:rFonts w:cs="Arial"/>
                <w:szCs w:val="15"/>
              </w:rPr>
              <w:t>Emissionsfaktor [t CO</w:t>
            </w:r>
            <w:r>
              <w:rPr>
                <w:rFonts w:cs="Arial"/>
                <w:szCs w:val="8"/>
                <w:vertAlign w:val="subscript"/>
              </w:rPr>
              <w:t>2</w:t>
            </w:r>
            <w:r>
              <w:rPr>
                <w:rFonts w:cs="Arial"/>
                <w:szCs w:val="15"/>
              </w:rPr>
              <w:t>/t Ca-, Mg-, Na, Ba- oder and</w:t>
            </w:r>
            <w:r>
              <w:rPr>
                <w:rFonts w:cs="Arial"/>
                <w:szCs w:val="15"/>
              </w:rPr>
              <w:t>e</w:t>
            </w:r>
            <w:r>
              <w:rPr>
                <w:rFonts w:cs="Arial"/>
                <w:szCs w:val="15"/>
              </w:rPr>
              <w:t>res Oxid]</w:t>
            </w:r>
          </w:p>
        </w:tc>
        <w:tc>
          <w:tcPr>
            <w:tcW w:w="4938" w:type="dxa"/>
          </w:tcPr>
          <w:p>
            <w:pPr>
              <w:pStyle w:val="GesAbsatz"/>
              <w:jc w:val="both"/>
              <w:rPr>
                <w:rFonts w:cs="Arial"/>
                <w:szCs w:val="15"/>
              </w:rPr>
            </w:pPr>
            <w:r>
              <w:rPr>
                <w:rFonts w:cs="Arial"/>
                <w:szCs w:val="15"/>
              </w:rPr>
              <w:t>Bemerkungen</w:t>
            </w:r>
          </w:p>
        </w:tc>
      </w:tr>
      <w:tr>
        <w:tblPrEx>
          <w:tblCellMar>
            <w:top w:w="0" w:type="dxa"/>
            <w:bottom w:w="0" w:type="dxa"/>
          </w:tblCellMar>
        </w:tblPrEx>
        <w:tc>
          <w:tcPr>
            <w:tcW w:w="1630" w:type="dxa"/>
          </w:tcPr>
          <w:p>
            <w:pPr>
              <w:pStyle w:val="GesAbsatz"/>
              <w:jc w:val="both"/>
              <w:rPr>
                <w:rFonts w:cs="Arial"/>
                <w:szCs w:val="15"/>
              </w:rPr>
            </w:pPr>
            <w:r>
              <w:rPr>
                <w:rFonts w:cs="Arial"/>
                <w:szCs w:val="17"/>
              </w:rPr>
              <w:t>CaO</w:t>
            </w:r>
          </w:p>
        </w:tc>
        <w:tc>
          <w:tcPr>
            <w:tcW w:w="3260" w:type="dxa"/>
          </w:tcPr>
          <w:p>
            <w:pPr>
              <w:pStyle w:val="GesAbsatz"/>
              <w:jc w:val="both"/>
              <w:rPr>
                <w:rFonts w:cs="Arial"/>
                <w:szCs w:val="15"/>
              </w:rPr>
            </w:pPr>
            <w:r>
              <w:rPr>
                <w:rFonts w:cs="Arial"/>
                <w:szCs w:val="17"/>
              </w:rPr>
              <w:t>0,785</w:t>
            </w:r>
          </w:p>
        </w:tc>
        <w:tc>
          <w:tcPr>
            <w:tcW w:w="4938" w:type="dxa"/>
          </w:tcPr>
          <w:p>
            <w:pPr>
              <w:pStyle w:val="GesAbsatz"/>
              <w:jc w:val="both"/>
              <w:rPr>
                <w:rFonts w:cs="Arial"/>
                <w:szCs w:val="15"/>
              </w:rPr>
            </w:pPr>
          </w:p>
        </w:tc>
      </w:tr>
      <w:tr>
        <w:tblPrEx>
          <w:tblCellMar>
            <w:top w:w="0" w:type="dxa"/>
            <w:bottom w:w="0" w:type="dxa"/>
          </w:tblCellMar>
        </w:tblPrEx>
        <w:tc>
          <w:tcPr>
            <w:tcW w:w="1630" w:type="dxa"/>
          </w:tcPr>
          <w:p>
            <w:pPr>
              <w:pStyle w:val="GesAbsatz"/>
              <w:jc w:val="both"/>
              <w:rPr>
                <w:rFonts w:cs="Arial"/>
                <w:szCs w:val="17"/>
              </w:rPr>
            </w:pPr>
            <w:r>
              <w:rPr>
                <w:rFonts w:cs="Arial"/>
                <w:szCs w:val="17"/>
              </w:rPr>
              <w:t>MgO</w:t>
            </w:r>
          </w:p>
        </w:tc>
        <w:tc>
          <w:tcPr>
            <w:tcW w:w="3260" w:type="dxa"/>
          </w:tcPr>
          <w:p>
            <w:pPr>
              <w:pStyle w:val="GesAbsatz"/>
              <w:jc w:val="both"/>
              <w:rPr>
                <w:rFonts w:cs="Arial"/>
                <w:szCs w:val="17"/>
                <w:lang w:val="it-IT"/>
              </w:rPr>
            </w:pPr>
            <w:r>
              <w:rPr>
                <w:rFonts w:cs="Arial"/>
                <w:szCs w:val="17"/>
                <w:lang w:val="it-IT"/>
              </w:rPr>
              <w:t>1,092</w:t>
            </w:r>
          </w:p>
        </w:tc>
        <w:tc>
          <w:tcPr>
            <w:tcW w:w="4938" w:type="dxa"/>
          </w:tcPr>
          <w:p>
            <w:pPr>
              <w:pStyle w:val="GesAbsatz"/>
              <w:jc w:val="both"/>
              <w:rPr>
                <w:rFonts w:cs="Arial"/>
                <w:szCs w:val="15"/>
                <w:lang w:val="it-IT"/>
              </w:rPr>
            </w:pPr>
          </w:p>
        </w:tc>
      </w:tr>
      <w:tr>
        <w:tblPrEx>
          <w:tblCellMar>
            <w:top w:w="0" w:type="dxa"/>
            <w:bottom w:w="0" w:type="dxa"/>
          </w:tblCellMar>
        </w:tblPrEx>
        <w:tc>
          <w:tcPr>
            <w:tcW w:w="1630" w:type="dxa"/>
          </w:tcPr>
          <w:p>
            <w:pPr>
              <w:pStyle w:val="GesAbsatz"/>
              <w:jc w:val="both"/>
              <w:rPr>
                <w:rFonts w:cs="Arial"/>
                <w:szCs w:val="17"/>
                <w:lang w:val="it-IT"/>
              </w:rPr>
            </w:pPr>
            <w:r>
              <w:rPr>
                <w:rFonts w:cs="Arial"/>
                <w:szCs w:val="17"/>
                <w:lang w:val="it-IT"/>
              </w:rPr>
              <w:t>Na</w:t>
            </w:r>
            <w:r>
              <w:rPr>
                <w:rFonts w:cs="Arial"/>
                <w:szCs w:val="10"/>
                <w:vertAlign w:val="subscript"/>
                <w:lang w:val="it-IT"/>
              </w:rPr>
              <w:t>2</w:t>
            </w:r>
            <w:r>
              <w:rPr>
                <w:rFonts w:cs="Arial"/>
                <w:szCs w:val="17"/>
                <w:lang w:val="it-IT"/>
              </w:rPr>
              <w:t>O</w:t>
            </w:r>
          </w:p>
        </w:tc>
        <w:tc>
          <w:tcPr>
            <w:tcW w:w="3260" w:type="dxa"/>
          </w:tcPr>
          <w:p>
            <w:pPr>
              <w:pStyle w:val="GesAbsatz"/>
              <w:jc w:val="both"/>
              <w:rPr>
                <w:rFonts w:cs="Arial"/>
                <w:szCs w:val="17"/>
                <w:lang w:val="it-IT"/>
              </w:rPr>
            </w:pPr>
            <w:r>
              <w:rPr>
                <w:rFonts w:cs="Arial"/>
                <w:szCs w:val="17"/>
                <w:lang w:val="it-IT"/>
              </w:rPr>
              <w:t>0,710</w:t>
            </w:r>
          </w:p>
        </w:tc>
        <w:tc>
          <w:tcPr>
            <w:tcW w:w="4938" w:type="dxa"/>
          </w:tcPr>
          <w:p>
            <w:pPr>
              <w:pStyle w:val="GesAbsatz"/>
              <w:jc w:val="both"/>
              <w:rPr>
                <w:rFonts w:cs="Arial"/>
                <w:szCs w:val="15"/>
                <w:lang w:val="it-IT"/>
              </w:rPr>
            </w:pPr>
          </w:p>
        </w:tc>
      </w:tr>
      <w:tr>
        <w:tblPrEx>
          <w:tblCellMar>
            <w:top w:w="0" w:type="dxa"/>
            <w:bottom w:w="0" w:type="dxa"/>
          </w:tblCellMar>
        </w:tblPrEx>
        <w:tc>
          <w:tcPr>
            <w:tcW w:w="1630" w:type="dxa"/>
          </w:tcPr>
          <w:p>
            <w:pPr>
              <w:pStyle w:val="GesAbsatz"/>
              <w:jc w:val="both"/>
              <w:rPr>
                <w:rFonts w:cs="Arial"/>
                <w:szCs w:val="17"/>
                <w:lang w:val="it-IT"/>
              </w:rPr>
            </w:pPr>
            <w:r>
              <w:rPr>
                <w:rFonts w:cs="Arial"/>
                <w:szCs w:val="17"/>
                <w:lang w:val="it-IT"/>
              </w:rPr>
              <w:t>BaO</w:t>
            </w:r>
          </w:p>
        </w:tc>
        <w:tc>
          <w:tcPr>
            <w:tcW w:w="3260" w:type="dxa"/>
          </w:tcPr>
          <w:p>
            <w:pPr>
              <w:pStyle w:val="GesAbsatz"/>
              <w:jc w:val="both"/>
              <w:rPr>
                <w:rFonts w:cs="Arial"/>
                <w:szCs w:val="17"/>
                <w:lang w:val="it-IT"/>
              </w:rPr>
            </w:pPr>
            <w:r>
              <w:rPr>
                <w:rFonts w:cs="Arial"/>
                <w:szCs w:val="17"/>
                <w:lang w:val="it-IT"/>
              </w:rPr>
              <w:t>0,287</w:t>
            </w:r>
          </w:p>
        </w:tc>
        <w:tc>
          <w:tcPr>
            <w:tcW w:w="4938" w:type="dxa"/>
          </w:tcPr>
          <w:p>
            <w:pPr>
              <w:pStyle w:val="GesAbsatz"/>
              <w:jc w:val="both"/>
              <w:rPr>
                <w:rFonts w:cs="Arial"/>
                <w:szCs w:val="15"/>
                <w:lang w:val="it-IT"/>
              </w:rPr>
            </w:pPr>
          </w:p>
        </w:tc>
      </w:tr>
      <w:tr>
        <w:tblPrEx>
          <w:tblCellMar>
            <w:top w:w="0" w:type="dxa"/>
            <w:bottom w:w="0" w:type="dxa"/>
          </w:tblCellMar>
        </w:tblPrEx>
        <w:tc>
          <w:tcPr>
            <w:tcW w:w="1630" w:type="dxa"/>
          </w:tcPr>
          <w:p>
            <w:pPr>
              <w:pStyle w:val="GesAbsatz"/>
              <w:rPr>
                <w:rFonts w:cs="Arial"/>
                <w:szCs w:val="17"/>
                <w:lang w:val="it-IT"/>
              </w:rPr>
            </w:pPr>
            <w:r>
              <w:rPr>
                <w:rFonts w:cs="Arial"/>
                <w:szCs w:val="17"/>
                <w:lang w:val="it-IT"/>
              </w:rPr>
              <w:t>Allg</w:t>
            </w:r>
            <w:r>
              <w:rPr>
                <w:rFonts w:cs="Arial"/>
                <w:szCs w:val="17"/>
                <w:lang w:val="it-IT"/>
              </w:rPr>
              <w:t>e</w:t>
            </w:r>
            <w:r>
              <w:rPr>
                <w:rFonts w:cs="Arial"/>
                <w:szCs w:val="17"/>
                <w:lang w:val="it-IT"/>
              </w:rPr>
              <w:t>mein:</w:t>
            </w:r>
            <w:r>
              <w:rPr>
                <w:rFonts w:cs="Arial"/>
                <w:szCs w:val="17"/>
                <w:lang w:val="it-IT"/>
              </w:rPr>
              <w:br/>
              <w:t>X</w:t>
            </w:r>
            <w:r>
              <w:rPr>
                <w:rFonts w:cs="Arial"/>
                <w:szCs w:val="10"/>
                <w:vertAlign w:val="subscript"/>
                <w:lang w:val="it-IT"/>
              </w:rPr>
              <w:t>y</w:t>
            </w:r>
            <w:r>
              <w:rPr>
                <w:rFonts w:cs="Arial"/>
                <w:szCs w:val="17"/>
                <w:lang w:val="it-IT"/>
              </w:rPr>
              <w:t>(O)</w:t>
            </w:r>
            <w:r>
              <w:rPr>
                <w:rFonts w:cs="Arial"/>
                <w:szCs w:val="10"/>
                <w:vertAlign w:val="subscript"/>
                <w:lang w:val="it-IT"/>
              </w:rPr>
              <w:t>z</w:t>
            </w:r>
          </w:p>
        </w:tc>
        <w:tc>
          <w:tcPr>
            <w:tcW w:w="3260" w:type="dxa"/>
          </w:tcPr>
          <w:p>
            <w:pPr>
              <w:pStyle w:val="GesAbsatz"/>
              <w:rPr>
                <w:rFonts w:cs="Arial"/>
                <w:szCs w:val="17"/>
              </w:rPr>
            </w:pPr>
            <w:r>
              <w:rPr>
                <w:rFonts w:cs="Arial"/>
                <w:szCs w:val="17"/>
              </w:rPr>
              <w:t>Emissionsfaktor =</w:t>
            </w:r>
            <w:r>
              <w:rPr>
                <w:rFonts w:cs="Arial"/>
                <w:szCs w:val="17"/>
              </w:rPr>
              <w:br/>
              <w:t>[M</w:t>
            </w:r>
            <w:r>
              <w:rPr>
                <w:rFonts w:cs="Arial"/>
                <w:szCs w:val="10"/>
                <w:vertAlign w:val="subscript"/>
              </w:rPr>
              <w:t>CO2</w:t>
            </w:r>
            <w:r>
              <w:rPr>
                <w:rFonts w:cs="Arial"/>
                <w:szCs w:val="17"/>
              </w:rPr>
              <w:t>] / {Y × [M</w:t>
            </w:r>
            <w:r>
              <w:rPr>
                <w:rFonts w:cs="Arial"/>
                <w:szCs w:val="10"/>
                <w:vertAlign w:val="subscript"/>
              </w:rPr>
              <w:t>x</w:t>
            </w:r>
            <w:r>
              <w:rPr>
                <w:rFonts w:cs="Arial"/>
                <w:szCs w:val="17"/>
              </w:rPr>
              <w:t>] + Z × [M</w:t>
            </w:r>
            <w:r>
              <w:rPr>
                <w:rFonts w:cs="Arial"/>
                <w:szCs w:val="10"/>
                <w:vertAlign w:val="subscript"/>
              </w:rPr>
              <w:t>O</w:t>
            </w:r>
            <w:r>
              <w:rPr>
                <w:rFonts w:cs="Arial"/>
                <w:szCs w:val="17"/>
              </w:rPr>
              <w:t>]}</w:t>
            </w:r>
          </w:p>
        </w:tc>
        <w:tc>
          <w:tcPr>
            <w:tcW w:w="4938" w:type="dxa"/>
          </w:tcPr>
          <w:p>
            <w:pPr>
              <w:pStyle w:val="GesAbsatz"/>
              <w:tabs>
                <w:tab w:val="clear" w:pos="425"/>
              </w:tabs>
              <w:ind w:left="780" w:hanging="780"/>
              <w:jc w:val="both"/>
              <w:rPr>
                <w:rFonts w:cs="Arial"/>
                <w:szCs w:val="17"/>
              </w:rPr>
            </w:pPr>
            <w:r>
              <w:rPr>
                <w:rFonts w:cs="Arial"/>
                <w:szCs w:val="17"/>
              </w:rPr>
              <w:t>X =</w:t>
            </w:r>
            <w:r>
              <w:rPr>
                <w:rFonts w:cs="Arial"/>
                <w:szCs w:val="17"/>
              </w:rPr>
              <w:tab/>
              <w:t>Erdalkali- oder Alkalimetall</w:t>
            </w:r>
          </w:p>
          <w:p>
            <w:pPr>
              <w:pStyle w:val="GesAbsatz"/>
              <w:tabs>
                <w:tab w:val="clear" w:pos="425"/>
              </w:tabs>
              <w:ind w:left="780" w:hanging="780"/>
              <w:jc w:val="both"/>
              <w:rPr>
                <w:rFonts w:cs="Arial"/>
                <w:szCs w:val="17"/>
              </w:rPr>
            </w:pPr>
            <w:r>
              <w:rPr>
                <w:rFonts w:cs="Arial"/>
                <w:szCs w:val="17"/>
              </w:rPr>
              <w:t>M</w:t>
            </w:r>
            <w:r>
              <w:rPr>
                <w:rFonts w:cs="Arial"/>
                <w:szCs w:val="10"/>
                <w:vertAlign w:val="subscript"/>
              </w:rPr>
              <w:t>x</w:t>
            </w:r>
            <w:r>
              <w:rPr>
                <w:rFonts w:cs="Arial"/>
                <w:szCs w:val="10"/>
              </w:rPr>
              <w:t xml:space="preserve"> </w:t>
            </w:r>
            <w:r>
              <w:rPr>
                <w:rFonts w:cs="Arial"/>
                <w:szCs w:val="17"/>
              </w:rPr>
              <w:t>=</w:t>
            </w:r>
            <w:r>
              <w:rPr>
                <w:rFonts w:cs="Arial"/>
                <w:szCs w:val="17"/>
              </w:rPr>
              <w:tab/>
              <w:t>Molekulargewicht von X in [g/mol]</w:t>
            </w:r>
          </w:p>
          <w:p>
            <w:pPr>
              <w:pStyle w:val="GesAbsatz"/>
              <w:tabs>
                <w:tab w:val="clear" w:pos="425"/>
              </w:tabs>
              <w:ind w:left="780" w:hanging="780"/>
              <w:jc w:val="both"/>
              <w:rPr>
                <w:rFonts w:cs="Arial"/>
                <w:szCs w:val="17"/>
              </w:rPr>
            </w:pPr>
            <w:r>
              <w:rPr>
                <w:rFonts w:cs="Arial"/>
                <w:szCs w:val="17"/>
              </w:rPr>
              <w:t>M</w:t>
            </w:r>
            <w:r>
              <w:rPr>
                <w:rFonts w:cs="Arial"/>
                <w:szCs w:val="10"/>
                <w:vertAlign w:val="subscript"/>
              </w:rPr>
              <w:t>CO2</w:t>
            </w:r>
            <w:r>
              <w:rPr>
                <w:rFonts w:cs="Arial"/>
                <w:szCs w:val="10"/>
              </w:rPr>
              <w:t xml:space="preserve"> </w:t>
            </w:r>
            <w:r>
              <w:rPr>
                <w:rFonts w:cs="Arial"/>
                <w:szCs w:val="17"/>
              </w:rPr>
              <w:t>=</w:t>
            </w:r>
            <w:r>
              <w:rPr>
                <w:rFonts w:cs="Arial"/>
                <w:szCs w:val="17"/>
              </w:rPr>
              <w:tab/>
              <w:t>Molekulargewicht von CO</w:t>
            </w:r>
            <w:r>
              <w:rPr>
                <w:rFonts w:cs="Arial"/>
                <w:szCs w:val="10"/>
                <w:vertAlign w:val="subscript"/>
              </w:rPr>
              <w:t>2</w:t>
            </w:r>
            <w:r>
              <w:rPr>
                <w:rFonts w:cs="Arial"/>
                <w:szCs w:val="10"/>
              </w:rPr>
              <w:t xml:space="preserve"> </w:t>
            </w:r>
            <w:r>
              <w:rPr>
                <w:rFonts w:cs="Arial"/>
                <w:szCs w:val="17"/>
              </w:rPr>
              <w:t>= 44 [g/mol]</w:t>
            </w:r>
          </w:p>
          <w:p>
            <w:pPr>
              <w:pStyle w:val="GesAbsatz"/>
              <w:tabs>
                <w:tab w:val="clear" w:pos="425"/>
              </w:tabs>
              <w:ind w:left="780" w:hanging="780"/>
              <w:jc w:val="both"/>
              <w:rPr>
                <w:rFonts w:cs="Arial"/>
                <w:szCs w:val="17"/>
              </w:rPr>
            </w:pPr>
            <w:r>
              <w:rPr>
                <w:rFonts w:cs="Arial"/>
                <w:szCs w:val="17"/>
              </w:rPr>
              <w:lastRenderedPageBreak/>
              <w:t>M</w:t>
            </w:r>
            <w:r>
              <w:rPr>
                <w:rFonts w:cs="Arial"/>
                <w:szCs w:val="10"/>
                <w:vertAlign w:val="subscript"/>
              </w:rPr>
              <w:t>O</w:t>
            </w:r>
            <w:r>
              <w:rPr>
                <w:rFonts w:cs="Arial"/>
                <w:szCs w:val="10"/>
              </w:rPr>
              <w:t xml:space="preserve"> </w:t>
            </w:r>
            <w:r>
              <w:rPr>
                <w:rFonts w:cs="Arial"/>
                <w:szCs w:val="17"/>
              </w:rPr>
              <w:t>=</w:t>
            </w:r>
            <w:r>
              <w:rPr>
                <w:rFonts w:cs="Arial"/>
                <w:szCs w:val="17"/>
              </w:rPr>
              <w:tab/>
              <w:t>Molekulargewicht von O = 16 [g/mol]</w:t>
            </w:r>
          </w:p>
          <w:p>
            <w:pPr>
              <w:pStyle w:val="GesAbsatz"/>
              <w:tabs>
                <w:tab w:val="clear" w:pos="425"/>
              </w:tabs>
              <w:ind w:left="780" w:hanging="780"/>
              <w:jc w:val="both"/>
              <w:rPr>
                <w:rFonts w:cs="Arial"/>
                <w:szCs w:val="17"/>
              </w:rPr>
            </w:pPr>
            <w:r>
              <w:rPr>
                <w:rFonts w:cs="Arial"/>
                <w:szCs w:val="17"/>
              </w:rPr>
              <w:t>Y =</w:t>
            </w:r>
            <w:r>
              <w:rPr>
                <w:rFonts w:cs="Arial"/>
                <w:szCs w:val="17"/>
              </w:rPr>
              <w:tab/>
              <w:t>stöchiometrische Zahl von X</w:t>
            </w:r>
          </w:p>
          <w:p>
            <w:pPr>
              <w:pStyle w:val="GesAbsatz"/>
              <w:tabs>
                <w:tab w:val="clear" w:pos="425"/>
              </w:tabs>
              <w:ind w:left="780" w:hanging="780"/>
              <w:jc w:val="both"/>
              <w:rPr>
                <w:rFonts w:cs="Arial"/>
                <w:szCs w:val="17"/>
              </w:rPr>
            </w:pPr>
            <w:r>
              <w:rPr>
                <w:rFonts w:cs="Arial"/>
                <w:szCs w:val="17"/>
              </w:rPr>
              <w:tab/>
              <w:t>= 1 (für Erdalkalimetalle)</w:t>
            </w:r>
          </w:p>
          <w:p>
            <w:pPr>
              <w:pStyle w:val="GesAbsatz"/>
              <w:tabs>
                <w:tab w:val="clear" w:pos="425"/>
              </w:tabs>
              <w:ind w:left="780" w:hanging="780"/>
              <w:jc w:val="both"/>
              <w:rPr>
                <w:rFonts w:cs="Arial"/>
                <w:szCs w:val="17"/>
              </w:rPr>
            </w:pPr>
            <w:r>
              <w:rPr>
                <w:rFonts w:cs="Arial"/>
                <w:szCs w:val="17"/>
              </w:rPr>
              <w:tab/>
              <w:t>= 2 (für Alkalimetalle)</w:t>
            </w:r>
          </w:p>
          <w:p>
            <w:pPr>
              <w:pStyle w:val="GesAbsatz"/>
              <w:tabs>
                <w:tab w:val="clear" w:pos="425"/>
              </w:tabs>
              <w:ind w:left="780" w:hanging="780"/>
              <w:rPr>
                <w:rFonts w:cs="Arial"/>
                <w:szCs w:val="15"/>
              </w:rPr>
            </w:pPr>
            <w:r>
              <w:rPr>
                <w:rFonts w:cs="Arial"/>
                <w:szCs w:val="17"/>
              </w:rPr>
              <w:t>Z =</w:t>
            </w:r>
            <w:r>
              <w:rPr>
                <w:rFonts w:cs="Arial"/>
                <w:szCs w:val="17"/>
              </w:rPr>
              <w:tab/>
              <w:t>stöchiometrische Zahl von O = 1</w:t>
            </w:r>
          </w:p>
        </w:tc>
      </w:tr>
    </w:tbl>
    <w:p>
      <w:pPr>
        <w:pStyle w:val="GesAbsatz"/>
        <w:jc w:val="both"/>
        <w:rPr>
          <w:rFonts w:cs="Arial"/>
          <w:szCs w:val="10"/>
        </w:rPr>
      </w:pPr>
    </w:p>
    <w:p>
      <w:pPr>
        <w:pStyle w:val="GesAbsatz"/>
        <w:jc w:val="both"/>
        <w:rPr>
          <w:rFonts w:cs="Arial"/>
          <w:szCs w:val="17"/>
        </w:rPr>
      </w:pPr>
      <w:r>
        <w:rPr>
          <w:rFonts w:cs="Arial"/>
          <w:szCs w:val="17"/>
        </w:rPr>
        <w:t>Zusatzstoffe</w:t>
      </w:r>
    </w:p>
    <w:p>
      <w:pPr>
        <w:pStyle w:val="GesAbsatz"/>
        <w:jc w:val="both"/>
        <w:rPr>
          <w:rFonts w:cs="Arial"/>
          <w:szCs w:val="17"/>
        </w:rPr>
      </w:pPr>
      <w:r>
        <w:rPr>
          <w:rFonts w:cs="Arial"/>
          <w:szCs w:val="17"/>
        </w:rPr>
        <w:t>Die spezifischen Emissionsfaktoren werden in Einklang mit den Vorgaben von Abschnitt 10 des A</w:t>
      </w:r>
      <w:r>
        <w:rPr>
          <w:rFonts w:cs="Arial"/>
          <w:szCs w:val="17"/>
        </w:rPr>
        <w:t>n</w:t>
      </w:r>
      <w:r>
        <w:rPr>
          <w:rFonts w:cs="Arial"/>
          <w:szCs w:val="17"/>
        </w:rPr>
        <w:t>hangs I ermittelt.</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rPr>
          <w:rFonts w:cs="Arial"/>
          <w:bCs/>
          <w:szCs w:val="17"/>
        </w:rPr>
      </w:pPr>
      <w:r>
        <w:rPr>
          <w:i/>
        </w:rPr>
        <w:br w:type="page"/>
      </w:r>
      <w:bookmarkStart w:id="13" w:name="_Toc67281928"/>
      <w:r>
        <w:lastRenderedPageBreak/>
        <w:t>ANHANG X</w:t>
      </w:r>
      <w:r>
        <w:br/>
        <w:t>Tätigkeitsspezifische Leitlinien für Anlagen zur Herstellung von keramischen Erzeugnissen g</w:t>
      </w:r>
      <w:r>
        <w:t>e</w:t>
      </w:r>
      <w:r>
        <w:t xml:space="preserve">mäß Anhang I </w:t>
      </w:r>
      <w:r>
        <w:rPr>
          <w:rFonts w:cs="Arial"/>
          <w:bCs/>
          <w:szCs w:val="17"/>
        </w:rPr>
        <w:t>der Richtlinie</w:t>
      </w:r>
      <w:bookmarkEnd w:id="13"/>
    </w:p>
    <w:p>
      <w:pPr>
        <w:pStyle w:val="GesAbsatz"/>
        <w:jc w:val="both"/>
        <w:rPr>
          <w:rFonts w:cs="Arial"/>
          <w:b/>
          <w:bCs/>
          <w:szCs w:val="17"/>
        </w:rPr>
      </w:pPr>
      <w:r>
        <w:rPr>
          <w:rFonts w:cs="Arial"/>
          <w:b/>
          <w:bCs/>
          <w:szCs w:val="17"/>
        </w:rPr>
        <w:t>1. EINSCHRÄNKUNGEN UND VOLLSTÄNDIGKEIT</w:t>
      </w:r>
    </w:p>
    <w:p>
      <w:pPr>
        <w:pStyle w:val="GesAbsatz"/>
        <w:jc w:val="both"/>
        <w:rPr>
          <w:rFonts w:cs="Arial"/>
          <w:szCs w:val="17"/>
        </w:rPr>
      </w:pPr>
      <w:r>
        <w:rPr>
          <w:rFonts w:cs="Arial"/>
          <w:szCs w:val="17"/>
        </w:rPr>
        <w:t>Keine spezifischen Einschränkungen.</w:t>
      </w:r>
    </w:p>
    <w:p>
      <w:pPr>
        <w:pStyle w:val="GesAbsatz"/>
        <w:jc w:val="both"/>
        <w:rPr>
          <w:rFonts w:cs="Arial"/>
          <w:b/>
          <w:bCs/>
          <w:szCs w:val="17"/>
        </w:rPr>
      </w:pPr>
      <w:r>
        <w:rPr>
          <w:rFonts w:cs="Arial"/>
          <w:b/>
          <w:bCs/>
          <w:szCs w:val="17"/>
        </w:rPr>
        <w:t>2. BESTIMMUNG VON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In Anlagen zur Herstellung von keramischen Erzeugnissen werden aus den folgenden Quellen CO</w:t>
      </w:r>
      <w:r>
        <w:rPr>
          <w:rFonts w:cs="Arial"/>
          <w:szCs w:val="10"/>
          <w:vertAlign w:val="subscript"/>
        </w:rPr>
        <w:t>2</w:t>
      </w:r>
      <w:r>
        <w:rPr>
          <w:rFonts w:cs="Arial"/>
          <w:szCs w:val="17"/>
        </w:rPr>
        <w:t>-Emissionen freigesetzt:</w:t>
      </w:r>
    </w:p>
    <w:p>
      <w:pPr>
        <w:pStyle w:val="GesAbsatz"/>
        <w:jc w:val="both"/>
        <w:rPr>
          <w:rFonts w:cs="Arial"/>
          <w:szCs w:val="17"/>
        </w:rPr>
      </w:pPr>
      <w:r>
        <w:rPr>
          <w:rFonts w:cs="Arial"/>
          <w:szCs w:val="17"/>
        </w:rPr>
        <w:t>-</w:t>
      </w:r>
      <w:r>
        <w:rPr>
          <w:rFonts w:cs="Arial"/>
          <w:szCs w:val="17"/>
        </w:rPr>
        <w:tab/>
        <w:t>Kalzinierung von Kalkstein/Dolomit im Rohstoff,</w:t>
      </w:r>
    </w:p>
    <w:p>
      <w:pPr>
        <w:pStyle w:val="GesAbsatz"/>
        <w:jc w:val="both"/>
        <w:rPr>
          <w:rFonts w:cs="Arial"/>
          <w:szCs w:val="17"/>
        </w:rPr>
      </w:pPr>
      <w:r>
        <w:rPr>
          <w:rFonts w:cs="Arial"/>
          <w:szCs w:val="17"/>
        </w:rPr>
        <w:t>-</w:t>
      </w:r>
      <w:r>
        <w:rPr>
          <w:rFonts w:cs="Arial"/>
          <w:szCs w:val="17"/>
        </w:rPr>
        <w:tab/>
        <w:t>Kalkstein für die Reduzierung von Luftschadstoffen,</w:t>
      </w:r>
    </w:p>
    <w:p>
      <w:pPr>
        <w:pStyle w:val="GesAbsatz"/>
        <w:jc w:val="both"/>
        <w:rPr>
          <w:rFonts w:cs="Arial"/>
          <w:szCs w:val="17"/>
        </w:rPr>
      </w:pPr>
      <w:r>
        <w:rPr>
          <w:rFonts w:cs="Arial"/>
          <w:szCs w:val="17"/>
        </w:rPr>
        <w:t>-</w:t>
      </w:r>
      <w:r>
        <w:rPr>
          <w:rFonts w:cs="Arial"/>
          <w:szCs w:val="17"/>
        </w:rPr>
        <w:tab/>
        <w:t>konventionelle fossile Ofenbrennstoffe,</w:t>
      </w:r>
    </w:p>
    <w:p>
      <w:pPr>
        <w:pStyle w:val="GesAbsatz"/>
        <w:jc w:val="both"/>
        <w:rPr>
          <w:rFonts w:cs="Arial"/>
          <w:szCs w:val="17"/>
        </w:rPr>
      </w:pPr>
      <w:r>
        <w:rPr>
          <w:rFonts w:cs="Arial"/>
          <w:szCs w:val="17"/>
        </w:rPr>
        <w:t>-</w:t>
      </w:r>
      <w:r>
        <w:rPr>
          <w:rFonts w:cs="Arial"/>
          <w:szCs w:val="17"/>
        </w:rPr>
        <w:tab/>
        <w:t>alternative fossile Ofenbrennstoffe und Rohstoffe,</w:t>
      </w:r>
    </w:p>
    <w:p>
      <w:pPr>
        <w:pStyle w:val="GesAbsatz"/>
        <w:jc w:val="both"/>
        <w:rPr>
          <w:rFonts w:cs="Arial"/>
          <w:szCs w:val="17"/>
        </w:rPr>
      </w:pPr>
      <w:r>
        <w:rPr>
          <w:rFonts w:cs="Arial"/>
          <w:szCs w:val="17"/>
        </w:rPr>
        <w:t>-</w:t>
      </w:r>
      <w:r>
        <w:rPr>
          <w:rFonts w:cs="Arial"/>
          <w:szCs w:val="17"/>
        </w:rPr>
        <w:tab/>
        <w:t>Biomasse-Ofenbrennstoffe (Biomasse-Abfälle),</w:t>
      </w:r>
    </w:p>
    <w:p>
      <w:pPr>
        <w:pStyle w:val="GesAbsatz"/>
        <w:jc w:val="both"/>
        <w:rPr>
          <w:rFonts w:cs="Arial"/>
          <w:szCs w:val="17"/>
        </w:rPr>
      </w:pPr>
      <w:r>
        <w:rPr>
          <w:rFonts w:cs="Arial"/>
          <w:szCs w:val="17"/>
        </w:rPr>
        <w:t>-</w:t>
      </w:r>
      <w:r>
        <w:rPr>
          <w:rFonts w:cs="Arial"/>
          <w:szCs w:val="17"/>
        </w:rPr>
        <w:tab/>
        <w:t>andere Brennstoffe als Ofenbrennstoffe,</w:t>
      </w:r>
    </w:p>
    <w:p>
      <w:pPr>
        <w:pStyle w:val="GesAbsatz"/>
        <w:jc w:val="both"/>
        <w:rPr>
          <w:rFonts w:cs="Arial"/>
          <w:szCs w:val="17"/>
        </w:rPr>
      </w:pPr>
      <w:r>
        <w:rPr>
          <w:rFonts w:cs="Arial"/>
          <w:szCs w:val="17"/>
        </w:rPr>
        <w:t>-</w:t>
      </w:r>
      <w:r>
        <w:rPr>
          <w:rFonts w:cs="Arial"/>
          <w:szCs w:val="17"/>
        </w:rPr>
        <w:tab/>
        <w:t>organisches Material im Ton-Rohstoff,</w:t>
      </w:r>
    </w:p>
    <w:p>
      <w:pPr>
        <w:pStyle w:val="GesAbsatz"/>
        <w:jc w:val="both"/>
        <w:rPr>
          <w:rFonts w:cs="Arial"/>
          <w:szCs w:val="17"/>
        </w:rPr>
      </w:pPr>
      <w:r>
        <w:rPr>
          <w:rFonts w:cs="Arial"/>
          <w:szCs w:val="17"/>
        </w:rPr>
        <w:t>-</w:t>
      </w:r>
      <w:r>
        <w:rPr>
          <w:rFonts w:cs="Arial"/>
          <w:szCs w:val="17"/>
        </w:rPr>
        <w:tab/>
        <w:t>Zusatzstoffe zur Anregung der Porenbildung, z. B. Sägespäne oder Polystyrol,</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b/>
          <w:bCs/>
          <w:szCs w:val="17"/>
        </w:rPr>
      </w:pPr>
      <w:r>
        <w:rPr>
          <w:rFonts w:cs="Arial"/>
          <w:b/>
          <w:bCs/>
          <w:szCs w:val="17"/>
        </w:rPr>
        <w:t>2.1. Berechnung der CO</w:t>
      </w:r>
      <w:r>
        <w:rPr>
          <w:rFonts w:cs="Arial"/>
          <w:b/>
          <w:bCs/>
          <w:szCs w:val="10"/>
        </w:rPr>
        <w:t>2</w:t>
      </w:r>
      <w:r>
        <w:rPr>
          <w:rFonts w:cs="Arial"/>
          <w:b/>
          <w:bCs/>
          <w:szCs w:val="17"/>
        </w:rPr>
        <w:t>-Emissionen</w:t>
      </w:r>
    </w:p>
    <w:p>
      <w:pPr>
        <w:pStyle w:val="GesAbsatz"/>
        <w:jc w:val="both"/>
        <w:rPr>
          <w:rFonts w:cs="Arial"/>
          <w:i/>
          <w:iCs/>
          <w:szCs w:val="17"/>
        </w:rPr>
      </w:pPr>
      <w:r>
        <w:rPr>
          <w:rFonts w:cs="Arial"/>
          <w:szCs w:val="17"/>
        </w:rPr>
        <w:t xml:space="preserve">2.1.1. </w:t>
      </w:r>
      <w:r>
        <w:rPr>
          <w:rFonts w:cs="Arial"/>
          <w:i/>
          <w:iCs/>
          <w:szCs w:val="17"/>
        </w:rPr>
        <w:t>Emissionen aus der Verbrennung</w:t>
      </w:r>
    </w:p>
    <w:p>
      <w:pPr>
        <w:pStyle w:val="GesAbsatz"/>
        <w:jc w:val="both"/>
        <w:rPr>
          <w:rFonts w:cs="Arial"/>
          <w:szCs w:val="17"/>
        </w:rPr>
      </w:pPr>
      <w:r>
        <w:rPr>
          <w:rFonts w:cs="Arial"/>
          <w:szCs w:val="17"/>
        </w:rPr>
        <w:t>Die Verbrennungsprozesse in Anlagen zur Herstellung von keramischen Erzeugnissen sind in Einklang mit den Vorgaben von Anhang II zu überwachen und zu melden.</w:t>
      </w:r>
    </w:p>
    <w:p>
      <w:pPr>
        <w:pStyle w:val="GesAbsatz"/>
        <w:jc w:val="both"/>
        <w:rPr>
          <w:rFonts w:cs="Arial"/>
          <w:i/>
          <w:iCs/>
          <w:szCs w:val="17"/>
        </w:rPr>
      </w:pPr>
      <w:r>
        <w:rPr>
          <w:rFonts w:cs="Arial"/>
          <w:szCs w:val="17"/>
        </w:rPr>
        <w:t xml:space="preserve">2.1.2. </w:t>
      </w:r>
      <w:r>
        <w:rPr>
          <w:rFonts w:cs="Arial"/>
          <w:i/>
          <w:iCs/>
          <w:szCs w:val="17"/>
        </w:rPr>
        <w:t>Prozessemissionen</w:t>
      </w:r>
    </w:p>
    <w:p>
      <w:pPr>
        <w:pStyle w:val="GesAbsatz"/>
        <w:jc w:val="both"/>
        <w:rPr>
          <w:rFonts w:cs="Arial"/>
          <w:szCs w:val="17"/>
        </w:rPr>
      </w:pPr>
      <w:r>
        <w:rPr>
          <w:rFonts w:cs="Arial"/>
          <w:szCs w:val="17"/>
        </w:rPr>
        <w:t>CO</w:t>
      </w:r>
      <w:r>
        <w:rPr>
          <w:rFonts w:cs="Arial"/>
          <w:szCs w:val="10"/>
          <w:vertAlign w:val="subscript"/>
        </w:rPr>
        <w:t>2</w:t>
      </w:r>
      <w:r>
        <w:rPr>
          <w:rFonts w:cs="Arial"/>
          <w:szCs w:val="10"/>
        </w:rPr>
        <w:t xml:space="preserve"> </w:t>
      </w:r>
      <w:r>
        <w:rPr>
          <w:rFonts w:cs="Arial"/>
          <w:szCs w:val="17"/>
        </w:rPr>
        <w:t>wird sowohl bei der Kalzinierung der Rohstoffe im Ofen und als auch bei der Neutralisierung von HF, HCl und SO</w:t>
      </w:r>
      <w:r>
        <w:rPr>
          <w:rFonts w:cs="Arial"/>
          <w:szCs w:val="10"/>
          <w:vertAlign w:val="subscript"/>
        </w:rPr>
        <w:t>2</w:t>
      </w:r>
      <w:r>
        <w:rPr>
          <w:rFonts w:cs="Arial"/>
          <w:szCs w:val="10"/>
        </w:rPr>
        <w:t xml:space="preserve"> </w:t>
      </w:r>
      <w:r>
        <w:rPr>
          <w:rFonts w:cs="Arial"/>
          <w:szCs w:val="17"/>
        </w:rPr>
        <w:t>in den Abgasen mit Hilfe von Kalkstein oder anderen Karbonaten freigesetzt. Sowohl die Emi</w:t>
      </w:r>
      <w:r>
        <w:rPr>
          <w:rFonts w:cs="Arial"/>
          <w:szCs w:val="17"/>
        </w:rPr>
        <w:t>s</w:t>
      </w:r>
      <w:r>
        <w:rPr>
          <w:rFonts w:cs="Arial"/>
          <w:szCs w:val="17"/>
        </w:rPr>
        <w:t>sionen, die bei der Zersetzung der Karbonate in dem Kalzinierprozess freigesetzt werden, als auch die Emissi</w:t>
      </w:r>
      <w:r>
        <w:rPr>
          <w:rFonts w:cs="Arial"/>
          <w:szCs w:val="17"/>
        </w:rPr>
        <w:t>o</w:t>
      </w:r>
      <w:r>
        <w:rPr>
          <w:rFonts w:cs="Arial"/>
          <w:szCs w:val="17"/>
        </w:rPr>
        <w:t>nen aus der Abgaswäsche sind als Emissionen der Anlage zu betrachten. Sie addieren sich zu der Gesamtemission, sind jedoch nach Möglichkeit getrennt zu melden. Die Berechnung erfolgt a</w:t>
      </w:r>
      <w:r>
        <w:rPr>
          <w:rFonts w:cs="Arial"/>
          <w:szCs w:val="17"/>
        </w:rPr>
        <w:t>n</w:t>
      </w:r>
      <w:r>
        <w:rPr>
          <w:rFonts w:cs="Arial"/>
          <w:szCs w:val="17"/>
        </w:rPr>
        <w:t>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-Emissionen</w:t>
      </w:r>
      <w:r>
        <w:rPr>
          <w:rFonts w:cs="Arial"/>
          <w:szCs w:val="10"/>
          <w:vertAlign w:val="subscript"/>
        </w:rPr>
        <w:t>Gesamt</w:t>
      </w:r>
      <w:r>
        <w:rPr>
          <w:rFonts w:cs="Arial"/>
          <w:szCs w:val="10"/>
        </w:rPr>
        <w:t xml:space="preserve"> </w:t>
      </w:r>
      <w:r>
        <w:rPr>
          <w:rFonts w:cs="Arial"/>
          <w:szCs w:val="17"/>
        </w:rPr>
        <w:t>[t] = CO</w:t>
      </w:r>
      <w:r>
        <w:rPr>
          <w:rFonts w:cs="Arial"/>
          <w:szCs w:val="10"/>
          <w:vertAlign w:val="subscript"/>
        </w:rPr>
        <w:t>2</w:t>
      </w:r>
      <w:r>
        <w:rPr>
          <w:rFonts w:cs="Arial"/>
          <w:szCs w:val="17"/>
        </w:rPr>
        <w:t>-Emissionen</w:t>
      </w:r>
      <w:r>
        <w:rPr>
          <w:rFonts w:cs="Arial"/>
          <w:szCs w:val="10"/>
          <w:vertAlign w:val="subscript"/>
        </w:rPr>
        <w:t>Eingangsstoff</w:t>
      </w:r>
      <w:r>
        <w:rPr>
          <w:rFonts w:cs="Arial"/>
          <w:szCs w:val="10"/>
        </w:rPr>
        <w:t xml:space="preserve"> </w:t>
      </w:r>
      <w:r>
        <w:rPr>
          <w:rFonts w:cs="Arial"/>
          <w:szCs w:val="17"/>
        </w:rPr>
        <w:t>[t] + CO</w:t>
      </w:r>
      <w:r>
        <w:rPr>
          <w:rFonts w:cs="Arial"/>
          <w:szCs w:val="10"/>
          <w:vertAlign w:val="subscript"/>
        </w:rPr>
        <w:t>2</w:t>
      </w:r>
      <w:r>
        <w:rPr>
          <w:rFonts w:cs="Arial"/>
          <w:szCs w:val="17"/>
        </w:rPr>
        <w:t>-Emissionen</w:t>
      </w:r>
      <w:r>
        <w:rPr>
          <w:rFonts w:cs="Arial"/>
          <w:szCs w:val="10"/>
          <w:vertAlign w:val="subscript"/>
        </w:rPr>
        <w:t>Wäsche</w:t>
      </w:r>
      <w:r>
        <w:rPr>
          <w:rFonts w:cs="Arial"/>
          <w:szCs w:val="10"/>
        </w:rPr>
        <w:t xml:space="preserve"> </w:t>
      </w:r>
      <w:r>
        <w:rPr>
          <w:rFonts w:cs="Arial"/>
          <w:szCs w:val="17"/>
        </w:rPr>
        <w:t>[t]</w:t>
      </w:r>
    </w:p>
    <w:p>
      <w:pPr>
        <w:pStyle w:val="GesAbsatz"/>
        <w:jc w:val="both"/>
        <w:rPr>
          <w:rFonts w:cs="Arial"/>
          <w:szCs w:val="17"/>
        </w:rPr>
      </w:pPr>
      <w:r>
        <w:rPr>
          <w:rFonts w:cs="Arial"/>
          <w:szCs w:val="17"/>
        </w:rPr>
        <w:t>2.1.2.1. CO</w:t>
      </w:r>
      <w:r>
        <w:rPr>
          <w:rFonts w:cs="Arial"/>
          <w:szCs w:val="10"/>
          <w:vertAlign w:val="subscript"/>
        </w:rPr>
        <w:t>2</w:t>
      </w:r>
      <w:r>
        <w:rPr>
          <w:rFonts w:cs="Arial"/>
          <w:szCs w:val="10"/>
        </w:rPr>
        <w:t xml:space="preserve"> </w:t>
      </w:r>
      <w:r>
        <w:rPr>
          <w:rFonts w:cs="Arial"/>
          <w:szCs w:val="17"/>
        </w:rPr>
        <w:t>aus dem Eingangsstoff</w:t>
      </w:r>
    </w:p>
    <w:p>
      <w:pPr>
        <w:pStyle w:val="GesAbsatz"/>
        <w:jc w:val="both"/>
        <w:rPr>
          <w:rFonts w:cs="Arial"/>
          <w:szCs w:val="17"/>
        </w:rPr>
      </w:pPr>
      <w:r>
        <w:rPr>
          <w:rFonts w:cs="Arial"/>
          <w:szCs w:val="17"/>
        </w:rPr>
        <w:t>Das CO</w:t>
      </w:r>
      <w:r>
        <w:rPr>
          <w:rFonts w:cs="Arial"/>
          <w:szCs w:val="10"/>
          <w:vertAlign w:val="subscript"/>
        </w:rPr>
        <w:t>2</w:t>
      </w:r>
      <w:r>
        <w:rPr>
          <w:rFonts w:cs="Arial"/>
          <w:szCs w:val="17"/>
        </w:rPr>
        <w:t>, aus den Karbonaten und aus dem Kohlenstoff, der in anderen Eingangsstoffen enthalten ist, ist entweder anhand einer Methode zu berechnen, die die Menge der Karbonate des im Prozess umgewa</w:t>
      </w:r>
      <w:r>
        <w:rPr>
          <w:rFonts w:cs="Arial"/>
          <w:szCs w:val="17"/>
        </w:rPr>
        <w:t>n</w:t>
      </w:r>
      <w:r>
        <w:rPr>
          <w:rFonts w:cs="Arial"/>
          <w:szCs w:val="17"/>
        </w:rPr>
        <w:t>delten Rohstoffs (hauptsächlich Kalkstein, Dolomit) zugrunde legt, (Berechnungsmethode A) oder anhand einer Methode, die auf den Alkalimetalloxiden in den hergestellten keramischen Erzeugnissen basiert (B</w:t>
      </w:r>
      <w:r>
        <w:rPr>
          <w:rFonts w:cs="Arial"/>
          <w:szCs w:val="17"/>
        </w:rPr>
        <w:t>e</w:t>
      </w:r>
      <w:r>
        <w:rPr>
          <w:rFonts w:cs="Arial"/>
          <w:szCs w:val="17"/>
        </w:rPr>
        <w:t>rechnungsmethode B). Beide Ansätze werden als gleichwertig betrachtet.</w:t>
      </w:r>
    </w:p>
    <w:p>
      <w:pPr>
        <w:pStyle w:val="GesAbsatz"/>
        <w:jc w:val="both"/>
        <w:rPr>
          <w:rFonts w:cs="Arial"/>
          <w:szCs w:val="17"/>
        </w:rPr>
      </w:pPr>
      <w:r>
        <w:rPr>
          <w:rFonts w:cs="Arial"/>
          <w:szCs w:val="17"/>
        </w:rPr>
        <w:t>Berechnungsmethode A: Karbonate</w:t>
      </w:r>
    </w:p>
    <w:p>
      <w:pPr>
        <w:pStyle w:val="GesAbsatz"/>
        <w:jc w:val="both"/>
        <w:rPr>
          <w:rFonts w:cs="Arial"/>
          <w:szCs w:val="17"/>
        </w:rPr>
      </w:pPr>
      <w:r>
        <w:rPr>
          <w:rFonts w:cs="Arial"/>
          <w:szCs w:val="17"/>
        </w:rPr>
        <w:t>Die Berechnung basiert auf dem eingesetzten Karbonat, einschließlich des Kalksteins, mit dem das HF, HCl und SO</w:t>
      </w:r>
      <w:r>
        <w:rPr>
          <w:rFonts w:cs="Arial"/>
          <w:szCs w:val="10"/>
          <w:vertAlign w:val="subscript"/>
        </w:rPr>
        <w:t>2</w:t>
      </w:r>
      <w:r>
        <w:rPr>
          <w:rFonts w:cs="Arial"/>
          <w:szCs w:val="10"/>
        </w:rPr>
        <w:t xml:space="preserve"> </w:t>
      </w:r>
      <w:r>
        <w:rPr>
          <w:rFonts w:cs="Arial"/>
          <w:szCs w:val="17"/>
        </w:rPr>
        <w:t>in den Abgasen neutralisiert wird, sowie auf dem in den Zusatzstoffen enthaltenen Kohle</w:t>
      </w:r>
      <w:r>
        <w:rPr>
          <w:rFonts w:cs="Arial"/>
          <w:szCs w:val="17"/>
        </w:rPr>
        <w:t>n</w:t>
      </w:r>
      <w:r>
        <w:rPr>
          <w:rFonts w:cs="Arial"/>
          <w:szCs w:val="17"/>
        </w:rPr>
        <w:t>stoff. Do</w:t>
      </w:r>
      <w:r>
        <w:rPr>
          <w:rFonts w:cs="Arial"/>
          <w:szCs w:val="17"/>
        </w:rPr>
        <w:t>p</w:t>
      </w:r>
      <w:r>
        <w:rPr>
          <w:rFonts w:cs="Arial"/>
          <w:szCs w:val="17"/>
        </w:rPr>
        <w:t>pelzählungen aufgrund innerbetrieblichen Staubrecyclings sind zu vermeiden.</w:t>
      </w:r>
    </w:p>
    <w:p>
      <w:pPr>
        <w:pStyle w:val="GesAbsatz"/>
        <w:jc w:val="both"/>
        <w:rPr>
          <w:rFonts w:cs="Arial"/>
          <w:szCs w:val="17"/>
        </w:rPr>
      </w:pPr>
      <w:r>
        <w:rPr>
          <w:rFonts w:cs="Arial"/>
          <w:szCs w:val="17"/>
        </w:rPr>
        <w:t>Der Berechnung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Karbonat</w:t>
      </w:r>
      <w:r>
        <w:rPr>
          <w:rFonts w:cs="Arial"/>
          <w:szCs w:val="10"/>
        </w:rPr>
        <w:t xml:space="preserve"> </w:t>
      </w:r>
      <w:r>
        <w:rPr>
          <w:rFonts w:cs="Arial"/>
          <w:szCs w:val="17"/>
        </w:rPr>
        <w:t xml:space="preserve">× Emissionsfaktor}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Zusatzstoffe</w:t>
      </w:r>
      <w:r>
        <w:rPr>
          <w:rFonts w:cs="Arial"/>
          <w:szCs w:val="10"/>
        </w:rPr>
        <w:t xml:space="preserve"> </w:t>
      </w:r>
      <w:r>
        <w:rPr>
          <w:rFonts w:cs="Arial"/>
          <w:szCs w:val="17"/>
        </w:rPr>
        <w:t>×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lastRenderedPageBreak/>
        <w:t>a) Tätigkeitsdaten</w:t>
      </w:r>
    </w:p>
    <w:p>
      <w:pPr>
        <w:pStyle w:val="GesAbsatz"/>
        <w:jc w:val="both"/>
        <w:rPr>
          <w:rFonts w:cs="Arial"/>
          <w:szCs w:val="17"/>
        </w:rPr>
      </w:pPr>
      <w:r>
        <w:rPr>
          <w:rFonts w:cs="Arial"/>
          <w:szCs w:val="17"/>
        </w:rPr>
        <w:t>Die Tätigkeitsdaten</w:t>
      </w:r>
      <w:r>
        <w:rPr>
          <w:rFonts w:cs="Arial"/>
          <w:szCs w:val="10"/>
          <w:vertAlign w:val="subscript"/>
        </w:rPr>
        <w:t>Karbonat</w:t>
      </w:r>
      <w:r>
        <w:rPr>
          <w:rFonts w:cs="Arial"/>
          <w:szCs w:val="10"/>
        </w:rPr>
        <w:t xml:space="preserve"> </w:t>
      </w:r>
      <w:r>
        <w:rPr>
          <w:rFonts w:cs="Arial"/>
          <w:szCs w:val="17"/>
        </w:rPr>
        <w:t>umfassen die Menge [t] an CaCO</w:t>
      </w:r>
      <w:r>
        <w:rPr>
          <w:rFonts w:cs="Arial"/>
          <w:szCs w:val="10"/>
          <w:vertAlign w:val="subscript"/>
        </w:rPr>
        <w:t>3</w:t>
      </w:r>
      <w:r>
        <w:rPr>
          <w:rFonts w:cs="Arial"/>
          <w:szCs w:val="17"/>
        </w:rPr>
        <w:t>, MgCO</w:t>
      </w:r>
      <w:r>
        <w:rPr>
          <w:rFonts w:cs="Arial"/>
          <w:szCs w:val="10"/>
          <w:vertAlign w:val="subscript"/>
        </w:rPr>
        <w:t>3</w:t>
      </w:r>
      <w:r>
        <w:rPr>
          <w:rFonts w:cs="Arial"/>
          <w:szCs w:val="10"/>
        </w:rPr>
        <w:t xml:space="preserve"> </w:t>
      </w:r>
      <w:r>
        <w:rPr>
          <w:rFonts w:cs="Arial"/>
          <w:szCs w:val="17"/>
        </w:rPr>
        <w:t>oder anderen Erdalkali- oder Alk</w:t>
      </w:r>
      <w:r>
        <w:rPr>
          <w:rFonts w:cs="Arial"/>
          <w:szCs w:val="17"/>
        </w:rPr>
        <w:t>a</w:t>
      </w:r>
      <w:r>
        <w:rPr>
          <w:rFonts w:cs="Arial"/>
          <w:szCs w:val="17"/>
        </w:rPr>
        <w:t>likarbonaten, die während des Berichtszeitraums über die Rohstoffe (Kalkstein, Dolomit) eingesetzt we</w:t>
      </w:r>
      <w:r>
        <w:rPr>
          <w:rFonts w:cs="Arial"/>
          <w:szCs w:val="17"/>
        </w:rPr>
        <w:t>r</w:t>
      </w:r>
      <w:r>
        <w:rPr>
          <w:rFonts w:cs="Arial"/>
          <w:szCs w:val="17"/>
        </w:rPr>
        <w:t>den, sowie deren CO</w:t>
      </w:r>
      <w:r>
        <w:rPr>
          <w:rFonts w:cs="Arial"/>
          <w:szCs w:val="10"/>
          <w:vertAlign w:val="subscript"/>
        </w:rPr>
        <w:t>3</w:t>
      </w:r>
      <w:r>
        <w:rPr>
          <w:rFonts w:cs="Arial"/>
          <w:szCs w:val="10"/>
          <w:vertAlign w:val="superscript"/>
        </w:rPr>
        <w:t>2-</w:t>
      </w:r>
      <w:r>
        <w:rPr>
          <w:rFonts w:cs="Arial"/>
          <w:szCs w:val="17"/>
        </w:rPr>
        <w:t>-Konzentration und die Menge [t] der kohlenstoffhaltigen Zusatzstoffe.</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Masse an CaCO</w:t>
      </w:r>
      <w:r>
        <w:rPr>
          <w:rFonts w:cs="Arial"/>
          <w:szCs w:val="10"/>
          <w:vertAlign w:val="subscript"/>
        </w:rPr>
        <w:t>3</w:t>
      </w:r>
      <w:r>
        <w:rPr>
          <w:rFonts w:cs="Arial"/>
          <w:szCs w:val="17"/>
        </w:rPr>
        <w:t>, MgCO</w:t>
      </w:r>
      <w:r>
        <w:rPr>
          <w:rFonts w:cs="Arial"/>
          <w:szCs w:val="10"/>
          <w:vertAlign w:val="subscript"/>
        </w:rPr>
        <w:t>3</w:t>
      </w:r>
      <w:r>
        <w:rPr>
          <w:rFonts w:cs="Arial"/>
          <w:szCs w:val="10"/>
        </w:rPr>
        <w:t xml:space="preserve"> </w:t>
      </w:r>
      <w:r>
        <w:rPr>
          <w:rFonts w:cs="Arial"/>
          <w:szCs w:val="17"/>
        </w:rPr>
        <w:t>oder anderen Erdalkali- oder Alkalikarbonaten [t] sowie die Menge [t] der kohlenstoffhaltigen Zusatzstoffe, die während des Berichtszeitraums im Prozess eingesetzt werden, ermi</w:t>
      </w:r>
      <w:r>
        <w:rPr>
          <w:rFonts w:cs="Arial"/>
          <w:szCs w:val="17"/>
        </w:rPr>
        <w:t>t</w:t>
      </w:r>
      <w:r>
        <w:rPr>
          <w:rFonts w:cs="Arial"/>
          <w:szCs w:val="17"/>
        </w:rPr>
        <w:t>telt durch Wiegen durch den Betreiber oder den Lieferanten mit einem maximal zulässigen Unsicherheit</w:t>
      </w:r>
      <w:r>
        <w:rPr>
          <w:rFonts w:cs="Arial"/>
          <w:szCs w:val="17"/>
        </w:rPr>
        <w:t>s</w:t>
      </w:r>
      <w:r>
        <w:rPr>
          <w:rFonts w:cs="Arial"/>
          <w:szCs w:val="17"/>
        </w:rPr>
        <w:t>faktor von ± 2,5 % je Messvorgang; die Daten der Zusammensetzung richten sich nach den für diese sp</w:t>
      </w:r>
      <w:r>
        <w:rPr>
          <w:rFonts w:cs="Arial"/>
          <w:szCs w:val="17"/>
        </w:rPr>
        <w:t>e</w:t>
      </w:r>
      <w:r>
        <w:rPr>
          <w:rFonts w:cs="Arial"/>
          <w:szCs w:val="17"/>
        </w:rPr>
        <w:t>zielle Produktkategorie geltenden Leitlinien der Industrie hinsichtlich der bewährtesten Praxis.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Masse an CaCO</w:t>
      </w:r>
      <w:r>
        <w:rPr>
          <w:rFonts w:cs="Arial"/>
          <w:szCs w:val="10"/>
          <w:vertAlign w:val="subscript"/>
        </w:rPr>
        <w:t>3</w:t>
      </w:r>
      <w:r>
        <w:rPr>
          <w:rFonts w:cs="Arial"/>
          <w:szCs w:val="17"/>
        </w:rPr>
        <w:t>, MgCO</w:t>
      </w:r>
      <w:r>
        <w:rPr>
          <w:rFonts w:cs="Arial"/>
          <w:szCs w:val="10"/>
          <w:vertAlign w:val="subscript"/>
        </w:rPr>
        <w:t>3</w:t>
      </w:r>
      <w:r>
        <w:rPr>
          <w:rFonts w:cs="Arial"/>
          <w:szCs w:val="10"/>
        </w:rPr>
        <w:t xml:space="preserve"> </w:t>
      </w:r>
      <w:r>
        <w:rPr>
          <w:rFonts w:cs="Arial"/>
          <w:szCs w:val="17"/>
        </w:rPr>
        <w:t>oder anderen Erdalkali- oder Alkalikarbonaten [t] sowie die Menge [t] der kohlenstoffhaltigen Zusatzstoffe, die während des Berichtszeitraums im Prozess eingesetzt werden, ermi</w:t>
      </w:r>
      <w:r>
        <w:rPr>
          <w:rFonts w:cs="Arial"/>
          <w:szCs w:val="17"/>
        </w:rPr>
        <w:t>t</w:t>
      </w:r>
      <w:r>
        <w:rPr>
          <w:rFonts w:cs="Arial"/>
          <w:szCs w:val="17"/>
        </w:rPr>
        <w:t>telt durch Wiegen durch den Betreiber oder den Lieferanten mit einem maximal zulässigen Unsicherheit</w:t>
      </w:r>
      <w:r>
        <w:rPr>
          <w:rFonts w:cs="Arial"/>
          <w:szCs w:val="17"/>
        </w:rPr>
        <w:t>s</w:t>
      </w:r>
      <w:r>
        <w:rPr>
          <w:rFonts w:cs="Arial"/>
          <w:szCs w:val="17"/>
        </w:rPr>
        <w:t>faktor von ± 1,0 % je Messvorgang; die Analysen der Zusammensetzung erfolgen in Einklang mit A</w:t>
      </w:r>
      <w:r>
        <w:rPr>
          <w:rFonts w:cs="Arial"/>
          <w:szCs w:val="17"/>
        </w:rPr>
        <w:t>b</w:t>
      </w:r>
      <w:r>
        <w:rPr>
          <w:rFonts w:cs="Arial"/>
          <w:szCs w:val="17"/>
        </w:rPr>
        <w:t>schnitt 10 des Anhangs I.</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Karbonate</w:t>
      </w:r>
    </w:p>
    <w:p>
      <w:pPr>
        <w:pStyle w:val="GesAbsatz"/>
        <w:jc w:val="both"/>
        <w:rPr>
          <w:rFonts w:cs="Arial"/>
          <w:szCs w:val="17"/>
        </w:rPr>
      </w:pPr>
      <w:r>
        <w:rPr>
          <w:rFonts w:cs="Arial"/>
          <w:szCs w:val="17"/>
        </w:rPr>
        <w:t>Es sind die stöchiometrischen Verhältnisse der Karbonate im Prozessinput und -output, die in der unten stehenden Tabelle 1 aufgeführt sind, anzuwenden.</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60"/>
        <w:gridCol w:w="4961"/>
      </w:tblGrid>
      <w:tr>
        <w:tblPrEx>
          <w:tblCellMar>
            <w:top w:w="0" w:type="dxa"/>
            <w:bottom w:w="0" w:type="dxa"/>
          </w:tblCellMar>
        </w:tblPrEx>
        <w:tc>
          <w:tcPr>
            <w:tcW w:w="1630" w:type="dxa"/>
          </w:tcPr>
          <w:p>
            <w:pPr>
              <w:pStyle w:val="GesAbsatz"/>
              <w:jc w:val="center"/>
              <w:rPr>
                <w:rFonts w:cs="Arial"/>
                <w:szCs w:val="15"/>
              </w:rPr>
            </w:pPr>
            <w:r>
              <w:rPr>
                <w:rFonts w:cs="Arial"/>
                <w:szCs w:val="15"/>
              </w:rPr>
              <w:t>Oxid</w:t>
            </w:r>
          </w:p>
        </w:tc>
        <w:tc>
          <w:tcPr>
            <w:tcW w:w="3260" w:type="dxa"/>
          </w:tcPr>
          <w:p>
            <w:pPr>
              <w:pStyle w:val="GesAbsatz"/>
              <w:jc w:val="center"/>
              <w:rPr>
                <w:rFonts w:cs="Arial"/>
                <w:szCs w:val="15"/>
              </w:rPr>
            </w:pPr>
            <w:r>
              <w:rPr>
                <w:rFonts w:cs="Arial"/>
                <w:szCs w:val="15"/>
              </w:rPr>
              <w:t>Emissionsfaktor [t CO</w:t>
            </w:r>
            <w:r>
              <w:rPr>
                <w:rFonts w:cs="Arial"/>
                <w:szCs w:val="8"/>
                <w:vertAlign w:val="subscript"/>
              </w:rPr>
              <w:t>2</w:t>
            </w:r>
            <w:r>
              <w:rPr>
                <w:rFonts w:cs="Arial"/>
                <w:szCs w:val="15"/>
              </w:rPr>
              <w:t>/t Ca-, Mg- oder anderes Karbonat]</w:t>
            </w:r>
          </w:p>
        </w:tc>
        <w:tc>
          <w:tcPr>
            <w:tcW w:w="4961" w:type="dxa"/>
          </w:tcPr>
          <w:p>
            <w:pPr>
              <w:pStyle w:val="GesAbsatz"/>
              <w:jc w:val="center"/>
              <w:rPr>
                <w:rFonts w:cs="Arial"/>
                <w:szCs w:val="15"/>
              </w:rPr>
            </w:pPr>
            <w:r>
              <w:rPr>
                <w:rFonts w:cs="Arial"/>
                <w:szCs w:val="15"/>
              </w:rPr>
              <w:t>Bemerkungen</w:t>
            </w:r>
          </w:p>
        </w:tc>
      </w:tr>
      <w:tr>
        <w:tblPrEx>
          <w:tblCellMar>
            <w:top w:w="0" w:type="dxa"/>
            <w:bottom w:w="0" w:type="dxa"/>
          </w:tblCellMar>
        </w:tblPrEx>
        <w:tc>
          <w:tcPr>
            <w:tcW w:w="1630" w:type="dxa"/>
          </w:tcPr>
          <w:p>
            <w:pPr>
              <w:pStyle w:val="GesAbsatz"/>
              <w:rPr>
                <w:rFonts w:cs="Arial"/>
                <w:szCs w:val="15"/>
              </w:rPr>
            </w:pPr>
            <w:r>
              <w:rPr>
                <w:rFonts w:cs="Arial"/>
                <w:szCs w:val="17"/>
              </w:rPr>
              <w:t>CaCO</w:t>
            </w:r>
            <w:r>
              <w:rPr>
                <w:rFonts w:cs="Arial"/>
                <w:szCs w:val="10"/>
                <w:vertAlign w:val="subscript"/>
              </w:rPr>
              <w:t>3</w:t>
            </w:r>
          </w:p>
        </w:tc>
        <w:tc>
          <w:tcPr>
            <w:tcW w:w="3260" w:type="dxa"/>
          </w:tcPr>
          <w:p>
            <w:pPr>
              <w:pStyle w:val="GesAbsatz"/>
              <w:rPr>
                <w:rFonts w:cs="Arial"/>
                <w:szCs w:val="15"/>
              </w:rPr>
            </w:pPr>
            <w:r>
              <w:rPr>
                <w:rFonts w:cs="Arial"/>
                <w:szCs w:val="17"/>
              </w:rPr>
              <w:t>0,440</w:t>
            </w:r>
          </w:p>
        </w:tc>
        <w:tc>
          <w:tcPr>
            <w:tcW w:w="4961" w:type="dxa"/>
          </w:tcPr>
          <w:p>
            <w:pPr>
              <w:pStyle w:val="GesAbsatz"/>
              <w:rPr>
                <w:rFonts w:cs="Arial"/>
                <w:szCs w:val="15"/>
              </w:rPr>
            </w:pPr>
          </w:p>
        </w:tc>
      </w:tr>
      <w:tr>
        <w:tblPrEx>
          <w:tblCellMar>
            <w:top w:w="0" w:type="dxa"/>
            <w:bottom w:w="0" w:type="dxa"/>
          </w:tblCellMar>
        </w:tblPrEx>
        <w:tc>
          <w:tcPr>
            <w:tcW w:w="1630" w:type="dxa"/>
          </w:tcPr>
          <w:p>
            <w:pPr>
              <w:pStyle w:val="GesAbsatz"/>
              <w:rPr>
                <w:rFonts w:cs="Arial"/>
                <w:szCs w:val="17"/>
              </w:rPr>
            </w:pPr>
            <w:r>
              <w:rPr>
                <w:rFonts w:cs="Arial"/>
                <w:szCs w:val="17"/>
              </w:rPr>
              <w:t>MgCO</w:t>
            </w:r>
            <w:r>
              <w:rPr>
                <w:rFonts w:cs="Arial"/>
                <w:szCs w:val="10"/>
                <w:vertAlign w:val="subscript"/>
              </w:rPr>
              <w:t>3</w:t>
            </w:r>
          </w:p>
        </w:tc>
        <w:tc>
          <w:tcPr>
            <w:tcW w:w="3260" w:type="dxa"/>
          </w:tcPr>
          <w:p>
            <w:pPr>
              <w:pStyle w:val="GesAbsatz"/>
              <w:rPr>
                <w:rFonts w:cs="Arial"/>
                <w:szCs w:val="17"/>
              </w:rPr>
            </w:pPr>
            <w:r>
              <w:rPr>
                <w:rFonts w:cs="Arial"/>
                <w:szCs w:val="17"/>
              </w:rPr>
              <w:t>0,522</w:t>
            </w:r>
          </w:p>
        </w:tc>
        <w:tc>
          <w:tcPr>
            <w:tcW w:w="4961" w:type="dxa"/>
          </w:tcPr>
          <w:p>
            <w:pPr>
              <w:pStyle w:val="GesAbsatz"/>
              <w:rPr>
                <w:rFonts w:cs="Arial"/>
                <w:szCs w:val="15"/>
              </w:rPr>
            </w:pPr>
          </w:p>
        </w:tc>
      </w:tr>
      <w:tr>
        <w:tblPrEx>
          <w:tblCellMar>
            <w:top w:w="0" w:type="dxa"/>
            <w:bottom w:w="0" w:type="dxa"/>
          </w:tblCellMar>
        </w:tblPrEx>
        <w:tc>
          <w:tcPr>
            <w:tcW w:w="1630" w:type="dxa"/>
          </w:tcPr>
          <w:p>
            <w:pPr>
              <w:pStyle w:val="GesAbsatz"/>
              <w:rPr>
                <w:rFonts w:cs="Arial"/>
                <w:szCs w:val="17"/>
              </w:rPr>
            </w:pPr>
            <w:r>
              <w:rPr>
                <w:rFonts w:cs="Arial"/>
                <w:szCs w:val="17"/>
              </w:rPr>
              <w:t>Allgemein:</w:t>
            </w:r>
            <w:r>
              <w:rPr>
                <w:rFonts w:cs="Arial"/>
                <w:szCs w:val="17"/>
              </w:rPr>
              <w:br/>
              <w:t>X</w:t>
            </w:r>
            <w:r>
              <w:rPr>
                <w:rFonts w:cs="Arial"/>
                <w:szCs w:val="10"/>
                <w:vertAlign w:val="subscript"/>
              </w:rPr>
              <w:t>y</w:t>
            </w:r>
            <w:r>
              <w:rPr>
                <w:rFonts w:cs="Arial"/>
                <w:szCs w:val="17"/>
              </w:rPr>
              <w:t>(CO</w:t>
            </w:r>
            <w:r>
              <w:rPr>
                <w:rFonts w:cs="Arial"/>
                <w:szCs w:val="10"/>
                <w:vertAlign w:val="subscript"/>
              </w:rPr>
              <w:t>3</w:t>
            </w:r>
            <w:r>
              <w:rPr>
                <w:rFonts w:cs="Arial"/>
                <w:szCs w:val="17"/>
              </w:rPr>
              <w:t>)</w:t>
            </w:r>
            <w:r>
              <w:rPr>
                <w:rFonts w:cs="Arial"/>
                <w:szCs w:val="10"/>
                <w:vertAlign w:val="subscript"/>
              </w:rPr>
              <w:t>z</w:t>
            </w:r>
          </w:p>
        </w:tc>
        <w:tc>
          <w:tcPr>
            <w:tcW w:w="3260" w:type="dxa"/>
          </w:tcPr>
          <w:p>
            <w:pPr>
              <w:pStyle w:val="GesAbsatz"/>
              <w:rPr>
                <w:rFonts w:cs="Arial"/>
                <w:szCs w:val="17"/>
              </w:rPr>
            </w:pPr>
            <w:r>
              <w:rPr>
                <w:rFonts w:cs="Arial"/>
                <w:szCs w:val="17"/>
              </w:rPr>
              <w:t>Emissionsfaktor =</w:t>
            </w:r>
            <w:r>
              <w:rPr>
                <w:rFonts w:cs="Arial"/>
                <w:szCs w:val="17"/>
              </w:rPr>
              <w:br/>
              <w:t>[M</w:t>
            </w:r>
            <w:r>
              <w:rPr>
                <w:rFonts w:cs="Arial"/>
                <w:szCs w:val="10"/>
                <w:vertAlign w:val="subscript"/>
              </w:rPr>
              <w:t>CO2</w:t>
            </w:r>
            <w:r>
              <w:rPr>
                <w:rFonts w:cs="Arial"/>
                <w:szCs w:val="17"/>
              </w:rPr>
              <w:t>] / {Y × [M</w:t>
            </w:r>
            <w:r>
              <w:rPr>
                <w:rFonts w:cs="Arial"/>
                <w:szCs w:val="10"/>
                <w:vertAlign w:val="subscript"/>
              </w:rPr>
              <w:t>x</w:t>
            </w:r>
            <w:r>
              <w:rPr>
                <w:rFonts w:cs="Arial"/>
                <w:szCs w:val="17"/>
              </w:rPr>
              <w:t>] + Z × [M</w:t>
            </w:r>
            <w:r>
              <w:rPr>
                <w:rFonts w:cs="Arial"/>
                <w:szCs w:val="10"/>
                <w:vertAlign w:val="subscript"/>
              </w:rPr>
              <w:t>CO3</w:t>
            </w:r>
            <w:r>
              <w:rPr>
                <w:rFonts w:cs="Arial"/>
                <w:szCs w:val="5"/>
                <w:vertAlign w:val="superscript"/>
              </w:rPr>
              <w:t>2-</w:t>
            </w:r>
            <w:r>
              <w:rPr>
                <w:rFonts w:cs="Arial"/>
                <w:szCs w:val="17"/>
              </w:rPr>
              <w:t>]}</w:t>
            </w:r>
          </w:p>
        </w:tc>
        <w:tc>
          <w:tcPr>
            <w:tcW w:w="4961" w:type="dxa"/>
          </w:tcPr>
          <w:p>
            <w:pPr>
              <w:pStyle w:val="GesAbsatz"/>
              <w:tabs>
                <w:tab w:val="clear" w:pos="425"/>
              </w:tabs>
              <w:ind w:left="922" w:hanging="922"/>
              <w:rPr>
                <w:rFonts w:cs="Arial"/>
                <w:szCs w:val="17"/>
              </w:rPr>
            </w:pPr>
            <w:r>
              <w:rPr>
                <w:rFonts w:cs="Arial"/>
                <w:szCs w:val="17"/>
              </w:rPr>
              <w:t>X =</w:t>
            </w:r>
            <w:r>
              <w:rPr>
                <w:rFonts w:cs="Arial"/>
                <w:szCs w:val="17"/>
              </w:rPr>
              <w:tab/>
              <w:t>Erdalkali- oder Alkalimetall</w:t>
            </w:r>
          </w:p>
          <w:p>
            <w:pPr>
              <w:pStyle w:val="GesAbsatz"/>
              <w:tabs>
                <w:tab w:val="clear" w:pos="425"/>
              </w:tabs>
              <w:ind w:left="922" w:hanging="922"/>
              <w:rPr>
                <w:rFonts w:cs="Arial"/>
                <w:szCs w:val="17"/>
              </w:rPr>
            </w:pPr>
            <w:r>
              <w:rPr>
                <w:rFonts w:cs="Arial"/>
                <w:szCs w:val="17"/>
              </w:rPr>
              <w:t>M</w:t>
            </w:r>
            <w:r>
              <w:rPr>
                <w:rFonts w:cs="Arial"/>
                <w:szCs w:val="10"/>
                <w:vertAlign w:val="subscript"/>
              </w:rPr>
              <w:t>x</w:t>
            </w:r>
            <w:r>
              <w:rPr>
                <w:rFonts w:cs="Arial"/>
                <w:szCs w:val="10"/>
              </w:rPr>
              <w:t xml:space="preserve"> </w:t>
            </w:r>
            <w:r>
              <w:rPr>
                <w:rFonts w:cs="Arial"/>
                <w:szCs w:val="17"/>
              </w:rPr>
              <w:t>=</w:t>
            </w:r>
            <w:r>
              <w:rPr>
                <w:rFonts w:cs="Arial"/>
                <w:szCs w:val="17"/>
              </w:rPr>
              <w:tab/>
              <w:t>Molekulargewicht von X in [g/mol]</w:t>
            </w:r>
          </w:p>
          <w:p>
            <w:pPr>
              <w:pStyle w:val="GesAbsatz"/>
              <w:tabs>
                <w:tab w:val="clear" w:pos="425"/>
              </w:tabs>
              <w:ind w:left="922" w:hanging="922"/>
              <w:rPr>
                <w:rFonts w:cs="Arial"/>
                <w:szCs w:val="17"/>
              </w:rPr>
            </w:pPr>
            <w:r>
              <w:rPr>
                <w:rFonts w:cs="Arial"/>
                <w:szCs w:val="17"/>
              </w:rPr>
              <w:t>M</w:t>
            </w:r>
            <w:r>
              <w:rPr>
                <w:rFonts w:cs="Arial"/>
                <w:szCs w:val="10"/>
                <w:vertAlign w:val="subscript"/>
              </w:rPr>
              <w:t>CO2</w:t>
            </w:r>
            <w:r>
              <w:rPr>
                <w:rFonts w:cs="Arial"/>
                <w:szCs w:val="10"/>
              </w:rPr>
              <w:t xml:space="preserve"> </w:t>
            </w:r>
            <w:r>
              <w:rPr>
                <w:rFonts w:cs="Arial"/>
                <w:szCs w:val="17"/>
              </w:rPr>
              <w:t>=</w:t>
            </w:r>
            <w:r>
              <w:rPr>
                <w:rFonts w:cs="Arial"/>
                <w:szCs w:val="17"/>
              </w:rPr>
              <w:tab/>
              <w:t>Molekulargewicht von CO</w:t>
            </w:r>
            <w:r>
              <w:rPr>
                <w:rFonts w:cs="Arial"/>
                <w:szCs w:val="10"/>
                <w:vertAlign w:val="subscript"/>
              </w:rPr>
              <w:t>2</w:t>
            </w:r>
            <w:r>
              <w:rPr>
                <w:rFonts w:cs="Arial"/>
                <w:szCs w:val="10"/>
              </w:rPr>
              <w:t xml:space="preserve"> </w:t>
            </w:r>
            <w:r>
              <w:rPr>
                <w:rFonts w:cs="Arial"/>
                <w:szCs w:val="17"/>
              </w:rPr>
              <w:t>= 44 [g/mol]</w:t>
            </w:r>
          </w:p>
          <w:p>
            <w:pPr>
              <w:pStyle w:val="GesAbsatz"/>
              <w:tabs>
                <w:tab w:val="clear" w:pos="425"/>
              </w:tabs>
              <w:ind w:left="922" w:hanging="922"/>
              <w:rPr>
                <w:rFonts w:cs="Arial"/>
                <w:szCs w:val="17"/>
              </w:rPr>
            </w:pPr>
            <w:r>
              <w:rPr>
                <w:rFonts w:cs="Arial"/>
                <w:szCs w:val="17"/>
              </w:rPr>
              <w:t>M</w:t>
            </w:r>
            <w:r>
              <w:rPr>
                <w:rFonts w:cs="Arial"/>
                <w:szCs w:val="10"/>
                <w:vertAlign w:val="subscript"/>
              </w:rPr>
              <w:t>CO3-</w:t>
            </w:r>
            <w:r>
              <w:rPr>
                <w:rFonts w:cs="Arial"/>
                <w:szCs w:val="10"/>
              </w:rPr>
              <w:t xml:space="preserve"> </w:t>
            </w:r>
            <w:r>
              <w:rPr>
                <w:rFonts w:cs="Arial"/>
                <w:szCs w:val="17"/>
              </w:rPr>
              <w:t>=</w:t>
            </w:r>
            <w:r>
              <w:rPr>
                <w:rFonts w:cs="Arial"/>
                <w:szCs w:val="17"/>
              </w:rPr>
              <w:tab/>
              <w:t>Molekulargewicht von CO</w:t>
            </w:r>
            <w:r>
              <w:rPr>
                <w:rFonts w:cs="Arial"/>
                <w:szCs w:val="10"/>
                <w:vertAlign w:val="subscript"/>
              </w:rPr>
              <w:t>3</w:t>
            </w:r>
            <w:r>
              <w:rPr>
                <w:rFonts w:cs="Arial"/>
                <w:szCs w:val="10"/>
                <w:vertAlign w:val="superscript"/>
              </w:rPr>
              <w:t>2-</w:t>
            </w:r>
            <w:r>
              <w:rPr>
                <w:rFonts w:cs="Arial"/>
                <w:szCs w:val="10"/>
              </w:rPr>
              <w:t xml:space="preserve"> </w:t>
            </w:r>
            <w:r>
              <w:rPr>
                <w:rFonts w:cs="Arial"/>
                <w:szCs w:val="17"/>
              </w:rPr>
              <w:t>= 60 [g/mol]</w:t>
            </w:r>
          </w:p>
          <w:p>
            <w:pPr>
              <w:pStyle w:val="GesAbsatz"/>
              <w:tabs>
                <w:tab w:val="clear" w:pos="425"/>
              </w:tabs>
              <w:ind w:left="922" w:hanging="922"/>
              <w:rPr>
                <w:rFonts w:cs="Arial"/>
                <w:szCs w:val="17"/>
              </w:rPr>
            </w:pPr>
            <w:r>
              <w:rPr>
                <w:rFonts w:cs="Arial"/>
                <w:szCs w:val="17"/>
              </w:rPr>
              <w:t>Y =</w:t>
            </w:r>
            <w:r>
              <w:rPr>
                <w:rFonts w:cs="Arial"/>
                <w:szCs w:val="17"/>
              </w:rPr>
              <w:tab/>
              <w:t>stöchiometrische Zahl von X</w:t>
            </w:r>
          </w:p>
          <w:p>
            <w:pPr>
              <w:pStyle w:val="GesAbsatz"/>
              <w:tabs>
                <w:tab w:val="clear" w:pos="425"/>
              </w:tabs>
              <w:ind w:left="922" w:hanging="922"/>
              <w:rPr>
                <w:rFonts w:cs="Arial"/>
                <w:szCs w:val="17"/>
              </w:rPr>
            </w:pPr>
            <w:r>
              <w:rPr>
                <w:rFonts w:cs="Arial"/>
                <w:szCs w:val="17"/>
              </w:rPr>
              <w:tab/>
              <w:t>= 1 (für Erdalkalimetalle)</w:t>
            </w:r>
          </w:p>
          <w:p>
            <w:pPr>
              <w:pStyle w:val="GesAbsatz"/>
              <w:tabs>
                <w:tab w:val="clear" w:pos="425"/>
              </w:tabs>
              <w:ind w:left="922" w:hanging="922"/>
              <w:rPr>
                <w:rFonts w:cs="Arial"/>
                <w:szCs w:val="17"/>
              </w:rPr>
            </w:pPr>
            <w:r>
              <w:rPr>
                <w:rFonts w:cs="Arial"/>
                <w:szCs w:val="17"/>
              </w:rPr>
              <w:tab/>
              <w:t>= 2 (für Alkalimetalle)</w:t>
            </w:r>
          </w:p>
          <w:p>
            <w:pPr>
              <w:pStyle w:val="GesAbsatz"/>
              <w:rPr>
                <w:rFonts w:cs="Arial"/>
                <w:szCs w:val="15"/>
              </w:rPr>
            </w:pPr>
            <w:r>
              <w:rPr>
                <w:rFonts w:cs="Arial"/>
                <w:szCs w:val="17"/>
              </w:rPr>
              <w:t>Z =</w:t>
            </w:r>
            <w:r>
              <w:rPr>
                <w:rFonts w:cs="Arial"/>
                <w:szCs w:val="17"/>
              </w:rPr>
              <w:tab/>
              <w:t>stöchiometrische Zahl von CO</w:t>
            </w:r>
            <w:r>
              <w:rPr>
                <w:rFonts w:cs="Arial"/>
                <w:szCs w:val="10"/>
                <w:vertAlign w:val="subscript"/>
              </w:rPr>
              <w:t>3</w:t>
            </w:r>
            <w:r>
              <w:rPr>
                <w:rFonts w:cs="Arial"/>
                <w:szCs w:val="10"/>
                <w:vertAlign w:val="superscript"/>
              </w:rPr>
              <w:t>2-</w:t>
            </w:r>
            <w:r>
              <w:rPr>
                <w:rFonts w:cs="Arial"/>
                <w:szCs w:val="10"/>
              </w:rPr>
              <w:t xml:space="preserve"> </w:t>
            </w:r>
            <w:r>
              <w:rPr>
                <w:rFonts w:cs="Arial"/>
                <w:szCs w:val="17"/>
              </w:rPr>
              <w:t>= 1</w:t>
            </w:r>
          </w:p>
        </w:tc>
      </w:tr>
    </w:tbl>
    <w:p>
      <w:pPr>
        <w:pStyle w:val="GesAbsatz"/>
        <w:jc w:val="both"/>
        <w:rPr>
          <w:rFonts w:cs="Arial"/>
          <w:szCs w:val="15"/>
        </w:rPr>
      </w:pPr>
    </w:p>
    <w:p>
      <w:pPr>
        <w:pStyle w:val="GesAbsatz"/>
        <w:jc w:val="both"/>
        <w:rPr>
          <w:rFonts w:cs="Arial"/>
          <w:szCs w:val="17"/>
        </w:rPr>
      </w:pPr>
      <w:r>
        <w:rPr>
          <w:rFonts w:cs="Arial"/>
          <w:szCs w:val="17"/>
        </w:rPr>
        <w:t>Diese Werte sind um den jeweiligen Feuchte- und Gangart-Gehalt der eingesetzten Karbonatmaterialien zu bereinigen.</w:t>
      </w:r>
    </w:p>
    <w:p>
      <w:pPr>
        <w:pStyle w:val="GesAbsatz"/>
        <w:jc w:val="both"/>
        <w:rPr>
          <w:rFonts w:cs="Arial"/>
          <w:szCs w:val="17"/>
        </w:rPr>
      </w:pPr>
      <w:r>
        <w:rPr>
          <w:rFonts w:cs="Arial"/>
          <w:szCs w:val="17"/>
        </w:rPr>
        <w:t>Zusatzstoffe</w:t>
      </w:r>
    </w:p>
    <w:p>
      <w:pPr>
        <w:pStyle w:val="GesAbsatz"/>
        <w:jc w:val="both"/>
        <w:rPr>
          <w:rFonts w:cs="Arial"/>
          <w:szCs w:val="17"/>
        </w:rPr>
      </w:pPr>
      <w:r>
        <w:rPr>
          <w:rFonts w:cs="Arial"/>
          <w:szCs w:val="17"/>
        </w:rPr>
        <w:t>Die spezifischen Emissionsfaktoren werden in Einklang mit den Vorgaben von Abschnitt 10 des A</w:t>
      </w:r>
      <w:r>
        <w:rPr>
          <w:rFonts w:cs="Arial"/>
          <w:szCs w:val="17"/>
        </w:rPr>
        <w:t>n</w:t>
      </w:r>
      <w:r>
        <w:rPr>
          <w:rFonts w:cs="Arial"/>
          <w:szCs w:val="17"/>
        </w:rPr>
        <w:t>hangs I ermittelt.</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lastRenderedPageBreak/>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Berechnungsmethode B: Alkalimetalloxide</w:t>
      </w:r>
    </w:p>
    <w:p>
      <w:pPr>
        <w:pStyle w:val="GesAbsatz"/>
        <w:jc w:val="both"/>
        <w:rPr>
          <w:rFonts w:cs="Arial"/>
          <w:szCs w:val="17"/>
        </w:rPr>
      </w:pPr>
      <w:r>
        <w:rPr>
          <w:rFonts w:cs="Arial"/>
          <w:szCs w:val="17"/>
        </w:rPr>
        <w:t>Die Berechnung des Kalzinierungs-CO</w:t>
      </w:r>
      <w:r>
        <w:rPr>
          <w:rFonts w:cs="Arial"/>
          <w:szCs w:val="10"/>
          <w:vertAlign w:val="subscript"/>
        </w:rPr>
        <w:t>2</w:t>
      </w:r>
      <w:r>
        <w:rPr>
          <w:rFonts w:cs="Arial"/>
          <w:szCs w:val="10"/>
        </w:rPr>
        <w:t xml:space="preserve"> </w:t>
      </w:r>
      <w:r>
        <w:rPr>
          <w:rFonts w:cs="Arial"/>
          <w:szCs w:val="17"/>
        </w:rPr>
        <w:t>basiert auf der Menge der hergestellten keramischen Erzeugni</w:t>
      </w:r>
      <w:r>
        <w:rPr>
          <w:rFonts w:cs="Arial"/>
          <w:szCs w:val="17"/>
        </w:rPr>
        <w:t>s</w:t>
      </w:r>
      <w:r>
        <w:rPr>
          <w:rFonts w:cs="Arial"/>
          <w:szCs w:val="17"/>
        </w:rPr>
        <w:t>se und dem Anteil an CaO, MgO und anderen (Erd-)Alkalimetalloxiden in den keramischen Erzeugnissen (Täti</w:t>
      </w:r>
      <w:r>
        <w:rPr>
          <w:rFonts w:cs="Arial"/>
          <w:szCs w:val="17"/>
        </w:rPr>
        <w:t>g</w:t>
      </w:r>
      <w:r>
        <w:rPr>
          <w:rFonts w:cs="Arial"/>
          <w:szCs w:val="17"/>
        </w:rPr>
        <w:t>keitsdaten</w:t>
      </w:r>
      <w:r>
        <w:rPr>
          <w:rFonts w:cs="Arial"/>
          <w:szCs w:val="10"/>
          <w:vertAlign w:val="subscript"/>
        </w:rPr>
        <w:t>O OUTPUT</w:t>
      </w:r>
      <w:r>
        <w:rPr>
          <w:rFonts w:cs="Arial"/>
          <w:szCs w:val="17"/>
        </w:rPr>
        <w:t>). Der Emissionsfaktor ist um die bereits kalzinierten Mengen Ca, Mg und anderer Erdalkali-/Alkalimetalle zu korrigieren, die dem Ofen zum Beispiel über alternative Brennstoffe und Ro</w:t>
      </w:r>
      <w:r>
        <w:rPr>
          <w:rFonts w:cs="Arial"/>
          <w:szCs w:val="17"/>
        </w:rPr>
        <w:t>h</w:t>
      </w:r>
      <w:r>
        <w:rPr>
          <w:rFonts w:cs="Arial"/>
          <w:szCs w:val="17"/>
        </w:rPr>
        <w:t>stoffe mit einem bedeutenden CaO- oder MgO-Anteil zugeführt werden (Tätigkeitsdaten</w:t>
      </w:r>
      <w:r>
        <w:rPr>
          <w:rFonts w:cs="Arial"/>
          <w:szCs w:val="10"/>
          <w:vertAlign w:val="subscript"/>
        </w:rPr>
        <w:t>O INPUT</w:t>
      </w:r>
      <w:r>
        <w:rPr>
          <w:rFonts w:cs="Arial"/>
          <w:szCs w:val="17"/>
        </w:rPr>
        <w:t>). Emissi</w:t>
      </w:r>
      <w:r>
        <w:rPr>
          <w:rFonts w:cs="Arial"/>
          <w:szCs w:val="17"/>
        </w:rPr>
        <w:t>o</w:t>
      </w:r>
      <w:r>
        <w:rPr>
          <w:rFonts w:cs="Arial"/>
          <w:szCs w:val="17"/>
        </w:rPr>
        <w:t>nen aus der HF-, HCl- oder SO</w:t>
      </w:r>
      <w:r>
        <w:rPr>
          <w:rFonts w:cs="Arial"/>
          <w:szCs w:val="10"/>
          <w:vertAlign w:val="subscript"/>
        </w:rPr>
        <w:t>2</w:t>
      </w:r>
      <w:r>
        <w:rPr>
          <w:rFonts w:cs="Arial"/>
          <w:szCs w:val="17"/>
        </w:rPr>
        <w:t>-Reduktion sind auf der Grundlage der eingesetzten Karbonate gemäß den Verfahren in Berechnungsmethode A zu berechnen.</w:t>
      </w:r>
    </w:p>
    <w:p>
      <w:pPr>
        <w:pStyle w:val="GesAbsatz"/>
        <w:jc w:val="both"/>
        <w:rPr>
          <w:rFonts w:cs="Arial"/>
          <w:szCs w:val="17"/>
        </w:rPr>
      </w:pPr>
      <w:r>
        <w:rPr>
          <w:rFonts w:cs="Arial"/>
          <w:szCs w:val="17"/>
        </w:rPr>
        <w:t>Der Berechnung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xml:space="preserve">]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O OUTPUT</w:t>
      </w:r>
      <w:r>
        <w:rPr>
          <w:rFonts w:cs="Arial"/>
          <w:szCs w:val="10"/>
        </w:rPr>
        <w:t xml:space="preserve"> </w:t>
      </w:r>
      <w:r>
        <w:rPr>
          <w:rFonts w:cs="Arial"/>
          <w:szCs w:val="17"/>
        </w:rPr>
        <w:t>– Tätigkeitsdaten</w:t>
      </w:r>
      <w:r>
        <w:rPr>
          <w:rFonts w:cs="Arial"/>
          <w:szCs w:val="10"/>
          <w:vertAlign w:val="subscript"/>
        </w:rPr>
        <w:t>O INPUT</w:t>
      </w:r>
      <w:r>
        <w:rPr>
          <w:rFonts w:cs="Arial"/>
          <w:szCs w:val="17"/>
        </w:rPr>
        <w:t>) × Emissionsfaktor × Umse</w:t>
      </w:r>
      <w:r>
        <w:rPr>
          <w:rFonts w:cs="Arial"/>
          <w:szCs w:val="17"/>
        </w:rPr>
        <w:t>t</w:t>
      </w:r>
      <w:r>
        <w:rPr>
          <w:rFonts w:cs="Arial"/>
          <w:szCs w:val="17"/>
        </w:rPr>
        <w:t xml:space="preserve">zungsfaktor]} + (CO </w:t>
      </w:r>
      <w:r>
        <w:rPr>
          <w:rFonts w:cs="Arial"/>
          <w:szCs w:val="10"/>
          <w:vertAlign w:val="subscript"/>
        </w:rPr>
        <w:t>2</w:t>
      </w:r>
      <w:r>
        <w:rPr>
          <w:rFonts w:cs="Arial"/>
          <w:szCs w:val="17"/>
        </w:rPr>
        <w:t>-Emissionen aus der HF-, HCl- oder SO</w:t>
      </w:r>
      <w:r>
        <w:rPr>
          <w:rFonts w:cs="Arial"/>
          <w:szCs w:val="10"/>
          <w:vertAlign w:val="subscript"/>
        </w:rPr>
        <w:t>2</w:t>
      </w:r>
      <w:r>
        <w:rPr>
          <w:rFonts w:cs="Arial"/>
          <w:szCs w:val="17"/>
        </w:rPr>
        <w:t>-Reduktion))</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Der Begriff „Tätigkeitsdaten</w:t>
      </w:r>
      <w:r>
        <w:rPr>
          <w:rFonts w:cs="Arial"/>
          <w:szCs w:val="10"/>
          <w:vertAlign w:val="subscript"/>
        </w:rPr>
        <w:t xml:space="preserve">O OUTPUT </w:t>
      </w:r>
      <w:r>
        <w:rPr>
          <w:rFonts w:cs="Arial"/>
          <w:szCs w:val="17"/>
        </w:rPr>
        <w:t>– Tätigkeitsdaten</w:t>
      </w:r>
      <w:r>
        <w:rPr>
          <w:rFonts w:cs="Arial"/>
          <w:szCs w:val="10"/>
          <w:vertAlign w:val="subscript"/>
        </w:rPr>
        <w:t>O INPUT</w:t>
      </w:r>
      <w:r>
        <w:rPr>
          <w:rFonts w:cs="Arial"/>
          <w:szCs w:val="10"/>
        </w:rPr>
        <w:t xml:space="preserve"> </w:t>
      </w:r>
      <w:r>
        <w:rPr>
          <w:rFonts w:cs="Arial"/>
          <w:szCs w:val="17"/>
        </w:rPr>
        <w:t>“ beschreibt die Mengen [t] an CaO, MgO oder anderen Erdalkali- oder Alkalimetalloxiden, die während des Berichtszeitraums aus den Karbonaten u</w:t>
      </w:r>
      <w:r>
        <w:rPr>
          <w:rFonts w:cs="Arial"/>
          <w:szCs w:val="17"/>
        </w:rPr>
        <w:t>m</w:t>
      </w:r>
      <w:r>
        <w:rPr>
          <w:rFonts w:cs="Arial"/>
          <w:szCs w:val="17"/>
        </w:rPr>
        <w:t>gewandelt werden.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Masse an CaO, MgO oder anderen Erdalkali- oder Alkalimetalloxiden [t] im Prozessinput und in den Endprodukten, ermittelt vom Betreiber durch Wiegen mit einem maximal zulässigen Unsicherheitsfaktor von ± 2,5 % je Messvorgang; die Daten der Zusammensetzung richten sich nach den für diese bestim</w:t>
      </w:r>
      <w:r>
        <w:rPr>
          <w:rFonts w:cs="Arial"/>
          <w:szCs w:val="17"/>
        </w:rPr>
        <w:t>m</w:t>
      </w:r>
      <w:r>
        <w:rPr>
          <w:rFonts w:cs="Arial"/>
          <w:szCs w:val="17"/>
        </w:rPr>
        <w:t>ten Produkttypen und Rohstoffe geltenden Leitlinien der Industrie hinsichtlich der bewährtesten Praxis.</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Masse an CaO, MgO oder anderen Erdalkali- oder Alkalioxiden [t] im Prozessinput und in den Endpr</w:t>
      </w:r>
      <w:r>
        <w:rPr>
          <w:rFonts w:cs="Arial"/>
          <w:szCs w:val="17"/>
        </w:rPr>
        <w:t>o</w:t>
      </w:r>
      <w:r>
        <w:rPr>
          <w:rFonts w:cs="Arial"/>
          <w:szCs w:val="17"/>
        </w:rPr>
        <w:t>dukten, ermittelt vom Betreiber durch Wiegen mit einem maximal zulässigen Unsicherheitsfaktor von ± 1,0 % je Messvorgang; die Analysen der Zusammensetzung erfolgen in Einklang mit den Vorgaben von A</w:t>
      </w:r>
      <w:r>
        <w:rPr>
          <w:rFonts w:cs="Arial"/>
          <w:szCs w:val="17"/>
        </w:rPr>
        <w:t>b</w:t>
      </w:r>
      <w:r>
        <w:rPr>
          <w:rFonts w:cs="Arial"/>
          <w:szCs w:val="17"/>
        </w:rPr>
        <w:t>schnitt 10 des Anhangs I.</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Es sind die stöchiometrischen Verhältnisse der Oxide im Prozessinput und -output, die in der unten st</w:t>
      </w:r>
      <w:r>
        <w:rPr>
          <w:rFonts w:cs="Arial"/>
          <w:szCs w:val="17"/>
        </w:rPr>
        <w:t>e</w:t>
      </w:r>
      <w:r>
        <w:rPr>
          <w:rFonts w:cs="Arial"/>
          <w:szCs w:val="17"/>
        </w:rPr>
        <w:t>henden Tabelle 2 aufgeführt sind, anzuwenden.</w:t>
      </w:r>
    </w:p>
    <w:p>
      <w:pPr>
        <w:pStyle w:val="GesAbsatz"/>
        <w:jc w:val="both"/>
        <w:rPr>
          <w:rFonts w:cs="Arial"/>
          <w:b/>
          <w:szCs w:val="17"/>
        </w:rPr>
      </w:pPr>
      <w:r>
        <w:rPr>
          <w:rFonts w:cs="Arial"/>
          <w:b/>
          <w:szCs w:val="17"/>
        </w:rPr>
        <w:t>TABELLE 2</w:t>
      </w:r>
    </w:p>
    <w:p>
      <w:pPr>
        <w:pStyle w:val="GesAbsatz"/>
        <w:jc w:val="both"/>
        <w:rPr>
          <w:rFonts w:cs="Arial"/>
          <w:b/>
          <w:bCs/>
          <w:szCs w:val="17"/>
        </w:rPr>
      </w:pPr>
      <w:r>
        <w:rPr>
          <w:rFonts w:cs="Arial"/>
          <w:b/>
          <w:bCs/>
          <w:szCs w:val="17"/>
        </w:rPr>
        <w:t>Stöchiometrische Emissionsfaktoren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60"/>
        <w:gridCol w:w="4961"/>
      </w:tblGrid>
      <w:tr>
        <w:tblPrEx>
          <w:tblCellMar>
            <w:top w:w="0" w:type="dxa"/>
            <w:bottom w:w="0" w:type="dxa"/>
          </w:tblCellMar>
        </w:tblPrEx>
        <w:trPr>
          <w:tblHeader/>
        </w:trPr>
        <w:tc>
          <w:tcPr>
            <w:tcW w:w="1630" w:type="dxa"/>
          </w:tcPr>
          <w:p>
            <w:pPr>
              <w:pStyle w:val="GesAbsatz"/>
              <w:jc w:val="center"/>
              <w:rPr>
                <w:rFonts w:cs="Arial"/>
                <w:szCs w:val="15"/>
              </w:rPr>
            </w:pPr>
            <w:r>
              <w:rPr>
                <w:rFonts w:cs="Arial"/>
                <w:szCs w:val="15"/>
              </w:rPr>
              <w:t>Oxid</w:t>
            </w:r>
          </w:p>
        </w:tc>
        <w:tc>
          <w:tcPr>
            <w:tcW w:w="3260" w:type="dxa"/>
          </w:tcPr>
          <w:p>
            <w:pPr>
              <w:pStyle w:val="GesAbsatz"/>
              <w:jc w:val="center"/>
              <w:rPr>
                <w:rFonts w:cs="Arial"/>
                <w:szCs w:val="15"/>
              </w:rPr>
            </w:pPr>
            <w:r>
              <w:rPr>
                <w:rFonts w:cs="Arial"/>
                <w:szCs w:val="15"/>
              </w:rPr>
              <w:t>Emissionsfaktoren [t CO</w:t>
            </w:r>
            <w:r>
              <w:rPr>
                <w:rFonts w:cs="Arial"/>
                <w:szCs w:val="8"/>
                <w:vertAlign w:val="subscript"/>
              </w:rPr>
              <w:t>2</w:t>
            </w:r>
            <w:r>
              <w:rPr>
                <w:rFonts w:cs="Arial"/>
                <w:szCs w:val="15"/>
              </w:rPr>
              <w:t>/t Ca-, Mg- oder anderes Oxid]</w:t>
            </w:r>
          </w:p>
        </w:tc>
        <w:tc>
          <w:tcPr>
            <w:tcW w:w="4961" w:type="dxa"/>
          </w:tcPr>
          <w:p>
            <w:pPr>
              <w:pStyle w:val="GesAbsatz"/>
              <w:jc w:val="center"/>
              <w:rPr>
                <w:rFonts w:cs="Arial"/>
                <w:szCs w:val="15"/>
              </w:rPr>
            </w:pPr>
            <w:r>
              <w:rPr>
                <w:rFonts w:cs="Arial"/>
                <w:szCs w:val="15"/>
              </w:rPr>
              <w:t>Bemerkungen</w:t>
            </w:r>
          </w:p>
        </w:tc>
      </w:tr>
      <w:tr>
        <w:tblPrEx>
          <w:tblCellMar>
            <w:top w:w="0" w:type="dxa"/>
            <w:bottom w:w="0" w:type="dxa"/>
          </w:tblCellMar>
        </w:tblPrEx>
        <w:tc>
          <w:tcPr>
            <w:tcW w:w="1630" w:type="dxa"/>
          </w:tcPr>
          <w:p>
            <w:pPr>
              <w:pStyle w:val="GesAbsatz"/>
              <w:rPr>
                <w:rFonts w:cs="Arial"/>
                <w:szCs w:val="15"/>
              </w:rPr>
            </w:pPr>
            <w:r>
              <w:rPr>
                <w:rFonts w:cs="Arial"/>
                <w:szCs w:val="17"/>
              </w:rPr>
              <w:t>CaO</w:t>
            </w:r>
          </w:p>
        </w:tc>
        <w:tc>
          <w:tcPr>
            <w:tcW w:w="3260" w:type="dxa"/>
          </w:tcPr>
          <w:p>
            <w:pPr>
              <w:pStyle w:val="GesAbsatz"/>
              <w:rPr>
                <w:rFonts w:cs="Arial"/>
                <w:szCs w:val="15"/>
              </w:rPr>
            </w:pPr>
            <w:r>
              <w:rPr>
                <w:rFonts w:cs="Arial"/>
                <w:szCs w:val="17"/>
              </w:rPr>
              <w:t>0,785</w:t>
            </w:r>
          </w:p>
        </w:tc>
        <w:tc>
          <w:tcPr>
            <w:tcW w:w="4961" w:type="dxa"/>
          </w:tcPr>
          <w:p>
            <w:pPr>
              <w:pStyle w:val="GesAbsatz"/>
              <w:rPr>
                <w:rFonts w:cs="Arial"/>
                <w:szCs w:val="15"/>
              </w:rPr>
            </w:pPr>
          </w:p>
        </w:tc>
      </w:tr>
      <w:tr>
        <w:tblPrEx>
          <w:tblCellMar>
            <w:top w:w="0" w:type="dxa"/>
            <w:bottom w:w="0" w:type="dxa"/>
          </w:tblCellMar>
        </w:tblPrEx>
        <w:tc>
          <w:tcPr>
            <w:tcW w:w="1630" w:type="dxa"/>
          </w:tcPr>
          <w:p>
            <w:pPr>
              <w:pStyle w:val="GesAbsatz"/>
              <w:rPr>
                <w:rFonts w:cs="Arial"/>
                <w:szCs w:val="17"/>
              </w:rPr>
            </w:pPr>
            <w:r>
              <w:rPr>
                <w:rFonts w:cs="Arial"/>
                <w:szCs w:val="17"/>
              </w:rPr>
              <w:t>MgO</w:t>
            </w:r>
          </w:p>
        </w:tc>
        <w:tc>
          <w:tcPr>
            <w:tcW w:w="3260" w:type="dxa"/>
          </w:tcPr>
          <w:p>
            <w:pPr>
              <w:pStyle w:val="GesAbsatz"/>
              <w:rPr>
                <w:rFonts w:cs="Arial"/>
                <w:szCs w:val="17"/>
              </w:rPr>
            </w:pPr>
            <w:r>
              <w:rPr>
                <w:rFonts w:cs="Arial"/>
                <w:szCs w:val="17"/>
              </w:rPr>
              <w:t>1,092</w:t>
            </w:r>
          </w:p>
        </w:tc>
        <w:tc>
          <w:tcPr>
            <w:tcW w:w="4961" w:type="dxa"/>
          </w:tcPr>
          <w:p>
            <w:pPr>
              <w:pStyle w:val="GesAbsatz"/>
              <w:rPr>
                <w:rFonts w:cs="Arial"/>
                <w:szCs w:val="15"/>
              </w:rPr>
            </w:pPr>
          </w:p>
        </w:tc>
      </w:tr>
      <w:tr>
        <w:tblPrEx>
          <w:tblCellMar>
            <w:top w:w="0" w:type="dxa"/>
            <w:bottom w:w="0" w:type="dxa"/>
          </w:tblCellMar>
        </w:tblPrEx>
        <w:tc>
          <w:tcPr>
            <w:tcW w:w="1630" w:type="dxa"/>
          </w:tcPr>
          <w:p>
            <w:pPr>
              <w:pStyle w:val="GesAbsatz"/>
              <w:rPr>
                <w:rFonts w:cs="Arial"/>
                <w:szCs w:val="17"/>
              </w:rPr>
            </w:pPr>
            <w:r>
              <w:rPr>
                <w:rFonts w:cs="Arial"/>
                <w:szCs w:val="17"/>
              </w:rPr>
              <w:t>Allgemein:</w:t>
            </w:r>
            <w:r>
              <w:rPr>
                <w:rFonts w:cs="Arial"/>
                <w:szCs w:val="17"/>
              </w:rPr>
              <w:br/>
              <w:t>X</w:t>
            </w:r>
            <w:r>
              <w:rPr>
                <w:rFonts w:cs="Arial"/>
                <w:szCs w:val="10"/>
                <w:vertAlign w:val="subscript"/>
              </w:rPr>
              <w:t>y</w:t>
            </w:r>
            <w:r>
              <w:rPr>
                <w:rFonts w:cs="Arial"/>
                <w:szCs w:val="17"/>
              </w:rPr>
              <w:t>(O)</w:t>
            </w:r>
            <w:r>
              <w:rPr>
                <w:rFonts w:cs="Arial"/>
                <w:szCs w:val="10"/>
                <w:vertAlign w:val="subscript"/>
              </w:rPr>
              <w:t>z</w:t>
            </w:r>
          </w:p>
        </w:tc>
        <w:tc>
          <w:tcPr>
            <w:tcW w:w="3260" w:type="dxa"/>
          </w:tcPr>
          <w:p>
            <w:pPr>
              <w:pStyle w:val="GesAbsatz"/>
              <w:rPr>
                <w:rFonts w:cs="Arial"/>
                <w:szCs w:val="17"/>
              </w:rPr>
            </w:pPr>
            <w:r>
              <w:rPr>
                <w:rFonts w:cs="Arial"/>
                <w:szCs w:val="17"/>
              </w:rPr>
              <w:t>Emissionsfaktor =</w:t>
            </w:r>
            <w:r>
              <w:rPr>
                <w:rFonts w:cs="Arial"/>
                <w:szCs w:val="17"/>
              </w:rPr>
              <w:br/>
              <w:t>[M</w:t>
            </w:r>
            <w:r>
              <w:rPr>
                <w:rFonts w:cs="Arial"/>
                <w:szCs w:val="10"/>
                <w:vertAlign w:val="subscript"/>
              </w:rPr>
              <w:t>CO2</w:t>
            </w:r>
            <w:r>
              <w:rPr>
                <w:rFonts w:cs="Arial"/>
                <w:szCs w:val="17"/>
              </w:rPr>
              <w:t>] / {Y × [M</w:t>
            </w:r>
            <w:r>
              <w:rPr>
                <w:rFonts w:cs="Arial"/>
                <w:szCs w:val="10"/>
                <w:vertAlign w:val="subscript"/>
              </w:rPr>
              <w:t>x</w:t>
            </w:r>
            <w:r>
              <w:rPr>
                <w:rFonts w:cs="Arial"/>
                <w:szCs w:val="17"/>
              </w:rPr>
              <w:t>] + Z × [M</w:t>
            </w:r>
            <w:r>
              <w:rPr>
                <w:rFonts w:cs="Arial"/>
                <w:szCs w:val="10"/>
                <w:vertAlign w:val="subscript"/>
              </w:rPr>
              <w:t>O</w:t>
            </w:r>
            <w:r>
              <w:rPr>
                <w:rFonts w:cs="Arial"/>
                <w:szCs w:val="17"/>
              </w:rPr>
              <w:t>]}</w:t>
            </w:r>
          </w:p>
        </w:tc>
        <w:tc>
          <w:tcPr>
            <w:tcW w:w="4961" w:type="dxa"/>
          </w:tcPr>
          <w:p>
            <w:pPr>
              <w:pStyle w:val="GesAbsatz"/>
              <w:tabs>
                <w:tab w:val="clear" w:pos="425"/>
              </w:tabs>
              <w:ind w:left="780" w:hanging="780"/>
              <w:jc w:val="both"/>
              <w:rPr>
                <w:rFonts w:cs="Arial"/>
                <w:szCs w:val="17"/>
              </w:rPr>
            </w:pPr>
            <w:r>
              <w:rPr>
                <w:rFonts w:cs="Arial"/>
                <w:szCs w:val="17"/>
              </w:rPr>
              <w:t>X =</w:t>
            </w:r>
            <w:r>
              <w:rPr>
                <w:rFonts w:cs="Arial"/>
                <w:szCs w:val="17"/>
              </w:rPr>
              <w:tab/>
              <w:t>Erdalkali- oder Alkalimetall</w:t>
            </w:r>
          </w:p>
          <w:p>
            <w:pPr>
              <w:pStyle w:val="GesAbsatz"/>
              <w:tabs>
                <w:tab w:val="clear" w:pos="425"/>
              </w:tabs>
              <w:ind w:left="780" w:hanging="780"/>
              <w:jc w:val="both"/>
              <w:rPr>
                <w:rFonts w:cs="Arial"/>
                <w:szCs w:val="17"/>
              </w:rPr>
            </w:pPr>
            <w:r>
              <w:rPr>
                <w:rFonts w:cs="Arial"/>
                <w:szCs w:val="17"/>
              </w:rPr>
              <w:t>M</w:t>
            </w:r>
            <w:r>
              <w:rPr>
                <w:rFonts w:cs="Arial"/>
                <w:szCs w:val="10"/>
                <w:vertAlign w:val="subscript"/>
              </w:rPr>
              <w:t>x</w:t>
            </w:r>
            <w:r>
              <w:rPr>
                <w:rFonts w:cs="Arial"/>
                <w:szCs w:val="10"/>
              </w:rPr>
              <w:t xml:space="preserve"> </w:t>
            </w:r>
            <w:r>
              <w:rPr>
                <w:rFonts w:cs="Arial"/>
                <w:szCs w:val="17"/>
              </w:rPr>
              <w:t>=</w:t>
            </w:r>
            <w:r>
              <w:rPr>
                <w:rFonts w:cs="Arial"/>
                <w:szCs w:val="17"/>
              </w:rPr>
              <w:tab/>
              <w:t>Molekulargewicht von X in [g/mol]</w:t>
            </w:r>
          </w:p>
          <w:p>
            <w:pPr>
              <w:pStyle w:val="GesAbsatz"/>
              <w:tabs>
                <w:tab w:val="clear" w:pos="425"/>
              </w:tabs>
              <w:ind w:left="780" w:hanging="780"/>
              <w:jc w:val="both"/>
              <w:rPr>
                <w:rFonts w:cs="Arial"/>
                <w:szCs w:val="17"/>
              </w:rPr>
            </w:pPr>
            <w:r>
              <w:rPr>
                <w:rFonts w:cs="Arial"/>
                <w:szCs w:val="17"/>
              </w:rPr>
              <w:t>M</w:t>
            </w:r>
            <w:r>
              <w:rPr>
                <w:rFonts w:cs="Arial"/>
                <w:szCs w:val="10"/>
                <w:vertAlign w:val="subscript"/>
              </w:rPr>
              <w:t>CO2</w:t>
            </w:r>
            <w:r>
              <w:rPr>
                <w:rFonts w:cs="Arial"/>
                <w:szCs w:val="10"/>
              </w:rPr>
              <w:t xml:space="preserve"> </w:t>
            </w:r>
            <w:r>
              <w:rPr>
                <w:rFonts w:cs="Arial"/>
                <w:szCs w:val="17"/>
              </w:rPr>
              <w:t>=</w:t>
            </w:r>
            <w:r>
              <w:rPr>
                <w:rFonts w:cs="Arial"/>
                <w:szCs w:val="17"/>
              </w:rPr>
              <w:tab/>
              <w:t>Molekulargewicht von CO</w:t>
            </w:r>
            <w:r>
              <w:rPr>
                <w:rFonts w:cs="Arial"/>
                <w:szCs w:val="10"/>
                <w:vertAlign w:val="subscript"/>
              </w:rPr>
              <w:t>2</w:t>
            </w:r>
            <w:r>
              <w:rPr>
                <w:rFonts w:cs="Arial"/>
                <w:szCs w:val="10"/>
              </w:rPr>
              <w:t xml:space="preserve"> </w:t>
            </w:r>
            <w:r>
              <w:rPr>
                <w:rFonts w:cs="Arial"/>
                <w:szCs w:val="17"/>
              </w:rPr>
              <w:t>= 44 [g/mol]</w:t>
            </w:r>
          </w:p>
          <w:p>
            <w:pPr>
              <w:pStyle w:val="GesAbsatz"/>
              <w:tabs>
                <w:tab w:val="clear" w:pos="425"/>
              </w:tabs>
              <w:ind w:left="780" w:hanging="780"/>
              <w:jc w:val="both"/>
              <w:rPr>
                <w:rFonts w:cs="Arial"/>
                <w:szCs w:val="17"/>
              </w:rPr>
            </w:pPr>
            <w:r>
              <w:rPr>
                <w:rFonts w:cs="Arial"/>
                <w:szCs w:val="17"/>
              </w:rPr>
              <w:t>M</w:t>
            </w:r>
            <w:r>
              <w:rPr>
                <w:rFonts w:cs="Arial"/>
                <w:szCs w:val="10"/>
                <w:vertAlign w:val="subscript"/>
              </w:rPr>
              <w:t>O</w:t>
            </w:r>
            <w:r>
              <w:rPr>
                <w:rFonts w:cs="Arial"/>
                <w:szCs w:val="10"/>
              </w:rPr>
              <w:t xml:space="preserve"> </w:t>
            </w:r>
            <w:r>
              <w:rPr>
                <w:rFonts w:cs="Arial"/>
                <w:szCs w:val="17"/>
              </w:rPr>
              <w:t>=</w:t>
            </w:r>
            <w:r>
              <w:rPr>
                <w:rFonts w:cs="Arial"/>
                <w:szCs w:val="17"/>
              </w:rPr>
              <w:tab/>
              <w:t>Molekulargewicht von O = 16 [g/mol]</w:t>
            </w:r>
          </w:p>
          <w:p>
            <w:pPr>
              <w:pStyle w:val="GesAbsatz"/>
              <w:tabs>
                <w:tab w:val="clear" w:pos="425"/>
              </w:tabs>
              <w:ind w:left="780" w:hanging="780"/>
              <w:jc w:val="both"/>
              <w:rPr>
                <w:rFonts w:cs="Arial"/>
                <w:szCs w:val="17"/>
              </w:rPr>
            </w:pPr>
            <w:r>
              <w:rPr>
                <w:rFonts w:cs="Arial"/>
                <w:szCs w:val="17"/>
              </w:rPr>
              <w:t>Y =</w:t>
            </w:r>
            <w:r>
              <w:rPr>
                <w:rFonts w:cs="Arial"/>
                <w:szCs w:val="17"/>
              </w:rPr>
              <w:tab/>
              <w:t>stöchiometrische Zahl von X</w:t>
            </w:r>
          </w:p>
          <w:p>
            <w:pPr>
              <w:pStyle w:val="GesAbsatz"/>
              <w:tabs>
                <w:tab w:val="clear" w:pos="425"/>
              </w:tabs>
              <w:ind w:left="780" w:hanging="780"/>
              <w:jc w:val="both"/>
              <w:rPr>
                <w:rFonts w:cs="Arial"/>
                <w:szCs w:val="17"/>
              </w:rPr>
            </w:pPr>
            <w:r>
              <w:rPr>
                <w:rFonts w:cs="Arial"/>
                <w:szCs w:val="17"/>
              </w:rPr>
              <w:lastRenderedPageBreak/>
              <w:tab/>
              <w:t>= 1 (für Erdalkalimetalle)</w:t>
            </w:r>
          </w:p>
          <w:p>
            <w:pPr>
              <w:pStyle w:val="GesAbsatz"/>
              <w:tabs>
                <w:tab w:val="clear" w:pos="425"/>
              </w:tabs>
              <w:ind w:left="780" w:hanging="780"/>
              <w:jc w:val="both"/>
              <w:rPr>
                <w:rFonts w:cs="Arial"/>
                <w:szCs w:val="17"/>
              </w:rPr>
            </w:pPr>
            <w:r>
              <w:rPr>
                <w:rFonts w:cs="Arial"/>
                <w:szCs w:val="17"/>
              </w:rPr>
              <w:tab/>
              <w:t>= 2 (für Alkalimetalle)</w:t>
            </w:r>
          </w:p>
          <w:p>
            <w:pPr>
              <w:pStyle w:val="GesAbsatz"/>
              <w:tabs>
                <w:tab w:val="clear" w:pos="425"/>
              </w:tabs>
              <w:ind w:left="780" w:hanging="780"/>
              <w:rPr>
                <w:rFonts w:cs="Arial"/>
                <w:szCs w:val="15"/>
              </w:rPr>
            </w:pPr>
            <w:r>
              <w:rPr>
                <w:rFonts w:cs="Arial"/>
                <w:szCs w:val="17"/>
              </w:rPr>
              <w:t>Z =</w:t>
            </w:r>
            <w:r>
              <w:rPr>
                <w:rFonts w:cs="Arial"/>
                <w:szCs w:val="17"/>
              </w:rPr>
              <w:tab/>
              <w:t>stöchiometrische Zahl von O = 1</w:t>
            </w:r>
          </w:p>
        </w:tc>
      </w:tr>
    </w:tbl>
    <w:p>
      <w:pPr>
        <w:pStyle w:val="GesAbsatz"/>
        <w:jc w:val="both"/>
        <w:rPr>
          <w:rFonts w:cs="Arial"/>
          <w:szCs w:val="17"/>
        </w:rPr>
      </w:pP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szCs w:val="17"/>
        </w:rPr>
      </w:pPr>
      <w:r>
        <w:rPr>
          <w:rFonts w:cs="Arial"/>
          <w:szCs w:val="17"/>
        </w:rPr>
        <w:t>2.1.2.2. CO</w:t>
      </w:r>
      <w:r>
        <w:rPr>
          <w:rFonts w:cs="Arial"/>
          <w:szCs w:val="10"/>
          <w:vertAlign w:val="subscript"/>
        </w:rPr>
        <w:t>2</w:t>
      </w:r>
      <w:r>
        <w:rPr>
          <w:rFonts w:cs="Arial"/>
          <w:szCs w:val="10"/>
        </w:rPr>
        <w:t xml:space="preserve"> </w:t>
      </w:r>
      <w:r>
        <w:rPr>
          <w:rFonts w:cs="Arial"/>
          <w:szCs w:val="17"/>
        </w:rPr>
        <w:t>aus der Abgaswäsche</w:t>
      </w:r>
    </w:p>
    <w:p>
      <w:pPr>
        <w:pStyle w:val="GesAbsatz"/>
        <w:jc w:val="both"/>
        <w:rPr>
          <w:rFonts w:cs="Arial"/>
          <w:szCs w:val="17"/>
        </w:rPr>
      </w:pPr>
      <w:r>
        <w:rPr>
          <w:rFonts w:cs="Arial"/>
          <w:szCs w:val="17"/>
        </w:rPr>
        <w:t>CO</w:t>
      </w:r>
      <w:r>
        <w:rPr>
          <w:rFonts w:cs="Arial"/>
          <w:szCs w:val="10"/>
          <w:vertAlign w:val="subscript"/>
        </w:rPr>
        <w:t>2</w:t>
      </w:r>
      <w:r>
        <w:rPr>
          <w:rFonts w:cs="Arial"/>
          <w:szCs w:val="10"/>
        </w:rPr>
        <w:t xml:space="preserve"> </w:t>
      </w:r>
      <w:r>
        <w:rPr>
          <w:rFonts w:cs="Arial"/>
          <w:szCs w:val="17"/>
        </w:rPr>
        <w:t>aus der Abgaswäsche ist auf Basis der eingesetzten Menge CaCO</w:t>
      </w:r>
      <w:r>
        <w:rPr>
          <w:rFonts w:cs="Arial"/>
          <w:szCs w:val="10"/>
          <w:vertAlign w:val="subscript"/>
        </w:rPr>
        <w:t>3</w:t>
      </w:r>
      <w:r>
        <w:rPr>
          <w:rFonts w:cs="Arial"/>
          <w:szCs w:val="10"/>
        </w:rPr>
        <w:t xml:space="preserve"> </w:t>
      </w:r>
      <w:r>
        <w:rPr>
          <w:rFonts w:cs="Arial"/>
          <w:szCs w:val="17"/>
        </w:rPr>
        <w:t>zu berechnen.</w:t>
      </w:r>
    </w:p>
    <w:p>
      <w:pPr>
        <w:pStyle w:val="GesAbsatz"/>
        <w:jc w:val="both"/>
        <w:rPr>
          <w:rFonts w:cs="Arial"/>
          <w:szCs w:val="17"/>
        </w:rPr>
      </w:pPr>
      <w:r>
        <w:rPr>
          <w:rFonts w:cs="Arial"/>
          <w:szCs w:val="17"/>
        </w:rPr>
        <w:t>Der Berechnung erfolgt anhand der folgenden Formel:</w:t>
      </w:r>
    </w:p>
    <w:p>
      <w:pPr>
        <w:pStyle w:val="GesAbsatz"/>
        <w:jc w:val="center"/>
        <w:rPr>
          <w:rFonts w:cs="Arial"/>
          <w:szCs w:val="17"/>
        </w:rPr>
      </w:pPr>
      <w:r>
        <w:rPr>
          <w:rFonts w:cs="Arial"/>
          <w:szCs w:val="17"/>
        </w:rPr>
        <w:t>CO</w:t>
      </w:r>
      <w:r>
        <w:rPr>
          <w:rFonts w:cs="Arial"/>
          <w:szCs w:val="10"/>
          <w:vertAlign w:val="subscript"/>
        </w:rPr>
        <w:t>2</w:t>
      </w:r>
      <w:r>
        <w:rPr>
          <w:rFonts w:cs="Arial"/>
          <w:szCs w:val="17"/>
        </w:rPr>
        <w:t>-Emission [t CO</w:t>
      </w:r>
      <w:r>
        <w:rPr>
          <w:rFonts w:cs="Arial"/>
          <w:szCs w:val="10"/>
          <w:vertAlign w:val="subscript"/>
        </w:rPr>
        <w:t>2</w:t>
      </w:r>
      <w:r>
        <w:rPr>
          <w:rFonts w:cs="Arial"/>
          <w:szCs w:val="17"/>
        </w:rPr>
        <w:t>] = Tätigkeitsdaten ×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t>a) Tätigkeitsdaten</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Menge [t] an trockenem CaCO</w:t>
      </w:r>
      <w:r>
        <w:rPr>
          <w:rFonts w:cs="Arial"/>
          <w:szCs w:val="10"/>
          <w:vertAlign w:val="subscript"/>
        </w:rPr>
        <w:t>3</w:t>
      </w:r>
      <w:r>
        <w:rPr>
          <w:rFonts w:cs="Arial"/>
          <w:szCs w:val="17"/>
        </w:rPr>
        <w:t>, das während des Berichtszeitraums eingesetzt wird, ermittelt vom Betreiber oder Lieferanten durch Wiegen mit einem zulässigen Unsicherheitsfaktor von weniger als ± 2,5 % je Messvorgang.</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Die Menge [t] an trockenem CaCO</w:t>
      </w:r>
      <w:r>
        <w:rPr>
          <w:rFonts w:cs="Arial"/>
          <w:szCs w:val="10"/>
          <w:vertAlign w:val="subscript"/>
        </w:rPr>
        <w:t>3</w:t>
      </w:r>
      <w:r>
        <w:rPr>
          <w:rFonts w:cs="Arial"/>
          <w:szCs w:val="17"/>
        </w:rPr>
        <w:t>, das während des Berichtszeitraums eingesetzt wird, ermittelt vom Betreiber oder Lieferanten durch Wiegen mit einem zulässigen Unsicherheitsfaktor von weniger als ± 1,0 % je Messvorgang.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Die stöchiometrischen Verhältnisse von CaCO</w:t>
      </w:r>
      <w:r>
        <w:rPr>
          <w:rFonts w:cs="Arial"/>
          <w:szCs w:val="10"/>
        </w:rPr>
        <w:t xml:space="preserve">3 </w:t>
      </w:r>
      <w:r>
        <w:rPr>
          <w:rFonts w:cs="Arial"/>
          <w:szCs w:val="17"/>
        </w:rPr>
        <w:t>sind Tabelle 1 zu entnehmen.</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p>
      <w:pPr>
        <w:pStyle w:val="berschrift3"/>
        <w:jc w:val="left"/>
      </w:pPr>
      <w:r>
        <w:rPr>
          <w:i/>
          <w:iCs/>
        </w:rPr>
        <w:br w:type="page"/>
      </w:r>
      <w:bookmarkStart w:id="14" w:name="_Toc67281929"/>
      <w:r>
        <w:lastRenderedPageBreak/>
        <w:t>ANHANG XI</w:t>
      </w:r>
      <w:r>
        <w:br/>
        <w:t>Tätigkeitsspezifische Leitlinien für Anlagen zur Herstellung von Zellstoff und Papier gemäß A</w:t>
      </w:r>
      <w:r>
        <w:t>n</w:t>
      </w:r>
      <w:r>
        <w:t>hang I der Richtlinie</w:t>
      </w:r>
      <w:bookmarkEnd w:id="14"/>
    </w:p>
    <w:p>
      <w:pPr>
        <w:pStyle w:val="GesAbsatz"/>
        <w:jc w:val="both"/>
        <w:rPr>
          <w:rFonts w:cs="Arial"/>
          <w:b/>
          <w:bCs/>
          <w:szCs w:val="17"/>
        </w:rPr>
      </w:pPr>
      <w:r>
        <w:rPr>
          <w:rFonts w:cs="Arial"/>
          <w:b/>
          <w:bCs/>
          <w:szCs w:val="17"/>
        </w:rPr>
        <w:t>1. EINSCHRÄNKUNGEN UND VOLLSTÄNDIGKEIT</w:t>
      </w:r>
    </w:p>
    <w:p>
      <w:pPr>
        <w:pStyle w:val="GesAbsatz"/>
        <w:jc w:val="both"/>
        <w:rPr>
          <w:rFonts w:cs="Arial"/>
          <w:szCs w:val="17"/>
        </w:rPr>
      </w:pPr>
      <w:r>
        <w:rPr>
          <w:rFonts w:cs="Arial"/>
          <w:szCs w:val="17"/>
        </w:rPr>
        <w:t>Wenn das aus der Verbrennung fossiler Brennstoffe anfallende CO</w:t>
      </w:r>
      <w:r>
        <w:rPr>
          <w:rFonts w:cs="Arial"/>
          <w:szCs w:val="10"/>
          <w:vertAlign w:val="subscript"/>
        </w:rPr>
        <w:t>2</w:t>
      </w:r>
      <w:r>
        <w:rPr>
          <w:rFonts w:cs="Arial"/>
          <w:szCs w:val="10"/>
        </w:rPr>
        <w:t xml:space="preserve"> </w:t>
      </w:r>
      <w:r>
        <w:rPr>
          <w:rFonts w:cs="Arial"/>
          <w:szCs w:val="17"/>
        </w:rPr>
        <w:t>zum Beispiel an eine benachbarte Anlage zur Herstellung von gefälltem Kalziumkarbonat (PCC) weitergeleitet wird, so sind diese Mengen nicht in die Emissionen der Anlage einzubeziehen.</w:t>
      </w:r>
    </w:p>
    <w:p>
      <w:pPr>
        <w:pStyle w:val="GesAbsatz"/>
        <w:jc w:val="both"/>
        <w:rPr>
          <w:rFonts w:cs="Arial"/>
          <w:szCs w:val="17"/>
        </w:rPr>
      </w:pPr>
      <w:r>
        <w:rPr>
          <w:rFonts w:cs="Arial"/>
          <w:szCs w:val="17"/>
        </w:rPr>
        <w:t>Wenn in der Anlage eine Abgaswäsche erfolgt und die daraus resultierenden Emissionen nicht in die Pr</w:t>
      </w:r>
      <w:r>
        <w:rPr>
          <w:rFonts w:cs="Arial"/>
          <w:szCs w:val="17"/>
        </w:rPr>
        <w:t>o</w:t>
      </w:r>
      <w:r>
        <w:rPr>
          <w:rFonts w:cs="Arial"/>
          <w:szCs w:val="17"/>
        </w:rPr>
        <w:t>zessemissionen der Anlage eingerechnet werden, sind diese in Einklang mit den Vorgaben von A</w:t>
      </w:r>
      <w:r>
        <w:rPr>
          <w:rFonts w:cs="Arial"/>
          <w:szCs w:val="17"/>
        </w:rPr>
        <w:t>n</w:t>
      </w:r>
      <w:r>
        <w:rPr>
          <w:rFonts w:cs="Arial"/>
          <w:szCs w:val="17"/>
        </w:rPr>
        <w:t>hang II zu berechnen.</w:t>
      </w:r>
    </w:p>
    <w:p>
      <w:pPr>
        <w:pStyle w:val="GesAbsatz"/>
        <w:jc w:val="both"/>
        <w:rPr>
          <w:rFonts w:cs="Arial"/>
          <w:b/>
          <w:szCs w:val="17"/>
        </w:rPr>
      </w:pPr>
      <w:r>
        <w:rPr>
          <w:rFonts w:cs="Arial"/>
          <w:b/>
          <w:szCs w:val="17"/>
        </w:rPr>
        <w:t>2. BESTIMMUNG VON CO</w:t>
      </w:r>
      <w:r>
        <w:rPr>
          <w:rFonts w:cs="Arial"/>
          <w:b/>
          <w:szCs w:val="10"/>
          <w:vertAlign w:val="subscript"/>
        </w:rPr>
        <w:t>2</w:t>
      </w:r>
      <w:r>
        <w:rPr>
          <w:rFonts w:cs="Arial"/>
          <w:b/>
          <w:szCs w:val="17"/>
        </w:rPr>
        <w:t>-EMISSIONEN</w:t>
      </w:r>
    </w:p>
    <w:p>
      <w:pPr>
        <w:pStyle w:val="GesAbsatz"/>
        <w:jc w:val="both"/>
        <w:rPr>
          <w:rFonts w:cs="Arial"/>
          <w:szCs w:val="17"/>
        </w:rPr>
      </w:pPr>
      <w:r>
        <w:rPr>
          <w:rFonts w:cs="Arial"/>
          <w:szCs w:val="17"/>
        </w:rPr>
        <w:t>Zu den Prozessen und Einrichtungen von Zellstoff- und Papierfabriken, aus denen möglicherweise CO</w:t>
      </w:r>
      <w:r>
        <w:rPr>
          <w:rFonts w:cs="Arial"/>
          <w:szCs w:val="10"/>
          <w:vertAlign w:val="subscript"/>
        </w:rPr>
        <w:t>2</w:t>
      </w:r>
      <w:r>
        <w:rPr>
          <w:rFonts w:cs="Arial"/>
          <w:szCs w:val="10"/>
        </w:rPr>
        <w:t xml:space="preserve"> </w:t>
      </w:r>
      <w:r>
        <w:rPr>
          <w:rFonts w:cs="Arial"/>
          <w:szCs w:val="17"/>
        </w:rPr>
        <w:t>freigesetzt wird, gehören:</w:t>
      </w:r>
    </w:p>
    <w:p>
      <w:pPr>
        <w:pStyle w:val="GesAbsatz"/>
        <w:ind w:left="426" w:hanging="426"/>
        <w:jc w:val="both"/>
        <w:rPr>
          <w:rFonts w:cs="Arial"/>
          <w:szCs w:val="17"/>
        </w:rPr>
      </w:pPr>
      <w:r>
        <w:rPr>
          <w:rFonts w:cs="Arial"/>
          <w:szCs w:val="17"/>
        </w:rPr>
        <w:t>-</w:t>
      </w:r>
      <w:r>
        <w:rPr>
          <w:rFonts w:cs="Arial"/>
          <w:szCs w:val="17"/>
        </w:rPr>
        <w:tab/>
        <w:t>Hilfskessel, Gasturbinen und andere Feuerungsanlagen, die Dampf oder Energie für die Fabrik e</w:t>
      </w:r>
      <w:r>
        <w:rPr>
          <w:rFonts w:cs="Arial"/>
          <w:szCs w:val="17"/>
        </w:rPr>
        <w:t>r</w:t>
      </w:r>
      <w:r>
        <w:rPr>
          <w:rFonts w:cs="Arial"/>
          <w:szCs w:val="17"/>
        </w:rPr>
        <w:t>zeugen,</w:t>
      </w:r>
    </w:p>
    <w:p>
      <w:pPr>
        <w:pStyle w:val="GesAbsatz"/>
        <w:jc w:val="both"/>
        <w:rPr>
          <w:rFonts w:cs="Arial"/>
          <w:szCs w:val="17"/>
        </w:rPr>
      </w:pPr>
      <w:r>
        <w:rPr>
          <w:rFonts w:cs="Arial"/>
          <w:szCs w:val="17"/>
        </w:rPr>
        <w:t>-</w:t>
      </w:r>
      <w:r>
        <w:rPr>
          <w:rFonts w:cs="Arial"/>
          <w:szCs w:val="17"/>
        </w:rPr>
        <w:tab/>
        <w:t>Rückgewinnungskessel und andere Einrichtungen, in denen Ablaugen verbrannt werden,</w:t>
      </w:r>
    </w:p>
    <w:p>
      <w:pPr>
        <w:pStyle w:val="GesAbsatz"/>
        <w:jc w:val="both"/>
        <w:rPr>
          <w:rFonts w:cs="Arial"/>
          <w:szCs w:val="17"/>
        </w:rPr>
      </w:pPr>
      <w:r>
        <w:rPr>
          <w:rFonts w:cs="Arial"/>
          <w:szCs w:val="17"/>
        </w:rPr>
        <w:t>-</w:t>
      </w:r>
      <w:r>
        <w:rPr>
          <w:rFonts w:cs="Arial"/>
          <w:szCs w:val="17"/>
        </w:rPr>
        <w:tab/>
        <w:t>Verbrennungsöfen,</w:t>
      </w:r>
    </w:p>
    <w:p>
      <w:pPr>
        <w:pStyle w:val="GesAbsatz"/>
        <w:jc w:val="both"/>
        <w:rPr>
          <w:rFonts w:cs="Arial"/>
          <w:szCs w:val="17"/>
        </w:rPr>
      </w:pPr>
      <w:r>
        <w:rPr>
          <w:rFonts w:cs="Arial"/>
          <w:szCs w:val="17"/>
        </w:rPr>
        <w:t>-</w:t>
      </w:r>
      <w:r>
        <w:rPr>
          <w:rFonts w:cs="Arial"/>
          <w:szCs w:val="17"/>
        </w:rPr>
        <w:tab/>
        <w:t>Kalköfen und Kalzinieröfen,</w:t>
      </w:r>
    </w:p>
    <w:p>
      <w:pPr>
        <w:pStyle w:val="GesAbsatz"/>
        <w:jc w:val="both"/>
        <w:rPr>
          <w:rFonts w:cs="Arial"/>
          <w:szCs w:val="17"/>
        </w:rPr>
      </w:pPr>
      <w:r>
        <w:rPr>
          <w:rFonts w:cs="Arial"/>
          <w:szCs w:val="17"/>
        </w:rPr>
        <w:t>-</w:t>
      </w:r>
      <w:r>
        <w:rPr>
          <w:rFonts w:cs="Arial"/>
          <w:szCs w:val="17"/>
        </w:rPr>
        <w:tab/>
        <w:t>Abgaswäsche,</w:t>
      </w:r>
    </w:p>
    <w:p>
      <w:pPr>
        <w:pStyle w:val="GesAbsatz"/>
        <w:jc w:val="both"/>
        <w:rPr>
          <w:rFonts w:cs="Arial"/>
          <w:szCs w:val="17"/>
        </w:rPr>
      </w:pPr>
      <w:r>
        <w:rPr>
          <w:rFonts w:cs="Arial"/>
          <w:szCs w:val="17"/>
        </w:rPr>
        <w:t>-</w:t>
      </w:r>
      <w:r>
        <w:rPr>
          <w:rFonts w:cs="Arial"/>
          <w:szCs w:val="17"/>
        </w:rPr>
        <w:tab/>
        <w:t>Trockner, die mit Gas oder anderen fossilen Brennstoffen befeuert werden (z. B. Infrarottrockner).</w:t>
      </w:r>
    </w:p>
    <w:p>
      <w:pPr>
        <w:pStyle w:val="GesAbsatz"/>
        <w:jc w:val="both"/>
        <w:rPr>
          <w:rFonts w:cs="Arial"/>
          <w:szCs w:val="17"/>
        </w:rPr>
      </w:pPr>
      <w:r>
        <w:rPr>
          <w:rFonts w:cs="Arial"/>
          <w:szCs w:val="17"/>
        </w:rPr>
        <w:t>Abwasserbehandlung und Deponien, einschließlich anaerobe Abwasserbehandlung oder Schlammfa</w:t>
      </w:r>
      <w:r>
        <w:rPr>
          <w:rFonts w:cs="Arial"/>
          <w:szCs w:val="17"/>
        </w:rPr>
        <w:t>u</w:t>
      </w:r>
      <w:r>
        <w:rPr>
          <w:rFonts w:cs="Arial"/>
          <w:szCs w:val="17"/>
        </w:rPr>
        <w:t>lungsverfahren und Deponien zur Entsorgung von Papierfabrikabfällen, sind nicht unter den Tätigkeiten in Anhang I der Richtlinie aufgeführt. Dementsprechend fallen deren Emissionen nicht unter die Bestimmu</w:t>
      </w:r>
      <w:r>
        <w:rPr>
          <w:rFonts w:cs="Arial"/>
          <w:szCs w:val="17"/>
        </w:rPr>
        <w:t>n</w:t>
      </w:r>
      <w:r>
        <w:rPr>
          <w:rFonts w:cs="Arial"/>
          <w:szCs w:val="17"/>
        </w:rPr>
        <w:t>gen der Rich</w:t>
      </w:r>
      <w:r>
        <w:rPr>
          <w:rFonts w:cs="Arial"/>
          <w:szCs w:val="17"/>
        </w:rPr>
        <w:t>t</w:t>
      </w:r>
      <w:r>
        <w:rPr>
          <w:rFonts w:cs="Arial"/>
          <w:szCs w:val="17"/>
        </w:rPr>
        <w:t>linie.</w:t>
      </w:r>
    </w:p>
    <w:p>
      <w:pPr>
        <w:pStyle w:val="GesAbsatz"/>
        <w:jc w:val="both"/>
        <w:rPr>
          <w:rFonts w:cs="Arial"/>
          <w:b/>
          <w:bCs/>
          <w:szCs w:val="17"/>
        </w:rPr>
      </w:pPr>
      <w:r>
        <w:rPr>
          <w:rFonts w:cs="Arial"/>
          <w:b/>
          <w:bCs/>
          <w:szCs w:val="17"/>
        </w:rPr>
        <w:t>2.1. Berechnung der CO</w:t>
      </w:r>
      <w:r>
        <w:rPr>
          <w:rFonts w:cs="Arial"/>
          <w:b/>
          <w:bCs/>
          <w:szCs w:val="10"/>
          <w:vertAlign w:val="subscript"/>
        </w:rPr>
        <w:t>2</w:t>
      </w:r>
      <w:r>
        <w:rPr>
          <w:rFonts w:cs="Arial"/>
          <w:b/>
          <w:bCs/>
          <w:szCs w:val="17"/>
        </w:rPr>
        <w:t>-Emissionen</w:t>
      </w:r>
    </w:p>
    <w:p>
      <w:pPr>
        <w:pStyle w:val="GesAbsatz"/>
        <w:jc w:val="both"/>
        <w:rPr>
          <w:rFonts w:cs="Arial"/>
          <w:i/>
          <w:iCs/>
          <w:szCs w:val="17"/>
        </w:rPr>
      </w:pPr>
      <w:r>
        <w:rPr>
          <w:rFonts w:cs="Arial"/>
          <w:szCs w:val="17"/>
        </w:rPr>
        <w:t xml:space="preserve">2.1.1. </w:t>
      </w:r>
      <w:r>
        <w:rPr>
          <w:rFonts w:cs="Arial"/>
          <w:i/>
          <w:iCs/>
          <w:szCs w:val="17"/>
        </w:rPr>
        <w:t>Emissionen aus der Verbrennung</w:t>
      </w:r>
    </w:p>
    <w:p>
      <w:pPr>
        <w:pStyle w:val="GesAbsatz"/>
        <w:jc w:val="both"/>
        <w:rPr>
          <w:rFonts w:cs="Arial"/>
          <w:szCs w:val="17"/>
        </w:rPr>
      </w:pPr>
      <w:r>
        <w:rPr>
          <w:rFonts w:cs="Arial"/>
          <w:szCs w:val="17"/>
        </w:rPr>
        <w:t>Die Emissionen aus den Verbrennungsprozessen in Anlagen zur Herstellung von Papier und Zellstoff sind in Einklang mit den Vorgaben von Anhang II zu überwachen.</w:t>
      </w:r>
    </w:p>
    <w:p>
      <w:pPr>
        <w:pStyle w:val="GesAbsatz"/>
        <w:jc w:val="both"/>
        <w:rPr>
          <w:rFonts w:cs="Arial"/>
          <w:i/>
          <w:iCs/>
          <w:szCs w:val="17"/>
        </w:rPr>
      </w:pPr>
      <w:r>
        <w:rPr>
          <w:rFonts w:cs="Arial"/>
          <w:szCs w:val="17"/>
        </w:rPr>
        <w:t xml:space="preserve">2.1.2. </w:t>
      </w:r>
      <w:r>
        <w:rPr>
          <w:rFonts w:cs="Arial"/>
          <w:i/>
          <w:iCs/>
          <w:szCs w:val="17"/>
        </w:rPr>
        <w:t>Prozessemissionen</w:t>
      </w:r>
    </w:p>
    <w:p>
      <w:pPr>
        <w:pStyle w:val="GesAbsatz"/>
        <w:jc w:val="both"/>
        <w:rPr>
          <w:rFonts w:cs="Arial"/>
          <w:szCs w:val="17"/>
        </w:rPr>
      </w:pPr>
      <w:r>
        <w:rPr>
          <w:rFonts w:cs="Arial"/>
          <w:szCs w:val="17"/>
        </w:rPr>
        <w:t>Die Emissionen sind auf den Einsatz von Karbonaten als Zusatzchemikalien in Zellstofffabriken zurückz</w:t>
      </w:r>
      <w:r>
        <w:rPr>
          <w:rFonts w:cs="Arial"/>
          <w:szCs w:val="17"/>
        </w:rPr>
        <w:t>u</w:t>
      </w:r>
      <w:r>
        <w:rPr>
          <w:rFonts w:cs="Arial"/>
          <w:szCs w:val="17"/>
        </w:rPr>
        <w:t>führen. Auch wenn die Verluste an Natrium und Kalzium im Rückgewinnungssystem und in der Kaustif</w:t>
      </w:r>
      <w:r>
        <w:rPr>
          <w:rFonts w:cs="Arial"/>
          <w:szCs w:val="17"/>
        </w:rPr>
        <w:t>i</w:t>
      </w:r>
      <w:r>
        <w:rPr>
          <w:rFonts w:cs="Arial"/>
          <w:szCs w:val="17"/>
        </w:rPr>
        <w:t>zieranlage normalerweise durch den Einsatz nichtkarbonathaltiger Chemikalien ausgeglichen wird, we</w:t>
      </w:r>
      <w:r>
        <w:rPr>
          <w:rFonts w:cs="Arial"/>
          <w:szCs w:val="17"/>
        </w:rPr>
        <w:t>r</w:t>
      </w:r>
      <w:r>
        <w:rPr>
          <w:rFonts w:cs="Arial"/>
          <w:szCs w:val="17"/>
        </w:rPr>
        <w:t>den manchmal geringfügige Mengen Kalziumkarbonat (CaCO</w:t>
      </w:r>
      <w:r>
        <w:rPr>
          <w:rFonts w:cs="Arial"/>
          <w:szCs w:val="10"/>
          <w:vertAlign w:val="subscript"/>
        </w:rPr>
        <w:t>3</w:t>
      </w:r>
      <w:r>
        <w:rPr>
          <w:rFonts w:cs="Arial"/>
          <w:szCs w:val="17"/>
        </w:rPr>
        <w:t>) und Natriumkarbonat (Na</w:t>
      </w:r>
      <w:r>
        <w:rPr>
          <w:rFonts w:cs="Arial"/>
          <w:szCs w:val="10"/>
          <w:vertAlign w:val="subscript"/>
        </w:rPr>
        <w:t>2</w:t>
      </w:r>
      <w:r>
        <w:rPr>
          <w:rFonts w:cs="Arial"/>
          <w:szCs w:val="17"/>
        </w:rPr>
        <w:t>CO</w:t>
      </w:r>
      <w:r>
        <w:rPr>
          <w:rFonts w:cs="Arial"/>
          <w:szCs w:val="10"/>
          <w:vertAlign w:val="subscript"/>
        </w:rPr>
        <w:t>3</w:t>
      </w:r>
      <w:r>
        <w:rPr>
          <w:rFonts w:cs="Arial"/>
          <w:szCs w:val="17"/>
        </w:rPr>
        <w:t>) hinzug</w:t>
      </w:r>
      <w:r>
        <w:rPr>
          <w:rFonts w:cs="Arial"/>
          <w:szCs w:val="17"/>
        </w:rPr>
        <w:t>e</w:t>
      </w:r>
      <w:r>
        <w:rPr>
          <w:rFonts w:cs="Arial"/>
          <w:szCs w:val="17"/>
        </w:rPr>
        <w:t>fügt, die zu CO</w:t>
      </w:r>
      <w:r>
        <w:rPr>
          <w:rFonts w:cs="Arial"/>
          <w:szCs w:val="10"/>
          <w:vertAlign w:val="subscript"/>
        </w:rPr>
        <w:t>2</w:t>
      </w:r>
      <w:r>
        <w:rPr>
          <w:rFonts w:cs="Arial"/>
          <w:szCs w:val="17"/>
        </w:rPr>
        <w:t>-Emissionen führen. Der in diesen Chemikalien enthaltene Kohlenstoff ist in der Regel fossilen Ursprungs, allerdings kann er in einigen Fällen (z. B. Na</w:t>
      </w:r>
      <w:r>
        <w:rPr>
          <w:rFonts w:cs="Arial"/>
          <w:szCs w:val="10"/>
          <w:vertAlign w:val="subscript"/>
        </w:rPr>
        <w:t>2</w:t>
      </w:r>
      <w:r>
        <w:rPr>
          <w:rFonts w:cs="Arial"/>
          <w:szCs w:val="17"/>
        </w:rPr>
        <w:t>CO</w:t>
      </w:r>
      <w:r>
        <w:rPr>
          <w:rFonts w:cs="Arial"/>
          <w:szCs w:val="10"/>
          <w:vertAlign w:val="subscript"/>
        </w:rPr>
        <w:t>3</w:t>
      </w:r>
      <w:r>
        <w:rPr>
          <w:rFonts w:cs="Arial"/>
          <w:szCs w:val="17"/>
        </w:rPr>
        <w:t>, das von Soda einsetzenden Halbstoffwe</w:t>
      </w:r>
      <w:r>
        <w:rPr>
          <w:rFonts w:cs="Arial"/>
          <w:szCs w:val="17"/>
        </w:rPr>
        <w:t>r</w:t>
      </w:r>
      <w:r>
        <w:rPr>
          <w:rFonts w:cs="Arial"/>
          <w:szCs w:val="17"/>
        </w:rPr>
        <w:t>ken gekauft wurde) auch aus Biomasse gewonnen worden sein.</w:t>
      </w:r>
    </w:p>
    <w:p>
      <w:pPr>
        <w:pStyle w:val="GesAbsatz"/>
        <w:jc w:val="both"/>
        <w:rPr>
          <w:rFonts w:cs="Arial"/>
          <w:szCs w:val="17"/>
        </w:rPr>
      </w:pPr>
      <w:r>
        <w:rPr>
          <w:rFonts w:cs="Arial"/>
          <w:szCs w:val="17"/>
        </w:rPr>
        <w:t>Es wird angenommen, dass der in diesen Chemikalien enthaltene Kohlenstoff aus dem Kalkofen oder dem Rückgewinnungsofen als CO</w:t>
      </w:r>
      <w:r>
        <w:rPr>
          <w:rFonts w:cs="Arial"/>
          <w:szCs w:val="10"/>
          <w:vertAlign w:val="subscript"/>
        </w:rPr>
        <w:t>2</w:t>
      </w:r>
      <w:r>
        <w:rPr>
          <w:rFonts w:cs="Arial"/>
          <w:szCs w:val="10"/>
        </w:rPr>
        <w:t xml:space="preserve"> </w:t>
      </w:r>
      <w:r>
        <w:rPr>
          <w:rFonts w:cs="Arial"/>
          <w:szCs w:val="17"/>
        </w:rPr>
        <w:t>emittiert wird. Die Bestimmung der Emissionen erfolgt unter der A</w:t>
      </w:r>
      <w:r>
        <w:rPr>
          <w:rFonts w:cs="Arial"/>
          <w:szCs w:val="17"/>
        </w:rPr>
        <w:t>n</w:t>
      </w:r>
      <w:r>
        <w:rPr>
          <w:rFonts w:cs="Arial"/>
          <w:szCs w:val="17"/>
        </w:rPr>
        <w:t>nahme, dass der gesamte Kohlenstoff im CaCO</w:t>
      </w:r>
      <w:r>
        <w:rPr>
          <w:rFonts w:cs="Arial"/>
          <w:szCs w:val="10"/>
          <w:vertAlign w:val="subscript"/>
        </w:rPr>
        <w:t>3</w:t>
      </w:r>
      <w:r>
        <w:rPr>
          <w:rFonts w:cs="Arial"/>
          <w:szCs w:val="10"/>
        </w:rPr>
        <w:t xml:space="preserve"> </w:t>
      </w:r>
      <w:r>
        <w:rPr>
          <w:rFonts w:cs="Arial"/>
          <w:szCs w:val="17"/>
        </w:rPr>
        <w:t>und Na</w:t>
      </w:r>
      <w:r>
        <w:rPr>
          <w:rFonts w:cs="Arial"/>
          <w:szCs w:val="10"/>
          <w:vertAlign w:val="subscript"/>
        </w:rPr>
        <w:t>2</w:t>
      </w:r>
      <w:r>
        <w:rPr>
          <w:rFonts w:cs="Arial"/>
          <w:szCs w:val="17"/>
        </w:rPr>
        <w:t>CO</w:t>
      </w:r>
      <w:r>
        <w:rPr>
          <w:rFonts w:cs="Arial"/>
          <w:szCs w:val="10"/>
          <w:vertAlign w:val="subscript"/>
        </w:rPr>
        <w:t>3</w:t>
      </w:r>
      <w:r>
        <w:rPr>
          <w:rFonts w:cs="Arial"/>
          <w:szCs w:val="17"/>
        </w:rPr>
        <w:t>, die in den Rückgewinnungs- und Kaustifizieranl</w:t>
      </w:r>
      <w:r>
        <w:rPr>
          <w:rFonts w:cs="Arial"/>
          <w:szCs w:val="17"/>
        </w:rPr>
        <w:t>a</w:t>
      </w:r>
      <w:r>
        <w:rPr>
          <w:rFonts w:cs="Arial"/>
          <w:szCs w:val="17"/>
        </w:rPr>
        <w:t>gen eingesetzt werden, in die Atmosphäre freigesetzt wird.</w:t>
      </w:r>
    </w:p>
    <w:p>
      <w:pPr>
        <w:pStyle w:val="GesAbsatz"/>
        <w:jc w:val="both"/>
        <w:rPr>
          <w:rFonts w:cs="Arial"/>
          <w:szCs w:val="17"/>
        </w:rPr>
      </w:pPr>
      <w:r>
        <w:rPr>
          <w:rFonts w:cs="Arial"/>
          <w:szCs w:val="17"/>
        </w:rPr>
        <w:t>Zusätzliches Kalzium wird benötigt, um die Verluste aus der Kaustifizieranlage, meist in Form von Kalz</w:t>
      </w:r>
      <w:r>
        <w:rPr>
          <w:rFonts w:cs="Arial"/>
          <w:szCs w:val="17"/>
        </w:rPr>
        <w:t>i</w:t>
      </w:r>
      <w:r>
        <w:rPr>
          <w:rFonts w:cs="Arial"/>
          <w:szCs w:val="17"/>
        </w:rPr>
        <w:t>umkarbonat, auszugleichen.</w:t>
      </w:r>
    </w:p>
    <w:p>
      <w:pPr>
        <w:pStyle w:val="GesAbsatz"/>
        <w:jc w:val="both"/>
        <w:rPr>
          <w:rFonts w:cs="Arial"/>
          <w:szCs w:val="17"/>
        </w:rPr>
      </w:pPr>
      <w:r>
        <w:rPr>
          <w:rFonts w:cs="Arial"/>
          <w:szCs w:val="17"/>
        </w:rPr>
        <w:t>Die CO</w:t>
      </w:r>
      <w:r>
        <w:rPr>
          <w:rFonts w:cs="Arial"/>
          <w:szCs w:val="10"/>
          <w:vertAlign w:val="subscript"/>
        </w:rPr>
        <w:t>2</w:t>
      </w:r>
      <w:r>
        <w:rPr>
          <w:rFonts w:cs="Arial"/>
          <w:szCs w:val="17"/>
        </w:rPr>
        <w:t>-Emissionen sind wie folgt zu berechnen:</w:t>
      </w:r>
    </w:p>
    <w:p>
      <w:pPr>
        <w:pStyle w:val="GesAbsatz"/>
        <w:jc w:val="center"/>
        <w:rPr>
          <w:rFonts w:cs="Arial"/>
          <w:szCs w:val="17"/>
        </w:rPr>
      </w:pPr>
      <w:r>
        <w:rPr>
          <w:rFonts w:cs="Arial"/>
          <w:szCs w:val="17"/>
        </w:rPr>
        <w:t>CO</w:t>
      </w:r>
      <w:r>
        <w:rPr>
          <w:rFonts w:cs="Arial"/>
          <w:szCs w:val="10"/>
          <w:vertAlign w:val="subscript"/>
        </w:rPr>
        <w:t>2</w:t>
      </w:r>
      <w:r>
        <w:rPr>
          <w:rFonts w:cs="Arial"/>
          <w:szCs w:val="17"/>
        </w:rPr>
        <w:t xml:space="preserve">-Emissionen = </w:t>
      </w:r>
      <w:r>
        <w:rPr>
          <w:rFonts w:eastAsia="EUAlbertina+22" w:cs="Arial" w:hint="eastAsia"/>
          <w:szCs w:val="17"/>
        </w:rPr>
        <w:t>∑</w:t>
      </w:r>
      <w:r>
        <w:rPr>
          <w:rFonts w:eastAsia="EUAlbertina+22" w:cs="Arial" w:hint="eastAsia"/>
          <w:szCs w:val="17"/>
        </w:rPr>
        <w:t xml:space="preserve"> </w:t>
      </w:r>
      <w:r>
        <w:rPr>
          <w:rFonts w:cs="Arial"/>
          <w:szCs w:val="17"/>
        </w:rPr>
        <w:t>{(Tätigkeitsdaten</w:t>
      </w:r>
      <w:r>
        <w:rPr>
          <w:rFonts w:cs="Arial"/>
          <w:szCs w:val="10"/>
          <w:vertAlign w:val="subscript"/>
        </w:rPr>
        <w:t>Karbonat</w:t>
      </w:r>
      <w:r>
        <w:rPr>
          <w:rFonts w:cs="Arial"/>
          <w:szCs w:val="10"/>
        </w:rPr>
        <w:t xml:space="preserve"> </w:t>
      </w:r>
      <w:r>
        <w:rPr>
          <w:rFonts w:cs="Arial"/>
          <w:szCs w:val="17"/>
        </w:rPr>
        <w:t>× Emissionsfaktor × Umsetzungsfaktor)}</w:t>
      </w:r>
    </w:p>
    <w:p>
      <w:pPr>
        <w:pStyle w:val="GesAbsatz"/>
        <w:jc w:val="both"/>
        <w:rPr>
          <w:rFonts w:cs="Arial"/>
          <w:szCs w:val="17"/>
        </w:rPr>
      </w:pPr>
      <w:r>
        <w:rPr>
          <w:rFonts w:cs="Arial"/>
          <w:szCs w:val="17"/>
        </w:rPr>
        <w:t>wobei</w:t>
      </w:r>
    </w:p>
    <w:p>
      <w:pPr>
        <w:pStyle w:val="GesAbsatz"/>
        <w:jc w:val="both"/>
        <w:rPr>
          <w:rFonts w:cs="Arial"/>
          <w:szCs w:val="17"/>
          <w:u w:val="single"/>
        </w:rPr>
      </w:pPr>
      <w:r>
        <w:rPr>
          <w:rFonts w:cs="Arial"/>
          <w:szCs w:val="17"/>
          <w:u w:val="single"/>
        </w:rPr>
        <w:lastRenderedPageBreak/>
        <w:t>a) Tätigkeitsdaten</w:t>
      </w:r>
    </w:p>
    <w:p>
      <w:pPr>
        <w:pStyle w:val="GesAbsatz"/>
        <w:jc w:val="both"/>
        <w:rPr>
          <w:rFonts w:cs="Arial"/>
          <w:szCs w:val="17"/>
        </w:rPr>
      </w:pPr>
      <w:r>
        <w:rPr>
          <w:rFonts w:cs="Arial"/>
          <w:szCs w:val="17"/>
        </w:rPr>
        <w:t>Die Tätigkeitsdaten</w:t>
      </w:r>
      <w:r>
        <w:rPr>
          <w:rFonts w:cs="Arial"/>
          <w:szCs w:val="10"/>
          <w:vertAlign w:val="subscript"/>
        </w:rPr>
        <w:t>Kohlenstoff</w:t>
      </w:r>
      <w:r>
        <w:rPr>
          <w:rFonts w:cs="Arial"/>
          <w:szCs w:val="10"/>
        </w:rPr>
        <w:t xml:space="preserve"> </w:t>
      </w:r>
      <w:r>
        <w:rPr>
          <w:rFonts w:cs="Arial"/>
          <w:szCs w:val="17"/>
        </w:rPr>
        <w:t>errechnen sich aus den Mengen des im Prozess eingesetzten CaCO</w:t>
      </w:r>
      <w:r>
        <w:rPr>
          <w:rFonts w:cs="Arial"/>
          <w:szCs w:val="10"/>
          <w:vertAlign w:val="subscript"/>
        </w:rPr>
        <w:t>3</w:t>
      </w:r>
      <w:r>
        <w:rPr>
          <w:rFonts w:cs="Arial"/>
          <w:szCs w:val="10"/>
        </w:rPr>
        <w:t xml:space="preserve"> </w:t>
      </w:r>
      <w:r>
        <w:rPr>
          <w:rFonts w:cs="Arial"/>
          <w:szCs w:val="17"/>
        </w:rPr>
        <w:t>und Na</w:t>
      </w:r>
      <w:r>
        <w:rPr>
          <w:rFonts w:cs="Arial"/>
          <w:szCs w:val="10"/>
          <w:vertAlign w:val="subscript"/>
        </w:rPr>
        <w:t>2</w:t>
      </w:r>
      <w:r>
        <w:rPr>
          <w:rFonts w:cs="Arial"/>
          <w:szCs w:val="17"/>
        </w:rPr>
        <w:t>CO</w:t>
      </w:r>
      <w:r>
        <w:rPr>
          <w:rFonts w:cs="Arial"/>
          <w:szCs w:val="10"/>
          <w:vertAlign w:val="subscript"/>
        </w:rPr>
        <w:t>3</w:t>
      </w:r>
      <w:r>
        <w:rPr>
          <w:rFonts w:cs="Arial"/>
          <w:szCs w:val="17"/>
        </w:rPr>
        <w:t>.</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Mengen [t] des im Prozess eingesetzten CaCO</w:t>
      </w:r>
      <w:r>
        <w:rPr>
          <w:rFonts w:cs="Arial"/>
          <w:szCs w:val="10"/>
          <w:vertAlign w:val="subscript"/>
        </w:rPr>
        <w:t>3</w:t>
      </w:r>
      <w:r>
        <w:rPr>
          <w:rFonts w:cs="Arial"/>
          <w:szCs w:val="10"/>
        </w:rPr>
        <w:t xml:space="preserve"> </w:t>
      </w:r>
      <w:r>
        <w:rPr>
          <w:rFonts w:cs="Arial"/>
          <w:szCs w:val="17"/>
        </w:rPr>
        <w:t>und Na</w:t>
      </w:r>
      <w:r>
        <w:rPr>
          <w:rFonts w:cs="Arial"/>
          <w:szCs w:val="10"/>
          <w:vertAlign w:val="subscript"/>
        </w:rPr>
        <w:t>2</w:t>
      </w:r>
      <w:r>
        <w:rPr>
          <w:rFonts w:cs="Arial"/>
          <w:szCs w:val="17"/>
        </w:rPr>
        <w:t>CO</w:t>
      </w:r>
      <w:r>
        <w:rPr>
          <w:rFonts w:cs="Arial"/>
          <w:szCs w:val="10"/>
          <w:vertAlign w:val="subscript"/>
        </w:rPr>
        <w:t>3</w:t>
      </w:r>
      <w:r>
        <w:rPr>
          <w:rFonts w:cs="Arial"/>
          <w:szCs w:val="17"/>
        </w:rPr>
        <w:t>, ermittelt vom Betreiber oder Lieferanten durch Wiegen mit einem maximal zulässigen Unsicherheitsfaktor von weniger als ± 2,5 % je Messvo</w:t>
      </w:r>
      <w:r>
        <w:rPr>
          <w:rFonts w:cs="Arial"/>
          <w:szCs w:val="17"/>
        </w:rPr>
        <w:t>r</w:t>
      </w:r>
      <w:r>
        <w:rPr>
          <w:rFonts w:cs="Arial"/>
          <w:szCs w:val="17"/>
        </w:rPr>
        <w:t>gang</w:t>
      </w:r>
    </w:p>
    <w:p>
      <w:pPr>
        <w:pStyle w:val="GesAbsatz"/>
        <w:jc w:val="both"/>
        <w:rPr>
          <w:rFonts w:cs="Arial"/>
          <w:szCs w:val="17"/>
        </w:rPr>
      </w:pPr>
      <w:r>
        <w:rPr>
          <w:rFonts w:cs="Arial"/>
          <w:szCs w:val="17"/>
        </w:rPr>
        <w:t>Ebene 2:</w:t>
      </w:r>
    </w:p>
    <w:p>
      <w:pPr>
        <w:pStyle w:val="GesAbsatz"/>
        <w:jc w:val="both"/>
        <w:rPr>
          <w:rFonts w:cs="Arial"/>
          <w:szCs w:val="17"/>
        </w:rPr>
      </w:pPr>
      <w:r>
        <w:rPr>
          <w:rFonts w:cs="Arial"/>
          <w:szCs w:val="17"/>
        </w:rPr>
        <w:t>Mengen [t] des im Prozess eingesetzten CaCO</w:t>
      </w:r>
      <w:r>
        <w:rPr>
          <w:rFonts w:cs="Arial"/>
          <w:szCs w:val="10"/>
          <w:vertAlign w:val="subscript"/>
        </w:rPr>
        <w:t>3</w:t>
      </w:r>
      <w:r>
        <w:rPr>
          <w:rFonts w:cs="Arial"/>
          <w:szCs w:val="10"/>
        </w:rPr>
        <w:t xml:space="preserve"> </w:t>
      </w:r>
      <w:r>
        <w:rPr>
          <w:rFonts w:cs="Arial"/>
          <w:szCs w:val="17"/>
        </w:rPr>
        <w:t>und Na</w:t>
      </w:r>
      <w:r>
        <w:rPr>
          <w:rFonts w:cs="Arial"/>
          <w:szCs w:val="10"/>
          <w:vertAlign w:val="subscript"/>
        </w:rPr>
        <w:t>2</w:t>
      </w:r>
      <w:r>
        <w:rPr>
          <w:rFonts w:cs="Arial"/>
          <w:szCs w:val="17"/>
        </w:rPr>
        <w:t>CO</w:t>
      </w:r>
      <w:r>
        <w:rPr>
          <w:rFonts w:cs="Arial"/>
          <w:szCs w:val="10"/>
          <w:vertAlign w:val="subscript"/>
        </w:rPr>
        <w:t>3</w:t>
      </w:r>
      <w:r>
        <w:rPr>
          <w:rFonts w:cs="Arial"/>
          <w:szCs w:val="17"/>
        </w:rPr>
        <w:t>, ermittelt vom Betreiber oder Lieferanten durch Wiegen mit einem maximal zulässigen Unsicherheitsfaktor von weniger als ± 1,0 % je Messvo</w:t>
      </w:r>
      <w:r>
        <w:rPr>
          <w:rFonts w:cs="Arial"/>
          <w:szCs w:val="17"/>
        </w:rPr>
        <w:t>r</w:t>
      </w:r>
      <w:r>
        <w:rPr>
          <w:rFonts w:cs="Arial"/>
          <w:szCs w:val="17"/>
        </w:rPr>
        <w:t>gang</w:t>
      </w:r>
    </w:p>
    <w:p>
      <w:pPr>
        <w:pStyle w:val="GesAbsatz"/>
        <w:jc w:val="both"/>
        <w:rPr>
          <w:rFonts w:cs="Arial"/>
          <w:szCs w:val="17"/>
          <w:u w:val="single"/>
        </w:rPr>
      </w:pPr>
      <w:r>
        <w:rPr>
          <w:rFonts w:cs="Arial"/>
          <w:szCs w:val="17"/>
          <w:u w:val="single"/>
        </w:rPr>
        <w:t>b) Emissionsfaktor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Es sind die stöchiometrischen Verhältnisse [t CO</w:t>
      </w:r>
      <w:r>
        <w:rPr>
          <w:rFonts w:cs="Arial"/>
          <w:szCs w:val="10"/>
          <w:vertAlign w:val="subscript"/>
        </w:rPr>
        <w:t>2</w:t>
      </w:r>
      <w:r>
        <w:rPr>
          <w:rFonts w:cs="Arial"/>
          <w:szCs w:val="17"/>
        </w:rPr>
        <w:t>/t CaCO</w:t>
      </w:r>
      <w:r>
        <w:rPr>
          <w:rFonts w:cs="Arial"/>
          <w:szCs w:val="10"/>
          <w:vertAlign w:val="subscript"/>
        </w:rPr>
        <w:t>3</w:t>
      </w:r>
      <w:r>
        <w:rPr>
          <w:rFonts w:cs="Arial"/>
          <w:szCs w:val="17"/>
        </w:rPr>
        <w:t>] und [t CO</w:t>
      </w:r>
      <w:r>
        <w:rPr>
          <w:rFonts w:cs="Arial"/>
          <w:szCs w:val="10"/>
          <w:vertAlign w:val="subscript"/>
        </w:rPr>
        <w:t>2</w:t>
      </w:r>
      <w:r>
        <w:rPr>
          <w:rFonts w:cs="Arial"/>
          <w:szCs w:val="17"/>
        </w:rPr>
        <w:t>/t Na</w:t>
      </w:r>
      <w:r>
        <w:rPr>
          <w:rFonts w:cs="Arial"/>
          <w:szCs w:val="10"/>
          <w:vertAlign w:val="subscript"/>
        </w:rPr>
        <w:t>2</w:t>
      </w:r>
      <w:r>
        <w:rPr>
          <w:rFonts w:cs="Arial"/>
          <w:szCs w:val="17"/>
        </w:rPr>
        <w:t>CO</w:t>
      </w:r>
      <w:r>
        <w:rPr>
          <w:rFonts w:cs="Arial"/>
          <w:szCs w:val="10"/>
          <w:vertAlign w:val="subscript"/>
        </w:rPr>
        <w:t>3</w:t>
      </w:r>
      <w:r>
        <w:rPr>
          <w:rFonts w:cs="Arial"/>
          <w:szCs w:val="17"/>
        </w:rPr>
        <w:t>] für nicht aus Bioma</w:t>
      </w:r>
      <w:r>
        <w:rPr>
          <w:rFonts w:cs="Arial"/>
          <w:szCs w:val="17"/>
        </w:rPr>
        <w:t>s</w:t>
      </w:r>
      <w:r>
        <w:rPr>
          <w:rFonts w:cs="Arial"/>
          <w:szCs w:val="17"/>
        </w:rPr>
        <w:t>se stammende Karbonate, die in unten stehender Tabelle 1 aufgeführt sind, anzuwenden. Biomasse-Karbonate werden mit einem Emissionsfaktor von 0 [t CO</w:t>
      </w:r>
      <w:r>
        <w:rPr>
          <w:rFonts w:cs="Arial"/>
          <w:szCs w:val="10"/>
          <w:vertAlign w:val="subscript"/>
        </w:rPr>
        <w:t>2</w:t>
      </w:r>
      <w:r>
        <w:rPr>
          <w:rFonts w:cs="Arial"/>
          <w:szCs w:val="17"/>
        </w:rPr>
        <w:t>/t Karbonat] gewichtet.</w:t>
      </w:r>
    </w:p>
    <w:p>
      <w:pPr>
        <w:pStyle w:val="GesAbsatz"/>
        <w:jc w:val="both"/>
        <w:rPr>
          <w:rFonts w:cs="Arial"/>
          <w:b/>
          <w:szCs w:val="17"/>
        </w:rPr>
      </w:pPr>
      <w:r>
        <w:rPr>
          <w:rFonts w:cs="Arial"/>
          <w:b/>
          <w:szCs w:val="17"/>
        </w:rPr>
        <w:t>TABELLE 1</w:t>
      </w:r>
    </w:p>
    <w:p>
      <w:pPr>
        <w:pStyle w:val="GesAbsatz"/>
        <w:jc w:val="both"/>
        <w:rPr>
          <w:rFonts w:cs="Arial"/>
          <w:b/>
          <w:bCs/>
          <w:szCs w:val="17"/>
        </w:rPr>
      </w:pPr>
      <w:r>
        <w:rPr>
          <w:rFonts w:cs="Arial"/>
          <w:b/>
          <w:bCs/>
          <w:szCs w:val="17"/>
        </w:rPr>
        <w:t>Stöchiometrische Emissionsfaktoren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6"/>
        <w:gridCol w:w="3068"/>
      </w:tblGrid>
      <w:tr>
        <w:tblPrEx>
          <w:tblCellMar>
            <w:top w:w="0" w:type="dxa"/>
            <w:bottom w:w="0" w:type="dxa"/>
          </w:tblCellMar>
        </w:tblPrEx>
        <w:tc>
          <w:tcPr>
            <w:tcW w:w="6449" w:type="dxa"/>
          </w:tcPr>
          <w:p>
            <w:pPr>
              <w:pStyle w:val="GesAbsatz"/>
              <w:jc w:val="center"/>
              <w:rPr>
                <w:rFonts w:cs="Arial"/>
                <w:szCs w:val="15"/>
              </w:rPr>
            </w:pPr>
            <w:r>
              <w:rPr>
                <w:rFonts w:cs="Arial"/>
                <w:szCs w:val="15"/>
              </w:rPr>
              <w:t>Karbonatart und -ursprung</w:t>
            </w:r>
          </w:p>
        </w:tc>
        <w:tc>
          <w:tcPr>
            <w:tcW w:w="3095" w:type="dxa"/>
          </w:tcPr>
          <w:p>
            <w:pPr>
              <w:pStyle w:val="GesAbsatz"/>
              <w:jc w:val="center"/>
              <w:rPr>
                <w:rFonts w:cs="Arial"/>
                <w:szCs w:val="15"/>
              </w:rPr>
            </w:pPr>
            <w:r>
              <w:rPr>
                <w:rFonts w:cs="Arial"/>
                <w:szCs w:val="15"/>
              </w:rPr>
              <w:t>Emissionsfaktor</w:t>
            </w:r>
            <w:r>
              <w:rPr>
                <w:rFonts w:cs="Arial"/>
                <w:szCs w:val="15"/>
              </w:rPr>
              <w:br/>
              <w:t>[t CO</w:t>
            </w:r>
            <w:r>
              <w:rPr>
                <w:rFonts w:cs="Arial"/>
                <w:szCs w:val="8"/>
                <w:vertAlign w:val="subscript"/>
              </w:rPr>
              <w:t>2</w:t>
            </w:r>
            <w:r>
              <w:rPr>
                <w:rFonts w:cs="Arial"/>
                <w:szCs w:val="15"/>
              </w:rPr>
              <w:t>/t Karbonat]</w:t>
            </w:r>
          </w:p>
        </w:tc>
      </w:tr>
      <w:tr>
        <w:tblPrEx>
          <w:tblCellMar>
            <w:top w:w="0" w:type="dxa"/>
            <w:bottom w:w="0" w:type="dxa"/>
          </w:tblCellMar>
        </w:tblPrEx>
        <w:tc>
          <w:tcPr>
            <w:tcW w:w="6449" w:type="dxa"/>
          </w:tcPr>
          <w:p>
            <w:pPr>
              <w:pStyle w:val="GesAbsatz"/>
              <w:jc w:val="both"/>
              <w:rPr>
                <w:rFonts w:cs="Arial"/>
                <w:szCs w:val="15"/>
              </w:rPr>
            </w:pPr>
            <w:r>
              <w:rPr>
                <w:rFonts w:cs="Arial"/>
                <w:szCs w:val="17"/>
              </w:rPr>
              <w:t>Zellstofffabrik-Zusatzchemikalie CaCO</w:t>
            </w:r>
            <w:r>
              <w:rPr>
                <w:rFonts w:cs="Arial"/>
                <w:szCs w:val="10"/>
                <w:vertAlign w:val="subscript"/>
              </w:rPr>
              <w:t>3</w:t>
            </w:r>
          </w:p>
        </w:tc>
        <w:tc>
          <w:tcPr>
            <w:tcW w:w="3095" w:type="dxa"/>
          </w:tcPr>
          <w:p>
            <w:pPr>
              <w:pStyle w:val="GesAbsatz"/>
              <w:tabs>
                <w:tab w:val="clear" w:pos="425"/>
                <w:tab w:val="decimal" w:pos="1348"/>
              </w:tabs>
              <w:rPr>
                <w:rFonts w:cs="Arial"/>
                <w:szCs w:val="15"/>
              </w:rPr>
            </w:pPr>
            <w:r>
              <w:rPr>
                <w:rFonts w:cs="Arial"/>
                <w:szCs w:val="17"/>
              </w:rPr>
              <w:t>0,440</w:t>
            </w:r>
          </w:p>
        </w:tc>
      </w:tr>
      <w:tr>
        <w:tblPrEx>
          <w:tblCellMar>
            <w:top w:w="0" w:type="dxa"/>
            <w:bottom w:w="0" w:type="dxa"/>
          </w:tblCellMar>
        </w:tblPrEx>
        <w:tc>
          <w:tcPr>
            <w:tcW w:w="6449" w:type="dxa"/>
          </w:tcPr>
          <w:p>
            <w:pPr>
              <w:pStyle w:val="GesAbsatz"/>
              <w:jc w:val="both"/>
              <w:rPr>
                <w:rFonts w:cs="Arial"/>
                <w:szCs w:val="17"/>
              </w:rPr>
            </w:pPr>
            <w:r>
              <w:rPr>
                <w:rFonts w:cs="Arial"/>
                <w:szCs w:val="17"/>
              </w:rPr>
              <w:t>Zellstofffabrik-Zusatzchemikalie Na</w:t>
            </w:r>
            <w:r>
              <w:rPr>
                <w:rFonts w:cs="Arial"/>
                <w:szCs w:val="10"/>
                <w:vertAlign w:val="subscript"/>
              </w:rPr>
              <w:t>2</w:t>
            </w:r>
            <w:r>
              <w:rPr>
                <w:rFonts w:cs="Arial"/>
                <w:szCs w:val="17"/>
              </w:rPr>
              <w:t>CO</w:t>
            </w:r>
            <w:r>
              <w:rPr>
                <w:rFonts w:cs="Arial"/>
                <w:szCs w:val="10"/>
                <w:vertAlign w:val="subscript"/>
              </w:rPr>
              <w:t>3</w:t>
            </w:r>
          </w:p>
        </w:tc>
        <w:tc>
          <w:tcPr>
            <w:tcW w:w="3095" w:type="dxa"/>
          </w:tcPr>
          <w:p>
            <w:pPr>
              <w:pStyle w:val="GesAbsatz"/>
              <w:tabs>
                <w:tab w:val="clear" w:pos="425"/>
                <w:tab w:val="decimal" w:pos="1348"/>
              </w:tabs>
              <w:rPr>
                <w:rFonts w:cs="Arial"/>
                <w:szCs w:val="17"/>
              </w:rPr>
            </w:pPr>
            <w:r>
              <w:rPr>
                <w:rFonts w:cs="Arial"/>
                <w:szCs w:val="17"/>
              </w:rPr>
              <w:t>0,415</w:t>
            </w:r>
          </w:p>
        </w:tc>
      </w:tr>
      <w:tr>
        <w:tblPrEx>
          <w:tblCellMar>
            <w:top w:w="0" w:type="dxa"/>
            <w:bottom w:w="0" w:type="dxa"/>
          </w:tblCellMar>
        </w:tblPrEx>
        <w:tc>
          <w:tcPr>
            <w:tcW w:w="6449" w:type="dxa"/>
          </w:tcPr>
          <w:p>
            <w:pPr>
              <w:pStyle w:val="GesAbsatz"/>
              <w:jc w:val="both"/>
              <w:rPr>
                <w:rFonts w:cs="Arial"/>
                <w:szCs w:val="17"/>
              </w:rPr>
            </w:pPr>
            <w:r>
              <w:rPr>
                <w:rFonts w:cs="Arial"/>
                <w:szCs w:val="17"/>
              </w:rPr>
              <w:t>CaCO</w:t>
            </w:r>
            <w:r>
              <w:rPr>
                <w:rFonts w:cs="Arial"/>
                <w:szCs w:val="10"/>
                <w:vertAlign w:val="subscript"/>
              </w:rPr>
              <w:t>3</w:t>
            </w:r>
            <w:r>
              <w:rPr>
                <w:rFonts w:cs="Arial"/>
                <w:szCs w:val="10"/>
              </w:rPr>
              <w:t xml:space="preserve"> </w:t>
            </w:r>
            <w:r>
              <w:rPr>
                <w:rFonts w:cs="Arial"/>
                <w:szCs w:val="17"/>
              </w:rPr>
              <w:t>aus Biomasse</w:t>
            </w:r>
          </w:p>
        </w:tc>
        <w:tc>
          <w:tcPr>
            <w:tcW w:w="3095" w:type="dxa"/>
          </w:tcPr>
          <w:p>
            <w:pPr>
              <w:pStyle w:val="GesAbsatz"/>
              <w:tabs>
                <w:tab w:val="clear" w:pos="425"/>
                <w:tab w:val="decimal" w:pos="1348"/>
              </w:tabs>
              <w:rPr>
                <w:rFonts w:cs="Arial"/>
                <w:szCs w:val="17"/>
              </w:rPr>
            </w:pPr>
            <w:r>
              <w:rPr>
                <w:rFonts w:cs="Arial"/>
                <w:szCs w:val="17"/>
              </w:rPr>
              <w:t>0,0</w:t>
            </w:r>
          </w:p>
        </w:tc>
      </w:tr>
      <w:tr>
        <w:tblPrEx>
          <w:tblCellMar>
            <w:top w:w="0" w:type="dxa"/>
            <w:bottom w:w="0" w:type="dxa"/>
          </w:tblCellMar>
        </w:tblPrEx>
        <w:tc>
          <w:tcPr>
            <w:tcW w:w="6449" w:type="dxa"/>
          </w:tcPr>
          <w:p>
            <w:pPr>
              <w:pStyle w:val="GesAbsatz"/>
              <w:jc w:val="both"/>
              <w:rPr>
                <w:rFonts w:cs="Arial"/>
                <w:szCs w:val="17"/>
              </w:rPr>
            </w:pPr>
            <w:r>
              <w:rPr>
                <w:rFonts w:cs="Arial"/>
                <w:szCs w:val="17"/>
              </w:rPr>
              <w:t>Na</w:t>
            </w:r>
            <w:r>
              <w:rPr>
                <w:rFonts w:cs="Arial"/>
                <w:szCs w:val="10"/>
                <w:vertAlign w:val="subscript"/>
              </w:rPr>
              <w:t>2</w:t>
            </w:r>
            <w:r>
              <w:rPr>
                <w:rFonts w:cs="Arial"/>
                <w:szCs w:val="17"/>
              </w:rPr>
              <w:t>CO</w:t>
            </w:r>
            <w:r>
              <w:rPr>
                <w:rFonts w:cs="Arial"/>
                <w:szCs w:val="10"/>
                <w:vertAlign w:val="subscript"/>
              </w:rPr>
              <w:t>3</w:t>
            </w:r>
            <w:r>
              <w:rPr>
                <w:rFonts w:cs="Arial"/>
                <w:szCs w:val="10"/>
              </w:rPr>
              <w:t xml:space="preserve"> </w:t>
            </w:r>
            <w:r>
              <w:rPr>
                <w:rFonts w:cs="Arial"/>
                <w:szCs w:val="17"/>
              </w:rPr>
              <w:t>aus Biomasse</w:t>
            </w:r>
          </w:p>
        </w:tc>
        <w:tc>
          <w:tcPr>
            <w:tcW w:w="3095" w:type="dxa"/>
          </w:tcPr>
          <w:p>
            <w:pPr>
              <w:pStyle w:val="GesAbsatz"/>
              <w:tabs>
                <w:tab w:val="clear" w:pos="425"/>
                <w:tab w:val="decimal" w:pos="1348"/>
              </w:tabs>
              <w:rPr>
                <w:rFonts w:cs="Arial"/>
                <w:szCs w:val="17"/>
              </w:rPr>
            </w:pPr>
            <w:r>
              <w:rPr>
                <w:rFonts w:cs="Arial"/>
                <w:szCs w:val="17"/>
              </w:rPr>
              <w:t>0,0</w:t>
            </w:r>
          </w:p>
        </w:tc>
      </w:tr>
    </w:tbl>
    <w:p>
      <w:pPr>
        <w:pStyle w:val="GesAbsatz"/>
        <w:jc w:val="both"/>
        <w:rPr>
          <w:rFonts w:cs="Arial"/>
          <w:szCs w:val="15"/>
        </w:rPr>
      </w:pPr>
    </w:p>
    <w:p>
      <w:pPr>
        <w:pStyle w:val="GesAbsatz"/>
        <w:jc w:val="both"/>
        <w:rPr>
          <w:rFonts w:cs="Arial"/>
          <w:szCs w:val="17"/>
        </w:rPr>
      </w:pPr>
      <w:r>
        <w:rPr>
          <w:rFonts w:cs="Arial"/>
          <w:szCs w:val="17"/>
        </w:rPr>
        <w:t>Diese Werte sind um den jeweiligen Feuchte- und Gangart-Gehalt der eingesetzten Karbonatmaterialien zu bereinigen.</w:t>
      </w:r>
    </w:p>
    <w:p>
      <w:pPr>
        <w:pStyle w:val="GesAbsatz"/>
        <w:jc w:val="both"/>
        <w:rPr>
          <w:rFonts w:cs="Arial"/>
          <w:szCs w:val="17"/>
          <w:u w:val="single"/>
        </w:rPr>
      </w:pPr>
      <w:r>
        <w:rPr>
          <w:rFonts w:cs="Arial"/>
          <w:szCs w:val="17"/>
          <w:u w:val="single"/>
        </w:rPr>
        <w:t>c) Umsetzungsfaktor</w:t>
      </w:r>
    </w:p>
    <w:p>
      <w:pPr>
        <w:pStyle w:val="GesAbsatz"/>
        <w:jc w:val="both"/>
        <w:rPr>
          <w:rFonts w:cs="Arial"/>
          <w:szCs w:val="17"/>
        </w:rPr>
      </w:pPr>
      <w:r>
        <w:rPr>
          <w:rFonts w:cs="Arial"/>
          <w:szCs w:val="17"/>
        </w:rPr>
        <w:t>Ebene 1:</w:t>
      </w:r>
    </w:p>
    <w:p>
      <w:pPr>
        <w:pStyle w:val="GesAbsatz"/>
        <w:jc w:val="both"/>
        <w:rPr>
          <w:rFonts w:cs="Arial"/>
          <w:szCs w:val="17"/>
        </w:rPr>
      </w:pPr>
      <w:r>
        <w:rPr>
          <w:rFonts w:cs="Arial"/>
          <w:szCs w:val="17"/>
        </w:rPr>
        <w:t>Umsetzungsfaktor: 1,0</w:t>
      </w:r>
    </w:p>
    <w:p>
      <w:pPr>
        <w:pStyle w:val="GesAbsatz"/>
        <w:jc w:val="both"/>
        <w:rPr>
          <w:rFonts w:cs="Arial"/>
          <w:b/>
          <w:bCs/>
          <w:szCs w:val="17"/>
        </w:rPr>
      </w:pPr>
      <w:r>
        <w:rPr>
          <w:rFonts w:cs="Arial"/>
          <w:b/>
          <w:bCs/>
          <w:szCs w:val="17"/>
        </w:rPr>
        <w:t>2.2. Messung der CO</w:t>
      </w:r>
      <w:r>
        <w:rPr>
          <w:rFonts w:cs="Arial"/>
          <w:b/>
          <w:bCs/>
          <w:szCs w:val="10"/>
          <w:vertAlign w:val="subscript"/>
        </w:rPr>
        <w:t>2</w:t>
      </w:r>
      <w:r>
        <w:rPr>
          <w:rFonts w:cs="Arial"/>
          <w:b/>
          <w:bCs/>
          <w:szCs w:val="17"/>
        </w:rPr>
        <w:t>-Emissionen</w:t>
      </w:r>
    </w:p>
    <w:p>
      <w:pPr>
        <w:pStyle w:val="GesAbsatz"/>
        <w:jc w:val="both"/>
        <w:rPr>
          <w:rFonts w:cs="Arial"/>
          <w:szCs w:val="17"/>
        </w:rPr>
      </w:pPr>
      <w:r>
        <w:rPr>
          <w:rFonts w:cs="Arial"/>
          <w:szCs w:val="17"/>
        </w:rPr>
        <w:t>Für die Messungen gelten die Leitlinien des Anhangs I.</w:t>
      </w:r>
    </w:p>
    <w:p>
      <w:pPr>
        <w:pStyle w:val="GesAbsatz"/>
        <w:jc w:val="both"/>
        <w:rPr>
          <w:rFonts w:cs="Arial"/>
          <w:b/>
          <w:szCs w:val="10"/>
        </w:rPr>
      </w:pPr>
      <w:r>
        <w:rPr>
          <w:rFonts w:cs="Arial"/>
          <w:b/>
          <w:szCs w:val="17"/>
        </w:rPr>
        <w:t>3. BESTIMMUNG ANDERER TREIBHAUSGASEMISSIONEN ALS CO</w:t>
      </w:r>
      <w:r>
        <w:rPr>
          <w:rFonts w:cs="Arial"/>
          <w:b/>
          <w:szCs w:val="10"/>
          <w:vertAlign w:val="subscript"/>
        </w:rPr>
        <w:t>2</w:t>
      </w:r>
    </w:p>
    <w:p>
      <w:pPr>
        <w:pStyle w:val="GesAbsatz"/>
        <w:jc w:val="both"/>
        <w:rPr>
          <w:rFonts w:cs="Arial"/>
          <w:szCs w:val="17"/>
        </w:rPr>
      </w:pPr>
      <w:r>
        <w:rPr>
          <w:rFonts w:cs="Arial"/>
          <w:szCs w:val="17"/>
        </w:rPr>
        <w:t>Spezifische Leitlinien für die Bestimmung anderer Treibhausgasemissionen als CO</w:t>
      </w:r>
      <w:r>
        <w:rPr>
          <w:rFonts w:cs="Arial"/>
          <w:szCs w:val="10"/>
          <w:vertAlign w:val="subscript"/>
        </w:rPr>
        <w:t>2</w:t>
      </w:r>
      <w:r>
        <w:rPr>
          <w:rFonts w:cs="Arial"/>
          <w:szCs w:val="10"/>
        </w:rPr>
        <w:t xml:space="preserve"> </w:t>
      </w:r>
      <w:r>
        <w:rPr>
          <w:rFonts w:cs="Arial"/>
          <w:szCs w:val="17"/>
        </w:rPr>
        <w:t>werden gegebene</w:t>
      </w:r>
      <w:r>
        <w:rPr>
          <w:rFonts w:cs="Arial"/>
          <w:szCs w:val="17"/>
        </w:rPr>
        <w:t>n</w:t>
      </w:r>
      <w:r>
        <w:rPr>
          <w:rFonts w:cs="Arial"/>
          <w:szCs w:val="17"/>
        </w:rPr>
        <w:t>falls zu einem späteren Zeitpunkt in Übereinstimmung mit den einschlägigen Bestimmungen der Richtl</w:t>
      </w:r>
      <w:r>
        <w:rPr>
          <w:rFonts w:cs="Arial"/>
          <w:szCs w:val="17"/>
        </w:rPr>
        <w:t>i</w:t>
      </w:r>
      <w:r>
        <w:rPr>
          <w:rFonts w:cs="Arial"/>
          <w:szCs w:val="17"/>
        </w:rPr>
        <w:t>nie era</w:t>
      </w:r>
      <w:r>
        <w:rPr>
          <w:rFonts w:cs="Arial"/>
          <w:szCs w:val="17"/>
        </w:rPr>
        <w:t>r</w:t>
      </w:r>
      <w:r>
        <w:rPr>
          <w:rFonts w:cs="Arial"/>
          <w:szCs w:val="17"/>
        </w:rPr>
        <w:t>beitet.</w:t>
      </w:r>
    </w:p>
    <w:sectPr>
      <w:type w:val="oddPage"/>
      <w:pgSz w:w="12240" w:h="15840" w:code="1"/>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22">
    <w:altName w:val="Microsoft YaHei"/>
    <w:panose1 w:val="00000000000000000000"/>
    <w:charset w:val="86"/>
    <w:family w:val="auto"/>
    <w:notTrueType/>
    <w:pitch w:val="default"/>
    <w:sig w:usb0="00000000"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29.01.2004 (ABl. L 59 S. 1, ber. ABl. L 177 S. 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rPr>
      </w:pPr>
      <w:r>
        <w:rPr>
          <w:rStyle w:val="Funotenzeichen"/>
        </w:rPr>
        <w:footnoteRef/>
      </w:r>
      <w:r>
        <w:t xml:space="preserve"> </w:t>
      </w:r>
      <w:r>
        <w:rPr>
          <w:rFonts w:cs="Arial"/>
          <w:sz w:val="16"/>
          <w:szCs w:val="17"/>
        </w:rPr>
        <w:t>ABl. L 275 vom 25.10.2003, S. 32.</w:t>
      </w:r>
    </w:p>
  </w:footnote>
  <w:footnote w:id="2">
    <w:p>
      <w:pPr>
        <w:pStyle w:val="Funotentext"/>
        <w:rPr>
          <w:sz w:val="16"/>
        </w:rPr>
      </w:pPr>
      <w:r>
        <w:rPr>
          <w:rStyle w:val="Funotenzeichen"/>
        </w:rPr>
        <w:footnoteRef/>
      </w:r>
      <w:r>
        <w:t xml:space="preserve"> </w:t>
      </w:r>
      <w:r>
        <w:rPr>
          <w:rFonts w:cs="Arial"/>
          <w:sz w:val="16"/>
          <w:szCs w:val="17"/>
        </w:rPr>
        <w:t>ABl. L 167 vom 9.7.1993, S. 31. Beschluss zuletzt geändert durch die Verordnung (EG) Nr. 1882/2003 des Europäischen Parlaments und des Rates (ABl. L 284 vom 31.10.2003, S. 1).</w:t>
      </w:r>
    </w:p>
  </w:footnote>
  <w:footnote w:id="3">
    <w:p>
      <w:pPr>
        <w:pStyle w:val="Funotentext"/>
        <w:rPr>
          <w:sz w:val="16"/>
        </w:rPr>
      </w:pPr>
      <w:r>
        <w:rPr>
          <w:rStyle w:val="Funotenzeichen"/>
        </w:rPr>
        <w:footnoteRef/>
      </w:r>
      <w:r>
        <w:t xml:space="preserve"> </w:t>
      </w:r>
      <w:r>
        <w:rPr>
          <w:rFonts w:cs="Arial"/>
          <w:sz w:val="16"/>
          <w:szCs w:val="15"/>
        </w:rPr>
        <w:t>Abrufbar unter: http://eippcb.jrc.es/.</w:t>
      </w:r>
    </w:p>
  </w:footnote>
  <w:footnote w:id="4">
    <w:p>
      <w:pPr>
        <w:pStyle w:val="Funotentext"/>
        <w:rPr>
          <w:sz w:val="16"/>
        </w:rPr>
      </w:pPr>
      <w:r>
        <w:rPr>
          <w:rStyle w:val="Funotenzeichen"/>
        </w:rPr>
        <w:footnoteRef/>
      </w:r>
      <w:r>
        <w:t xml:space="preserve"> </w:t>
      </w:r>
      <w:r>
        <w:rPr>
          <w:rFonts w:cs="Arial"/>
          <w:sz w:val="16"/>
          <w:szCs w:val="15"/>
        </w:rPr>
        <w:t>Auf der Grundlage der der Atommasse von Kohlenstoff (12) und Sauerstoff (16) gemäß den überarbe</w:t>
      </w:r>
      <w:r>
        <w:rPr>
          <w:rFonts w:cs="Arial"/>
          <w:sz w:val="16"/>
          <w:szCs w:val="15"/>
        </w:rPr>
        <w:t>i</w:t>
      </w:r>
      <w:r>
        <w:rPr>
          <w:rFonts w:cs="Arial"/>
          <w:sz w:val="16"/>
          <w:szCs w:val="15"/>
        </w:rPr>
        <w:t>teten IPCC-Leitlinien für nationale Treibhausgasinventare: „Guidelines for National Greenhouse Gas Inventories: Reference Manual“, 1.13 (1996).</w:t>
      </w:r>
    </w:p>
  </w:footnote>
  <w:footnote w:id="5">
    <w:p>
      <w:pPr>
        <w:pStyle w:val="Funotentext"/>
        <w:rPr>
          <w:sz w:val="16"/>
        </w:rPr>
      </w:pPr>
      <w:r>
        <w:rPr>
          <w:rStyle w:val="Funotenzeichen"/>
        </w:rPr>
        <w:footnoteRef/>
      </w:r>
      <w:r>
        <w:t xml:space="preserve"> </w:t>
      </w:r>
      <w:r>
        <w:rPr>
          <w:rFonts w:cs="Arial"/>
          <w:sz w:val="16"/>
          <w:szCs w:val="15"/>
        </w:rPr>
        <w:t>ABl. L 41 vom 14.2.2003, S. 26.</w:t>
      </w:r>
    </w:p>
  </w:footnote>
  <w:footnote w:id="6">
    <w:p>
      <w:pPr>
        <w:pStyle w:val="Funotentext"/>
        <w:rPr>
          <w:sz w:val="16"/>
        </w:rPr>
      </w:pPr>
      <w:r>
        <w:rPr>
          <w:rStyle w:val="Funotenzeichen"/>
        </w:rPr>
        <w:footnoteRef/>
      </w:r>
      <w:r>
        <w:t xml:space="preserve"> </w:t>
      </w:r>
      <w:r>
        <w:rPr>
          <w:rFonts w:cs="Arial"/>
          <w:sz w:val="16"/>
          <w:szCs w:val="15"/>
        </w:rPr>
        <w:t>Die Tätigkeitsdaten für Verbrennungsprozesse sind als Energie (spezifischer Heizwert) und Masse zu melden. Biomasse-Brennstoffe oder -Einsatzstoffe sind in Form von Tätigkeitsdaten zu melden.</w:t>
      </w:r>
    </w:p>
  </w:footnote>
  <w:footnote w:id="7">
    <w:p>
      <w:pPr>
        <w:pStyle w:val="Funotentext"/>
        <w:rPr>
          <w:sz w:val="16"/>
        </w:rPr>
      </w:pPr>
      <w:r>
        <w:rPr>
          <w:rStyle w:val="Funotenzeichen"/>
        </w:rPr>
        <w:footnoteRef/>
      </w:r>
      <w:r>
        <w:t xml:space="preserve"> </w:t>
      </w:r>
      <w:r>
        <w:rPr>
          <w:rFonts w:cs="Arial"/>
          <w:sz w:val="16"/>
          <w:szCs w:val="15"/>
        </w:rPr>
        <w:t>Emissionsfaktoren für Verbrennungsprozesse sind als CO</w:t>
      </w:r>
      <w:r>
        <w:rPr>
          <w:rFonts w:cs="Arial"/>
          <w:sz w:val="16"/>
          <w:szCs w:val="8"/>
          <w:vertAlign w:val="subscript"/>
        </w:rPr>
        <w:t>2</w:t>
      </w:r>
      <w:r>
        <w:rPr>
          <w:rFonts w:cs="Arial"/>
          <w:sz w:val="16"/>
          <w:szCs w:val="15"/>
        </w:rPr>
        <w:t>-Emission je Energiegehalt zu melden.</w:t>
      </w:r>
    </w:p>
  </w:footnote>
  <w:footnote w:id="8">
    <w:p>
      <w:pPr>
        <w:pStyle w:val="Funotentext"/>
        <w:rPr>
          <w:sz w:val="16"/>
        </w:rPr>
      </w:pPr>
      <w:r>
        <w:rPr>
          <w:rStyle w:val="Funotenzeichen"/>
        </w:rPr>
        <w:footnoteRef/>
      </w:r>
      <w:r>
        <w:t xml:space="preserve"> </w:t>
      </w:r>
      <w:r>
        <w:rPr>
          <w:rFonts w:cs="Arial"/>
          <w:sz w:val="16"/>
          <w:szCs w:val="15"/>
        </w:rPr>
        <w:t>Umsetzungs- und Oxidationsfaktoren sind als reiner Bruch darzustellen und zu melden.</w:t>
      </w:r>
    </w:p>
  </w:footnote>
  <w:footnote w:id="9">
    <w:p>
      <w:pPr>
        <w:pStyle w:val="Funotentext"/>
        <w:rPr>
          <w:sz w:val="16"/>
        </w:rPr>
      </w:pPr>
      <w:r>
        <w:rPr>
          <w:rStyle w:val="Funotenzeichen"/>
        </w:rPr>
        <w:footnoteRef/>
      </w:r>
      <w:r>
        <w:t xml:space="preserve"> </w:t>
      </w:r>
      <w:r>
        <w:rPr>
          <w:rFonts w:cs="Arial"/>
          <w:sz w:val="16"/>
          <w:szCs w:val="15"/>
        </w:rPr>
        <w:t>ABl. L 226 vom 6.9.2000, S. 3. Zuletzt geändert durch die Entscheidung 2001/573/EG des Rates (ABl. L 203 vom 28.7.2001, S. 18).</w:t>
      </w:r>
    </w:p>
  </w:footnote>
  <w:footnote w:id="10">
    <w:p>
      <w:pPr>
        <w:pStyle w:val="Funotentext"/>
        <w:rPr>
          <w:sz w:val="16"/>
        </w:rPr>
      </w:pPr>
      <w:r>
        <w:rPr>
          <w:rStyle w:val="Funotenzeichen"/>
        </w:rPr>
        <w:footnoteRef/>
      </w:r>
      <w:r>
        <w:rPr>
          <w:sz w:val="16"/>
        </w:rPr>
        <w:t xml:space="preserve"> </w:t>
      </w:r>
      <w:r>
        <w:rPr>
          <w:rFonts w:cs="Arial"/>
          <w:sz w:val="16"/>
          <w:szCs w:val="15"/>
        </w:rPr>
        <w:t>Geändert 1996 durch die IPCC-Leitlinien für nationale Treibhausgasinventare: „IPCC Guidelines for National Greenhouse Gas Invent</w:t>
      </w:r>
      <w:r>
        <w:rPr>
          <w:rFonts w:cs="Arial"/>
          <w:sz w:val="16"/>
          <w:szCs w:val="15"/>
        </w:rPr>
        <w:t>o</w:t>
      </w:r>
      <w:r>
        <w:rPr>
          <w:rFonts w:cs="Arial"/>
          <w:sz w:val="16"/>
          <w:szCs w:val="15"/>
        </w:rPr>
        <w:t>ries: Reference Manual, 1.13.“</w:t>
      </w:r>
    </w:p>
  </w:footnote>
  <w:footnote w:id="11">
    <w:p>
      <w:pPr>
        <w:pStyle w:val="Funotentext"/>
        <w:rPr>
          <w:sz w:val="16"/>
        </w:rPr>
      </w:pPr>
      <w:r>
        <w:rPr>
          <w:rStyle w:val="Funotenzeichen"/>
        </w:rPr>
        <w:footnoteRef/>
      </w:r>
      <w:r>
        <w:rPr>
          <w:sz w:val="16"/>
        </w:rPr>
        <w:t xml:space="preserve"> </w:t>
      </w:r>
      <w:r>
        <w:rPr>
          <w:rFonts w:cs="Arial"/>
          <w:sz w:val="16"/>
          <w:szCs w:val="15"/>
        </w:rPr>
        <w:t>Kein Flugbenzin.</w:t>
      </w:r>
    </w:p>
  </w:footnote>
  <w:footnote w:id="12">
    <w:p>
      <w:pPr>
        <w:pStyle w:val="Funotentext"/>
        <w:rPr>
          <w:sz w:val="16"/>
        </w:rPr>
      </w:pPr>
      <w:r>
        <w:rPr>
          <w:rStyle w:val="Funotenzeichen"/>
        </w:rPr>
        <w:footnoteRef/>
      </w:r>
      <w:r>
        <w:t xml:space="preserve"> </w:t>
      </w:r>
      <w:r>
        <w:rPr>
          <w:rFonts w:cs="Arial"/>
          <w:sz w:val="16"/>
          <w:szCs w:val="15"/>
        </w:rPr>
        <w:t>J. Falbe und M. Regitz, Römpp Chemie Lexikon, Stuttgart, 1995.</w:t>
      </w:r>
    </w:p>
  </w:footnote>
  <w:footnote w:id="13">
    <w:p>
      <w:pPr>
        <w:pStyle w:val="Funotentext"/>
        <w:rPr>
          <w:sz w:val="16"/>
        </w:rPr>
      </w:pPr>
      <w:r>
        <w:rPr>
          <w:rStyle w:val="Funotenzeichen"/>
        </w:rPr>
        <w:footnoteRef/>
      </w:r>
      <w:r>
        <w:t xml:space="preserve"> </w:t>
      </w:r>
      <w:r>
        <w:rPr>
          <w:rFonts w:cs="Arial"/>
          <w:sz w:val="16"/>
          <w:szCs w:val="15"/>
        </w:rPr>
        <w:t>J. Falbe und M. Regitz, Römpp Chemie Lexikon, Stuttgart, 1995.</w:t>
      </w:r>
    </w:p>
  </w:footnote>
  <w:footnote w:id="14">
    <w:p>
      <w:pPr>
        <w:pStyle w:val="Funotentext"/>
        <w:rPr>
          <w:sz w:val="16"/>
        </w:rPr>
      </w:pPr>
      <w:r>
        <w:rPr>
          <w:rStyle w:val="Funotenzeichen"/>
        </w:rPr>
        <w:footnoteRef/>
      </w:r>
      <w:r>
        <w:t xml:space="preserve"> </w:t>
      </w:r>
      <w:r>
        <w:rPr>
          <w:rFonts w:cs="Arial"/>
          <w:sz w:val="16"/>
          <w:szCs w:val="15"/>
        </w:rPr>
        <w:t>Ein Beispiel hierfür ist die niederländische Norm BRL-K 10016 („Der Biomasseanteil sekundärer Brennstoffe“), die von KIWA erarbe</w:t>
      </w:r>
      <w:r>
        <w:rPr>
          <w:rFonts w:cs="Arial"/>
          <w:sz w:val="16"/>
          <w:szCs w:val="15"/>
        </w:rPr>
        <w:t>i</w:t>
      </w:r>
      <w:r>
        <w:rPr>
          <w:rFonts w:cs="Arial"/>
          <w:sz w:val="16"/>
          <w:szCs w:val="15"/>
        </w:rPr>
        <w:t>tet wurde.</w:t>
      </w:r>
    </w:p>
  </w:footnote>
  <w:footnote w:id="15">
    <w:p>
      <w:pPr>
        <w:pStyle w:val="Funotentext"/>
        <w:rPr>
          <w:sz w:val="16"/>
        </w:rPr>
      </w:pPr>
      <w:r>
        <w:rPr>
          <w:rStyle w:val="Funotenzeichen"/>
        </w:rPr>
        <w:footnoteRef/>
      </w:r>
      <w:r>
        <w:t xml:space="preserve"> </w:t>
      </w:r>
      <w:r>
        <w:rPr>
          <w:rFonts w:cs="Arial"/>
          <w:sz w:val="16"/>
          <w:szCs w:val="15"/>
        </w:rPr>
        <w:t>Die Nummer wird im Rahmen des Genehmigungsverfahrens von der zuständigen Behörde verg</w:t>
      </w:r>
      <w:r>
        <w:rPr>
          <w:rFonts w:cs="Arial"/>
          <w:sz w:val="16"/>
          <w:szCs w:val="15"/>
        </w:rPr>
        <w:t>e</w:t>
      </w:r>
      <w:r>
        <w:rPr>
          <w:rFonts w:cs="Arial"/>
          <w:sz w:val="16"/>
          <w:szCs w:val="15"/>
        </w:rPr>
        <w:t>ben.</w:t>
      </w:r>
    </w:p>
  </w:footnote>
  <w:footnote w:id="16">
    <w:p>
      <w:pPr>
        <w:pStyle w:val="Funotentext"/>
        <w:rPr>
          <w:sz w:val="16"/>
        </w:rPr>
      </w:pPr>
      <w:r>
        <w:rPr>
          <w:rStyle w:val="Funotenzeichen"/>
        </w:rPr>
        <w:footnoteRef/>
      </w:r>
      <w:r>
        <w:t xml:space="preserve"> </w:t>
      </w:r>
      <w:r>
        <w:rPr>
          <w:rFonts w:cs="Arial"/>
          <w:sz w:val="16"/>
          <w:szCs w:val="15"/>
        </w:rPr>
        <w:t>Nur auszufüllen, wenn die Anlage im Rahmen von EPER meldepflichtig ist und entsprechend der G</w:t>
      </w:r>
      <w:r>
        <w:rPr>
          <w:rFonts w:cs="Arial"/>
          <w:sz w:val="16"/>
          <w:szCs w:val="15"/>
        </w:rPr>
        <w:t>e</w:t>
      </w:r>
      <w:r>
        <w:rPr>
          <w:rFonts w:cs="Arial"/>
          <w:sz w:val="16"/>
          <w:szCs w:val="15"/>
        </w:rPr>
        <w:t>nehmigung der Anlage nicht mehr als eine EPER-Tätigkeit durchgeführt wird. Die Angabe ist nicht obligatorisch und wird - neben der Bezeichnung und der Anschrift - lediglich zur genaueren Identifikation ben</w:t>
      </w:r>
      <w:r>
        <w:rPr>
          <w:rFonts w:cs="Arial"/>
          <w:sz w:val="16"/>
          <w:szCs w:val="15"/>
        </w:rPr>
        <w:t>ö</w:t>
      </w:r>
      <w:r>
        <w:rPr>
          <w:rFonts w:cs="Arial"/>
          <w:sz w:val="16"/>
          <w:szCs w:val="15"/>
        </w:rPr>
        <w:t>tigt.</w:t>
      </w:r>
    </w:p>
  </w:footnote>
  <w:footnote w:id="17">
    <w:p>
      <w:pPr>
        <w:pStyle w:val="Funotentext"/>
        <w:rPr>
          <w:sz w:val="16"/>
        </w:rPr>
      </w:pPr>
      <w:r>
        <w:rPr>
          <w:rStyle w:val="Funotenzeichen"/>
        </w:rPr>
        <w:footnoteRef/>
      </w:r>
      <w:r>
        <w:t xml:space="preserve"> </w:t>
      </w:r>
      <w:r>
        <w:rPr>
          <w:rFonts w:cs="Arial"/>
          <w:sz w:val="16"/>
          <w:szCs w:val="15"/>
        </w:rPr>
        <w:t>Beispielsweise „Mineralölraffinerien“.</w:t>
      </w:r>
    </w:p>
  </w:footnote>
  <w:footnote w:id="18">
    <w:p>
      <w:pPr>
        <w:pStyle w:val="Funotentext"/>
        <w:rPr>
          <w:sz w:val="16"/>
        </w:rPr>
      </w:pPr>
      <w:r>
        <w:rPr>
          <w:rStyle w:val="Funotenzeichen"/>
        </w:rPr>
        <w:footnoteRef/>
      </w:r>
      <w:r>
        <w:t xml:space="preserve"> </w:t>
      </w:r>
      <w:r>
        <w:rPr>
          <w:rFonts w:cs="Arial"/>
          <w:sz w:val="16"/>
          <w:szCs w:val="15"/>
        </w:rPr>
        <w:t>Beispielsweise „1. Industrial Processes, A Mineral Products, 1. Lime Production“.</w:t>
      </w:r>
    </w:p>
  </w:footnote>
  <w:footnote w:id="19">
    <w:p>
      <w:pPr>
        <w:pStyle w:val="Funotentext"/>
        <w:rPr>
          <w:sz w:val="16"/>
        </w:rPr>
      </w:pPr>
      <w:r>
        <w:rPr>
          <w:rStyle w:val="Funotenzeichen"/>
        </w:rPr>
        <w:footnoteRef/>
      </w:r>
      <w:r>
        <w:t xml:space="preserve"> </w:t>
      </w:r>
      <w:r>
        <w:rPr>
          <w:rFonts w:cs="Arial"/>
          <w:sz w:val="16"/>
          <w:szCs w:val="15"/>
        </w:rPr>
        <w:t>Nur auszufüllen, wenn die Emissionen anhand von Messungen ermittelt wurden.</w:t>
      </w:r>
    </w:p>
  </w:footnote>
  <w:footnote w:id="20">
    <w:p>
      <w:pPr>
        <w:pStyle w:val="Funotentext"/>
        <w:rPr>
          <w:sz w:val="16"/>
        </w:rPr>
      </w:pPr>
      <w:r>
        <w:rPr>
          <w:rStyle w:val="Funotenzeichen"/>
        </w:rPr>
        <w:footnoteRef/>
      </w:r>
      <w:r>
        <w:t xml:space="preserve"> </w:t>
      </w:r>
      <w:r>
        <w:rPr>
          <w:rFonts w:cs="Arial"/>
          <w:sz w:val="16"/>
          <w:szCs w:val="15"/>
        </w:rPr>
        <w:t>Nur auszufüllen, wenn die Emissionen anhand von Messungen ermittelt wurden.</w:t>
      </w:r>
    </w:p>
  </w:footnote>
  <w:footnote w:id="21">
    <w:p>
      <w:pPr>
        <w:pStyle w:val="Funotentext"/>
        <w:rPr>
          <w:sz w:val="16"/>
        </w:rPr>
      </w:pPr>
      <w:r>
        <w:rPr>
          <w:rStyle w:val="Funotenzeichen"/>
        </w:rPr>
        <w:footnoteRef/>
      </w:r>
      <w:r>
        <w:t xml:space="preserve"> </w:t>
      </w:r>
      <w:r>
        <w:rPr>
          <w:rFonts w:cs="Arial"/>
          <w:sz w:val="16"/>
          <w:szCs w:val="15"/>
        </w:rPr>
        <w:t>Entspricht der Summe der Emissionen aus fossilen Brennstoffen und dem fossilen Anteil von Bren</w:t>
      </w:r>
      <w:r>
        <w:rPr>
          <w:rFonts w:cs="Arial"/>
          <w:sz w:val="16"/>
          <w:szCs w:val="15"/>
        </w:rPr>
        <w:t>n</w:t>
      </w:r>
      <w:r>
        <w:rPr>
          <w:rFonts w:cs="Arial"/>
          <w:sz w:val="16"/>
          <w:szCs w:val="15"/>
        </w:rPr>
        <w:t>stoffgemischen.</w:t>
      </w:r>
    </w:p>
  </w:footnote>
  <w:footnote w:id="22">
    <w:p>
      <w:pPr>
        <w:pStyle w:val="Funotentext"/>
        <w:rPr>
          <w:sz w:val="16"/>
        </w:rPr>
      </w:pPr>
      <w:r>
        <w:rPr>
          <w:rStyle w:val="Funotenzeichen"/>
        </w:rPr>
        <w:footnoteRef/>
      </w:r>
      <w:r>
        <w:t xml:space="preserve"> </w:t>
      </w:r>
      <w:r>
        <w:rPr>
          <w:rFonts w:cs="Arial"/>
          <w:sz w:val="16"/>
          <w:szCs w:val="15"/>
        </w:rPr>
        <w:t>Entspricht dem Energiegehalt der reinen Biomasse und dem Biomasse-Anteil von Brennstoffgem</w:t>
      </w:r>
      <w:r>
        <w:rPr>
          <w:rFonts w:cs="Arial"/>
          <w:sz w:val="16"/>
          <w:szCs w:val="15"/>
        </w:rPr>
        <w:t>i</w:t>
      </w:r>
      <w:r>
        <w:rPr>
          <w:rFonts w:cs="Arial"/>
          <w:sz w:val="16"/>
          <w:szCs w:val="15"/>
        </w:rPr>
        <w:t>schen.</w:t>
      </w:r>
    </w:p>
  </w:footnote>
  <w:footnote w:id="23">
    <w:p>
      <w:pPr>
        <w:pStyle w:val="Funotentext"/>
        <w:rPr>
          <w:sz w:val="16"/>
          <w:lang w:val="en-GB"/>
        </w:rPr>
      </w:pPr>
      <w:r>
        <w:rPr>
          <w:rStyle w:val="Funotenzeichen"/>
        </w:rPr>
        <w:footnoteRef/>
      </w:r>
      <w:r>
        <w:rPr>
          <w:lang w:val="en-GB"/>
        </w:rPr>
        <w:t xml:space="preserve"> </w:t>
      </w:r>
      <w:r>
        <w:rPr>
          <w:rFonts w:cs="Arial"/>
          <w:sz w:val="16"/>
          <w:szCs w:val="15"/>
          <w:lang w:val="en-GB"/>
        </w:rPr>
        <w:t>UNFCCC (1999): FCCC/CP/1999/7.</w:t>
      </w:r>
    </w:p>
  </w:footnote>
  <w:footnote w:id="24">
    <w:p>
      <w:pPr>
        <w:pStyle w:val="Funotentext"/>
        <w:rPr>
          <w:sz w:val="16"/>
        </w:rPr>
      </w:pPr>
      <w:r>
        <w:rPr>
          <w:rStyle w:val="Funotenzeichen"/>
        </w:rPr>
        <w:footnoteRef/>
      </w:r>
      <w:r>
        <w:t xml:space="preserve"> </w:t>
      </w:r>
      <w:r>
        <w:rPr>
          <w:rFonts w:cs="Arial"/>
          <w:sz w:val="16"/>
          <w:szCs w:val="15"/>
        </w:rPr>
        <w:t>ABl. L 192, 28.7.2000, S. 36.</w:t>
      </w:r>
    </w:p>
  </w:footnote>
  <w:footnote w:id="25">
    <w:p>
      <w:pPr>
        <w:pStyle w:val="Funotentext"/>
        <w:rPr>
          <w:sz w:val="16"/>
        </w:rPr>
      </w:pPr>
      <w:r>
        <w:rPr>
          <w:rStyle w:val="Funotenzeichen"/>
        </w:rPr>
        <w:footnoteRef/>
      </w:r>
      <w:r>
        <w:t xml:space="preserve"> </w:t>
      </w:r>
      <w:r>
        <w:rPr>
          <w:rFonts w:cs="Arial"/>
          <w:sz w:val="16"/>
          <w:szCs w:val="15"/>
        </w:rPr>
        <w:t>Im Fall der Verwendung von Volumeneinheiten muss der Betreiber alle Umrechnungen (die erforderlich sein können, um Unte</w:t>
      </w:r>
      <w:r>
        <w:rPr>
          <w:rFonts w:cs="Arial"/>
          <w:sz w:val="16"/>
          <w:szCs w:val="15"/>
        </w:rPr>
        <w:t>r</w:t>
      </w:r>
      <w:r>
        <w:rPr>
          <w:rFonts w:cs="Arial"/>
          <w:sz w:val="16"/>
          <w:szCs w:val="15"/>
        </w:rPr>
        <w:t>schieden im Druck und in der Temperatur des Messgeräts Rechnung zu tragen) sowie auch die Standardbedingungen berücksicht</w:t>
      </w:r>
      <w:r>
        <w:rPr>
          <w:rFonts w:cs="Arial"/>
          <w:sz w:val="16"/>
          <w:szCs w:val="15"/>
        </w:rPr>
        <w:t>i</w:t>
      </w:r>
      <w:r>
        <w:rPr>
          <w:rFonts w:cs="Arial"/>
          <w:sz w:val="16"/>
          <w:szCs w:val="15"/>
        </w:rPr>
        <w:t>gen, für die der spezifische Heizwert des jeweil</w:t>
      </w:r>
      <w:r>
        <w:rPr>
          <w:rFonts w:cs="Arial"/>
          <w:sz w:val="16"/>
          <w:szCs w:val="15"/>
        </w:rPr>
        <w:t>i</w:t>
      </w:r>
      <w:r>
        <w:rPr>
          <w:rFonts w:cs="Arial"/>
          <w:sz w:val="16"/>
          <w:szCs w:val="15"/>
        </w:rPr>
        <w:t>gen Brennstoffs abgeleitet wurde.</w:t>
      </w:r>
    </w:p>
  </w:footnote>
  <w:footnote w:id="26">
    <w:p>
      <w:pPr>
        <w:pStyle w:val="Funotentext"/>
        <w:rPr>
          <w:sz w:val="16"/>
        </w:rPr>
      </w:pPr>
      <w:r>
        <w:rPr>
          <w:rStyle w:val="Funotenzeichen"/>
        </w:rPr>
        <w:footnoteRef/>
      </w:r>
      <w:r>
        <w:t xml:space="preserve"> </w:t>
      </w:r>
      <w:r>
        <w:rPr>
          <w:rFonts w:cs="Arial"/>
          <w:sz w:val="16"/>
          <w:szCs w:val="15"/>
        </w:rPr>
        <w:t>Die Werte basieren auf IPCC-Faktoren, ausgedrückt als t C/TJ, multipliziert mit einem CO</w:t>
      </w:r>
      <w:r>
        <w:rPr>
          <w:rFonts w:cs="Arial"/>
          <w:sz w:val="16"/>
          <w:szCs w:val="8"/>
          <w:vertAlign w:val="subscript"/>
        </w:rPr>
        <w:t>2</w:t>
      </w:r>
      <w:r>
        <w:rPr>
          <w:rFonts w:cs="Arial"/>
          <w:sz w:val="16"/>
          <w:szCs w:val="15"/>
        </w:rPr>
        <w:t>/C-Umsetzungsfaktor von 3,664.</w:t>
      </w:r>
    </w:p>
  </w:footnote>
  <w:footnote w:id="27">
    <w:p>
      <w:pPr>
        <w:pStyle w:val="Funotentext"/>
        <w:rPr>
          <w:sz w:val="16"/>
        </w:rPr>
      </w:pPr>
      <w:r>
        <w:rPr>
          <w:rStyle w:val="Funotenzeichen"/>
        </w:rPr>
        <w:footnoteRef/>
      </w:r>
      <w:r>
        <w:t xml:space="preserve"> </w:t>
      </w:r>
      <w:r>
        <w:rPr>
          <w:rFonts w:cs="Arial"/>
          <w:sz w:val="16"/>
          <w:szCs w:val="15"/>
        </w:rPr>
        <w:t>Die Werte basieren auf IPCC-Faktoren, ausgedrückt als t C/TJ, multipliziert mit einem CO</w:t>
      </w:r>
      <w:r>
        <w:rPr>
          <w:rFonts w:cs="Arial"/>
          <w:sz w:val="16"/>
          <w:szCs w:val="8"/>
          <w:vertAlign w:val="subscript"/>
        </w:rPr>
        <w:t>2</w:t>
      </w:r>
      <w:r>
        <w:rPr>
          <w:rFonts w:cs="Arial"/>
          <w:sz w:val="16"/>
          <w:szCs w:val="15"/>
        </w:rPr>
        <w:t>/C-Umsetzungsfaktor von 3,664.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Archiv6.60</w:t>
    </w:r>
  </w:p>
  <w:p>
    <w:pPr>
      <w:pStyle w:val="Kopfzeile"/>
    </w:pPr>
    <w:r>
      <w:rPr>
        <w:rFonts w:cs="Arial"/>
      </w:rPr>
      <w:t>2004/156/EG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27F197-0ECF-48E2-B33E-98C01BF2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jc w:val="right"/>
    </w:pPr>
  </w:style>
  <w:style w:type="paragraph" w:styleId="Fuzeile">
    <w:name w:val="footer"/>
    <w:basedOn w:val="Standard"/>
    <w:pPr>
      <w:tabs>
        <w:tab w:val="right" w:pos="8505"/>
        <w:tab w:val="right" w:pos="9639"/>
      </w:tabs>
    </w:pPr>
    <w:rPr>
      <w:sz w:val="16"/>
    </w:rPr>
  </w:style>
  <w:style w:type="character" w:styleId="Seitenzahl">
    <w:name w:val="page number"/>
    <w:rPr>
      <w:rFonts w:ascii="Arial" w:hAnsi="Arial"/>
      <w:sz w:val="16"/>
    </w:rPr>
  </w:style>
  <w:style w:type="paragraph" w:styleId="Verzeichnis2">
    <w:name w:val="toc 2"/>
    <w:basedOn w:val="Standard"/>
    <w:next w:val="Standard"/>
    <w:semiHidden/>
    <w:pPr>
      <w:ind w:left="200"/>
    </w:pPr>
    <w:rPr>
      <w:rFonts w:ascii="Times New Roman" w:hAnsi="Times New Roman"/>
      <w:smallCaps/>
      <w:szCs w:val="24"/>
    </w:rPr>
  </w:style>
  <w:style w:type="paragraph" w:styleId="Verzeichnis3">
    <w:name w:val="toc 3"/>
    <w:basedOn w:val="Standard"/>
    <w:next w:val="Standard"/>
    <w:semiHidden/>
    <w:pPr>
      <w:ind w:left="400"/>
    </w:pPr>
    <w:rPr>
      <w:rFonts w:ascii="Times New Roman" w:hAnsi="Times New Roman"/>
      <w:i/>
      <w:iCs/>
      <w:szCs w:val="24"/>
    </w:rPr>
  </w:style>
  <w:style w:type="paragraph" w:styleId="Funotentext">
    <w:name w:val="footnote text"/>
    <w:basedOn w:val="Standard"/>
    <w:semiHidden/>
  </w:style>
  <w:style w:type="paragraph" w:styleId="Verzeichnis1">
    <w:name w:val="toc 1"/>
    <w:basedOn w:val="Verzeichnis3"/>
    <w:next w:val="Standard"/>
    <w:semiHidden/>
    <w:pPr>
      <w:spacing w:before="120" w:after="120"/>
      <w:ind w:left="0"/>
    </w:pPr>
    <w:rPr>
      <w:b/>
      <w:bCs/>
      <w:i w:val="0"/>
      <w:iCs w:val="0"/>
      <w:caps/>
    </w:rPr>
  </w:style>
  <w:style w:type="paragraph" w:customStyle="1" w:styleId="GesAbsatz">
    <w:name w:val="GesAbsatz"/>
    <w:basedOn w:val="Standard"/>
    <w:pPr>
      <w:tabs>
        <w:tab w:val="left" w:pos="425"/>
      </w:tabs>
      <w:spacing w:before="60" w:after="60"/>
    </w:pPr>
    <w:rPr>
      <w:color w:val="000000"/>
    </w:rPr>
  </w:style>
  <w:style w:type="paragraph" w:styleId="Verzeichnis4">
    <w:name w:val="toc 4"/>
    <w:basedOn w:val="Standard"/>
    <w:next w:val="Standard"/>
    <w:semiHidden/>
    <w:pPr>
      <w:ind w:left="600"/>
    </w:pPr>
    <w:rPr>
      <w:rFonts w:ascii="Times New Roman" w:hAnsi="Times New Roman"/>
      <w:szCs w:val="21"/>
    </w:rPr>
  </w:style>
  <w:style w:type="character" w:styleId="Funotenzeichen">
    <w:name w:val="footnote reference"/>
    <w:semiHidden/>
    <w:rPr>
      <w:vertAlign w:val="superscript"/>
    </w:rPr>
  </w:style>
  <w:style w:type="paragraph" w:styleId="Verzeichnis5">
    <w:name w:val="toc 5"/>
    <w:basedOn w:val="Standard"/>
    <w:next w:val="Standard"/>
    <w:autoRedefine/>
    <w:semiHidden/>
    <w:pPr>
      <w:ind w:left="800"/>
    </w:pPr>
    <w:rPr>
      <w:rFonts w:ascii="Times New Roman" w:hAnsi="Times New Roman"/>
      <w:szCs w:val="21"/>
    </w:rPr>
  </w:style>
  <w:style w:type="paragraph" w:styleId="Verzeichnis6">
    <w:name w:val="toc 6"/>
    <w:basedOn w:val="Standard"/>
    <w:next w:val="Standard"/>
    <w:autoRedefine/>
    <w:semiHidden/>
    <w:pPr>
      <w:ind w:left="1000"/>
    </w:pPr>
    <w:rPr>
      <w:rFonts w:ascii="Times New Roman" w:hAnsi="Times New Roman"/>
      <w:szCs w:val="21"/>
    </w:rPr>
  </w:style>
  <w:style w:type="paragraph" w:styleId="Verzeichnis7">
    <w:name w:val="toc 7"/>
    <w:basedOn w:val="Standard"/>
    <w:next w:val="Standard"/>
    <w:autoRedefine/>
    <w:semiHidden/>
    <w:pPr>
      <w:ind w:left="1200"/>
    </w:pPr>
    <w:rPr>
      <w:rFonts w:ascii="Times New Roman" w:hAnsi="Times New Roman"/>
      <w:szCs w:val="21"/>
    </w:rPr>
  </w:style>
  <w:style w:type="paragraph" w:styleId="Verzeichnis8">
    <w:name w:val="toc 8"/>
    <w:basedOn w:val="Standard"/>
    <w:next w:val="Standard"/>
    <w:autoRedefine/>
    <w:semiHidden/>
    <w:pPr>
      <w:ind w:left="1400"/>
    </w:pPr>
    <w:rPr>
      <w:rFonts w:ascii="Times New Roman" w:hAnsi="Times New Roman"/>
      <w:szCs w:val="21"/>
    </w:rPr>
  </w:style>
  <w:style w:type="paragraph" w:styleId="Verzeichnis9">
    <w:name w:val="toc 9"/>
    <w:basedOn w:val="Standard"/>
    <w:next w:val="Standard"/>
    <w:autoRedefine/>
    <w:semiHidden/>
    <w:pPr>
      <w:ind w:left="1600"/>
    </w:pPr>
    <w:rPr>
      <w:rFonts w:ascii="Times New Roman" w:hAnsi="Times New Roman"/>
      <w:szCs w:val="21"/>
    </w:rPr>
  </w:style>
  <w:style w:type="character" w:styleId="Hyperlink">
    <w:name w:val="Hyperlink"/>
    <w:rPr>
      <w:color w:val="0000FF"/>
      <w:u w:val="single"/>
    </w:rPr>
  </w:style>
  <w:style w:type="character" w:styleId="BesuchterHyperlink">
    <w:name w:val="Besuchter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ec/2004/156(1)/oj" TargetMode="Externa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75</Pages>
  <Words>25728</Words>
  <Characters>162090</Characters>
  <Application>Microsoft Office Word</Application>
  <DocSecurity>0</DocSecurity>
  <Lines>1350</Lines>
  <Paragraphs>374</Paragraphs>
  <ScaleCrop>false</ScaleCrop>
  <HeadingPairs>
    <vt:vector size="2" baseType="variant">
      <vt:variant>
        <vt:lpstr>Titel</vt:lpstr>
      </vt:variant>
      <vt:variant>
        <vt:i4>1</vt:i4>
      </vt:variant>
    </vt:vector>
  </HeadingPairs>
  <TitlesOfParts>
    <vt:vector size="1" baseType="lpstr">
      <vt:lpstr>Festlegung von Leitlinien für Überwachung und Berichterstattung betreffend Treibhausgasemissionen</vt:lpstr>
    </vt:vector>
  </TitlesOfParts>
  <Company>LANUV NRW</Company>
  <LinksUpToDate>false</LinksUpToDate>
  <CharactersWithSpaces>187444</CharactersWithSpaces>
  <SharedDoc>false</SharedDoc>
  <HLinks>
    <vt:vector size="84" baseType="variant">
      <vt:variant>
        <vt:i4>1572919</vt:i4>
      </vt:variant>
      <vt:variant>
        <vt:i4>80</vt:i4>
      </vt:variant>
      <vt:variant>
        <vt:i4>0</vt:i4>
      </vt:variant>
      <vt:variant>
        <vt:i4>5</vt:i4>
      </vt:variant>
      <vt:variant>
        <vt:lpwstr/>
      </vt:variant>
      <vt:variant>
        <vt:lpwstr>_Toc67281929</vt:lpwstr>
      </vt:variant>
      <vt:variant>
        <vt:i4>1638455</vt:i4>
      </vt:variant>
      <vt:variant>
        <vt:i4>74</vt:i4>
      </vt:variant>
      <vt:variant>
        <vt:i4>0</vt:i4>
      </vt:variant>
      <vt:variant>
        <vt:i4>5</vt:i4>
      </vt:variant>
      <vt:variant>
        <vt:lpwstr/>
      </vt:variant>
      <vt:variant>
        <vt:lpwstr>_Toc67281928</vt:lpwstr>
      </vt:variant>
      <vt:variant>
        <vt:i4>1441847</vt:i4>
      </vt:variant>
      <vt:variant>
        <vt:i4>68</vt:i4>
      </vt:variant>
      <vt:variant>
        <vt:i4>0</vt:i4>
      </vt:variant>
      <vt:variant>
        <vt:i4>5</vt:i4>
      </vt:variant>
      <vt:variant>
        <vt:lpwstr/>
      </vt:variant>
      <vt:variant>
        <vt:lpwstr>_Toc67281927</vt:lpwstr>
      </vt:variant>
      <vt:variant>
        <vt:i4>1507383</vt:i4>
      </vt:variant>
      <vt:variant>
        <vt:i4>62</vt:i4>
      </vt:variant>
      <vt:variant>
        <vt:i4>0</vt:i4>
      </vt:variant>
      <vt:variant>
        <vt:i4>5</vt:i4>
      </vt:variant>
      <vt:variant>
        <vt:lpwstr/>
      </vt:variant>
      <vt:variant>
        <vt:lpwstr>_Toc67281926</vt:lpwstr>
      </vt:variant>
      <vt:variant>
        <vt:i4>1310775</vt:i4>
      </vt:variant>
      <vt:variant>
        <vt:i4>56</vt:i4>
      </vt:variant>
      <vt:variant>
        <vt:i4>0</vt:i4>
      </vt:variant>
      <vt:variant>
        <vt:i4>5</vt:i4>
      </vt:variant>
      <vt:variant>
        <vt:lpwstr/>
      </vt:variant>
      <vt:variant>
        <vt:lpwstr>_Toc67281925</vt:lpwstr>
      </vt:variant>
      <vt:variant>
        <vt:i4>1376311</vt:i4>
      </vt:variant>
      <vt:variant>
        <vt:i4>50</vt:i4>
      </vt:variant>
      <vt:variant>
        <vt:i4>0</vt:i4>
      </vt:variant>
      <vt:variant>
        <vt:i4>5</vt:i4>
      </vt:variant>
      <vt:variant>
        <vt:lpwstr/>
      </vt:variant>
      <vt:variant>
        <vt:lpwstr>_Toc67281924</vt:lpwstr>
      </vt:variant>
      <vt:variant>
        <vt:i4>1179703</vt:i4>
      </vt:variant>
      <vt:variant>
        <vt:i4>44</vt:i4>
      </vt:variant>
      <vt:variant>
        <vt:i4>0</vt:i4>
      </vt:variant>
      <vt:variant>
        <vt:i4>5</vt:i4>
      </vt:variant>
      <vt:variant>
        <vt:lpwstr/>
      </vt:variant>
      <vt:variant>
        <vt:lpwstr>_Toc67281923</vt:lpwstr>
      </vt:variant>
      <vt:variant>
        <vt:i4>1245239</vt:i4>
      </vt:variant>
      <vt:variant>
        <vt:i4>38</vt:i4>
      </vt:variant>
      <vt:variant>
        <vt:i4>0</vt:i4>
      </vt:variant>
      <vt:variant>
        <vt:i4>5</vt:i4>
      </vt:variant>
      <vt:variant>
        <vt:lpwstr/>
      </vt:variant>
      <vt:variant>
        <vt:lpwstr>_Toc67281922</vt:lpwstr>
      </vt:variant>
      <vt:variant>
        <vt:i4>1048631</vt:i4>
      </vt:variant>
      <vt:variant>
        <vt:i4>32</vt:i4>
      </vt:variant>
      <vt:variant>
        <vt:i4>0</vt:i4>
      </vt:variant>
      <vt:variant>
        <vt:i4>5</vt:i4>
      </vt:variant>
      <vt:variant>
        <vt:lpwstr/>
      </vt:variant>
      <vt:variant>
        <vt:lpwstr>_Toc67281921</vt:lpwstr>
      </vt:variant>
      <vt:variant>
        <vt:i4>1114167</vt:i4>
      </vt:variant>
      <vt:variant>
        <vt:i4>26</vt:i4>
      </vt:variant>
      <vt:variant>
        <vt:i4>0</vt:i4>
      </vt:variant>
      <vt:variant>
        <vt:i4>5</vt:i4>
      </vt:variant>
      <vt:variant>
        <vt:lpwstr/>
      </vt:variant>
      <vt:variant>
        <vt:lpwstr>_Toc67281920</vt:lpwstr>
      </vt:variant>
      <vt:variant>
        <vt:i4>1572916</vt:i4>
      </vt:variant>
      <vt:variant>
        <vt:i4>20</vt:i4>
      </vt:variant>
      <vt:variant>
        <vt:i4>0</vt:i4>
      </vt:variant>
      <vt:variant>
        <vt:i4>5</vt:i4>
      </vt:variant>
      <vt:variant>
        <vt:lpwstr/>
      </vt:variant>
      <vt:variant>
        <vt:lpwstr>_Toc67281919</vt:lpwstr>
      </vt:variant>
      <vt:variant>
        <vt:i4>1638452</vt:i4>
      </vt:variant>
      <vt:variant>
        <vt:i4>14</vt:i4>
      </vt:variant>
      <vt:variant>
        <vt:i4>0</vt:i4>
      </vt:variant>
      <vt:variant>
        <vt:i4>5</vt:i4>
      </vt:variant>
      <vt:variant>
        <vt:lpwstr/>
      </vt:variant>
      <vt:variant>
        <vt:lpwstr>_Toc67281918</vt:lpwstr>
      </vt:variant>
      <vt:variant>
        <vt:i4>1441844</vt:i4>
      </vt:variant>
      <vt:variant>
        <vt:i4>8</vt:i4>
      </vt:variant>
      <vt:variant>
        <vt:i4>0</vt:i4>
      </vt:variant>
      <vt:variant>
        <vt:i4>5</vt:i4>
      </vt:variant>
      <vt:variant>
        <vt:lpwstr/>
      </vt:variant>
      <vt:variant>
        <vt:lpwstr>_Toc67281917</vt:lpwstr>
      </vt:variant>
      <vt:variant>
        <vt:i4>1507380</vt:i4>
      </vt:variant>
      <vt:variant>
        <vt:i4>2</vt:i4>
      </vt:variant>
      <vt:variant>
        <vt:i4>0</vt:i4>
      </vt:variant>
      <vt:variant>
        <vt:i4>5</vt:i4>
      </vt:variant>
      <vt:variant>
        <vt:lpwstr/>
      </vt:variant>
      <vt:variant>
        <vt:lpwstr>_Toc67281916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Festlegung von Leitlinien für Überwachung und Berichterstattung betreffend Treibhausgasemissionen</dc:title>
  <dc:subject/>
  <dc:creator>LANUV NRW</dc:creator>
  <cp:keywords/>
  <dc:description/>
  <cp:lastModifiedBy>Rüter, Dr., Ingo</cp:lastModifiedBy>
  <cp:revision>2</cp:revision>
  <cp:lastPrinted>1601-01-01T00:00:00Z</cp:lastPrinted>
  <dcterms:created xsi:type="dcterms:W3CDTF">2024-06-26T11:32:00Z</dcterms:created>
  <dcterms:modified xsi:type="dcterms:W3CDTF">2024-06-26T11:32:00Z</dcterms:modified>
</cp:coreProperties>
</file>