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61" w:rsidRPr="00EB1331" w:rsidRDefault="00653B61" w:rsidP="00EB1331">
      <w:pPr>
        <w:pStyle w:val="berschrift1"/>
      </w:pPr>
      <w:bookmarkStart w:id="0" w:name="_Toc448723614"/>
      <w:bookmarkStart w:id="1" w:name="_Toc124318230"/>
      <w:r w:rsidRPr="00EB1331">
        <w:t>Verordnung zur Festsetzung von Unt</w:t>
      </w:r>
      <w:bookmarkStart w:id="2" w:name="_GoBack"/>
      <w:bookmarkEnd w:id="2"/>
      <w:r w:rsidRPr="00EB1331">
        <w:t>ersuchungsgebieten</w:t>
      </w:r>
      <w:r w:rsidRPr="00EB1331">
        <w:br/>
        <w:t>- Untersuchungsgebiets-Verordnung</w:t>
      </w:r>
      <w:bookmarkEnd w:id="1"/>
    </w:p>
    <w:p w:rsidR="00653B61" w:rsidRDefault="00653B61">
      <w:pPr>
        <w:pStyle w:val="GesAbsatz"/>
        <w:jc w:val="center"/>
      </w:pPr>
      <w:r>
        <w:t>vom 29. Juni 1993</w:t>
      </w:r>
      <w:bookmarkEnd w:id="0"/>
    </w:p>
    <w:p w:rsidR="00EB1331" w:rsidRPr="006521C4" w:rsidRDefault="00EB1331" w:rsidP="00EB1331">
      <w:pPr>
        <w:pStyle w:val="GesAbsatz"/>
        <w:rPr>
          <w:b/>
          <w:i/>
          <w:color w:val="FF0000"/>
          <w:sz w:val="22"/>
          <w:szCs w:val="22"/>
        </w:rPr>
      </w:pPr>
      <w:r w:rsidRPr="006521C4">
        <w:rPr>
          <w:b/>
          <w:i/>
          <w:color w:val="FF0000"/>
          <w:sz w:val="22"/>
          <w:szCs w:val="22"/>
        </w:rPr>
        <w:t>Aufgehoben durch Fristablauf</w:t>
      </w:r>
      <w:r>
        <w:rPr>
          <w:b/>
          <w:i/>
          <w:color w:val="FF0000"/>
          <w:sz w:val="22"/>
          <w:szCs w:val="22"/>
        </w:rPr>
        <w:t xml:space="preserve"> - gültig bis 31.12.2009</w:t>
      </w:r>
    </w:p>
    <w:p w:rsidR="00653B61" w:rsidRDefault="00653B61">
      <w:pPr>
        <w:pStyle w:val="GesAbsatz"/>
      </w:pPr>
      <w:hyperlink r:id="rId7" w:history="1">
        <w:r>
          <w:rPr>
            <w:rStyle w:val="Hyperlink"/>
          </w:rPr>
          <w:t>Link zur Vor</w:t>
        </w:r>
        <w:r>
          <w:rPr>
            <w:rStyle w:val="Hyperlink"/>
          </w:rPr>
          <w:t>s</w:t>
        </w:r>
        <w:r>
          <w:rPr>
            <w:rStyle w:val="Hyperlink"/>
          </w:rPr>
          <w:t>chrift im SGV</w:t>
        </w:r>
        <w:r w:rsidR="00021341">
          <w:rPr>
            <w:rStyle w:val="Hyperlink"/>
          </w:rPr>
          <w:t>. NRW.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7129:</w:t>
        </w:r>
      </w:hyperlink>
    </w:p>
    <w:p w:rsidR="00653B61" w:rsidRPr="00EB1331" w:rsidRDefault="00653B61" w:rsidP="00EB1331">
      <w:pPr>
        <w:pStyle w:val="GesAbsatz"/>
        <w:jc w:val="center"/>
        <w:rPr>
          <w:b/>
          <w:sz w:val="22"/>
        </w:rPr>
      </w:pPr>
      <w:r w:rsidRPr="00EB1331">
        <w:rPr>
          <w:b/>
          <w:sz w:val="22"/>
        </w:rPr>
        <w:t>Inhalt:</w:t>
      </w:r>
    </w:p>
    <w:p w:rsidR="00C57098" w:rsidRDefault="00C57098">
      <w:pPr>
        <w:pStyle w:val="Verzeichnis1"/>
        <w:tabs>
          <w:tab w:val="clear" w:pos="9638"/>
          <w:tab w:val="right" w:leader="dot" w:pos="9628"/>
        </w:tabs>
        <w:rPr>
          <w:b w:val="0"/>
          <w:bCs/>
          <w:caps w:val="0"/>
          <w:noProof/>
          <w:sz w:val="24"/>
          <w:szCs w:val="24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</w:instrText>
      </w:r>
      <w:r>
        <w:rPr>
          <w:b w:val="0"/>
          <w:caps w:val="0"/>
        </w:rPr>
        <w:fldChar w:fldCharType="separate"/>
      </w:r>
      <w:r>
        <w:rPr>
          <w:noProof/>
        </w:rPr>
        <w:t>Untersuchungs</w:t>
      </w:r>
      <w:r>
        <w:rPr>
          <w:noProof/>
        </w:rPr>
        <w:softHyphen/>
        <w:t>gebiets-Verordnung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_Toc124318230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1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 Untersuchungsgebiete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_Toc124318231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1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2 Abgrenzung der Untersuchungsgebiete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_Toc124318232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1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3 Untersuchungsumfang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_Toc124318233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1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4 Anlagen in Grenzlage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_Toc124318234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5 Untersuchungsgebiet Mittelrhein (MRH)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_Toc124318235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6 Untersuchungsgebiet Niederrhein (NRH)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_Toc124318236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7 Untersuchungsgebiet Westruhrgebiet (WRG)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_Toc124318237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8 Untersuchungsgebiet Mittelruhrgebiet (MRG)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_Toc124318238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9 Untersuchungsgebiet Ostruhrgebiet (ORG)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_Toc124318239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10 Übergangsregelung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_Toc124318240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2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11 (gegenstandslos; Aufhebungsvorschrift)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_Toc124318241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3</w:t>
      </w:r>
      <w:r>
        <w:rPr>
          <w:noProof/>
        </w:rPr>
        <w:fldChar w:fldCharType="end"/>
      </w:r>
    </w:p>
    <w:p w:rsidR="00C57098" w:rsidRDefault="00C5709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>
        <w:rPr>
          <w:noProof/>
        </w:rPr>
        <w:t>§ 12 In-Kraft-Treten, Außer-Kraft-Treten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_Toc124318242 \h </w:instrText>
      </w:r>
      <w:r w:rsidR="00FA7307">
        <w:rPr>
          <w:noProof/>
        </w:rPr>
      </w:r>
      <w:r>
        <w:rPr>
          <w:noProof/>
        </w:rPr>
        <w:fldChar w:fldCharType="separate"/>
      </w:r>
      <w:r w:rsidR="006521C4">
        <w:rPr>
          <w:noProof/>
        </w:rPr>
        <w:t>3</w:t>
      </w:r>
      <w:r>
        <w:rPr>
          <w:noProof/>
        </w:rPr>
        <w:fldChar w:fldCharType="end"/>
      </w:r>
    </w:p>
    <w:p w:rsidR="00653B61" w:rsidRPr="00EB1331" w:rsidRDefault="00C57098" w:rsidP="00EB1331">
      <w:pPr>
        <w:pStyle w:val="GesAbsatz"/>
      </w:pPr>
      <w:r>
        <w:rPr>
          <w:rFonts w:ascii="Times New Roman" w:hAnsi="Times New Roman"/>
          <w:b/>
          <w:caps/>
          <w:color w:val="auto"/>
        </w:rPr>
        <w:fldChar w:fldCharType="end"/>
      </w:r>
    </w:p>
    <w:p w:rsidR="00653B61" w:rsidRDefault="00653B61">
      <w:pPr>
        <w:pStyle w:val="GesAbsatz"/>
      </w:pPr>
      <w:r>
        <w:t>Auf Grund des § 44 Abs. 3 Satz 1 des Bundes-Immissionsschutzgesetzes in der Fassung vom 14. Mai 1990 (BGBl. I S. 880), zuletzt geändert durch Gesetz vom 22. April 1993 (BGBl. I S. 466), wird verordnet:</w:t>
      </w:r>
    </w:p>
    <w:p w:rsidR="00653B61" w:rsidRDefault="00653B61">
      <w:pPr>
        <w:pStyle w:val="berschrift3"/>
      </w:pPr>
      <w:bookmarkStart w:id="3" w:name="_Toc448723615"/>
      <w:bookmarkStart w:id="4" w:name="_Toc124318231"/>
      <w:r>
        <w:t>§ 1</w:t>
      </w:r>
      <w:r>
        <w:br/>
        <w:t>Untersuchungsgebiete</w:t>
      </w:r>
      <w:bookmarkEnd w:id="3"/>
      <w:bookmarkEnd w:id="4"/>
    </w:p>
    <w:p w:rsidR="00653B61" w:rsidRDefault="00653B61">
      <w:pPr>
        <w:pStyle w:val="GesAbsatz"/>
      </w:pPr>
      <w:r>
        <w:t>(1) Als Untersuchungsgebiete im Sinne des § 44 Abs. 2 des Bundes-Immissionsschutzgesetzes we</w:t>
      </w:r>
      <w:r>
        <w:t>r</w:t>
      </w:r>
      <w:r>
        <w:t>den die in den §§ 5 bis 9 beschriebenen Gebiete festgesetzt.</w:t>
      </w:r>
    </w:p>
    <w:p w:rsidR="00653B61" w:rsidRDefault="00653B61" w:rsidP="00EB1331">
      <w:r>
        <w:t>(2) Die nach Absatz 1 festgesetzten Untersuchungsgebiete sind in einer Übersichtskarte im Maßstab 1:500 000 dargestellt. Die Karte ist der Verordnung als Anlage beigefügt.</w:t>
      </w:r>
    </w:p>
    <w:p w:rsidR="00653B61" w:rsidRPr="002D051E" w:rsidRDefault="00653B61">
      <w:pPr>
        <w:pStyle w:val="GesAbsatz"/>
        <w:rPr>
          <w:i/>
          <w:color w:val="0000FF"/>
        </w:rPr>
      </w:pPr>
      <w:r w:rsidRPr="002D051E">
        <w:rPr>
          <w:i/>
          <w:color w:val="0000FF"/>
        </w:rPr>
        <w:t>Anl</w:t>
      </w:r>
      <w:r w:rsidR="006521C4">
        <w:rPr>
          <w:i/>
          <w:color w:val="0000FF"/>
        </w:rPr>
        <w:t>age wurde nicht in die VTU übernommen</w:t>
      </w:r>
    </w:p>
    <w:p w:rsidR="00653B61" w:rsidRDefault="00653B61">
      <w:pPr>
        <w:pStyle w:val="berschrift3"/>
      </w:pPr>
      <w:bookmarkStart w:id="5" w:name="_Toc448723616"/>
      <w:bookmarkStart w:id="6" w:name="_Toc124318232"/>
      <w:r>
        <w:t>§ 2</w:t>
      </w:r>
      <w:r>
        <w:br/>
        <w:t>Abgrenzung der Untersuchungsgebiete</w:t>
      </w:r>
      <w:bookmarkEnd w:id="5"/>
      <w:bookmarkEnd w:id="6"/>
    </w:p>
    <w:p w:rsidR="00653B61" w:rsidRDefault="00653B61" w:rsidP="00EB1331">
      <w:r>
        <w:t>(1) Die Untersuchungsgebiete sind an Gemeindegrenzen orientiert; sie umfassen Gemeindegebiete oder Bezirke einer Gemeinde.</w:t>
      </w:r>
    </w:p>
    <w:p w:rsidR="00653B61" w:rsidRDefault="00653B61" w:rsidP="00EB1331">
      <w:r>
        <w:t>(2) Innerhalb der Untersuchungsgebiete werden die für die Meßplanung erforderlichen Unterteilungen in Rasterflächen im Gauß-Krüger-Koordinatensystem vorgenommen. Durch Gemeinde- oder Bezirksgrenzen geschnittene Rasterflächen sind in die Untersuchungen voll einzubeziehen.</w:t>
      </w:r>
    </w:p>
    <w:p w:rsidR="00653B61" w:rsidRDefault="00653B61">
      <w:pPr>
        <w:pStyle w:val="berschrift3"/>
      </w:pPr>
      <w:bookmarkStart w:id="7" w:name="_Toc448723617"/>
      <w:bookmarkStart w:id="8" w:name="_Toc124318233"/>
      <w:r>
        <w:t>§ 3</w:t>
      </w:r>
      <w:r>
        <w:br/>
        <w:t>Untersuchungsumfang</w:t>
      </w:r>
      <w:bookmarkEnd w:id="7"/>
      <w:bookmarkEnd w:id="8"/>
    </w:p>
    <w:p w:rsidR="00653B61" w:rsidRDefault="00653B61">
      <w:pPr>
        <w:pStyle w:val="GesAbsatz"/>
      </w:pPr>
      <w:r>
        <w:t>(1) In den Untersuchungsgebieten oder in Teilen der Untersuchungsgebiete sollen neben den ubiquitären Luftverunreinigungen, die im Rahmen der staatlichen Immissionsüberwachung festgestellt werden, insb</w:t>
      </w:r>
      <w:r>
        <w:t>e</w:t>
      </w:r>
      <w:r>
        <w:t>sondere solche Luftverunreinigungen untersucht werden, die zwar mengenmäßig weniger in Erscheinung treten, aber ein hohes Wirkungspotential aufweisen und in den betroffenen Gebieten schädliche Umweltei</w:t>
      </w:r>
      <w:r>
        <w:t>n</w:t>
      </w:r>
      <w:r>
        <w:t>wirkungen hervorrufen können. Hierbei kommen insbesondere Stoffe aus folgenden, sich teilweise übe</w:t>
      </w:r>
      <w:r>
        <w:t>r</w:t>
      </w:r>
      <w:r>
        <w:t>schneidenden Stoffgruppen in Betracht:</w:t>
      </w:r>
    </w:p>
    <w:p w:rsidR="00653B61" w:rsidRPr="00EB1331" w:rsidRDefault="00653B61" w:rsidP="00EB1331">
      <w:pPr>
        <w:pStyle w:val="GesAbsatz"/>
      </w:pPr>
      <w:r w:rsidRPr="00EB1331">
        <w:t>-</w:t>
      </w:r>
      <w:r w:rsidRPr="00EB1331">
        <w:tab/>
        <w:t>kanzerogene Stoffe,</w:t>
      </w:r>
    </w:p>
    <w:p w:rsidR="00653B61" w:rsidRPr="00EB1331" w:rsidRDefault="00653B61" w:rsidP="00EB1331">
      <w:pPr>
        <w:pStyle w:val="GesAbsatz"/>
      </w:pPr>
      <w:r w:rsidRPr="00EB1331">
        <w:t>-</w:t>
      </w:r>
      <w:r w:rsidRPr="00EB1331">
        <w:tab/>
        <w:t>polycyclische aromatische und sonstige aromatische Kohlenwasserstoffe,</w:t>
      </w:r>
    </w:p>
    <w:p w:rsidR="00653B61" w:rsidRPr="00EB1331" w:rsidRDefault="00653B61" w:rsidP="00EB1331">
      <w:pPr>
        <w:pStyle w:val="GesAbsatz"/>
      </w:pPr>
      <w:r w:rsidRPr="00EB1331">
        <w:t>-</w:t>
      </w:r>
      <w:r w:rsidRPr="00EB1331">
        <w:tab/>
        <w:t>halogenierte Kohlenwasserstoffe,</w:t>
      </w:r>
    </w:p>
    <w:p w:rsidR="00653B61" w:rsidRPr="00EB1331" w:rsidRDefault="00653B61" w:rsidP="00EB1331">
      <w:pPr>
        <w:pStyle w:val="GesAbsatz"/>
      </w:pPr>
      <w:r w:rsidRPr="00EB1331">
        <w:t>-</w:t>
      </w:r>
      <w:r w:rsidRPr="00EB1331">
        <w:tab/>
        <w:t>toxische Stäube (Schwermetalle u. a.).</w:t>
      </w:r>
    </w:p>
    <w:p w:rsidR="00653B61" w:rsidRDefault="00653B61">
      <w:pPr>
        <w:pStyle w:val="GesAbsatz"/>
      </w:pPr>
      <w:r>
        <w:lastRenderedPageBreak/>
        <w:t>(2) Die Untersuchungen sollen sich, soweit erforderlich, auch auf humanmedizinische Wirkungserhebungen erstrecken. Soweit Immissions- oder Beurteilungswerte nicht festgelegt sind, sollen die Untersuchungen auch durch Luftverunreinigungen verursachte Schadstoffgehalte in Böden sowie in Nahrungs- und Futte</w:t>
      </w:r>
      <w:r>
        <w:t>r</w:t>
      </w:r>
      <w:r>
        <w:t>pflanzen erfassen.</w:t>
      </w:r>
    </w:p>
    <w:p w:rsidR="00653B61" w:rsidRDefault="00653B61" w:rsidP="00EB1331">
      <w:r>
        <w:t>(3) Die Untersuchungen werden in den verschiedenen Untersuchungsgebieten nacheinander durchgeführt. Sie dauern längstens 1 Jahr, sofern nicht kürzere Meßzeiträume eine sichere Aussage zu den Jahresken</w:t>
      </w:r>
      <w:r>
        <w:t>n</w:t>
      </w:r>
      <w:r>
        <w:t>größen der Immissionsbelastung zulassen.</w:t>
      </w:r>
    </w:p>
    <w:p w:rsidR="00653B61" w:rsidRDefault="00653B61" w:rsidP="00EB1331">
      <w:r>
        <w:t>(4) Grundsätzlich wird jedes Untersuchungsgebiet einmal untersucht. Eine Wiederholung der Messungen erfolgt nur, soweit dies der Zweck der Untersuchungsgebietsfestsetzung erfordert, insbesondere zusätzliche Grundlagen für Abhilfe- und Vorsorgemaßnahmen gewonnen werden müssen.</w:t>
      </w:r>
    </w:p>
    <w:p w:rsidR="00653B61" w:rsidRDefault="00653B61">
      <w:pPr>
        <w:pStyle w:val="berschrift3"/>
      </w:pPr>
      <w:bookmarkStart w:id="9" w:name="_Toc448723618"/>
      <w:bookmarkStart w:id="10" w:name="_Toc124318234"/>
      <w:r>
        <w:t>§ 4</w:t>
      </w:r>
      <w:r>
        <w:br/>
        <w:t>Anlagen in Grenzlage</w:t>
      </w:r>
      <w:bookmarkEnd w:id="9"/>
      <w:bookmarkEnd w:id="10"/>
    </w:p>
    <w:p w:rsidR="00653B61" w:rsidRDefault="00653B61" w:rsidP="00EB1331">
      <w:r>
        <w:t>(1) Liegt eine Anlage im Sinne des § 3 Abs. 5 des Bundes-Immissionsschutzgesetzes zu einem Teil in einem Untersuchungsgebiet, so gilt sie als ganz im Untersuchungsgebiet gelegen.</w:t>
      </w:r>
    </w:p>
    <w:p w:rsidR="00653B61" w:rsidRDefault="00653B61" w:rsidP="00EB1331">
      <w:r>
        <w:t>(2) Liegt eine Anlage im Sinne des § 3 Abs. 5 des Bundes-Immissionsschutzgesetzes in mehreren Unters</w:t>
      </w:r>
      <w:r>
        <w:t>u</w:t>
      </w:r>
      <w:r>
        <w:t>chungsgebieten, so gilt sie als in dem Untersuchungsgebiet gelegen, in dem sich der flächenmäßig überwi</w:t>
      </w:r>
      <w:r>
        <w:t>e</w:t>
      </w:r>
      <w:r>
        <w:t>gende Teil der Anlage befindet.</w:t>
      </w:r>
    </w:p>
    <w:p w:rsidR="00653B61" w:rsidRDefault="00653B61" w:rsidP="00EB1331">
      <w:r>
        <w:t>§ 2 Abs. 2 Satz 2 bleibt unberührt.</w:t>
      </w:r>
    </w:p>
    <w:p w:rsidR="00653B61" w:rsidRDefault="00653B61">
      <w:pPr>
        <w:pStyle w:val="berschrift3"/>
      </w:pPr>
      <w:bookmarkStart w:id="11" w:name="_Toc448723619"/>
      <w:bookmarkStart w:id="12" w:name="_Toc124318235"/>
      <w:r>
        <w:t>§ 5</w:t>
      </w:r>
      <w:r>
        <w:br/>
        <w:t>Untersuchungsgebiet Mittelrhein (MRH)</w:t>
      </w:r>
      <w:bookmarkEnd w:id="11"/>
      <w:bookmarkEnd w:id="12"/>
    </w:p>
    <w:p w:rsidR="00653B61" w:rsidRDefault="00653B61" w:rsidP="00EB1331">
      <w:pPr>
        <w:pStyle w:val="GesAbsatz"/>
      </w:pPr>
      <w:r>
        <w:t>Das Untersuchungsgebiet Mittelrhein umfaßt die Städte Köln, Dormagen, Leverkusen, Hürth und Wess</w:t>
      </w:r>
      <w:r>
        <w:t>e</w:t>
      </w:r>
      <w:r>
        <w:t>ling.</w:t>
      </w:r>
    </w:p>
    <w:p w:rsidR="00653B61" w:rsidRDefault="00653B61">
      <w:pPr>
        <w:pStyle w:val="berschrift3"/>
      </w:pPr>
      <w:bookmarkStart w:id="13" w:name="_Toc448723620"/>
      <w:bookmarkStart w:id="14" w:name="_Toc124318236"/>
      <w:r>
        <w:t>§ 6</w:t>
      </w:r>
      <w:r>
        <w:br/>
        <w:t>Untersuchungsgebiet Niederrhein (NRH)</w:t>
      </w:r>
      <w:bookmarkEnd w:id="13"/>
      <w:bookmarkEnd w:id="14"/>
    </w:p>
    <w:p w:rsidR="00653B61" w:rsidRDefault="00653B61" w:rsidP="00EB1331">
      <w:r>
        <w:t>Das Untersuchungsgebiet Niederrhein umfaßt die gesamte Stadt Duisburg, aus der Stadt Krefeld die Stad</w:t>
      </w:r>
      <w:r>
        <w:t>t</w:t>
      </w:r>
      <w:r>
        <w:t>teile -Stadtmitte, -</w:t>
      </w:r>
      <w:proofErr w:type="spellStart"/>
      <w:r>
        <w:t>Bockum</w:t>
      </w:r>
      <w:proofErr w:type="spellEnd"/>
      <w:r>
        <w:t>, -</w:t>
      </w:r>
      <w:proofErr w:type="spellStart"/>
      <w:r>
        <w:t>Cracau</w:t>
      </w:r>
      <w:proofErr w:type="spellEnd"/>
      <w:r>
        <w:t>, -</w:t>
      </w:r>
      <w:proofErr w:type="spellStart"/>
      <w:r>
        <w:t>Dießem</w:t>
      </w:r>
      <w:proofErr w:type="spellEnd"/>
      <w:r>
        <w:t>/</w:t>
      </w:r>
      <w:proofErr w:type="spellStart"/>
      <w:r>
        <w:t>Lehmheide</w:t>
      </w:r>
      <w:proofErr w:type="spellEnd"/>
      <w:r>
        <w:t>, -</w:t>
      </w:r>
      <w:proofErr w:type="spellStart"/>
      <w:r>
        <w:t>Fischeln</w:t>
      </w:r>
      <w:proofErr w:type="spellEnd"/>
      <w:r>
        <w:t xml:space="preserve"> (Unterbezirk Stahldorf), -Linn, </w:t>
      </w:r>
      <w:r>
        <w:noBreakHyphen/>
      </w:r>
      <w:proofErr w:type="spellStart"/>
      <w:r>
        <w:t>Oppum</w:t>
      </w:r>
      <w:proofErr w:type="spellEnd"/>
      <w:r>
        <w:t xml:space="preserve"> (Unterbezirk </w:t>
      </w:r>
      <w:proofErr w:type="spellStart"/>
      <w:r>
        <w:t>Oppum</w:t>
      </w:r>
      <w:proofErr w:type="spellEnd"/>
      <w:r>
        <w:t xml:space="preserve">) und -Uerdingen sowie aus der Stadt Dinslaken die Stadtteile -Stadtmitte und </w:t>
      </w:r>
      <w:r>
        <w:noBreakHyphen/>
      </w:r>
      <w:proofErr w:type="spellStart"/>
      <w:r>
        <w:t>Hiesfeld</w:t>
      </w:r>
      <w:proofErr w:type="spellEnd"/>
      <w:r>
        <w:t>.</w:t>
      </w:r>
    </w:p>
    <w:p w:rsidR="00653B61" w:rsidRDefault="00653B61">
      <w:pPr>
        <w:pStyle w:val="berschrift3"/>
      </w:pPr>
      <w:bookmarkStart w:id="15" w:name="_Toc448723621"/>
      <w:bookmarkStart w:id="16" w:name="_Toc124318237"/>
      <w:r>
        <w:t>§ 7</w:t>
      </w:r>
      <w:r>
        <w:br/>
        <w:t>Untersuchungsgebiet Westruhrgebiet (WRG)</w:t>
      </w:r>
      <w:bookmarkEnd w:id="15"/>
      <w:bookmarkEnd w:id="16"/>
    </w:p>
    <w:p w:rsidR="00653B61" w:rsidRDefault="00653B61" w:rsidP="00EB1331">
      <w:r>
        <w:t>Das Untersuchungsgebiet Westruhrgebiet umfaßt die Städte Oberhausen, Bottrop, Gladbeck und aus der Stadt Mülheim/Ruhr die Stadtteile -Styrum und -</w:t>
      </w:r>
      <w:proofErr w:type="spellStart"/>
      <w:r>
        <w:t>Speldorf</w:t>
      </w:r>
      <w:proofErr w:type="spellEnd"/>
      <w:r>
        <w:t>.</w:t>
      </w:r>
    </w:p>
    <w:p w:rsidR="00653B61" w:rsidRDefault="00653B61">
      <w:pPr>
        <w:pStyle w:val="berschrift3"/>
      </w:pPr>
      <w:bookmarkStart w:id="17" w:name="_Toc448723622"/>
      <w:bookmarkStart w:id="18" w:name="_Toc124318238"/>
      <w:r>
        <w:t>§ 8</w:t>
      </w:r>
      <w:r>
        <w:br/>
        <w:t>Untersuchungsgebiet Mittelruhrgebiet (MRG)</w:t>
      </w:r>
      <w:bookmarkEnd w:id="17"/>
      <w:bookmarkEnd w:id="18"/>
    </w:p>
    <w:p w:rsidR="00653B61" w:rsidRDefault="00653B61" w:rsidP="00EB1331">
      <w:r>
        <w:t xml:space="preserve">Das Untersuchungsgebiet Mittelruhrgebiet umfaßt die Städte Gelsenkirchen, Marl, Herten und aus der Stadt Essen die Stadtteile -Altenessen Süd, -Altenessen Nord, -Bedingrade, -Bergeborbeck, -Borbeck Mitte, </w:t>
      </w:r>
      <w:r>
        <w:noBreakHyphen/>
      </w:r>
      <w:proofErr w:type="spellStart"/>
      <w:r>
        <w:t>Dellwig</w:t>
      </w:r>
      <w:proofErr w:type="spellEnd"/>
      <w:r>
        <w:t>, -</w:t>
      </w:r>
      <w:proofErr w:type="spellStart"/>
      <w:r>
        <w:t>Frintrop</w:t>
      </w:r>
      <w:proofErr w:type="spellEnd"/>
      <w:r>
        <w:t>, -</w:t>
      </w:r>
      <w:proofErr w:type="spellStart"/>
      <w:r>
        <w:t>Gerschede</w:t>
      </w:r>
      <w:proofErr w:type="spellEnd"/>
      <w:r>
        <w:t>, -</w:t>
      </w:r>
      <w:proofErr w:type="spellStart"/>
      <w:r>
        <w:t>Karnap</w:t>
      </w:r>
      <w:proofErr w:type="spellEnd"/>
      <w:r>
        <w:t>, -</w:t>
      </w:r>
      <w:proofErr w:type="spellStart"/>
      <w:r>
        <w:t>Katernberg</w:t>
      </w:r>
      <w:proofErr w:type="spellEnd"/>
      <w:r>
        <w:t>, -</w:t>
      </w:r>
      <w:proofErr w:type="spellStart"/>
      <w:r>
        <w:t>Stoppenberg</w:t>
      </w:r>
      <w:proofErr w:type="spellEnd"/>
      <w:r>
        <w:t xml:space="preserve"> und -Vogelheim.</w:t>
      </w:r>
    </w:p>
    <w:p w:rsidR="00653B61" w:rsidRDefault="00653B61">
      <w:pPr>
        <w:pStyle w:val="berschrift3"/>
      </w:pPr>
      <w:bookmarkStart w:id="19" w:name="_Toc448723623"/>
      <w:bookmarkStart w:id="20" w:name="_Toc124318239"/>
      <w:r>
        <w:t>§ 9</w:t>
      </w:r>
      <w:r>
        <w:br/>
        <w:t>Untersuchungsgebiet Ostruhrgebiet (ORG)</w:t>
      </w:r>
      <w:bookmarkEnd w:id="19"/>
      <w:bookmarkEnd w:id="20"/>
    </w:p>
    <w:p w:rsidR="00653B61" w:rsidRDefault="00653B61" w:rsidP="00EB1331">
      <w:r>
        <w:t>Das Untersuchungsgebiet Ostruhrgebiet umfaßt die Städte Castrop-Rauxel, Waltrop, Lünen und aus der Stadt Dortmund die Stadtteile -</w:t>
      </w:r>
      <w:proofErr w:type="spellStart"/>
      <w:r>
        <w:t>Eving</w:t>
      </w:r>
      <w:proofErr w:type="spellEnd"/>
      <w:r>
        <w:t>, -Hörde (Bezirk Hörde), -</w:t>
      </w:r>
      <w:proofErr w:type="spellStart"/>
      <w:r>
        <w:t>Huckarde</w:t>
      </w:r>
      <w:proofErr w:type="spellEnd"/>
      <w:r>
        <w:t xml:space="preserve">, -Innenstadt (Nord und West), </w:t>
      </w:r>
      <w:r>
        <w:noBreakHyphen/>
        <w:t>Innenstadt Ost (Bezirk Ruhrallee), -</w:t>
      </w:r>
      <w:proofErr w:type="spellStart"/>
      <w:r>
        <w:t>Mengede</w:t>
      </w:r>
      <w:proofErr w:type="spellEnd"/>
      <w:r>
        <w:t xml:space="preserve"> und -Scharnhorst (Bezirk Derne, </w:t>
      </w:r>
      <w:proofErr w:type="spellStart"/>
      <w:r>
        <w:t>Hostedde</w:t>
      </w:r>
      <w:proofErr w:type="spellEnd"/>
      <w:r>
        <w:t xml:space="preserve">, </w:t>
      </w:r>
      <w:proofErr w:type="spellStart"/>
      <w:r>
        <w:t>Kirchderne</w:t>
      </w:r>
      <w:proofErr w:type="spellEnd"/>
      <w:r>
        <w:t>, Scharnhorst Alt und Scharnhorst Ost).</w:t>
      </w:r>
    </w:p>
    <w:p w:rsidR="00653B61" w:rsidRDefault="00653B61">
      <w:pPr>
        <w:pStyle w:val="berschrift3"/>
      </w:pPr>
      <w:bookmarkStart w:id="21" w:name="_Toc448723624"/>
      <w:bookmarkStart w:id="22" w:name="_Toc124318240"/>
      <w:r>
        <w:t>§ 10</w:t>
      </w:r>
      <w:r>
        <w:br/>
        <w:t>Übergangsregelung</w:t>
      </w:r>
      <w:bookmarkEnd w:id="21"/>
      <w:bookmarkEnd w:id="22"/>
    </w:p>
    <w:p w:rsidR="00653B61" w:rsidRDefault="00653B61" w:rsidP="00EB1331">
      <w:r>
        <w:t>Die nach der Verordnung zur Festsetzung von Belastungsgebieten (Belastungsgebiets-Verordnung) vom 18. November 1975 (GV. N</w:t>
      </w:r>
      <w:r w:rsidR="0015714C">
        <w:t>R</w:t>
      </w:r>
      <w:r>
        <w:t>W. S. 645) festgesetzten Belastungsgebiete Ruhrgebiet West, Ruhrgebiet Mitte und Ruhrgebiet Ost bleiben so lange als Untersuchungsgebiete erhalten, bis die laufenden Erhebungen abg</w:t>
      </w:r>
      <w:r>
        <w:t>e</w:t>
      </w:r>
      <w:r>
        <w:t xml:space="preserve">schlossen und ausgewertet sind. Die Darstellung der festgestellten Luftverunreinigungen kann auf die </w:t>
      </w:r>
      <w:r>
        <w:lastRenderedPageBreak/>
        <w:t>nach dieser Verordnung als Untersuchungsgebiete verbleibenden Teile der Belastungsgebiete beschränkt we</w:t>
      </w:r>
      <w:r>
        <w:t>r</w:t>
      </w:r>
      <w:r>
        <w:t>den.</w:t>
      </w:r>
    </w:p>
    <w:p w:rsidR="00653B61" w:rsidRDefault="00653B61" w:rsidP="0015714C">
      <w:pPr>
        <w:pStyle w:val="berschrift3"/>
      </w:pPr>
      <w:bookmarkStart w:id="23" w:name="_Toc448723625"/>
      <w:bookmarkStart w:id="24" w:name="_Toc124318241"/>
      <w:r>
        <w:t>§ 11</w:t>
      </w:r>
      <w:r w:rsidR="0015714C">
        <w:br/>
      </w:r>
      <w:r>
        <w:t>(gegenstandslos; Aufhebungsvorschrift)</w:t>
      </w:r>
      <w:bookmarkEnd w:id="23"/>
      <w:bookmarkEnd w:id="24"/>
    </w:p>
    <w:p w:rsidR="00653B61" w:rsidRDefault="00653B61">
      <w:pPr>
        <w:pStyle w:val="berschrift3"/>
      </w:pPr>
      <w:bookmarkStart w:id="25" w:name="_Toc448723626"/>
      <w:bookmarkStart w:id="26" w:name="_Toc124318242"/>
      <w:r>
        <w:t>§ 12</w:t>
      </w:r>
      <w:r>
        <w:br/>
      </w:r>
      <w:bookmarkEnd w:id="25"/>
      <w:r>
        <w:t>In-Kraft-Treten, Außer-Kraft-Treten</w:t>
      </w:r>
      <w:bookmarkEnd w:id="26"/>
    </w:p>
    <w:p w:rsidR="00653B61" w:rsidRDefault="00653B61">
      <w:pPr>
        <w:pStyle w:val="GesAbsatz"/>
      </w:pPr>
      <w:r>
        <w:t>Die Verordnung tritt am Tage nach der Verkündung in Kraft. Sie tritt mit Ablauf des 31. Dezember 2009 a</w:t>
      </w:r>
      <w:r>
        <w:t>u</w:t>
      </w:r>
      <w:r>
        <w:t>ßer Kraft.</w:t>
      </w:r>
    </w:p>
    <w:p w:rsid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Pr="00FA62EC" w:rsidRDefault="00FA62EC" w:rsidP="00EB1331">
      <w:pPr>
        <w:pStyle w:val="GesAbsatz"/>
      </w:pPr>
    </w:p>
    <w:p w:rsidR="00FA62EC" w:rsidRDefault="00FA62EC" w:rsidP="00EB1331">
      <w:pPr>
        <w:pStyle w:val="GesAbsatz"/>
      </w:pPr>
    </w:p>
    <w:p w:rsidR="00FA62EC" w:rsidRDefault="00FA62EC" w:rsidP="00EB1331">
      <w:pPr>
        <w:pStyle w:val="GesAbsatz"/>
      </w:pPr>
    </w:p>
    <w:p w:rsidR="00653B61" w:rsidRPr="00FA62EC" w:rsidRDefault="00FA62EC" w:rsidP="00EB1331">
      <w:pPr>
        <w:pStyle w:val="GesAbsatz"/>
      </w:pPr>
      <w:r>
        <w:t xml:space="preserve">Suchworte:   </w:t>
      </w:r>
      <w:r w:rsidRPr="00FA62EC">
        <w:t>Untersuchungsgebiet</w:t>
      </w:r>
      <w:r>
        <w:t>-</w:t>
      </w:r>
      <w:r w:rsidRPr="00FA62EC">
        <w:t>Verordnung</w:t>
      </w:r>
      <w:r>
        <w:t xml:space="preserve">   </w:t>
      </w:r>
    </w:p>
    <w:sectPr w:rsidR="00653B61" w:rsidRPr="00FA62EC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D3" w:rsidRDefault="00C209D3">
      <w:r>
        <w:separator/>
      </w:r>
    </w:p>
  </w:endnote>
  <w:endnote w:type="continuationSeparator" w:id="0">
    <w:p w:rsidR="00C209D3" w:rsidRDefault="00C2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C4" w:rsidRDefault="006521C4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21C4" w:rsidRDefault="006521C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C4" w:rsidRPr="00EB1331" w:rsidRDefault="006521C4" w:rsidP="00EB1331">
    <w:pPr>
      <w:pStyle w:val="Fuzeile"/>
    </w:pPr>
    <w:r>
      <w:tab/>
    </w:r>
    <w:r w:rsidRPr="00EB1331">
      <w:t>29.06.1993 (GV. NRW S. 498 / SGV. NRW</w:t>
    </w:r>
    <w:r w:rsidR="00EB1331" w:rsidRPr="00EB1331">
      <w:t>.</w:t>
    </w:r>
    <w:r w:rsidRPr="00EB1331">
      <w:t xml:space="preserve"> 7129)</w:t>
    </w:r>
    <w:r w:rsidRPr="00EB1331">
      <w:tab/>
      <w:t xml:space="preserve">Seite </w:t>
    </w:r>
    <w:r w:rsidRPr="00EB1331">
      <w:fldChar w:fldCharType="begin"/>
    </w:r>
    <w:r w:rsidRPr="00EB1331">
      <w:instrText xml:space="preserve"> PAGE  \* MERGEFORMAT </w:instrText>
    </w:r>
    <w:r w:rsidRPr="00EB1331">
      <w:fldChar w:fldCharType="separate"/>
    </w:r>
    <w:r w:rsidR="00EB1331">
      <w:rPr>
        <w:noProof/>
      </w:rPr>
      <w:t>1</w:t>
    </w:r>
    <w:r w:rsidRPr="00EB1331">
      <w:fldChar w:fldCharType="end"/>
    </w:r>
  </w:p>
  <w:p w:rsidR="006521C4" w:rsidRPr="00EB1331" w:rsidRDefault="006521C4" w:rsidP="00EB1331">
    <w:pPr>
      <w:pStyle w:val="Fuzeile"/>
    </w:pPr>
    <w:r w:rsidRPr="00EB1331">
      <w:tab/>
      <w:t>Stand 05.04.2005 (GV. NRW. S. 306)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D3" w:rsidRDefault="00C209D3">
      <w:r>
        <w:separator/>
      </w:r>
    </w:p>
  </w:footnote>
  <w:footnote w:type="continuationSeparator" w:id="0">
    <w:p w:rsidR="00C209D3" w:rsidRDefault="00C2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C4" w:rsidRDefault="006521C4" w:rsidP="00EB1331">
    <w:pPr>
      <w:pStyle w:val="Kopfzeile0"/>
    </w:pPr>
    <w:r>
      <w:t>Archiv6.56</w:t>
    </w:r>
  </w:p>
  <w:p w:rsidR="00EB1331" w:rsidRPr="00EB1331" w:rsidRDefault="00EB1331" w:rsidP="00EB13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1E"/>
    <w:rsid w:val="00021341"/>
    <w:rsid w:val="0015714C"/>
    <w:rsid w:val="00182CC6"/>
    <w:rsid w:val="002B3E69"/>
    <w:rsid w:val="002D051E"/>
    <w:rsid w:val="00357904"/>
    <w:rsid w:val="0047622F"/>
    <w:rsid w:val="00504B33"/>
    <w:rsid w:val="005170B5"/>
    <w:rsid w:val="005C02D9"/>
    <w:rsid w:val="006521C4"/>
    <w:rsid w:val="00653B61"/>
    <w:rsid w:val="00C209D3"/>
    <w:rsid w:val="00C57098"/>
    <w:rsid w:val="00EB1331"/>
    <w:rsid w:val="00F9261E"/>
    <w:rsid w:val="00FA62EC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133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133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133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133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133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EB133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EB133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B1331"/>
  </w:style>
  <w:style w:type="paragraph" w:styleId="Kopfzeile">
    <w:name w:val="header"/>
    <w:basedOn w:val="Standard"/>
    <w:qFormat/>
    <w:rsid w:val="00EB133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133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1331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EB1331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1331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EB1331"/>
    <w:rPr>
      <w:color w:val="0000FF"/>
      <w:u w:val="single"/>
    </w:rPr>
  </w:style>
  <w:style w:type="paragraph" w:styleId="Verzeichnis5">
    <w:name w:val="toc 5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sid w:val="00EB1331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EB1331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EB1331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EB133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1331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1331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1331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1331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1331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EB1331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EB1331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B1331"/>
  </w:style>
  <w:style w:type="paragraph" w:styleId="Kopfzeile">
    <w:name w:val="header"/>
    <w:basedOn w:val="Standard"/>
    <w:qFormat/>
    <w:rsid w:val="00EB1331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133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1331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EB1331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1331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EB1331"/>
    <w:rPr>
      <w:color w:val="0000FF"/>
      <w:u w:val="single"/>
    </w:rPr>
  </w:style>
  <w:style w:type="paragraph" w:styleId="Verzeichnis5">
    <w:name w:val="toc 5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1331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sid w:val="00EB1331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EB1331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EB1331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EB13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v.recht.nrw.de/lmi/owa/br_bes_text?anw_nr=2&amp;gld_nr=7&amp;ugl_nr=7129&amp;bes_id=3621&amp;aufgehoben=J&amp;menu=1&amp;sg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739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Untersuchungsgebietsverordnung</vt:lpstr>
    </vt:vector>
  </TitlesOfParts>
  <Company>LANUV NRW</Company>
  <LinksUpToDate>false</LinksUpToDate>
  <CharactersWithSpaces>6532</CharactersWithSpaces>
  <SharedDoc>false</SharedDoc>
  <HLinks>
    <vt:vector size="6" baseType="variant"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https://lv.recht.nrw.de/lmi/owa/br_bes_text?anw_nr=2&amp;gld_nr=7&amp;ugl_nr=7129&amp;bes_id=3621&amp;aufgehoben=J&amp;menu=1&amp;sg=0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Untersuchungsgebietsverordnung</dc:title>
  <dc:creator>LANUV NRW</dc:creator>
  <dc:description>durchgesehen 1.2006</dc:description>
  <cp:lastModifiedBy>rueter</cp:lastModifiedBy>
  <cp:revision>2</cp:revision>
  <cp:lastPrinted>8909-06-25T01:07:42Z</cp:lastPrinted>
  <dcterms:created xsi:type="dcterms:W3CDTF">2015-03-24T10:49:00Z</dcterms:created>
  <dcterms:modified xsi:type="dcterms:W3CDTF">2015-03-24T10:49:00Z</dcterms:modified>
</cp:coreProperties>
</file>