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49" w:rsidRDefault="00046349" w:rsidP="00046349">
      <w:pPr>
        <w:pStyle w:val="berschrift1"/>
      </w:pPr>
      <w:bookmarkStart w:id="0" w:name="_Toc462130235"/>
      <w:r>
        <w:t>Zehnte Verordnung</w:t>
      </w:r>
      <w:r>
        <w:br/>
        <w:t>zur Durchführung des Bundes-Immissionsschutzgesetzes</w:t>
      </w:r>
      <w:r>
        <w:br/>
        <w:t>- Verordnung über die Bescha</w:t>
      </w:r>
      <w:bookmarkStart w:id="1" w:name="_GoBack"/>
      <w:bookmarkEnd w:id="1"/>
      <w:r>
        <w:t>ffenheit und die Auszeichnung</w:t>
      </w:r>
      <w:r>
        <w:br/>
        <w:t>der Qualit</w:t>
      </w:r>
      <w:r>
        <w:t>ä</w:t>
      </w:r>
      <w:r>
        <w:t xml:space="preserve">ten von Kraftstoffen </w:t>
      </w:r>
      <w:r w:rsidR="00EB37C1">
        <w:t>-</w:t>
      </w:r>
      <w:r>
        <w:t xml:space="preserve"> 10. BImSchV </w:t>
      </w:r>
      <w:r w:rsidRPr="00CB10C2">
        <w:rPr>
          <w:vertAlign w:val="superscript"/>
        </w:rPr>
        <w:t>-</w:t>
      </w:r>
      <w:r w:rsidRPr="00CB10C2">
        <w:rPr>
          <w:vertAlign w:val="superscript"/>
        </w:rPr>
        <w:footnoteReference w:id="1"/>
      </w:r>
      <w:r w:rsidRPr="00CB10C2">
        <w:rPr>
          <w:vertAlign w:val="superscript"/>
        </w:rPr>
        <w:footnoteReference w:id="2"/>
      </w:r>
      <w:bookmarkEnd w:id="0"/>
    </w:p>
    <w:p w:rsidR="00046349" w:rsidRPr="00CB10C2" w:rsidRDefault="00046349" w:rsidP="00CB10C2">
      <w:pPr>
        <w:pStyle w:val="GesAbsatz"/>
        <w:jc w:val="center"/>
      </w:pPr>
      <w:r w:rsidRPr="00CB10C2">
        <w:t>vom 27. Januar 2009</w:t>
      </w:r>
    </w:p>
    <w:p w:rsidR="00257928" w:rsidRPr="001E4FA4" w:rsidRDefault="00257928" w:rsidP="00257928">
      <w:pPr>
        <w:pStyle w:val="GesAbsatz"/>
        <w:rPr>
          <w:b/>
          <w:i/>
          <w:snapToGrid w:val="0"/>
          <w:color w:val="FF0000"/>
          <w:sz w:val="22"/>
          <w:szCs w:val="22"/>
        </w:rPr>
      </w:pPr>
      <w:r w:rsidRPr="001E4FA4">
        <w:rPr>
          <w:b/>
          <w:i/>
          <w:snapToGrid w:val="0"/>
          <w:color w:val="FF0000"/>
          <w:sz w:val="22"/>
          <w:szCs w:val="22"/>
        </w:rPr>
        <w:t>Gültig bis 13.12.2010</w:t>
      </w:r>
      <w:r w:rsidR="00B231F6">
        <w:rPr>
          <w:b/>
          <w:i/>
          <w:snapToGrid w:val="0"/>
          <w:color w:val="FF0000"/>
          <w:sz w:val="22"/>
          <w:szCs w:val="22"/>
        </w:rPr>
        <w:t xml:space="preserve"> - aufgehoben durch 10. BImSchV vom 8.12.2010</w:t>
      </w:r>
    </w:p>
    <w:p w:rsidR="00046349" w:rsidRDefault="00021151" w:rsidP="00046349">
      <w:pPr>
        <w:pStyle w:val="GesAbsatz"/>
        <w:rPr>
          <w:i/>
          <w:color w:val="0000FF"/>
        </w:rPr>
      </w:pPr>
      <w:r w:rsidRPr="00CD251D">
        <w:rPr>
          <w:i/>
          <w:color w:val="0000FF"/>
        </w:rPr>
        <w:t xml:space="preserve">Die Verordnung </w:t>
      </w:r>
      <w:r w:rsidR="00CD251D">
        <w:rPr>
          <w:i/>
          <w:color w:val="0000FF"/>
        </w:rPr>
        <w:t>ist</w:t>
      </w:r>
      <w:r w:rsidRPr="00CD251D">
        <w:rPr>
          <w:i/>
          <w:color w:val="0000FF"/>
        </w:rPr>
        <w:t xml:space="preserve"> am 31.01.2009 in Kraft</w:t>
      </w:r>
      <w:r w:rsidR="00CD251D">
        <w:rPr>
          <w:i/>
          <w:color w:val="0000FF"/>
        </w:rPr>
        <w:t xml:space="preserve"> getreten</w:t>
      </w:r>
      <w:r w:rsidRPr="00CD251D">
        <w:rPr>
          <w:i/>
          <w:color w:val="0000FF"/>
        </w:rPr>
        <w:t>.</w:t>
      </w:r>
    </w:p>
    <w:p w:rsidR="00EB37C1" w:rsidRPr="00EB37C1" w:rsidRDefault="00EB37C1" w:rsidP="00EB37C1">
      <w:pPr>
        <w:pStyle w:val="GesAbsatz"/>
      </w:pPr>
    </w:p>
    <w:p w:rsidR="00CB10C2" w:rsidRDefault="00046349" w:rsidP="00046349">
      <w:pPr>
        <w:pStyle w:val="GesAbsatz"/>
        <w:jc w:val="center"/>
        <w:rPr>
          <w:b/>
          <w:sz w:val="22"/>
        </w:rPr>
      </w:pPr>
      <w:r>
        <w:rPr>
          <w:b/>
          <w:sz w:val="22"/>
        </w:rPr>
        <w:t>Inhalt:</w:t>
      </w:r>
    </w:p>
    <w:p w:rsidR="00CB10C2" w:rsidRDefault="00CB10C2">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62130235" w:history="1">
        <w:r w:rsidRPr="00230288">
          <w:rPr>
            <w:rStyle w:val="Hyperlink"/>
            <w:noProof/>
          </w:rPr>
          <w:t xml:space="preserve">Verordnung über die Beschaffenheit und die Auszeichnung der Qualitäten von Kraftstoffen - 10. BImSchV </w:t>
        </w:r>
        <w:r w:rsidRPr="00230288">
          <w:rPr>
            <w:rStyle w:val="Hyperlink"/>
            <w:noProof/>
            <w:vertAlign w:val="superscript"/>
          </w:rPr>
          <w:t>-</w:t>
        </w:r>
        <w:r>
          <w:rPr>
            <w:noProof/>
            <w:webHidden/>
          </w:rPr>
          <w:tab/>
        </w:r>
        <w:r>
          <w:rPr>
            <w:noProof/>
            <w:webHidden/>
          </w:rPr>
          <w:fldChar w:fldCharType="begin"/>
        </w:r>
        <w:r>
          <w:rPr>
            <w:noProof/>
            <w:webHidden/>
          </w:rPr>
          <w:instrText xml:space="preserve"> PAGEREF _Toc462130235 \h </w:instrText>
        </w:r>
        <w:r>
          <w:rPr>
            <w:noProof/>
            <w:webHidden/>
          </w:rPr>
        </w:r>
        <w:r>
          <w:rPr>
            <w:noProof/>
            <w:webHidden/>
          </w:rPr>
          <w:fldChar w:fldCharType="separate"/>
        </w:r>
        <w:r>
          <w:rPr>
            <w:noProof/>
            <w:webHidden/>
          </w:rPr>
          <w:t>1</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36" w:history="1">
        <w:r w:rsidRPr="00230288">
          <w:rPr>
            <w:rStyle w:val="Hyperlink"/>
            <w:noProof/>
          </w:rPr>
          <w:t>§ 1 Beschaffenheit von Ottokraftstoffen</w:t>
        </w:r>
        <w:r>
          <w:rPr>
            <w:noProof/>
            <w:webHidden/>
          </w:rPr>
          <w:tab/>
        </w:r>
        <w:r>
          <w:rPr>
            <w:noProof/>
            <w:webHidden/>
          </w:rPr>
          <w:fldChar w:fldCharType="begin"/>
        </w:r>
        <w:r>
          <w:rPr>
            <w:noProof/>
            <w:webHidden/>
          </w:rPr>
          <w:instrText xml:space="preserve"> PAGEREF _Toc462130236 \h </w:instrText>
        </w:r>
        <w:r>
          <w:rPr>
            <w:noProof/>
            <w:webHidden/>
          </w:rPr>
        </w:r>
        <w:r>
          <w:rPr>
            <w:noProof/>
            <w:webHidden/>
          </w:rPr>
          <w:fldChar w:fldCharType="separate"/>
        </w:r>
        <w:r>
          <w:rPr>
            <w:noProof/>
            <w:webHidden/>
          </w:rPr>
          <w:t>2</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37" w:history="1">
        <w:r w:rsidRPr="00230288">
          <w:rPr>
            <w:rStyle w:val="Hyperlink"/>
            <w:noProof/>
          </w:rPr>
          <w:t>§ 2 Beschaffenheit von Dieselkraftstoff</w:t>
        </w:r>
        <w:r>
          <w:rPr>
            <w:noProof/>
            <w:webHidden/>
          </w:rPr>
          <w:tab/>
        </w:r>
        <w:r>
          <w:rPr>
            <w:noProof/>
            <w:webHidden/>
          </w:rPr>
          <w:fldChar w:fldCharType="begin"/>
        </w:r>
        <w:r>
          <w:rPr>
            <w:noProof/>
            <w:webHidden/>
          </w:rPr>
          <w:instrText xml:space="preserve"> PAGEREF _Toc462130237 \h </w:instrText>
        </w:r>
        <w:r>
          <w:rPr>
            <w:noProof/>
            <w:webHidden/>
          </w:rPr>
        </w:r>
        <w:r>
          <w:rPr>
            <w:noProof/>
            <w:webHidden/>
          </w:rPr>
          <w:fldChar w:fldCharType="separate"/>
        </w:r>
        <w:r>
          <w:rPr>
            <w:noProof/>
            <w:webHidden/>
          </w:rPr>
          <w:t>2</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38" w:history="1">
        <w:r w:rsidRPr="00230288">
          <w:rPr>
            <w:rStyle w:val="Hyperlink"/>
            <w:noProof/>
          </w:rPr>
          <w:t>§ 3 Beschaffenheit von Biodiesel</w:t>
        </w:r>
        <w:r>
          <w:rPr>
            <w:noProof/>
            <w:webHidden/>
          </w:rPr>
          <w:tab/>
        </w:r>
        <w:r>
          <w:rPr>
            <w:noProof/>
            <w:webHidden/>
          </w:rPr>
          <w:fldChar w:fldCharType="begin"/>
        </w:r>
        <w:r>
          <w:rPr>
            <w:noProof/>
            <w:webHidden/>
          </w:rPr>
          <w:instrText xml:space="preserve"> PAGEREF _Toc462130238 \h </w:instrText>
        </w:r>
        <w:r>
          <w:rPr>
            <w:noProof/>
            <w:webHidden/>
          </w:rPr>
        </w:r>
        <w:r>
          <w:rPr>
            <w:noProof/>
            <w:webHidden/>
          </w:rPr>
          <w:fldChar w:fldCharType="separate"/>
        </w:r>
        <w:r>
          <w:rPr>
            <w:noProof/>
            <w:webHidden/>
          </w:rPr>
          <w:t>2</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39" w:history="1">
        <w:r w:rsidRPr="00230288">
          <w:rPr>
            <w:rStyle w:val="Hyperlink"/>
            <w:noProof/>
          </w:rPr>
          <w:t>§ 4 Beschaffenheit von Ethanolkraftstoff (E85)</w:t>
        </w:r>
        <w:r>
          <w:rPr>
            <w:noProof/>
            <w:webHidden/>
          </w:rPr>
          <w:tab/>
        </w:r>
        <w:r>
          <w:rPr>
            <w:noProof/>
            <w:webHidden/>
          </w:rPr>
          <w:fldChar w:fldCharType="begin"/>
        </w:r>
        <w:r>
          <w:rPr>
            <w:noProof/>
            <w:webHidden/>
          </w:rPr>
          <w:instrText xml:space="preserve"> PAGEREF _Toc462130239 \h </w:instrText>
        </w:r>
        <w:r>
          <w:rPr>
            <w:noProof/>
            <w:webHidden/>
          </w:rPr>
        </w:r>
        <w:r>
          <w:rPr>
            <w:noProof/>
            <w:webHidden/>
          </w:rPr>
          <w:fldChar w:fldCharType="separate"/>
        </w:r>
        <w:r>
          <w:rPr>
            <w:noProof/>
            <w:webHidden/>
          </w:rPr>
          <w:t>2</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40" w:history="1">
        <w:r w:rsidRPr="00230288">
          <w:rPr>
            <w:rStyle w:val="Hyperlink"/>
            <w:noProof/>
          </w:rPr>
          <w:t>§ 5 Beschaffenheit von Flüssiggaskraftstoff</w:t>
        </w:r>
        <w:r>
          <w:rPr>
            <w:noProof/>
            <w:webHidden/>
          </w:rPr>
          <w:tab/>
        </w:r>
        <w:r>
          <w:rPr>
            <w:noProof/>
            <w:webHidden/>
          </w:rPr>
          <w:fldChar w:fldCharType="begin"/>
        </w:r>
        <w:r>
          <w:rPr>
            <w:noProof/>
            <w:webHidden/>
          </w:rPr>
          <w:instrText xml:space="preserve"> PAGEREF _Toc462130240 \h </w:instrText>
        </w:r>
        <w:r>
          <w:rPr>
            <w:noProof/>
            <w:webHidden/>
          </w:rPr>
        </w:r>
        <w:r>
          <w:rPr>
            <w:noProof/>
            <w:webHidden/>
          </w:rPr>
          <w:fldChar w:fldCharType="separate"/>
        </w:r>
        <w:r>
          <w:rPr>
            <w:noProof/>
            <w:webHidden/>
          </w:rPr>
          <w:t>2</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41" w:history="1">
        <w:r w:rsidRPr="00230288">
          <w:rPr>
            <w:rStyle w:val="Hyperlink"/>
            <w:noProof/>
          </w:rPr>
          <w:t>§ 6 Beschaffenheit von Erdgas und Biogas als Kraftstoff</w:t>
        </w:r>
        <w:r>
          <w:rPr>
            <w:noProof/>
            <w:webHidden/>
          </w:rPr>
          <w:tab/>
        </w:r>
        <w:r>
          <w:rPr>
            <w:noProof/>
            <w:webHidden/>
          </w:rPr>
          <w:fldChar w:fldCharType="begin"/>
        </w:r>
        <w:r>
          <w:rPr>
            <w:noProof/>
            <w:webHidden/>
          </w:rPr>
          <w:instrText xml:space="preserve"> PAGEREF _Toc462130241 \h </w:instrText>
        </w:r>
        <w:r>
          <w:rPr>
            <w:noProof/>
            <w:webHidden/>
          </w:rPr>
        </w:r>
        <w:r>
          <w:rPr>
            <w:noProof/>
            <w:webHidden/>
          </w:rPr>
          <w:fldChar w:fldCharType="separate"/>
        </w:r>
        <w:r>
          <w:rPr>
            <w:noProof/>
            <w:webHidden/>
          </w:rPr>
          <w:t>2</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42" w:history="1">
        <w:r w:rsidRPr="00230288">
          <w:rPr>
            <w:rStyle w:val="Hyperlink"/>
            <w:noProof/>
          </w:rPr>
          <w:t>§ 7 Beschaffenheit von Pflanzenölkraftstoff</w:t>
        </w:r>
        <w:r>
          <w:rPr>
            <w:noProof/>
            <w:webHidden/>
          </w:rPr>
          <w:tab/>
        </w:r>
        <w:r>
          <w:rPr>
            <w:noProof/>
            <w:webHidden/>
          </w:rPr>
          <w:fldChar w:fldCharType="begin"/>
        </w:r>
        <w:r>
          <w:rPr>
            <w:noProof/>
            <w:webHidden/>
          </w:rPr>
          <w:instrText xml:space="preserve"> PAGEREF _Toc462130242 \h </w:instrText>
        </w:r>
        <w:r>
          <w:rPr>
            <w:noProof/>
            <w:webHidden/>
          </w:rPr>
        </w:r>
        <w:r>
          <w:rPr>
            <w:noProof/>
            <w:webHidden/>
          </w:rPr>
          <w:fldChar w:fldCharType="separate"/>
        </w:r>
        <w:r>
          <w:rPr>
            <w:noProof/>
            <w:webHidden/>
          </w:rPr>
          <w:t>2</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43" w:history="1">
        <w:r w:rsidRPr="00230288">
          <w:rPr>
            <w:rStyle w:val="Hyperlink"/>
            <w:noProof/>
          </w:rPr>
          <w:t>§ 8 Gleichwertigkeitsklausel</w:t>
        </w:r>
        <w:r>
          <w:rPr>
            <w:noProof/>
            <w:webHidden/>
          </w:rPr>
          <w:tab/>
        </w:r>
        <w:r>
          <w:rPr>
            <w:noProof/>
            <w:webHidden/>
          </w:rPr>
          <w:fldChar w:fldCharType="begin"/>
        </w:r>
        <w:r>
          <w:rPr>
            <w:noProof/>
            <w:webHidden/>
          </w:rPr>
          <w:instrText xml:space="preserve"> PAGEREF _Toc462130243 \h </w:instrText>
        </w:r>
        <w:r>
          <w:rPr>
            <w:noProof/>
            <w:webHidden/>
          </w:rPr>
        </w:r>
        <w:r>
          <w:rPr>
            <w:noProof/>
            <w:webHidden/>
          </w:rPr>
          <w:fldChar w:fldCharType="separate"/>
        </w:r>
        <w:r>
          <w:rPr>
            <w:noProof/>
            <w:webHidden/>
          </w:rPr>
          <w:t>2</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44" w:history="1">
        <w:r w:rsidRPr="00230288">
          <w:rPr>
            <w:rStyle w:val="Hyperlink"/>
            <w:noProof/>
          </w:rPr>
          <w:t>§ 9 Inhalt und Form der Auszeichnung</w:t>
        </w:r>
        <w:r>
          <w:rPr>
            <w:noProof/>
            <w:webHidden/>
          </w:rPr>
          <w:tab/>
        </w:r>
        <w:r>
          <w:rPr>
            <w:noProof/>
            <w:webHidden/>
          </w:rPr>
          <w:fldChar w:fldCharType="begin"/>
        </w:r>
        <w:r>
          <w:rPr>
            <w:noProof/>
            <w:webHidden/>
          </w:rPr>
          <w:instrText xml:space="preserve"> PAGEREF _Toc462130244 \h </w:instrText>
        </w:r>
        <w:r>
          <w:rPr>
            <w:noProof/>
            <w:webHidden/>
          </w:rPr>
        </w:r>
        <w:r>
          <w:rPr>
            <w:noProof/>
            <w:webHidden/>
          </w:rPr>
          <w:fldChar w:fldCharType="separate"/>
        </w:r>
        <w:r>
          <w:rPr>
            <w:noProof/>
            <w:webHidden/>
          </w:rPr>
          <w:t>3</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45" w:history="1">
        <w:r w:rsidRPr="00230288">
          <w:rPr>
            <w:rStyle w:val="Hyperlink"/>
            <w:noProof/>
          </w:rPr>
          <w:t>§ 10 Unterrichtung des Auszeichnungspflichtigen</w:t>
        </w:r>
        <w:r>
          <w:rPr>
            <w:noProof/>
            <w:webHidden/>
          </w:rPr>
          <w:tab/>
        </w:r>
        <w:r>
          <w:rPr>
            <w:noProof/>
            <w:webHidden/>
          </w:rPr>
          <w:fldChar w:fldCharType="begin"/>
        </w:r>
        <w:r>
          <w:rPr>
            <w:noProof/>
            <w:webHidden/>
          </w:rPr>
          <w:instrText xml:space="preserve"> PAGEREF _Toc462130245 \h </w:instrText>
        </w:r>
        <w:r>
          <w:rPr>
            <w:noProof/>
            <w:webHidden/>
          </w:rPr>
        </w:r>
        <w:r>
          <w:rPr>
            <w:noProof/>
            <w:webHidden/>
          </w:rPr>
          <w:fldChar w:fldCharType="separate"/>
        </w:r>
        <w:r>
          <w:rPr>
            <w:noProof/>
            <w:webHidden/>
          </w:rPr>
          <w:t>3</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46" w:history="1">
        <w:r w:rsidRPr="00230288">
          <w:rPr>
            <w:rStyle w:val="Hyperlink"/>
            <w:noProof/>
          </w:rPr>
          <w:t>§ 11 Bekanntmachung der Kraftstoffqualität für den Betrieb von Kraftfahrzeugen</w:t>
        </w:r>
        <w:r>
          <w:rPr>
            <w:noProof/>
            <w:webHidden/>
          </w:rPr>
          <w:tab/>
        </w:r>
        <w:r>
          <w:rPr>
            <w:noProof/>
            <w:webHidden/>
          </w:rPr>
          <w:fldChar w:fldCharType="begin"/>
        </w:r>
        <w:r>
          <w:rPr>
            <w:noProof/>
            <w:webHidden/>
          </w:rPr>
          <w:instrText xml:space="preserve"> PAGEREF _Toc462130246 \h </w:instrText>
        </w:r>
        <w:r>
          <w:rPr>
            <w:noProof/>
            <w:webHidden/>
          </w:rPr>
        </w:r>
        <w:r>
          <w:rPr>
            <w:noProof/>
            <w:webHidden/>
          </w:rPr>
          <w:fldChar w:fldCharType="separate"/>
        </w:r>
        <w:r>
          <w:rPr>
            <w:noProof/>
            <w:webHidden/>
          </w:rPr>
          <w:t>4</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47" w:history="1">
        <w:r w:rsidRPr="00230288">
          <w:rPr>
            <w:rStyle w:val="Hyperlink"/>
            <w:noProof/>
          </w:rPr>
          <w:t>§ 12 Ausnahmen</w:t>
        </w:r>
        <w:r>
          <w:rPr>
            <w:noProof/>
            <w:webHidden/>
          </w:rPr>
          <w:tab/>
        </w:r>
        <w:r>
          <w:rPr>
            <w:noProof/>
            <w:webHidden/>
          </w:rPr>
          <w:fldChar w:fldCharType="begin"/>
        </w:r>
        <w:r>
          <w:rPr>
            <w:noProof/>
            <w:webHidden/>
          </w:rPr>
          <w:instrText xml:space="preserve"> PAGEREF _Toc462130247 \h </w:instrText>
        </w:r>
        <w:r>
          <w:rPr>
            <w:noProof/>
            <w:webHidden/>
          </w:rPr>
        </w:r>
        <w:r>
          <w:rPr>
            <w:noProof/>
            <w:webHidden/>
          </w:rPr>
          <w:fldChar w:fldCharType="separate"/>
        </w:r>
        <w:r>
          <w:rPr>
            <w:noProof/>
            <w:webHidden/>
          </w:rPr>
          <w:t>4</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48" w:history="1">
        <w:r w:rsidRPr="00230288">
          <w:rPr>
            <w:rStyle w:val="Hyperlink"/>
            <w:noProof/>
          </w:rPr>
          <w:t>§ 13 Verweisungen auf DIN-, DIN EN- und DIN V-Normen</w:t>
        </w:r>
        <w:r>
          <w:rPr>
            <w:noProof/>
            <w:webHidden/>
          </w:rPr>
          <w:tab/>
        </w:r>
        <w:r>
          <w:rPr>
            <w:noProof/>
            <w:webHidden/>
          </w:rPr>
          <w:fldChar w:fldCharType="begin"/>
        </w:r>
        <w:r>
          <w:rPr>
            <w:noProof/>
            <w:webHidden/>
          </w:rPr>
          <w:instrText xml:space="preserve"> PAGEREF _Toc462130248 \h </w:instrText>
        </w:r>
        <w:r>
          <w:rPr>
            <w:noProof/>
            <w:webHidden/>
          </w:rPr>
        </w:r>
        <w:r>
          <w:rPr>
            <w:noProof/>
            <w:webHidden/>
          </w:rPr>
          <w:fldChar w:fldCharType="separate"/>
        </w:r>
        <w:r>
          <w:rPr>
            <w:noProof/>
            <w:webHidden/>
          </w:rPr>
          <w:t>4</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49" w:history="1">
        <w:r w:rsidRPr="00230288">
          <w:rPr>
            <w:rStyle w:val="Hyperlink"/>
            <w:noProof/>
          </w:rPr>
          <w:t>§ 14 Ordnungswidrigkeiten</w:t>
        </w:r>
        <w:r>
          <w:rPr>
            <w:noProof/>
            <w:webHidden/>
          </w:rPr>
          <w:tab/>
        </w:r>
        <w:r>
          <w:rPr>
            <w:noProof/>
            <w:webHidden/>
          </w:rPr>
          <w:fldChar w:fldCharType="begin"/>
        </w:r>
        <w:r>
          <w:rPr>
            <w:noProof/>
            <w:webHidden/>
          </w:rPr>
          <w:instrText xml:space="preserve"> PAGEREF _Toc462130249 \h </w:instrText>
        </w:r>
        <w:r>
          <w:rPr>
            <w:noProof/>
            <w:webHidden/>
          </w:rPr>
        </w:r>
        <w:r>
          <w:rPr>
            <w:noProof/>
            <w:webHidden/>
          </w:rPr>
          <w:fldChar w:fldCharType="separate"/>
        </w:r>
        <w:r>
          <w:rPr>
            <w:noProof/>
            <w:webHidden/>
          </w:rPr>
          <w:t>4</w:t>
        </w:r>
        <w:r>
          <w:rPr>
            <w:noProof/>
            <w:webHidden/>
          </w:rPr>
          <w:fldChar w:fldCharType="end"/>
        </w:r>
      </w:hyperlink>
    </w:p>
    <w:p w:rsidR="00CB10C2" w:rsidRDefault="00CB10C2">
      <w:pPr>
        <w:pStyle w:val="Verzeichnis3"/>
        <w:rPr>
          <w:rFonts w:asciiTheme="minorHAnsi" w:eastAsiaTheme="minorEastAsia" w:hAnsiTheme="minorHAnsi" w:cstheme="minorBidi"/>
          <w:i w:val="0"/>
          <w:noProof/>
          <w:sz w:val="22"/>
          <w:szCs w:val="22"/>
        </w:rPr>
      </w:pPr>
      <w:hyperlink w:anchor="_Toc462130250" w:history="1">
        <w:r w:rsidRPr="00230288">
          <w:rPr>
            <w:rStyle w:val="Hyperlink"/>
            <w:noProof/>
          </w:rPr>
          <w:t>§ 15 Inkrafttreten, Außerkrafttreten</w:t>
        </w:r>
        <w:r>
          <w:rPr>
            <w:noProof/>
            <w:webHidden/>
          </w:rPr>
          <w:tab/>
        </w:r>
        <w:r>
          <w:rPr>
            <w:noProof/>
            <w:webHidden/>
          </w:rPr>
          <w:fldChar w:fldCharType="begin"/>
        </w:r>
        <w:r>
          <w:rPr>
            <w:noProof/>
            <w:webHidden/>
          </w:rPr>
          <w:instrText xml:space="preserve"> PAGEREF _Toc462130250 \h </w:instrText>
        </w:r>
        <w:r>
          <w:rPr>
            <w:noProof/>
            <w:webHidden/>
          </w:rPr>
        </w:r>
        <w:r>
          <w:rPr>
            <w:noProof/>
            <w:webHidden/>
          </w:rPr>
          <w:fldChar w:fldCharType="separate"/>
        </w:r>
        <w:r>
          <w:rPr>
            <w:noProof/>
            <w:webHidden/>
          </w:rPr>
          <w:t>4</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51" w:history="1">
        <w:r w:rsidRPr="00230288">
          <w:rPr>
            <w:rStyle w:val="Hyperlink"/>
            <w:noProof/>
          </w:rPr>
          <w:t>Anlage 1a</w:t>
        </w:r>
        <w:r>
          <w:rPr>
            <w:noProof/>
            <w:webHidden/>
          </w:rPr>
          <w:tab/>
        </w:r>
        <w:r>
          <w:rPr>
            <w:noProof/>
            <w:webHidden/>
          </w:rPr>
          <w:fldChar w:fldCharType="begin"/>
        </w:r>
        <w:r>
          <w:rPr>
            <w:noProof/>
            <w:webHidden/>
          </w:rPr>
          <w:instrText xml:space="preserve"> PAGEREF _Toc462130251 \h </w:instrText>
        </w:r>
        <w:r>
          <w:rPr>
            <w:noProof/>
            <w:webHidden/>
          </w:rPr>
        </w:r>
        <w:r>
          <w:rPr>
            <w:noProof/>
            <w:webHidden/>
          </w:rPr>
          <w:fldChar w:fldCharType="separate"/>
        </w:r>
        <w:r>
          <w:rPr>
            <w:noProof/>
            <w:webHidden/>
          </w:rPr>
          <w:t>5</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52" w:history="1">
        <w:r w:rsidRPr="00230288">
          <w:rPr>
            <w:rStyle w:val="Hyperlink"/>
            <w:noProof/>
          </w:rPr>
          <w:t>Anlage 1b</w:t>
        </w:r>
        <w:r>
          <w:rPr>
            <w:noProof/>
            <w:webHidden/>
          </w:rPr>
          <w:tab/>
        </w:r>
        <w:r>
          <w:rPr>
            <w:noProof/>
            <w:webHidden/>
          </w:rPr>
          <w:fldChar w:fldCharType="begin"/>
        </w:r>
        <w:r>
          <w:rPr>
            <w:noProof/>
            <w:webHidden/>
          </w:rPr>
          <w:instrText xml:space="preserve"> PAGEREF _Toc462130252 \h </w:instrText>
        </w:r>
        <w:r>
          <w:rPr>
            <w:noProof/>
            <w:webHidden/>
          </w:rPr>
        </w:r>
        <w:r>
          <w:rPr>
            <w:noProof/>
            <w:webHidden/>
          </w:rPr>
          <w:fldChar w:fldCharType="separate"/>
        </w:r>
        <w:r>
          <w:rPr>
            <w:noProof/>
            <w:webHidden/>
          </w:rPr>
          <w:t>5</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53" w:history="1">
        <w:r w:rsidRPr="00230288">
          <w:rPr>
            <w:rStyle w:val="Hyperlink"/>
            <w:noProof/>
          </w:rPr>
          <w:t>Anlage 1c</w:t>
        </w:r>
        <w:r>
          <w:rPr>
            <w:noProof/>
            <w:webHidden/>
          </w:rPr>
          <w:tab/>
        </w:r>
        <w:r>
          <w:rPr>
            <w:noProof/>
            <w:webHidden/>
          </w:rPr>
          <w:fldChar w:fldCharType="begin"/>
        </w:r>
        <w:r>
          <w:rPr>
            <w:noProof/>
            <w:webHidden/>
          </w:rPr>
          <w:instrText xml:space="preserve"> PAGEREF _Toc462130253 \h </w:instrText>
        </w:r>
        <w:r>
          <w:rPr>
            <w:noProof/>
            <w:webHidden/>
          </w:rPr>
        </w:r>
        <w:r>
          <w:rPr>
            <w:noProof/>
            <w:webHidden/>
          </w:rPr>
          <w:fldChar w:fldCharType="separate"/>
        </w:r>
        <w:r>
          <w:rPr>
            <w:noProof/>
            <w:webHidden/>
          </w:rPr>
          <w:t>5</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54" w:history="1">
        <w:r w:rsidRPr="00230288">
          <w:rPr>
            <w:rStyle w:val="Hyperlink"/>
            <w:noProof/>
          </w:rPr>
          <w:t>Anlage 2</w:t>
        </w:r>
        <w:r>
          <w:rPr>
            <w:noProof/>
            <w:webHidden/>
          </w:rPr>
          <w:tab/>
        </w:r>
        <w:r>
          <w:rPr>
            <w:noProof/>
            <w:webHidden/>
          </w:rPr>
          <w:fldChar w:fldCharType="begin"/>
        </w:r>
        <w:r>
          <w:rPr>
            <w:noProof/>
            <w:webHidden/>
          </w:rPr>
          <w:instrText xml:space="preserve"> PAGEREF _Toc462130254 \h </w:instrText>
        </w:r>
        <w:r>
          <w:rPr>
            <w:noProof/>
            <w:webHidden/>
          </w:rPr>
        </w:r>
        <w:r>
          <w:rPr>
            <w:noProof/>
            <w:webHidden/>
          </w:rPr>
          <w:fldChar w:fldCharType="separate"/>
        </w:r>
        <w:r>
          <w:rPr>
            <w:noProof/>
            <w:webHidden/>
          </w:rPr>
          <w:t>5</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55" w:history="1">
        <w:r w:rsidRPr="00230288">
          <w:rPr>
            <w:rStyle w:val="Hyperlink"/>
            <w:noProof/>
          </w:rPr>
          <w:t>Anlage 2a</w:t>
        </w:r>
        <w:r>
          <w:rPr>
            <w:noProof/>
            <w:webHidden/>
          </w:rPr>
          <w:tab/>
        </w:r>
        <w:r>
          <w:rPr>
            <w:noProof/>
            <w:webHidden/>
          </w:rPr>
          <w:fldChar w:fldCharType="begin"/>
        </w:r>
        <w:r>
          <w:rPr>
            <w:noProof/>
            <w:webHidden/>
          </w:rPr>
          <w:instrText xml:space="preserve"> PAGEREF _Toc462130255 \h </w:instrText>
        </w:r>
        <w:r>
          <w:rPr>
            <w:noProof/>
            <w:webHidden/>
          </w:rPr>
        </w:r>
        <w:r>
          <w:rPr>
            <w:noProof/>
            <w:webHidden/>
          </w:rPr>
          <w:fldChar w:fldCharType="separate"/>
        </w:r>
        <w:r>
          <w:rPr>
            <w:noProof/>
            <w:webHidden/>
          </w:rPr>
          <w:t>5</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56" w:history="1">
        <w:r w:rsidRPr="00230288">
          <w:rPr>
            <w:rStyle w:val="Hyperlink"/>
            <w:noProof/>
          </w:rPr>
          <w:t>Anlage 3</w:t>
        </w:r>
        <w:r>
          <w:rPr>
            <w:noProof/>
            <w:webHidden/>
          </w:rPr>
          <w:tab/>
        </w:r>
        <w:r>
          <w:rPr>
            <w:noProof/>
            <w:webHidden/>
          </w:rPr>
          <w:fldChar w:fldCharType="begin"/>
        </w:r>
        <w:r>
          <w:rPr>
            <w:noProof/>
            <w:webHidden/>
          </w:rPr>
          <w:instrText xml:space="preserve"> PAGEREF _Toc462130256 \h </w:instrText>
        </w:r>
        <w:r>
          <w:rPr>
            <w:noProof/>
            <w:webHidden/>
          </w:rPr>
        </w:r>
        <w:r>
          <w:rPr>
            <w:noProof/>
            <w:webHidden/>
          </w:rPr>
          <w:fldChar w:fldCharType="separate"/>
        </w:r>
        <w:r>
          <w:rPr>
            <w:noProof/>
            <w:webHidden/>
          </w:rPr>
          <w:t>6</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57" w:history="1">
        <w:r w:rsidRPr="00230288">
          <w:rPr>
            <w:rStyle w:val="Hyperlink"/>
            <w:noProof/>
          </w:rPr>
          <w:t>Anlage 4</w:t>
        </w:r>
        <w:r>
          <w:rPr>
            <w:noProof/>
            <w:webHidden/>
          </w:rPr>
          <w:tab/>
        </w:r>
        <w:r>
          <w:rPr>
            <w:noProof/>
            <w:webHidden/>
          </w:rPr>
          <w:fldChar w:fldCharType="begin"/>
        </w:r>
        <w:r>
          <w:rPr>
            <w:noProof/>
            <w:webHidden/>
          </w:rPr>
          <w:instrText xml:space="preserve"> PAGEREF _Toc462130257 \h </w:instrText>
        </w:r>
        <w:r>
          <w:rPr>
            <w:noProof/>
            <w:webHidden/>
          </w:rPr>
        </w:r>
        <w:r>
          <w:rPr>
            <w:noProof/>
            <w:webHidden/>
          </w:rPr>
          <w:fldChar w:fldCharType="separate"/>
        </w:r>
        <w:r>
          <w:rPr>
            <w:noProof/>
            <w:webHidden/>
          </w:rPr>
          <w:t>6</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58" w:history="1">
        <w:r w:rsidRPr="00230288">
          <w:rPr>
            <w:rStyle w:val="Hyperlink"/>
            <w:noProof/>
          </w:rPr>
          <w:t>Anlage 5</w:t>
        </w:r>
        <w:r>
          <w:rPr>
            <w:noProof/>
            <w:webHidden/>
          </w:rPr>
          <w:tab/>
        </w:r>
        <w:r>
          <w:rPr>
            <w:noProof/>
            <w:webHidden/>
          </w:rPr>
          <w:fldChar w:fldCharType="begin"/>
        </w:r>
        <w:r>
          <w:rPr>
            <w:noProof/>
            <w:webHidden/>
          </w:rPr>
          <w:instrText xml:space="preserve"> PAGEREF _Toc462130258 \h </w:instrText>
        </w:r>
        <w:r>
          <w:rPr>
            <w:noProof/>
            <w:webHidden/>
          </w:rPr>
        </w:r>
        <w:r>
          <w:rPr>
            <w:noProof/>
            <w:webHidden/>
          </w:rPr>
          <w:fldChar w:fldCharType="separate"/>
        </w:r>
        <w:r>
          <w:rPr>
            <w:noProof/>
            <w:webHidden/>
          </w:rPr>
          <w:t>6</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59" w:history="1">
        <w:r w:rsidRPr="00230288">
          <w:rPr>
            <w:rStyle w:val="Hyperlink"/>
            <w:noProof/>
          </w:rPr>
          <w:t>Anlage 6a</w:t>
        </w:r>
        <w:r>
          <w:rPr>
            <w:noProof/>
            <w:webHidden/>
          </w:rPr>
          <w:tab/>
        </w:r>
        <w:r>
          <w:rPr>
            <w:noProof/>
            <w:webHidden/>
          </w:rPr>
          <w:fldChar w:fldCharType="begin"/>
        </w:r>
        <w:r>
          <w:rPr>
            <w:noProof/>
            <w:webHidden/>
          </w:rPr>
          <w:instrText xml:space="preserve"> PAGEREF _Toc462130259 \h </w:instrText>
        </w:r>
        <w:r>
          <w:rPr>
            <w:noProof/>
            <w:webHidden/>
          </w:rPr>
        </w:r>
        <w:r>
          <w:rPr>
            <w:noProof/>
            <w:webHidden/>
          </w:rPr>
          <w:fldChar w:fldCharType="separate"/>
        </w:r>
        <w:r>
          <w:rPr>
            <w:noProof/>
            <w:webHidden/>
          </w:rPr>
          <w:t>6</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60" w:history="1">
        <w:r w:rsidRPr="00230288">
          <w:rPr>
            <w:rStyle w:val="Hyperlink"/>
            <w:noProof/>
          </w:rPr>
          <w:t>Anlage 6b</w:t>
        </w:r>
        <w:r>
          <w:rPr>
            <w:noProof/>
            <w:webHidden/>
          </w:rPr>
          <w:tab/>
        </w:r>
        <w:r>
          <w:rPr>
            <w:noProof/>
            <w:webHidden/>
          </w:rPr>
          <w:fldChar w:fldCharType="begin"/>
        </w:r>
        <w:r>
          <w:rPr>
            <w:noProof/>
            <w:webHidden/>
          </w:rPr>
          <w:instrText xml:space="preserve"> PAGEREF _Toc462130260 \h </w:instrText>
        </w:r>
        <w:r>
          <w:rPr>
            <w:noProof/>
            <w:webHidden/>
          </w:rPr>
        </w:r>
        <w:r>
          <w:rPr>
            <w:noProof/>
            <w:webHidden/>
          </w:rPr>
          <w:fldChar w:fldCharType="separate"/>
        </w:r>
        <w:r>
          <w:rPr>
            <w:noProof/>
            <w:webHidden/>
          </w:rPr>
          <w:t>6</w:t>
        </w:r>
        <w:r>
          <w:rPr>
            <w:noProof/>
            <w:webHidden/>
          </w:rPr>
          <w:fldChar w:fldCharType="end"/>
        </w:r>
      </w:hyperlink>
    </w:p>
    <w:p w:rsidR="00CB10C2" w:rsidRDefault="00CB10C2">
      <w:pPr>
        <w:pStyle w:val="Verzeichnis2"/>
        <w:rPr>
          <w:rFonts w:asciiTheme="minorHAnsi" w:eastAsiaTheme="minorEastAsia" w:hAnsiTheme="minorHAnsi" w:cstheme="minorBidi"/>
          <w:smallCaps w:val="0"/>
          <w:noProof/>
          <w:sz w:val="22"/>
          <w:szCs w:val="22"/>
        </w:rPr>
      </w:pPr>
      <w:hyperlink w:anchor="_Toc462130261" w:history="1">
        <w:r w:rsidRPr="00230288">
          <w:rPr>
            <w:rStyle w:val="Hyperlink"/>
            <w:noProof/>
          </w:rPr>
          <w:t>Anlage 7</w:t>
        </w:r>
        <w:r>
          <w:rPr>
            <w:noProof/>
            <w:webHidden/>
          </w:rPr>
          <w:tab/>
        </w:r>
        <w:r>
          <w:rPr>
            <w:noProof/>
            <w:webHidden/>
          </w:rPr>
          <w:fldChar w:fldCharType="begin"/>
        </w:r>
        <w:r>
          <w:rPr>
            <w:noProof/>
            <w:webHidden/>
          </w:rPr>
          <w:instrText xml:space="preserve"> PAGEREF _Toc462130261 \h </w:instrText>
        </w:r>
        <w:r>
          <w:rPr>
            <w:noProof/>
            <w:webHidden/>
          </w:rPr>
        </w:r>
        <w:r>
          <w:rPr>
            <w:noProof/>
            <w:webHidden/>
          </w:rPr>
          <w:fldChar w:fldCharType="separate"/>
        </w:r>
        <w:r>
          <w:rPr>
            <w:noProof/>
            <w:webHidden/>
          </w:rPr>
          <w:t>7</w:t>
        </w:r>
        <w:r>
          <w:rPr>
            <w:noProof/>
            <w:webHidden/>
          </w:rPr>
          <w:fldChar w:fldCharType="end"/>
        </w:r>
      </w:hyperlink>
    </w:p>
    <w:p w:rsidR="00046349" w:rsidRPr="00EB37C1" w:rsidRDefault="00CB10C2" w:rsidP="00EB37C1">
      <w:pPr>
        <w:pStyle w:val="GesAbsatz"/>
      </w:pPr>
      <w:r>
        <w:rPr>
          <w:b/>
          <w:sz w:val="22"/>
        </w:rPr>
        <w:fldChar w:fldCharType="end"/>
      </w:r>
    </w:p>
    <w:p w:rsidR="00046349" w:rsidRDefault="00046349" w:rsidP="00046349">
      <w:pPr>
        <w:pStyle w:val="GesAbsatz"/>
      </w:pPr>
      <w:r>
        <w:t>Es verordnen</w:t>
      </w:r>
    </w:p>
    <w:p w:rsidR="00046349" w:rsidRDefault="00046349" w:rsidP="00046349">
      <w:pPr>
        <w:pStyle w:val="GesAbsatz"/>
        <w:ind w:left="426" w:hanging="426"/>
      </w:pPr>
      <w:r>
        <w:t>–</w:t>
      </w:r>
      <w:r>
        <w:tab/>
        <w:t>die Bundesregierung auf Grund des § 34 Abs. 1 des Bundes-Immissionsschutzgesetzes in der Fa</w:t>
      </w:r>
      <w:r>
        <w:t>s</w:t>
      </w:r>
      <w:r>
        <w:t>sung der Bekanntmachung vom 26. September 2002 (BGBl. I S. 3830) nach Anhörung der beteiligten Kreise sowie auf Grund des § 34 Abs. 2 Nr. 6 und 7 und des § 37 Satz 1 des Bundes-Immissions</w:t>
      </w:r>
      <w:r w:rsidR="00EB37C1">
        <w:softHyphen/>
      </w:r>
      <w:r>
        <w:t>schutzgesetzes und auf Grund des § 2a Abs. 3 des Benzinbleigesetzes vom 5. August 1971 (BGBl. I S. 1234), der durch Artikel 1 Nr. 3 des Gesetzes vom 25. November 1975 (BGBl. I S. 2919) eingefügt wo</w:t>
      </w:r>
      <w:r>
        <w:t>r</w:t>
      </w:r>
      <w:r>
        <w:t>den ist,</w:t>
      </w:r>
    </w:p>
    <w:p w:rsidR="00046349" w:rsidRDefault="00046349" w:rsidP="00046349">
      <w:pPr>
        <w:pStyle w:val="GesAbsatz"/>
        <w:ind w:left="426" w:hanging="426"/>
      </w:pPr>
      <w:r>
        <w:t>–</w:t>
      </w:r>
      <w:r>
        <w:tab/>
        <w:t>das Bundesministerium für Verkehr, Bau und Stadtentwicklung und das Bundesministerium für U</w:t>
      </w:r>
      <w:r>
        <w:t>m</w:t>
      </w:r>
      <w:r>
        <w:t xml:space="preserve">welt, Naturschutz und Reaktorsicherheit nach Anhörung der beteiligten Kreise auf Grund des § 38 Abs. 2 des </w:t>
      </w:r>
      <w:r>
        <w:lastRenderedPageBreak/>
        <w:t>Bundes-Immissionsschutzgesetzes, der durch Artikel 60 Nr. 1 der Verordnung vom 31. Oktober 2006 (BGBl. I S. 2407) geändert worden ist:</w:t>
      </w:r>
    </w:p>
    <w:p w:rsidR="00046349" w:rsidRDefault="00046349" w:rsidP="00046349">
      <w:pPr>
        <w:pStyle w:val="berschrift3"/>
      </w:pPr>
      <w:bookmarkStart w:id="2" w:name="_Toc462130236"/>
      <w:r>
        <w:t>§ 1</w:t>
      </w:r>
      <w:r>
        <w:br/>
        <w:t>Beschaffenheit von Ottokraftstoffen</w:t>
      </w:r>
      <w:bookmarkEnd w:id="2"/>
    </w:p>
    <w:p w:rsidR="00046349" w:rsidRDefault="00046349" w:rsidP="00046349">
      <w:pPr>
        <w:pStyle w:val="GesAbsatz"/>
      </w:pPr>
      <w:r>
        <w:t>Ottokraftstoff darf im geschäftlichen Verkehr an den Verbraucher nur veräußert werden, wenn sein Schw</w:t>
      </w:r>
      <w:r>
        <w:t>e</w:t>
      </w:r>
      <w:r>
        <w:t>felgehalt 10 Milligramm pro Kilogramm nicht überschreitet. Darüber hinaus müssen mindestens die Anford</w:t>
      </w:r>
      <w:r>
        <w:t>e</w:t>
      </w:r>
      <w:r>
        <w:t>rungen der DIN EN 228, Ausgabe März 2004, erfüllt sein.</w:t>
      </w:r>
    </w:p>
    <w:p w:rsidR="00046349" w:rsidRDefault="00046349" w:rsidP="00046349">
      <w:pPr>
        <w:pStyle w:val="berschrift3"/>
      </w:pPr>
      <w:bookmarkStart w:id="3" w:name="_Toc462130237"/>
      <w:r>
        <w:t>§ 2</w:t>
      </w:r>
      <w:r>
        <w:br/>
        <w:t>Beschaffenheit von Dieselkraftstoff</w:t>
      </w:r>
      <w:bookmarkEnd w:id="3"/>
    </w:p>
    <w:p w:rsidR="00046349" w:rsidRDefault="00046349" w:rsidP="00046349">
      <w:pPr>
        <w:pStyle w:val="GesAbsatz"/>
      </w:pPr>
      <w:r>
        <w:t>Dieselkraftstoff darf im geschäftlichen Verkehr an den Verbraucher nur veräußert werden, wenn sein Schw</w:t>
      </w:r>
      <w:r>
        <w:t>e</w:t>
      </w:r>
      <w:r>
        <w:t>felgehalt 10 Milligramm pro Kilogramm nicht überschreitet. Darüber hinaus müssen mindestens die Anford</w:t>
      </w:r>
      <w:r>
        <w:t>e</w:t>
      </w:r>
      <w:r>
        <w:t>rungen der DIN EN 590, Ausgabe März 2004, oder der DIN 51628, Ausgabe August 2008, erfüllt sein.</w:t>
      </w:r>
    </w:p>
    <w:p w:rsidR="00046349" w:rsidRDefault="00046349" w:rsidP="00046349">
      <w:pPr>
        <w:pStyle w:val="berschrift3"/>
      </w:pPr>
      <w:bookmarkStart w:id="4" w:name="_Toc462130238"/>
      <w:r>
        <w:t>§ 3</w:t>
      </w:r>
      <w:r>
        <w:br/>
        <w:t>Beschaffenheit von Biodiesel</w:t>
      </w:r>
      <w:bookmarkEnd w:id="4"/>
    </w:p>
    <w:p w:rsidR="00046349" w:rsidRDefault="00046349" w:rsidP="00046349">
      <w:pPr>
        <w:pStyle w:val="GesAbsatz"/>
      </w:pPr>
      <w:r>
        <w:t>Biodiesel darf im geschäftlichen Verkehr an den Verbraucher nur veräußert werden, wenn seine Eigenscha</w:t>
      </w:r>
      <w:r>
        <w:t>f</w:t>
      </w:r>
      <w:r>
        <w:t>ten mindestens den Anforderungen der DIN EN 14214, Ausgabe November 2003, entsprechen. Das gilt auch für Biodiesel als Zusatz zum Dieselkraftstoff.</w:t>
      </w:r>
    </w:p>
    <w:p w:rsidR="00046349" w:rsidRDefault="00046349" w:rsidP="00046349">
      <w:pPr>
        <w:pStyle w:val="berschrift3"/>
      </w:pPr>
      <w:bookmarkStart w:id="5" w:name="_Toc462130239"/>
      <w:r>
        <w:t>§ 4</w:t>
      </w:r>
      <w:r>
        <w:br/>
        <w:t>Beschaffenheit von Ethanolkraftstoff (E85)</w:t>
      </w:r>
      <w:bookmarkEnd w:id="5"/>
    </w:p>
    <w:p w:rsidR="00046349" w:rsidRDefault="00046349" w:rsidP="00046349">
      <w:pPr>
        <w:pStyle w:val="GesAbsatz"/>
      </w:pPr>
      <w:r>
        <w:t>Ethanolkraftstoff (E85) als Kraftstoff darf im geschäftlichen Verkehr an den Verbraucher nur veräußert we</w:t>
      </w:r>
      <w:r>
        <w:t>r</w:t>
      </w:r>
      <w:r>
        <w:t>den, wenn seine Eigenschaften mindestens den Anforderungen der DIN 51625, Ausgabe August 2008, en</w:t>
      </w:r>
      <w:r>
        <w:t>t</w:t>
      </w:r>
      <w:r>
        <w:t>sprechen.</w:t>
      </w:r>
    </w:p>
    <w:p w:rsidR="00046349" w:rsidRDefault="00046349" w:rsidP="00046349">
      <w:pPr>
        <w:pStyle w:val="berschrift3"/>
      </w:pPr>
      <w:bookmarkStart w:id="6" w:name="_Toc462130240"/>
      <w:r>
        <w:t>§ 5</w:t>
      </w:r>
      <w:r>
        <w:br/>
        <w:t>Beschaffenheit von Flüssiggaskraftstoff</w:t>
      </w:r>
      <w:bookmarkEnd w:id="6"/>
    </w:p>
    <w:p w:rsidR="00046349" w:rsidRDefault="00046349" w:rsidP="00046349">
      <w:pPr>
        <w:pStyle w:val="GesAbsatz"/>
      </w:pPr>
      <w:r>
        <w:t>Flüssiggaskraftstoff darf im geschäftlichen Verkehr an den Verbraucher nur veräußert werden, wenn seine Eigenschaften den Mindestanforderungen der DIN EN 589, Ausgabe März 2004, berichtigt durch Ausgab</w:t>
      </w:r>
      <w:r>
        <w:t>e</w:t>
      </w:r>
      <w:r>
        <w:t xml:space="preserve"> März 2006, entsprechen.</w:t>
      </w:r>
    </w:p>
    <w:p w:rsidR="00046349" w:rsidRDefault="00046349" w:rsidP="00046349">
      <w:pPr>
        <w:pStyle w:val="berschrift3"/>
      </w:pPr>
      <w:bookmarkStart w:id="7" w:name="_Toc462130241"/>
      <w:r>
        <w:t>§ 6</w:t>
      </w:r>
      <w:r>
        <w:br/>
        <w:t>Beschaffenheit von Erdgas und Biogas als Kraftstoff</w:t>
      </w:r>
      <w:bookmarkEnd w:id="7"/>
    </w:p>
    <w:p w:rsidR="00046349" w:rsidRDefault="00046349" w:rsidP="00046349">
      <w:pPr>
        <w:pStyle w:val="GesAbsatz"/>
      </w:pPr>
      <w:r>
        <w:t>Erdgas als Kraftstoff darf im geschäftlichen Verkehr an den Verbraucher nur veräußert werden, wenn seine Eigenschaften mindestens den Anforderungen der DIN 51624, Ausgabe Februar 2008, entsprechen. Biogas als Kraftstoff darf im geschäftlichen Verkehr an den Verbraucher nur veräußert werden, wenn seine Eige</w:t>
      </w:r>
      <w:r>
        <w:t>n</w:t>
      </w:r>
      <w:r>
        <w:t>schaften mindestens den Anforderungen der DIN 51624, Ausgabe Februar 2008, entsprechen. Erdgas und Biogas dürfen in jedem Verhältnis gemischt als Kraftstoff im geschäftlichen Verkehr an den Verbraucher nur veräußert werden, wenn die Eigenschaften des fertigen Produktes mindestens den Anforderungen der DIN 51624, Ausgabe Februar 2008, entsprechen.</w:t>
      </w:r>
    </w:p>
    <w:p w:rsidR="00046349" w:rsidRDefault="00046349" w:rsidP="00046349">
      <w:pPr>
        <w:pStyle w:val="berschrift3"/>
      </w:pPr>
      <w:bookmarkStart w:id="8" w:name="_Toc462130242"/>
      <w:r>
        <w:t>§ 7</w:t>
      </w:r>
      <w:r>
        <w:br/>
        <w:t>Beschaffenheit von Pflanzenölkraftstoff</w:t>
      </w:r>
      <w:bookmarkEnd w:id="8"/>
    </w:p>
    <w:p w:rsidR="00046349" w:rsidRDefault="00046349" w:rsidP="00046349">
      <w:pPr>
        <w:pStyle w:val="GesAbsatz"/>
      </w:pPr>
      <w:r>
        <w:t>Pflanzenölkraftstoff darf im geschäftlichen Verkehr an den Verbraucher nur veräußert werden, wenn seine E</w:t>
      </w:r>
      <w:r>
        <w:t>i</w:t>
      </w:r>
      <w:r>
        <w:t>genschaften mindestens den Anforderungen der DIN V 51605, Ausgabe Juli 2006, entsprechen.</w:t>
      </w:r>
    </w:p>
    <w:p w:rsidR="00046349" w:rsidRDefault="00046349" w:rsidP="00046349">
      <w:pPr>
        <w:pStyle w:val="berschrift3"/>
      </w:pPr>
      <w:bookmarkStart w:id="9" w:name="_Toc462130243"/>
      <w:r>
        <w:t>§ 8</w:t>
      </w:r>
      <w:r>
        <w:br/>
        <w:t>Gleichwertigkeitsklausel</w:t>
      </w:r>
      <w:bookmarkEnd w:id="9"/>
    </w:p>
    <w:p w:rsidR="00046349" w:rsidRDefault="00046349" w:rsidP="00046349">
      <w:pPr>
        <w:pStyle w:val="GesAbsatz"/>
      </w:pPr>
      <w:r>
        <w:t>Den Kraftstoffen nach den §§ 1 bis 7 sind solche Kraftstoffe gleichgestellt, die einer anderen Norm oder technischen Spezifikation entsprechen, die in einem anderen Mitgliedstaat der Europäischen Union oder einer anderen Vertragspartei des Abkommens über den Europäischen Wirtschaftsraum oder der Türkei oder einem anderen Mitglied der Welthandelsorganisation in Kraft ist, soweit diese Normen oder technischen Sp</w:t>
      </w:r>
      <w:r>
        <w:t>e</w:t>
      </w:r>
      <w:r>
        <w:t xml:space="preserve">zifikationen mit den Normen DIN EN 228, Ausgabe März 2004, DIN EN 590, Ausgabe März 2004, DIN 51628, Ausgabe August 2008, DIN EN 14214, Ausgabe November 2003, DIN 51625, Ausgabe August 2008, </w:t>
      </w:r>
      <w:r>
        <w:lastRenderedPageBreak/>
        <w:t>DIN EN 589, Ausgabe März 2004, berichtigt durch Ausgabe März 2006, DIN 51624, Ausgabe Februar 2008 oder DIN V 51605, Ausgabe Juli 2006, übereinstimmen und ein gleichwertiges Niveau der Beschaffenheit für die gle</w:t>
      </w:r>
      <w:r>
        <w:t>i</w:t>
      </w:r>
      <w:r>
        <w:t>chen klimatischen Anforderungen sicherstellen.</w:t>
      </w:r>
    </w:p>
    <w:p w:rsidR="00046349" w:rsidRDefault="00046349" w:rsidP="00046349">
      <w:pPr>
        <w:pStyle w:val="berschrift3"/>
      </w:pPr>
      <w:bookmarkStart w:id="10" w:name="_Toc462130244"/>
      <w:r>
        <w:t>§ 9</w:t>
      </w:r>
      <w:r>
        <w:br/>
        <w:t>Inhalt und Form der Auszeichnung</w:t>
      </w:r>
      <w:bookmarkEnd w:id="10"/>
    </w:p>
    <w:p w:rsidR="00046349" w:rsidRDefault="00046349" w:rsidP="00046349">
      <w:pPr>
        <w:pStyle w:val="GesAbsatz"/>
      </w:pPr>
      <w:r>
        <w:t>(1) Wer im geschäftlichen Verkehr Kraftstoffe an den</w:t>
      </w:r>
      <w:r w:rsidR="002D66A1">
        <w:t xml:space="preserve"> </w:t>
      </w:r>
      <w:r>
        <w:t>Verbraucher veräußert, hat die gewährleisteten Qual</w:t>
      </w:r>
      <w:r>
        <w:t>i</w:t>
      </w:r>
      <w:r>
        <w:t>täten</w:t>
      </w:r>
      <w:r w:rsidR="002D66A1">
        <w:t xml:space="preserve"> </w:t>
      </w:r>
      <w:r>
        <w:t>an den Zapfsäulen und sonst an der Tankstelle in</w:t>
      </w:r>
      <w:r w:rsidR="002D66A1">
        <w:t xml:space="preserve"> </w:t>
      </w:r>
      <w:r>
        <w:t>folgender Weise deutlich sichtbar zu machen:</w:t>
      </w:r>
    </w:p>
    <w:p w:rsidR="00046349" w:rsidRDefault="00046349" w:rsidP="002D66A1">
      <w:pPr>
        <w:pStyle w:val="GesAbsatz"/>
        <w:ind w:left="426" w:hanging="426"/>
      </w:pPr>
      <w:r>
        <w:t>1.</w:t>
      </w:r>
      <w:r w:rsidR="002D66A1">
        <w:tab/>
      </w:r>
      <w:r>
        <w:t>Mit „Super schwefelfrei“ und dem Zeichen nach</w:t>
      </w:r>
      <w:r w:rsidR="002D66A1">
        <w:t xml:space="preserve"> </w:t>
      </w:r>
      <w:r>
        <w:t>Anlage 1a, „Super Plus schwefelfrei“ und dem Zeiche</w:t>
      </w:r>
      <w:r>
        <w:t>n</w:t>
      </w:r>
      <w:r w:rsidR="002D66A1">
        <w:t xml:space="preserve"> </w:t>
      </w:r>
      <w:r>
        <w:t>nach Anlage 1b sowie „Normal schwefelfrei“</w:t>
      </w:r>
      <w:r w:rsidR="002D66A1">
        <w:t xml:space="preserve"> </w:t>
      </w:r>
      <w:r>
        <w:t>und dem Zeichen nach Anlage 1c wird schwefelfreier</w:t>
      </w:r>
      <w:r w:rsidR="002D66A1">
        <w:t xml:space="preserve"> </w:t>
      </w:r>
      <w:r>
        <w:t>Ott</w:t>
      </w:r>
      <w:r>
        <w:t>o</w:t>
      </w:r>
      <w:r>
        <w:t>kraftstoff gekennzeichnet, dessen Eigenschaften</w:t>
      </w:r>
      <w:r w:rsidR="002D66A1">
        <w:t xml:space="preserve"> </w:t>
      </w:r>
      <w:r>
        <w:t>mindestens den Anforderungen der DIN EN 228,</w:t>
      </w:r>
      <w:r w:rsidR="002D66A1">
        <w:t xml:space="preserve"> </w:t>
      </w:r>
      <w:r>
        <w:t>Au</w:t>
      </w:r>
      <w:r>
        <w:t>s</w:t>
      </w:r>
      <w:r>
        <w:t>gabe März 2004, entsprechen oder gleichwertig</w:t>
      </w:r>
      <w:r w:rsidR="002D66A1">
        <w:t xml:space="preserve"> </w:t>
      </w:r>
      <w:r>
        <w:t>nach § 8 sind; statt mit „Normal schwefelfrei“ kann</w:t>
      </w:r>
      <w:r w:rsidR="002D66A1">
        <w:t xml:space="preserve"> </w:t>
      </w:r>
      <w:r>
        <w:t>die Auszeichnung mit „Benzin schwefelfrei“ erfolgen.</w:t>
      </w:r>
    </w:p>
    <w:p w:rsidR="00046349" w:rsidRDefault="00046349" w:rsidP="002D66A1">
      <w:pPr>
        <w:pStyle w:val="GesAbsatz"/>
        <w:ind w:left="426" w:hanging="426"/>
      </w:pPr>
      <w:r>
        <w:t>2.</w:t>
      </w:r>
      <w:r w:rsidR="002D66A1">
        <w:tab/>
      </w:r>
      <w:r>
        <w:t>Mit „Dieselkraftstoff schwefelfrei“ und dem Zeichen</w:t>
      </w:r>
      <w:r w:rsidR="002D66A1">
        <w:t xml:space="preserve"> </w:t>
      </w:r>
      <w:r>
        <w:t>nach Anlage 2 wird Dieselkraftstoff gekennzeic</w:t>
      </w:r>
      <w:r>
        <w:t>h</w:t>
      </w:r>
      <w:r>
        <w:t>net,</w:t>
      </w:r>
      <w:r w:rsidR="002D66A1">
        <w:t xml:space="preserve"> </w:t>
      </w:r>
      <w:r>
        <w:t>dessen Eigenschaften mindestens den Anforderungen</w:t>
      </w:r>
      <w:r w:rsidR="002D66A1">
        <w:t xml:space="preserve"> </w:t>
      </w:r>
      <w:r>
        <w:t>der DIN EN 590, Ausgabe März 2004, entspr</w:t>
      </w:r>
      <w:r>
        <w:t>e</w:t>
      </w:r>
      <w:r>
        <w:t>chen</w:t>
      </w:r>
      <w:r w:rsidR="002D66A1">
        <w:t xml:space="preserve"> </w:t>
      </w:r>
      <w:r>
        <w:t>o</w:t>
      </w:r>
      <w:r>
        <w:t>der gleichwertig nach § 8 sind.</w:t>
      </w:r>
    </w:p>
    <w:p w:rsidR="00046349" w:rsidRDefault="00046349" w:rsidP="002D66A1">
      <w:pPr>
        <w:pStyle w:val="GesAbsatz"/>
        <w:ind w:left="426" w:hanging="426"/>
      </w:pPr>
      <w:r>
        <w:t>3.</w:t>
      </w:r>
      <w:r w:rsidR="002D66A1">
        <w:tab/>
      </w:r>
      <w:r>
        <w:t>Mit „Dieselkraftstoff schwefelfrei“ und dem Zeichen</w:t>
      </w:r>
      <w:r w:rsidR="002D66A1">
        <w:t xml:space="preserve"> </w:t>
      </w:r>
      <w:r>
        <w:t>nach Anlage 2a wird Dieselkraftstoff gekennzeic</w:t>
      </w:r>
      <w:r>
        <w:t>h</w:t>
      </w:r>
      <w:r>
        <w:t>net,</w:t>
      </w:r>
      <w:r w:rsidR="002D66A1">
        <w:t xml:space="preserve"> </w:t>
      </w:r>
      <w:r>
        <w:t>dessen Eigenschaften mindestens den Anforderungen</w:t>
      </w:r>
      <w:r w:rsidR="002D66A1">
        <w:t xml:space="preserve"> </w:t>
      </w:r>
      <w:r>
        <w:t>der DIN 51628, Ausgabe August 2008, en</w:t>
      </w:r>
      <w:r>
        <w:t>t</w:t>
      </w:r>
      <w:r>
        <w:t>sprechen</w:t>
      </w:r>
      <w:r w:rsidR="002D66A1">
        <w:t xml:space="preserve"> </w:t>
      </w:r>
      <w:r>
        <w:t>oder gleichwertig nach § 8 sind; an den</w:t>
      </w:r>
      <w:r w:rsidR="002D66A1">
        <w:t xml:space="preserve"> </w:t>
      </w:r>
      <w:r>
        <w:t>Zapfsäulen ist der Hinweis „Enthält bis zu 7 % Biodi</w:t>
      </w:r>
      <w:r>
        <w:t>e</w:t>
      </w:r>
      <w:r>
        <w:t>sel“</w:t>
      </w:r>
      <w:r w:rsidR="002D66A1">
        <w:t xml:space="preserve"> </w:t>
      </w:r>
      <w:r>
        <w:t>deu</w:t>
      </w:r>
      <w:r>
        <w:t>t</w:t>
      </w:r>
      <w:r>
        <w:t>lich sichtbar anzubringen.</w:t>
      </w:r>
    </w:p>
    <w:p w:rsidR="00046349" w:rsidRDefault="00046349" w:rsidP="002D66A1">
      <w:pPr>
        <w:pStyle w:val="GesAbsatz"/>
        <w:ind w:left="426" w:hanging="426"/>
      </w:pPr>
      <w:r>
        <w:t>4.</w:t>
      </w:r>
      <w:r w:rsidR="002D66A1">
        <w:tab/>
      </w:r>
      <w:r>
        <w:t>Mit „Biodiesel“ und dem Zeichen nach Anlage 3 werden</w:t>
      </w:r>
      <w:r w:rsidR="002D66A1">
        <w:t xml:space="preserve"> </w:t>
      </w:r>
      <w:r>
        <w:t>Fettsäure-Methylester für Dieselmotoren g</w:t>
      </w:r>
      <w:r>
        <w:t>e</w:t>
      </w:r>
      <w:r>
        <w:t>kennzeichnet,</w:t>
      </w:r>
      <w:r w:rsidR="002D66A1">
        <w:t xml:space="preserve"> </w:t>
      </w:r>
      <w:r>
        <w:t>deren Eigenschaften mindestens den</w:t>
      </w:r>
      <w:r w:rsidR="002D66A1">
        <w:t xml:space="preserve"> </w:t>
      </w:r>
      <w:r>
        <w:t>Anforderungen der DIN EN 14214, Ausgabe N</w:t>
      </w:r>
      <w:r>
        <w:t>o</w:t>
      </w:r>
      <w:r>
        <w:t>vember</w:t>
      </w:r>
      <w:r w:rsidR="002D66A1">
        <w:t xml:space="preserve"> </w:t>
      </w:r>
      <w:r>
        <w:t>2003, entsprechen oder gleichwertig nach § 8</w:t>
      </w:r>
      <w:r w:rsidR="002D66A1">
        <w:t xml:space="preserve"> </w:t>
      </w:r>
      <w:r>
        <w:t>sind.</w:t>
      </w:r>
    </w:p>
    <w:p w:rsidR="00046349" w:rsidRDefault="00046349" w:rsidP="002D66A1">
      <w:pPr>
        <w:pStyle w:val="GesAbsatz"/>
        <w:ind w:left="426" w:hanging="426"/>
      </w:pPr>
      <w:r>
        <w:t>5.</w:t>
      </w:r>
      <w:r w:rsidR="002D66A1">
        <w:tab/>
      </w:r>
      <w:r>
        <w:t>Mit „Ethanolkraftstoff (E85)“ und dem Zeichen nach</w:t>
      </w:r>
      <w:r w:rsidR="002D66A1">
        <w:t xml:space="preserve"> </w:t>
      </w:r>
      <w:r>
        <w:t>Anlage 4 wird Ethanol für Kraftfahrzeuge geken</w:t>
      </w:r>
      <w:r>
        <w:t>n</w:t>
      </w:r>
      <w:r>
        <w:t>zeichnet,</w:t>
      </w:r>
      <w:r w:rsidR="002D66A1">
        <w:t xml:space="preserve"> </w:t>
      </w:r>
      <w:r>
        <w:t>dessen Eigenschaften mindestens den Anforderungen</w:t>
      </w:r>
      <w:r w:rsidR="002D66A1">
        <w:t xml:space="preserve"> </w:t>
      </w:r>
      <w:r>
        <w:t>der DIN 51625, Ausgabe August 2008,</w:t>
      </w:r>
      <w:r w:rsidR="002D66A1">
        <w:t xml:space="preserve"> </w:t>
      </w:r>
      <w:r>
        <w:t>en</w:t>
      </w:r>
      <w:r>
        <w:t>t</w:t>
      </w:r>
      <w:r>
        <w:t>sprechen oder gleichwertig nach § 8 sind.</w:t>
      </w:r>
    </w:p>
    <w:p w:rsidR="00046349" w:rsidRDefault="00046349" w:rsidP="002D66A1">
      <w:pPr>
        <w:pStyle w:val="GesAbsatz"/>
        <w:ind w:left="426" w:hanging="426"/>
      </w:pPr>
      <w:r>
        <w:t>6.</w:t>
      </w:r>
      <w:r w:rsidR="002D66A1">
        <w:tab/>
      </w:r>
      <w:r>
        <w:t>Mit „Flüssiggas“ und dem Zeichen nach Anlage 5</w:t>
      </w:r>
      <w:r w:rsidR="002D66A1">
        <w:t xml:space="preserve"> </w:t>
      </w:r>
      <w:r>
        <w:t>wird Flüssiggaskraftstoff gekennzeichnet, dessen</w:t>
      </w:r>
      <w:r w:rsidR="002D66A1">
        <w:t xml:space="preserve"> </w:t>
      </w:r>
      <w:r>
        <w:t>Eigenschaften mindestens den Anforderungen der</w:t>
      </w:r>
      <w:r w:rsidR="002D66A1">
        <w:t xml:space="preserve"> </w:t>
      </w:r>
      <w:r>
        <w:t>DIN EN 589, Ausgabe März 2004, berichtigt durch</w:t>
      </w:r>
      <w:r w:rsidR="002D66A1">
        <w:t xml:space="preserve"> </w:t>
      </w:r>
      <w:r>
        <w:t>Ausgabe März 2006, entsprechen oder gleichwertig</w:t>
      </w:r>
      <w:r w:rsidR="002D66A1">
        <w:t xml:space="preserve"> </w:t>
      </w:r>
      <w:r>
        <w:t>nach § 8 sind.</w:t>
      </w:r>
    </w:p>
    <w:p w:rsidR="00046349" w:rsidRDefault="00046349" w:rsidP="002D66A1">
      <w:pPr>
        <w:pStyle w:val="GesAbsatz"/>
        <w:ind w:left="426" w:hanging="426"/>
      </w:pPr>
      <w:r>
        <w:t>7.</w:t>
      </w:r>
      <w:r w:rsidR="002D66A1">
        <w:tab/>
      </w:r>
      <w:r>
        <w:t>Mit „Erdgas H“ und dem Zeichen nach Anlage 6a</w:t>
      </w:r>
      <w:r w:rsidR="002D66A1">
        <w:t xml:space="preserve"> </w:t>
      </w:r>
      <w:r>
        <w:t>sowie mit „Erdgas L“ und dem Zeichen nach Anl</w:t>
      </w:r>
      <w:r>
        <w:t>a</w:t>
      </w:r>
      <w:r>
        <w:t>ge</w:t>
      </w:r>
      <w:r w:rsidR="002D66A1">
        <w:t> </w:t>
      </w:r>
      <w:r>
        <w:t>6b werden Erdgaskraftstoffe gekennzeichnet,</w:t>
      </w:r>
      <w:r w:rsidR="002D66A1">
        <w:t xml:space="preserve"> </w:t>
      </w:r>
      <w:r>
        <w:t>deren Eigenschaften mindestens den Anforderungen</w:t>
      </w:r>
      <w:r w:rsidR="002D66A1">
        <w:t xml:space="preserve"> </w:t>
      </w:r>
      <w:r>
        <w:t>der DIN 51624, Ausgabe Februar 2008, entsprechen</w:t>
      </w:r>
      <w:r w:rsidR="002D66A1">
        <w:t xml:space="preserve"> </w:t>
      </w:r>
      <w:r>
        <w:t>oder gleichwertig nach § 8 sind.</w:t>
      </w:r>
    </w:p>
    <w:p w:rsidR="00046349" w:rsidRDefault="00046349" w:rsidP="002D66A1">
      <w:pPr>
        <w:pStyle w:val="GesAbsatz"/>
        <w:ind w:left="426" w:hanging="426"/>
      </w:pPr>
      <w:r>
        <w:t>8.</w:t>
      </w:r>
      <w:r w:rsidR="002D66A1">
        <w:tab/>
      </w:r>
      <w:r>
        <w:t>Mit „Pflanzenölkraftstoff“ und dem Zeichen nach Anlage</w:t>
      </w:r>
      <w:r w:rsidR="002D66A1">
        <w:t xml:space="preserve"> </w:t>
      </w:r>
      <w:r>
        <w:t>7 wird Pflanzenölkraftstoff gekennzeic</w:t>
      </w:r>
      <w:r>
        <w:t>h</w:t>
      </w:r>
      <w:r>
        <w:t>net,</w:t>
      </w:r>
      <w:r w:rsidR="002D66A1">
        <w:t xml:space="preserve"> </w:t>
      </w:r>
      <w:r>
        <w:t>dessen Eigenschaften mindestens den Anforderungen</w:t>
      </w:r>
      <w:r w:rsidR="002D66A1">
        <w:t xml:space="preserve"> </w:t>
      </w:r>
      <w:r>
        <w:t>der DIN V 51605, Ausgabe Juli 2006, entspr</w:t>
      </w:r>
      <w:r>
        <w:t>e</w:t>
      </w:r>
      <w:r>
        <w:t>chen</w:t>
      </w:r>
      <w:r w:rsidR="002D66A1">
        <w:t xml:space="preserve"> </w:t>
      </w:r>
      <w:r>
        <w:t>o</w:t>
      </w:r>
      <w:r>
        <w:t>der gleichwertig nach § 8 sind.</w:t>
      </w:r>
    </w:p>
    <w:p w:rsidR="00046349" w:rsidRDefault="00046349" w:rsidP="00046349">
      <w:pPr>
        <w:pStyle w:val="GesAbsatz"/>
      </w:pPr>
      <w:r>
        <w:t>(2) Bei der Abgabe über Betriebstankstellen an geschlossene</w:t>
      </w:r>
      <w:r w:rsidR="002D66A1">
        <w:t xml:space="preserve"> </w:t>
      </w:r>
      <w:r>
        <w:t>Fahrzeugflotten können auch Mischkraftsto</w:t>
      </w:r>
      <w:r>
        <w:t>f</w:t>
      </w:r>
      <w:r>
        <w:t>fe</w:t>
      </w:r>
      <w:r w:rsidR="002D66A1">
        <w:t xml:space="preserve"> </w:t>
      </w:r>
      <w:r>
        <w:t>aus Ottokraftstoffen nach § 1 und Bioethanol</w:t>
      </w:r>
      <w:r w:rsidR="002D66A1">
        <w:t xml:space="preserve"> </w:t>
      </w:r>
      <w:r>
        <w:t>bis zu einem Anteil an Bioethanol von 10 Volumenprozent</w:t>
      </w:r>
      <w:r w:rsidR="002D66A1">
        <w:t xml:space="preserve"> </w:t>
      </w:r>
      <w:r>
        <w:t>in Verkehr gebracht werden. An den Zapfsäulen ist</w:t>
      </w:r>
      <w:r w:rsidR="002D66A1">
        <w:t xml:space="preserve"> </w:t>
      </w:r>
      <w:r>
        <w:t>die Qualität der Kraftstoffe unter Angabe des Bioethanola</w:t>
      </w:r>
      <w:r>
        <w:t>n</w:t>
      </w:r>
      <w:r>
        <w:t>teils</w:t>
      </w:r>
      <w:r w:rsidR="002D66A1">
        <w:t xml:space="preserve"> </w:t>
      </w:r>
      <w:r>
        <w:t>und mit dem Hinweis, dass es sich um keinen</w:t>
      </w:r>
      <w:r w:rsidR="002D66A1">
        <w:t xml:space="preserve"> </w:t>
      </w:r>
      <w:r>
        <w:t>Regelkraftstoff handelt, deutlich sichtbar zu machen.</w:t>
      </w:r>
      <w:r w:rsidR="002D66A1">
        <w:t xml:space="preserve"> </w:t>
      </w:r>
      <w:r>
        <w:t>Als Bioethanol gilt ausschließlich aus Biomasse gewonnener</w:t>
      </w:r>
      <w:r w:rsidR="002D66A1">
        <w:t xml:space="preserve"> </w:t>
      </w:r>
      <w:r>
        <w:t>Ethylalkohol ex Position 2207 10 00 der Kombinie</w:t>
      </w:r>
      <w:r>
        <w:t>r</w:t>
      </w:r>
      <w:r>
        <w:t>ten</w:t>
      </w:r>
      <w:r w:rsidR="002D66A1">
        <w:t xml:space="preserve"> </w:t>
      </w:r>
      <w:r>
        <w:t>Nomenklatur mit einem Alkoholgehalt von mindestens</w:t>
      </w:r>
      <w:r w:rsidR="002D66A1">
        <w:t xml:space="preserve"> </w:t>
      </w:r>
      <w:r>
        <w:t>99 Volumenprozent gemäß Artikel 2 Abs. 2</w:t>
      </w:r>
      <w:r w:rsidR="002D66A1">
        <w:t xml:space="preserve"> </w:t>
      </w:r>
      <w:r>
        <w:t>Buc</w:t>
      </w:r>
      <w:r>
        <w:t>h</w:t>
      </w:r>
      <w:r>
        <w:t>stabe a der Richtlinie 2003/30/EG des Europäischen</w:t>
      </w:r>
      <w:r w:rsidR="002D66A1">
        <w:t xml:space="preserve"> </w:t>
      </w:r>
      <w:r>
        <w:t>Parlaments und des Rates vom 8. Mai 2003 zur</w:t>
      </w:r>
      <w:r w:rsidR="002D66A1">
        <w:t xml:space="preserve"> </w:t>
      </w:r>
      <w:r>
        <w:t>Förd</w:t>
      </w:r>
      <w:r>
        <w:t>e</w:t>
      </w:r>
      <w:r>
        <w:t>rung der Verwendung von Biokraftstoffen oder</w:t>
      </w:r>
      <w:r w:rsidR="002D66A1">
        <w:t xml:space="preserve"> </w:t>
      </w:r>
      <w:r>
        <w:t>anderen erneuerbaren Kraftstoffen im Verkehrssektor</w:t>
      </w:r>
      <w:r w:rsidR="002D66A1">
        <w:t xml:space="preserve"> </w:t>
      </w:r>
      <w:r>
        <w:t>(ABl. EU Nr. L 123 S. 42).</w:t>
      </w:r>
    </w:p>
    <w:p w:rsidR="00046349" w:rsidRDefault="00046349" w:rsidP="002D66A1">
      <w:pPr>
        <w:pStyle w:val="berschrift3"/>
      </w:pPr>
      <w:bookmarkStart w:id="11" w:name="_Toc462130245"/>
      <w:r>
        <w:t>§ 10</w:t>
      </w:r>
      <w:r w:rsidR="002D66A1">
        <w:br/>
      </w:r>
      <w:r>
        <w:t>Unterrichtung des Auszeichnungspflichtigen</w:t>
      </w:r>
      <w:bookmarkEnd w:id="11"/>
    </w:p>
    <w:p w:rsidR="00046349" w:rsidRDefault="00046349" w:rsidP="00046349">
      <w:pPr>
        <w:pStyle w:val="GesAbsatz"/>
      </w:pPr>
      <w:r>
        <w:t>(1) Wer gewerbsmäßig oder im Rahmen einer wirtschaftlichen</w:t>
      </w:r>
      <w:r w:rsidR="002D66A1">
        <w:t xml:space="preserve"> </w:t>
      </w:r>
      <w:r>
        <w:t>Unternehmung Kraftstoffe in den Ve</w:t>
      </w:r>
      <w:r>
        <w:t>r</w:t>
      </w:r>
      <w:r>
        <w:t>kehr</w:t>
      </w:r>
      <w:r w:rsidR="002D66A1">
        <w:t xml:space="preserve"> </w:t>
      </w:r>
      <w:r>
        <w:t>bringt, hat den Auszeichnungspflichtigen bei Anlieferung</w:t>
      </w:r>
      <w:r w:rsidR="002D66A1">
        <w:t xml:space="preserve"> </w:t>
      </w:r>
      <w:r>
        <w:t>der Ware darüber zu unterrichten, dass die Kraf</w:t>
      </w:r>
      <w:r>
        <w:t>t</w:t>
      </w:r>
      <w:r>
        <w:t>stoffe</w:t>
      </w:r>
    </w:p>
    <w:p w:rsidR="00046349" w:rsidRDefault="00046349" w:rsidP="00046349">
      <w:pPr>
        <w:pStyle w:val="GesAbsatz"/>
      </w:pPr>
      <w:r>
        <w:t>1.</w:t>
      </w:r>
      <w:r w:rsidR="002D66A1">
        <w:tab/>
      </w:r>
      <w:r>
        <w:t>den in den §§ 1 bis 7 genannten Mindestanforderungen</w:t>
      </w:r>
      <w:r w:rsidR="002D66A1">
        <w:t xml:space="preserve"> </w:t>
      </w:r>
      <w:r>
        <w:t>entsprechen oder</w:t>
      </w:r>
    </w:p>
    <w:p w:rsidR="00046349" w:rsidRDefault="00046349" w:rsidP="00046349">
      <w:pPr>
        <w:pStyle w:val="GesAbsatz"/>
      </w:pPr>
      <w:r>
        <w:t>2.</w:t>
      </w:r>
      <w:r w:rsidR="002D66A1">
        <w:tab/>
      </w:r>
      <w:r>
        <w:t>nach § 8 gleichwertig sind.</w:t>
      </w:r>
    </w:p>
    <w:p w:rsidR="00046349" w:rsidRDefault="00046349" w:rsidP="00046349">
      <w:pPr>
        <w:pStyle w:val="GesAbsatz"/>
      </w:pPr>
      <w:r>
        <w:t>Die Unterrichtung erfolgt schriftlich, mindestens zusammen</w:t>
      </w:r>
      <w:r w:rsidR="002D66A1">
        <w:t xml:space="preserve"> </w:t>
      </w:r>
      <w:r>
        <w:t>mit einem dem Auszeichnungspflichtigen ausz</w:t>
      </w:r>
      <w:r>
        <w:t>u</w:t>
      </w:r>
      <w:r>
        <w:t>stellenden</w:t>
      </w:r>
      <w:r w:rsidR="002D66A1">
        <w:t xml:space="preserve"> </w:t>
      </w:r>
      <w:r>
        <w:t>Lieferschein.</w:t>
      </w:r>
    </w:p>
    <w:p w:rsidR="00046349" w:rsidRDefault="00046349" w:rsidP="00046349">
      <w:pPr>
        <w:pStyle w:val="GesAbsatz"/>
      </w:pPr>
      <w:r>
        <w:lastRenderedPageBreak/>
        <w:t>(2) Die Bestimmungen des Absatzes 1 finden auch</w:t>
      </w:r>
      <w:r w:rsidR="002D66A1">
        <w:t xml:space="preserve"> </w:t>
      </w:r>
      <w:r>
        <w:t>Anwendung im geschäftlichen Verkehr zwischen dem</w:t>
      </w:r>
      <w:r w:rsidR="002D66A1">
        <w:t xml:space="preserve"> </w:t>
      </w:r>
      <w:r>
        <w:t>Li</w:t>
      </w:r>
      <w:r>
        <w:t>e</w:t>
      </w:r>
      <w:r>
        <w:t>feranten des Kraftstoffs und dem Betreiber einer Betriebstankstelle.</w:t>
      </w:r>
    </w:p>
    <w:p w:rsidR="00046349" w:rsidRDefault="00046349" w:rsidP="002D66A1">
      <w:pPr>
        <w:pStyle w:val="berschrift3"/>
      </w:pPr>
      <w:bookmarkStart w:id="12" w:name="_Toc462130246"/>
      <w:r>
        <w:t>§ 11</w:t>
      </w:r>
      <w:r w:rsidR="002D66A1">
        <w:br/>
      </w:r>
      <w:r>
        <w:t>Bekanntmachung der Kraftstoffqualität</w:t>
      </w:r>
      <w:r w:rsidR="002D66A1">
        <w:t xml:space="preserve"> </w:t>
      </w:r>
      <w:r>
        <w:t>für den Betrieb von Kraftfahrzeugen</w:t>
      </w:r>
      <w:bookmarkEnd w:id="12"/>
    </w:p>
    <w:p w:rsidR="00046349" w:rsidRDefault="00046349" w:rsidP="00046349">
      <w:pPr>
        <w:pStyle w:val="GesAbsatz"/>
      </w:pPr>
      <w:r>
        <w:t>(1) Wer gewerbsmäßig oder im Rahmen einer wirtschaftlichen</w:t>
      </w:r>
      <w:r w:rsidR="002D66A1">
        <w:t xml:space="preserve"> </w:t>
      </w:r>
      <w:r>
        <w:t>Unternehmung Kraftfahrzeuge herstellt</w:t>
      </w:r>
      <w:r w:rsidR="002D66A1">
        <w:t xml:space="preserve"> </w:t>
      </w:r>
      <w:r>
        <w:t>oder einführt, hat für den Betrieb der Kraftfahrzeuge,</w:t>
      </w:r>
      <w:r w:rsidR="002D66A1">
        <w:t xml:space="preserve"> </w:t>
      </w:r>
      <w:r>
        <w:t>die er in den Verkehr bringt, die empfohlenen und verwen</w:t>
      </w:r>
      <w:r>
        <w:t>d</w:t>
      </w:r>
      <w:r>
        <w:t>baren</w:t>
      </w:r>
      <w:r w:rsidR="002D66A1">
        <w:t xml:space="preserve"> </w:t>
      </w:r>
      <w:r>
        <w:t>Kraftstoffqualitäten</w:t>
      </w:r>
    </w:p>
    <w:p w:rsidR="00046349" w:rsidRDefault="00046349" w:rsidP="002D66A1">
      <w:pPr>
        <w:pStyle w:val="GesAbsatz"/>
        <w:ind w:left="426" w:hanging="426"/>
      </w:pPr>
      <w:r>
        <w:t>1.</w:t>
      </w:r>
      <w:r w:rsidR="002D66A1">
        <w:tab/>
      </w:r>
      <w:r>
        <w:t>den Vertragswerkstätten und -händlern sowie der</w:t>
      </w:r>
      <w:r w:rsidR="002D66A1">
        <w:t xml:space="preserve"> </w:t>
      </w:r>
      <w:r>
        <w:t>Öffentlichkeit in geeigneter Weise bekannt zu geb</w:t>
      </w:r>
      <w:r>
        <w:t>e</w:t>
      </w:r>
      <w:r>
        <w:t>n</w:t>
      </w:r>
      <w:r w:rsidR="002D66A1">
        <w:t xml:space="preserve"> </w:t>
      </w:r>
      <w:r>
        <w:t>und</w:t>
      </w:r>
    </w:p>
    <w:p w:rsidR="00046349" w:rsidRDefault="00046349" w:rsidP="002D66A1">
      <w:pPr>
        <w:pStyle w:val="GesAbsatz"/>
        <w:ind w:left="426" w:hanging="426"/>
      </w:pPr>
      <w:r>
        <w:t>2.</w:t>
      </w:r>
      <w:r w:rsidR="002D66A1">
        <w:tab/>
      </w:r>
      <w:r>
        <w:t>in den Betriebsanleitungen oder anderen für den</w:t>
      </w:r>
      <w:r w:rsidR="002D66A1">
        <w:t xml:space="preserve"> </w:t>
      </w:r>
      <w:r>
        <w:t>Kraftfahrzeughalter bestimmten Unterlagen anzug</w:t>
      </w:r>
      <w:r>
        <w:t>e</w:t>
      </w:r>
      <w:r>
        <w:t>ben.</w:t>
      </w:r>
    </w:p>
    <w:p w:rsidR="00046349" w:rsidRDefault="00046349" w:rsidP="00046349">
      <w:pPr>
        <w:pStyle w:val="GesAbsatz"/>
      </w:pPr>
      <w:r>
        <w:t>(2) Für die Erfüllung der Verpflichtungen nach Absatz</w:t>
      </w:r>
      <w:r w:rsidR="002D66A1">
        <w:t xml:space="preserve"> </w:t>
      </w:r>
      <w:r>
        <w:t>1 genügt es, dass die Kraftstoffqualitäten mit den</w:t>
      </w:r>
      <w:r w:rsidR="002D66A1">
        <w:t xml:space="preserve"> </w:t>
      </w:r>
      <w:r>
        <w:t>für die Auszeichnung von Kraftstoff nach § 9 vorgeschriebenen</w:t>
      </w:r>
      <w:r w:rsidR="002D66A1">
        <w:t xml:space="preserve"> </w:t>
      </w:r>
      <w:r>
        <w:t>Auszeichnungen bekannt gegeben oder</w:t>
      </w:r>
      <w:r w:rsidR="002D66A1">
        <w:t xml:space="preserve"> </w:t>
      </w:r>
      <w:r>
        <w:t>ang</w:t>
      </w:r>
      <w:r>
        <w:t>e</w:t>
      </w:r>
      <w:r>
        <w:t>geben werden. Hierbei kann auf die Verwendung</w:t>
      </w:r>
      <w:r w:rsidR="002D66A1">
        <w:t xml:space="preserve"> </w:t>
      </w:r>
      <w:r>
        <w:t>der Zeichen nach den Anlagen 1a bis 7 verzichtet</w:t>
      </w:r>
      <w:r w:rsidR="002D66A1">
        <w:t xml:space="preserve"> </w:t>
      </w:r>
      <w:r>
        <w:t>werden.</w:t>
      </w:r>
    </w:p>
    <w:p w:rsidR="00046349" w:rsidRDefault="00046349" w:rsidP="002D66A1">
      <w:pPr>
        <w:pStyle w:val="berschrift3"/>
      </w:pPr>
      <w:bookmarkStart w:id="13" w:name="_Toc462130247"/>
      <w:r>
        <w:t>§ 12</w:t>
      </w:r>
      <w:r w:rsidR="002D66A1">
        <w:br/>
      </w:r>
      <w:r>
        <w:t>Ausnahmen</w:t>
      </w:r>
      <w:bookmarkEnd w:id="13"/>
    </w:p>
    <w:p w:rsidR="00046349" w:rsidRDefault="00046349" w:rsidP="00046349">
      <w:pPr>
        <w:pStyle w:val="GesAbsatz"/>
      </w:pPr>
      <w:r>
        <w:t>(1) Die zuständige Behörde kann auf Antrag Ausnahmen</w:t>
      </w:r>
      <w:r w:rsidR="002D66A1">
        <w:t xml:space="preserve"> </w:t>
      </w:r>
      <w:r>
        <w:t>von den Anforderungen der §§ 1 bis 7 bewill</w:t>
      </w:r>
      <w:r>
        <w:t>i</w:t>
      </w:r>
      <w:r>
        <w:t>gen,</w:t>
      </w:r>
      <w:r w:rsidR="002D66A1">
        <w:t xml:space="preserve"> </w:t>
      </w:r>
      <w:r>
        <w:t>soweit dies in besonderen Einzelfällen zu Forschungs</w:t>
      </w:r>
      <w:r w:rsidR="002D66A1">
        <w:t xml:space="preserve">- </w:t>
      </w:r>
      <w:r>
        <w:t>und</w:t>
      </w:r>
      <w:r w:rsidR="002D66A1">
        <w:t xml:space="preserve"> </w:t>
      </w:r>
      <w:r>
        <w:t>Erprobungszwecken erforderlich ist und schädl</w:t>
      </w:r>
      <w:r>
        <w:t>i</w:t>
      </w:r>
      <w:r>
        <w:t>che</w:t>
      </w:r>
      <w:r w:rsidR="002D66A1">
        <w:t xml:space="preserve"> </w:t>
      </w:r>
      <w:r>
        <w:t>Umwelteinwirkungen nicht zu erwarten sind. Die Ausnahmen</w:t>
      </w:r>
      <w:r w:rsidR="002D66A1">
        <w:t xml:space="preserve"> </w:t>
      </w:r>
      <w:r>
        <w:t>können unter Bedingungen erteilt und mit Auflagen</w:t>
      </w:r>
      <w:r w:rsidR="002D66A1">
        <w:t xml:space="preserve"> </w:t>
      </w:r>
      <w:r>
        <w:t>verbunden werden. Die Ausnahmen sind zu befristen</w:t>
      </w:r>
      <w:r w:rsidR="002D66A1">
        <w:t xml:space="preserve"> </w:t>
      </w:r>
      <w:r>
        <w:t>und können widerrufen werden.</w:t>
      </w:r>
    </w:p>
    <w:p w:rsidR="00046349" w:rsidRDefault="00046349" w:rsidP="00046349">
      <w:pPr>
        <w:pStyle w:val="GesAbsatz"/>
      </w:pPr>
      <w:r>
        <w:t>(2) Für Kraftstoffe zu Forschungs- und Erprobungszwecken</w:t>
      </w:r>
      <w:r w:rsidR="002D66A1">
        <w:t xml:space="preserve"> </w:t>
      </w:r>
      <w:r>
        <w:t>im Sinne des Absatzes 1 Satz 1, die betriebsi</w:t>
      </w:r>
      <w:r>
        <w:t>n</w:t>
      </w:r>
      <w:r>
        <w:t>tern</w:t>
      </w:r>
      <w:r w:rsidR="002D66A1">
        <w:t xml:space="preserve"> </w:t>
      </w:r>
      <w:r>
        <w:t>verwandt und nicht über öffentliche Tankstellen</w:t>
      </w:r>
      <w:r w:rsidR="002D66A1">
        <w:t xml:space="preserve"> </w:t>
      </w:r>
      <w:r>
        <w:t>in den Verkehr gebracht werden und die keine schädl</w:t>
      </w:r>
      <w:r>
        <w:t>i</w:t>
      </w:r>
      <w:r>
        <w:t>chen</w:t>
      </w:r>
      <w:r w:rsidR="002D66A1">
        <w:t xml:space="preserve"> </w:t>
      </w:r>
      <w:r>
        <w:t>Umwelteinwirkungen erwarten lassen, ist keine</w:t>
      </w:r>
      <w:r w:rsidR="002D66A1">
        <w:t xml:space="preserve"> </w:t>
      </w:r>
      <w:r>
        <w:t>Ausnahme nach Absatz 1 Satz 1 erforderlich.</w:t>
      </w:r>
    </w:p>
    <w:p w:rsidR="00046349" w:rsidRDefault="00046349" w:rsidP="002D66A1">
      <w:pPr>
        <w:pStyle w:val="berschrift3"/>
      </w:pPr>
      <w:bookmarkStart w:id="14" w:name="_Toc462130248"/>
      <w:r>
        <w:t>§ 13</w:t>
      </w:r>
      <w:r w:rsidR="002D66A1">
        <w:br/>
      </w:r>
      <w:r>
        <w:t>Verweisungen auf</w:t>
      </w:r>
      <w:r w:rsidR="002D66A1">
        <w:t xml:space="preserve"> </w:t>
      </w:r>
      <w:r>
        <w:t>DIN-, DIN EN- und DIN V-Normen</w:t>
      </w:r>
      <w:bookmarkEnd w:id="14"/>
    </w:p>
    <w:p w:rsidR="00046349" w:rsidRDefault="00046349" w:rsidP="00046349">
      <w:pPr>
        <w:pStyle w:val="GesAbsatz"/>
      </w:pPr>
      <w:r>
        <w:t>DIN-, DIN EN- und DIN V-Normen, auf die in dieser</w:t>
      </w:r>
      <w:r w:rsidR="002D66A1">
        <w:t xml:space="preserve"> </w:t>
      </w:r>
      <w:r>
        <w:t>Verordnung verwiesen wird, sind bei der Beuth-Verlag</w:t>
      </w:r>
      <w:r w:rsidR="002D66A1">
        <w:t xml:space="preserve"> </w:t>
      </w:r>
      <w:r>
        <w:t>GmbH, Berlin und Köln, erschienen und beim Deutschen</w:t>
      </w:r>
      <w:r w:rsidR="002D66A1">
        <w:t xml:space="preserve"> </w:t>
      </w:r>
      <w:r>
        <w:t>Patent- und Markenamt in München archivmäßi</w:t>
      </w:r>
      <w:r>
        <w:t>g</w:t>
      </w:r>
      <w:r w:rsidR="002D66A1">
        <w:t xml:space="preserve"> </w:t>
      </w:r>
      <w:r>
        <w:t>gesichert niedergelegt.</w:t>
      </w:r>
    </w:p>
    <w:p w:rsidR="00046349" w:rsidRDefault="00046349" w:rsidP="002D66A1">
      <w:pPr>
        <w:pStyle w:val="berschrift3"/>
      </w:pPr>
      <w:bookmarkStart w:id="15" w:name="_Toc462130249"/>
      <w:r>
        <w:t>§ 14</w:t>
      </w:r>
      <w:r w:rsidR="002D66A1">
        <w:br/>
      </w:r>
      <w:r>
        <w:t>Ordnungswidrigkeiten</w:t>
      </w:r>
      <w:bookmarkEnd w:id="15"/>
    </w:p>
    <w:p w:rsidR="00046349" w:rsidRDefault="00046349" w:rsidP="00046349">
      <w:pPr>
        <w:pStyle w:val="GesAbsatz"/>
      </w:pPr>
      <w:r>
        <w:t>Ordnungswidrig im Sinne des § 62 Abs. 1 Nr. 7 des</w:t>
      </w:r>
      <w:r w:rsidR="002D66A1">
        <w:t xml:space="preserve"> </w:t>
      </w:r>
      <w:r>
        <w:t>Bundes-Immissionsschutzgesetzes handelt, wer vorsät</w:t>
      </w:r>
      <w:r>
        <w:t>z</w:t>
      </w:r>
      <w:r>
        <w:t>lich</w:t>
      </w:r>
      <w:r w:rsidR="002D66A1">
        <w:t xml:space="preserve"> </w:t>
      </w:r>
      <w:r>
        <w:t>oder fahrlässig</w:t>
      </w:r>
    </w:p>
    <w:p w:rsidR="00046349" w:rsidRDefault="00046349" w:rsidP="00046349">
      <w:pPr>
        <w:pStyle w:val="GesAbsatz"/>
      </w:pPr>
      <w:r>
        <w:t>1.</w:t>
      </w:r>
      <w:r w:rsidR="002D66A1">
        <w:tab/>
      </w:r>
      <w:r>
        <w:t>entgegen §§ 1, 2, 3, 4, 5, 6 oder § 7, jeweils auch in</w:t>
      </w:r>
      <w:r w:rsidR="002D66A1">
        <w:t xml:space="preserve"> </w:t>
      </w:r>
      <w:r>
        <w:t>Verbindung mit § 8, Kraftstoff veräußert,</w:t>
      </w:r>
    </w:p>
    <w:p w:rsidR="00046349" w:rsidRDefault="00046349" w:rsidP="00046349">
      <w:pPr>
        <w:pStyle w:val="GesAbsatz"/>
      </w:pPr>
      <w:r>
        <w:t>2.</w:t>
      </w:r>
      <w:r w:rsidR="002D66A1">
        <w:tab/>
      </w:r>
      <w:r>
        <w:t>entgegen § 9 Abs. 1 eine Qualität nicht oder nicht</w:t>
      </w:r>
      <w:r w:rsidR="002D66A1">
        <w:t xml:space="preserve"> </w:t>
      </w:r>
      <w:r>
        <w:t>richtig sichtbar macht oder</w:t>
      </w:r>
    </w:p>
    <w:p w:rsidR="00046349" w:rsidRDefault="00046349" w:rsidP="00046349">
      <w:pPr>
        <w:pStyle w:val="GesAbsatz"/>
      </w:pPr>
      <w:r>
        <w:t>3.</w:t>
      </w:r>
      <w:r w:rsidR="002D66A1">
        <w:tab/>
      </w:r>
      <w:r>
        <w:t>entgegen § 10 den Auszeichnungspflichtigen nicht,</w:t>
      </w:r>
      <w:r w:rsidR="002D66A1">
        <w:t xml:space="preserve"> </w:t>
      </w:r>
      <w:r>
        <w:t>nicht richtig oder nicht rechtzeitig unterrichtet.</w:t>
      </w:r>
    </w:p>
    <w:p w:rsidR="00046349" w:rsidRDefault="00046349" w:rsidP="002D66A1">
      <w:pPr>
        <w:pStyle w:val="berschrift3"/>
      </w:pPr>
      <w:bookmarkStart w:id="16" w:name="_Toc462130250"/>
      <w:r>
        <w:t>§ 15</w:t>
      </w:r>
      <w:r w:rsidR="002D66A1">
        <w:br/>
      </w:r>
      <w:r>
        <w:t>Inkrafttreten, Außerkrafttreten</w:t>
      </w:r>
      <w:bookmarkEnd w:id="16"/>
    </w:p>
    <w:p w:rsidR="00046349" w:rsidRDefault="00046349" w:rsidP="00046349">
      <w:pPr>
        <w:pStyle w:val="GesAbsatz"/>
      </w:pPr>
      <w:r>
        <w:t>Diese Verordnung tritt am Tage nach der Verkündung</w:t>
      </w:r>
      <w:r w:rsidR="002D66A1">
        <w:t xml:space="preserve"> </w:t>
      </w:r>
      <w:r>
        <w:t>in Kraft. Gleichzeitig tritt die Verordnung über die B</w:t>
      </w:r>
      <w:r>
        <w:t>e</w:t>
      </w:r>
      <w:r>
        <w:t>schaffenheit</w:t>
      </w:r>
      <w:r w:rsidR="002D66A1">
        <w:t xml:space="preserve"> </w:t>
      </w:r>
      <w:r>
        <w:t>und die Auszeichnung der Qualitäten von</w:t>
      </w:r>
      <w:r w:rsidR="002D66A1">
        <w:t xml:space="preserve"> </w:t>
      </w:r>
      <w:r>
        <w:t>Kraftstoffen vom 24. Juni 2004 (BGBl. I S. 1342) a</w:t>
      </w:r>
      <w:r>
        <w:t>u</w:t>
      </w:r>
      <w:r>
        <w:t>ßer</w:t>
      </w:r>
      <w:r w:rsidR="002D66A1">
        <w:t xml:space="preserve"> </w:t>
      </w:r>
      <w:r>
        <w:t>Kraft.</w:t>
      </w:r>
    </w:p>
    <w:p w:rsidR="002D66A1" w:rsidRDefault="002D66A1" w:rsidP="002D66A1">
      <w:pPr>
        <w:pStyle w:val="berschrift2"/>
        <w:jc w:val="left"/>
      </w:pPr>
      <w:r>
        <w:br w:type="page"/>
      </w:r>
      <w:bookmarkStart w:id="17" w:name="_Toc462130251"/>
      <w:r>
        <w:lastRenderedPageBreak/>
        <w:t>Anlage 1a</w:t>
      </w:r>
      <w:bookmarkEnd w:id="17"/>
    </w:p>
    <w:p w:rsidR="002D66A1" w:rsidRDefault="00CB10C2" w:rsidP="00164B2C">
      <w:pPr>
        <w:pStyle w:val="GesAbsatz"/>
        <w:jc w:val="center"/>
      </w:pPr>
      <w:r>
        <w:rPr>
          <w:noProof/>
        </w:rPr>
        <w:drawing>
          <wp:inline distT="0" distB="0" distL="0" distR="0" wp14:anchorId="76DFF17E" wp14:editId="084054C1">
            <wp:extent cx="1120140" cy="1234440"/>
            <wp:effectExtent l="0" t="0" r="0" b="0"/>
            <wp:docPr id="1" name="Bild 1" descr="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140" cy="1234440"/>
                    </a:xfrm>
                    <a:prstGeom prst="rect">
                      <a:avLst/>
                    </a:prstGeom>
                    <a:noFill/>
                    <a:ln>
                      <a:noFill/>
                    </a:ln>
                  </pic:spPr>
                </pic:pic>
              </a:graphicData>
            </a:graphic>
          </wp:inline>
        </w:drawing>
      </w:r>
    </w:p>
    <w:p w:rsidR="002D66A1" w:rsidRDefault="002D66A1" w:rsidP="002D66A1">
      <w:pPr>
        <w:pStyle w:val="berschrift2"/>
        <w:jc w:val="left"/>
      </w:pPr>
      <w:bookmarkStart w:id="18" w:name="_Toc462130252"/>
      <w:r>
        <w:t>Anlage 1b</w:t>
      </w:r>
      <w:bookmarkEnd w:id="18"/>
    </w:p>
    <w:p w:rsidR="002D66A1" w:rsidRDefault="00CB10C2" w:rsidP="00164B2C">
      <w:pPr>
        <w:pStyle w:val="GesAbsatz"/>
        <w:jc w:val="center"/>
      </w:pPr>
      <w:r>
        <w:rPr>
          <w:noProof/>
        </w:rPr>
        <w:drawing>
          <wp:inline distT="0" distB="0" distL="0" distR="0" wp14:anchorId="093B5BDB" wp14:editId="453FA891">
            <wp:extent cx="1112520" cy="1203960"/>
            <wp:effectExtent l="0" t="0" r="0" b="0"/>
            <wp:docPr id="2" name="Bild 2" descr="graf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k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1203960"/>
                    </a:xfrm>
                    <a:prstGeom prst="rect">
                      <a:avLst/>
                    </a:prstGeom>
                    <a:noFill/>
                    <a:ln>
                      <a:noFill/>
                    </a:ln>
                  </pic:spPr>
                </pic:pic>
              </a:graphicData>
            </a:graphic>
          </wp:inline>
        </w:drawing>
      </w:r>
    </w:p>
    <w:p w:rsidR="002D66A1" w:rsidRDefault="002D66A1" w:rsidP="002D66A1">
      <w:pPr>
        <w:pStyle w:val="berschrift2"/>
        <w:jc w:val="left"/>
      </w:pPr>
      <w:bookmarkStart w:id="19" w:name="_Toc462130253"/>
      <w:r>
        <w:t>Anlage 1c</w:t>
      </w:r>
      <w:bookmarkEnd w:id="19"/>
    </w:p>
    <w:p w:rsidR="002D66A1" w:rsidRDefault="00CB10C2" w:rsidP="00164B2C">
      <w:pPr>
        <w:pStyle w:val="GesAbsatz"/>
        <w:jc w:val="center"/>
      </w:pPr>
      <w:r>
        <w:rPr>
          <w:noProof/>
        </w:rPr>
        <w:drawing>
          <wp:inline distT="0" distB="0" distL="0" distR="0" wp14:anchorId="33924C27" wp14:editId="0E8039B4">
            <wp:extent cx="1112520" cy="1188720"/>
            <wp:effectExtent l="0" t="0" r="0" b="0"/>
            <wp:docPr id="3" name="Bild 3" descr="grafi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188720"/>
                    </a:xfrm>
                    <a:prstGeom prst="rect">
                      <a:avLst/>
                    </a:prstGeom>
                    <a:noFill/>
                    <a:ln>
                      <a:noFill/>
                    </a:ln>
                  </pic:spPr>
                </pic:pic>
              </a:graphicData>
            </a:graphic>
          </wp:inline>
        </w:drawing>
      </w:r>
    </w:p>
    <w:p w:rsidR="002D66A1" w:rsidRDefault="002D66A1" w:rsidP="002D66A1">
      <w:pPr>
        <w:pStyle w:val="berschrift2"/>
        <w:jc w:val="left"/>
      </w:pPr>
      <w:bookmarkStart w:id="20" w:name="_Toc462130254"/>
      <w:r>
        <w:t>Anlage 2</w:t>
      </w:r>
      <w:bookmarkEnd w:id="20"/>
    </w:p>
    <w:p w:rsidR="002D66A1" w:rsidRDefault="00CB10C2" w:rsidP="00164B2C">
      <w:pPr>
        <w:pStyle w:val="GesAbsatz"/>
        <w:jc w:val="center"/>
      </w:pPr>
      <w:r>
        <w:rPr>
          <w:noProof/>
        </w:rPr>
        <w:drawing>
          <wp:inline distT="0" distB="0" distL="0" distR="0" wp14:anchorId="0372CF69" wp14:editId="668BB114">
            <wp:extent cx="1112520" cy="1203960"/>
            <wp:effectExtent l="0" t="0" r="0" b="0"/>
            <wp:docPr id="4" name="Bild 4" descr="grafi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k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203960"/>
                    </a:xfrm>
                    <a:prstGeom prst="rect">
                      <a:avLst/>
                    </a:prstGeom>
                    <a:noFill/>
                    <a:ln>
                      <a:noFill/>
                    </a:ln>
                  </pic:spPr>
                </pic:pic>
              </a:graphicData>
            </a:graphic>
          </wp:inline>
        </w:drawing>
      </w:r>
    </w:p>
    <w:p w:rsidR="002D66A1" w:rsidRDefault="002D66A1" w:rsidP="002D66A1">
      <w:pPr>
        <w:pStyle w:val="berschrift2"/>
        <w:jc w:val="left"/>
      </w:pPr>
      <w:bookmarkStart w:id="21" w:name="_Toc462130255"/>
      <w:r>
        <w:t>Anlage 2a</w:t>
      </w:r>
      <w:bookmarkEnd w:id="21"/>
    </w:p>
    <w:p w:rsidR="002D66A1" w:rsidRDefault="00CB10C2" w:rsidP="00164B2C">
      <w:pPr>
        <w:pStyle w:val="GesAbsatz"/>
        <w:jc w:val="center"/>
      </w:pPr>
      <w:r>
        <w:rPr>
          <w:noProof/>
        </w:rPr>
        <w:drawing>
          <wp:inline distT="0" distB="0" distL="0" distR="0" wp14:anchorId="116469BA" wp14:editId="5438CE26">
            <wp:extent cx="1112520" cy="1203960"/>
            <wp:effectExtent l="0" t="0" r="0" b="0"/>
            <wp:docPr id="5" name="Bild 5" descr="grafi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k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203960"/>
                    </a:xfrm>
                    <a:prstGeom prst="rect">
                      <a:avLst/>
                    </a:prstGeom>
                    <a:noFill/>
                    <a:ln>
                      <a:noFill/>
                    </a:ln>
                  </pic:spPr>
                </pic:pic>
              </a:graphicData>
            </a:graphic>
          </wp:inline>
        </w:drawing>
      </w:r>
    </w:p>
    <w:p w:rsidR="002D66A1" w:rsidRDefault="002D66A1" w:rsidP="002D66A1">
      <w:pPr>
        <w:pStyle w:val="berschrift2"/>
        <w:jc w:val="left"/>
      </w:pPr>
      <w:bookmarkStart w:id="22" w:name="_Toc462130256"/>
      <w:r>
        <w:lastRenderedPageBreak/>
        <w:t>Anlage 3</w:t>
      </w:r>
      <w:bookmarkEnd w:id="22"/>
    </w:p>
    <w:p w:rsidR="002D66A1" w:rsidRDefault="00CB10C2" w:rsidP="00164B2C">
      <w:pPr>
        <w:pStyle w:val="GesAbsatz"/>
        <w:jc w:val="center"/>
      </w:pPr>
      <w:r>
        <w:rPr>
          <w:noProof/>
        </w:rPr>
        <w:drawing>
          <wp:inline distT="0" distB="0" distL="0" distR="0" wp14:anchorId="7F87926B" wp14:editId="0F092163">
            <wp:extent cx="1112520" cy="1264920"/>
            <wp:effectExtent l="0" t="0" r="0" b="0"/>
            <wp:docPr id="6" name="Bild 6" descr="grafi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k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264920"/>
                    </a:xfrm>
                    <a:prstGeom prst="rect">
                      <a:avLst/>
                    </a:prstGeom>
                    <a:noFill/>
                    <a:ln>
                      <a:noFill/>
                    </a:ln>
                  </pic:spPr>
                </pic:pic>
              </a:graphicData>
            </a:graphic>
          </wp:inline>
        </w:drawing>
      </w:r>
    </w:p>
    <w:p w:rsidR="002D66A1" w:rsidRDefault="002D66A1" w:rsidP="002D66A1">
      <w:pPr>
        <w:pStyle w:val="berschrift2"/>
        <w:jc w:val="left"/>
      </w:pPr>
      <w:bookmarkStart w:id="23" w:name="_Toc462130257"/>
      <w:r>
        <w:t>Anlage 4</w:t>
      </w:r>
      <w:bookmarkEnd w:id="23"/>
    </w:p>
    <w:p w:rsidR="002D66A1" w:rsidRDefault="00CB10C2" w:rsidP="00164B2C">
      <w:pPr>
        <w:pStyle w:val="GesAbsatz"/>
        <w:jc w:val="center"/>
      </w:pPr>
      <w:r>
        <w:rPr>
          <w:noProof/>
        </w:rPr>
        <w:drawing>
          <wp:inline distT="0" distB="0" distL="0" distR="0" wp14:anchorId="334A35B0" wp14:editId="40FA7CBA">
            <wp:extent cx="1112520" cy="1264920"/>
            <wp:effectExtent l="0" t="0" r="0" b="0"/>
            <wp:docPr id="7" name="Bild 7" descr="grafi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fik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2520" cy="1264920"/>
                    </a:xfrm>
                    <a:prstGeom prst="rect">
                      <a:avLst/>
                    </a:prstGeom>
                    <a:noFill/>
                    <a:ln>
                      <a:noFill/>
                    </a:ln>
                  </pic:spPr>
                </pic:pic>
              </a:graphicData>
            </a:graphic>
          </wp:inline>
        </w:drawing>
      </w:r>
    </w:p>
    <w:p w:rsidR="002D66A1" w:rsidRDefault="002D66A1" w:rsidP="002D66A1">
      <w:pPr>
        <w:pStyle w:val="berschrift2"/>
        <w:jc w:val="left"/>
      </w:pPr>
      <w:bookmarkStart w:id="24" w:name="_Toc462130258"/>
      <w:r>
        <w:t>Anlage 5</w:t>
      </w:r>
      <w:bookmarkEnd w:id="24"/>
    </w:p>
    <w:p w:rsidR="002D66A1" w:rsidRDefault="00CB10C2" w:rsidP="00164B2C">
      <w:pPr>
        <w:pStyle w:val="GesAbsatz"/>
        <w:jc w:val="center"/>
      </w:pPr>
      <w:r>
        <w:rPr>
          <w:noProof/>
        </w:rPr>
        <w:drawing>
          <wp:inline distT="0" distB="0" distL="0" distR="0" wp14:anchorId="04EE7BC3" wp14:editId="4C0E8ECD">
            <wp:extent cx="1112520" cy="1249680"/>
            <wp:effectExtent l="0" t="0" r="0" b="0"/>
            <wp:docPr id="8" name="Bild 8" descr="grafi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fik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2520" cy="1249680"/>
                    </a:xfrm>
                    <a:prstGeom prst="rect">
                      <a:avLst/>
                    </a:prstGeom>
                    <a:noFill/>
                    <a:ln>
                      <a:noFill/>
                    </a:ln>
                  </pic:spPr>
                </pic:pic>
              </a:graphicData>
            </a:graphic>
          </wp:inline>
        </w:drawing>
      </w:r>
    </w:p>
    <w:p w:rsidR="002D66A1" w:rsidRDefault="002D66A1" w:rsidP="002D66A1">
      <w:pPr>
        <w:pStyle w:val="berschrift2"/>
        <w:jc w:val="left"/>
      </w:pPr>
      <w:bookmarkStart w:id="25" w:name="_Toc462130259"/>
      <w:r>
        <w:t>Anlage 6a</w:t>
      </w:r>
      <w:bookmarkEnd w:id="25"/>
    </w:p>
    <w:p w:rsidR="002D66A1" w:rsidRDefault="00CB10C2" w:rsidP="00164B2C">
      <w:pPr>
        <w:pStyle w:val="GesAbsatz"/>
        <w:jc w:val="center"/>
      </w:pPr>
      <w:r>
        <w:rPr>
          <w:noProof/>
        </w:rPr>
        <w:drawing>
          <wp:inline distT="0" distB="0" distL="0" distR="0" wp14:anchorId="70723434" wp14:editId="6849959D">
            <wp:extent cx="1112520" cy="1264920"/>
            <wp:effectExtent l="0" t="0" r="0" b="0"/>
            <wp:docPr id="9" name="Bild 9" descr="grafi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fik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2520" cy="1264920"/>
                    </a:xfrm>
                    <a:prstGeom prst="rect">
                      <a:avLst/>
                    </a:prstGeom>
                    <a:noFill/>
                    <a:ln>
                      <a:noFill/>
                    </a:ln>
                  </pic:spPr>
                </pic:pic>
              </a:graphicData>
            </a:graphic>
          </wp:inline>
        </w:drawing>
      </w:r>
    </w:p>
    <w:p w:rsidR="002D66A1" w:rsidRDefault="002D66A1" w:rsidP="002D66A1">
      <w:pPr>
        <w:pStyle w:val="berschrift2"/>
        <w:jc w:val="left"/>
      </w:pPr>
      <w:bookmarkStart w:id="26" w:name="_Toc462130260"/>
      <w:r>
        <w:t>Anlage 6b</w:t>
      </w:r>
      <w:bookmarkEnd w:id="26"/>
    </w:p>
    <w:p w:rsidR="002D66A1" w:rsidRDefault="00CB10C2" w:rsidP="00164B2C">
      <w:pPr>
        <w:pStyle w:val="GesAbsatz"/>
        <w:jc w:val="center"/>
      </w:pPr>
      <w:r>
        <w:rPr>
          <w:noProof/>
        </w:rPr>
        <w:drawing>
          <wp:inline distT="0" distB="0" distL="0" distR="0" wp14:anchorId="4E9D3009" wp14:editId="7F48A966">
            <wp:extent cx="1112520" cy="1249680"/>
            <wp:effectExtent l="0" t="0" r="0" b="0"/>
            <wp:docPr id="10" name="Bild 10" descr="grafi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fik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2520" cy="1249680"/>
                    </a:xfrm>
                    <a:prstGeom prst="rect">
                      <a:avLst/>
                    </a:prstGeom>
                    <a:noFill/>
                    <a:ln>
                      <a:noFill/>
                    </a:ln>
                  </pic:spPr>
                </pic:pic>
              </a:graphicData>
            </a:graphic>
          </wp:inline>
        </w:drawing>
      </w:r>
    </w:p>
    <w:p w:rsidR="002D66A1" w:rsidRDefault="002D66A1" w:rsidP="002D66A1">
      <w:pPr>
        <w:pStyle w:val="berschrift2"/>
        <w:jc w:val="left"/>
      </w:pPr>
      <w:bookmarkStart w:id="27" w:name="_Toc462130261"/>
      <w:r>
        <w:lastRenderedPageBreak/>
        <w:t>Anlage 7</w:t>
      </w:r>
      <w:bookmarkEnd w:id="27"/>
    </w:p>
    <w:p w:rsidR="002D66A1" w:rsidRDefault="00CB10C2" w:rsidP="00164B2C">
      <w:pPr>
        <w:pStyle w:val="GesAbsatz"/>
        <w:jc w:val="center"/>
      </w:pPr>
      <w:r>
        <w:rPr>
          <w:noProof/>
        </w:rPr>
        <w:drawing>
          <wp:inline distT="0" distB="0" distL="0" distR="0">
            <wp:extent cx="1112520" cy="1264920"/>
            <wp:effectExtent l="0" t="0" r="0" b="0"/>
            <wp:docPr id="11" name="Bild 11" descr="grafi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fik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2520" cy="1264920"/>
                    </a:xfrm>
                    <a:prstGeom prst="rect">
                      <a:avLst/>
                    </a:prstGeom>
                    <a:noFill/>
                    <a:ln>
                      <a:noFill/>
                    </a:ln>
                  </pic:spPr>
                </pic:pic>
              </a:graphicData>
            </a:graphic>
          </wp:inline>
        </w:drawing>
      </w:r>
    </w:p>
    <w:p w:rsidR="00CD251D" w:rsidRDefault="00CD251D" w:rsidP="00164B2C">
      <w:pPr>
        <w:pStyle w:val="GesAbsatz"/>
        <w:jc w:val="center"/>
      </w:pPr>
    </w:p>
    <w:p w:rsidR="00CD251D" w:rsidRDefault="00CD251D" w:rsidP="00CD251D">
      <w:pPr>
        <w:pStyle w:val="GesAbsatz"/>
      </w:pPr>
    </w:p>
    <w:p w:rsidR="00CD251D" w:rsidRDefault="00CD251D" w:rsidP="00CD251D">
      <w:pPr>
        <w:pStyle w:val="GesAbsatz"/>
      </w:pPr>
      <w:bookmarkStart w:id="28" w:name="Änderungen"/>
      <w:bookmarkEnd w:id="28"/>
    </w:p>
    <w:p w:rsidR="00C36A6C" w:rsidRPr="00C36A6C" w:rsidRDefault="00C36A6C" w:rsidP="00C36A6C">
      <w:pPr>
        <w:pStyle w:val="GesAbsatz"/>
        <w:tabs>
          <w:tab w:val="left" w:pos="2835"/>
        </w:tabs>
      </w:pPr>
      <w:bookmarkStart w:id="29" w:name="Materialien"/>
      <w:bookmarkEnd w:id="29"/>
    </w:p>
    <w:p w:rsidR="00C36A6C" w:rsidRPr="002D66A1" w:rsidRDefault="00C36A6C" w:rsidP="00CD251D">
      <w:pPr>
        <w:pStyle w:val="GesAbsatz"/>
      </w:pPr>
    </w:p>
    <w:sectPr w:rsidR="00C36A6C" w:rsidRPr="002D66A1">
      <w:headerReference w:type="default" r:id="rId19"/>
      <w:footerReference w:type="even" r:id="rId20"/>
      <w:footerReference w:type="default" r:id="rId2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C8" w:rsidRDefault="006A02C8">
      <w:r>
        <w:separator/>
      </w:r>
    </w:p>
  </w:endnote>
  <w:endnote w:type="continuationSeparator" w:id="0">
    <w:p w:rsidR="006A02C8" w:rsidRDefault="006A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8B" w:rsidRDefault="0055298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5298B" w:rsidRDefault="0055298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8B" w:rsidRDefault="0055298B" w:rsidP="00DC1020">
    <w:pPr>
      <w:pStyle w:val="Fuzeile"/>
      <w:tabs>
        <w:tab w:val="clear" w:pos="9639"/>
        <w:tab w:val="right" w:pos="9498"/>
      </w:tabs>
      <w:ind w:right="140"/>
    </w:pPr>
    <w:r>
      <w:tab/>
      <w:t>Stand 27.01.2009 (BGBl. I S. 123)</w:t>
    </w:r>
    <w:r>
      <w:tab/>
      <w:t>Se</w:t>
    </w:r>
    <w:r>
      <w:t>i</w:t>
    </w:r>
    <w:r>
      <w:t xml:space="preserve">te </w:t>
    </w:r>
    <w:r>
      <w:fldChar w:fldCharType="begin"/>
    </w:r>
    <w:r>
      <w:instrText xml:space="preserve"> PAGE  \* MERGEFORMAT </w:instrText>
    </w:r>
    <w:r>
      <w:fldChar w:fldCharType="separate"/>
    </w:r>
    <w:r w:rsidR="00CB10C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C8" w:rsidRDefault="006A02C8">
      <w:r>
        <w:separator/>
      </w:r>
    </w:p>
  </w:footnote>
  <w:footnote w:type="continuationSeparator" w:id="0">
    <w:p w:rsidR="006A02C8" w:rsidRDefault="006A02C8">
      <w:r>
        <w:continuationSeparator/>
      </w:r>
    </w:p>
  </w:footnote>
  <w:footnote w:id="1">
    <w:p w:rsidR="0055298B" w:rsidRDefault="0055298B">
      <w:pPr>
        <w:pStyle w:val="Funotentext"/>
      </w:pPr>
      <w:r>
        <w:rPr>
          <w:rStyle w:val="Funotenzeichen"/>
        </w:rPr>
        <w:footnoteRef/>
      </w:r>
      <w:r>
        <w:t xml:space="preserve"> Die Verordnung dient der Umsetzung der Richtlinien 2003/17/EG des Europäischen Parlaments und des Rates vom 3. März 2003 zur Änderung der Richtlinie 98/70/EG über die Qualität von Otto- und Dieselkraftstoffen (ABl. EU Nr. L 76 S. 10) und 2003/30/EG des Eur</w:t>
      </w:r>
      <w:r>
        <w:t>o</w:t>
      </w:r>
      <w:r>
        <w:t>päischen Parlaments und des Rates vom 8. Mai 2003 zur Förderung der Verwendung von Biokraftstoffen oder anderen erneuerb</w:t>
      </w:r>
      <w:r>
        <w:t>a</w:t>
      </w:r>
      <w:r>
        <w:t>ren Kraftstoffen im Ve</w:t>
      </w:r>
      <w:r>
        <w:t>r</w:t>
      </w:r>
      <w:r>
        <w:t>kehrssektor (ABl. EU Nr. L 123 S. 42).</w:t>
      </w:r>
    </w:p>
  </w:footnote>
  <w:footnote w:id="2">
    <w:p w:rsidR="0055298B" w:rsidRDefault="0055298B">
      <w:pPr>
        <w:pStyle w:val="Funotentext"/>
      </w:pPr>
      <w:r>
        <w:rPr>
          <w:rStyle w:val="Funotenzeichen"/>
        </w:rPr>
        <w:footnoteRef/>
      </w:r>
      <w:r>
        <w:t xml:space="preserve"> Die Verpflichtungen aus der Richtlinie 98/34/EG des Europäischen Parlaments und des Rates vom 22. Juni 1998 über ein Informat</w:t>
      </w:r>
      <w:r>
        <w:t>i</w:t>
      </w:r>
      <w:r>
        <w:t>onsverfahren auf dem Gebiet der Normen und technischen Vorschriften und der Vorschriften für die Dienste der Informationsgesel</w:t>
      </w:r>
      <w:r>
        <w:t>l</w:t>
      </w:r>
      <w:r>
        <w:t>schaft (ABl. EG Nr. L 204 S. 37), zuletzt geändert durch die Richtlinie 2006/96/EG des Rates vom 20. November 2006 (ABl. EU Nr. L 363 S. 81), sind b</w:t>
      </w:r>
      <w:r>
        <w:t>e</w:t>
      </w:r>
      <w:r>
        <w:t>achtet worden.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8B" w:rsidRDefault="0055298B" w:rsidP="00CB10C2">
    <w:pPr>
      <w:pStyle w:val="Kopfzeile0"/>
    </w:pPr>
    <w:r>
      <w:t>Archiv6.53</w:t>
    </w:r>
  </w:p>
  <w:p w:rsidR="0055298B" w:rsidRDefault="0055298B">
    <w:pPr>
      <w:pStyle w:val="Kopfzeile"/>
    </w:pPr>
    <w:r>
      <w:t>10. BImSchV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49"/>
    <w:rsid w:val="0001451A"/>
    <w:rsid w:val="00021151"/>
    <w:rsid w:val="00046349"/>
    <w:rsid w:val="00077EF0"/>
    <w:rsid w:val="00093D90"/>
    <w:rsid w:val="000B208E"/>
    <w:rsid w:val="00150B0A"/>
    <w:rsid w:val="00164B2C"/>
    <w:rsid w:val="001715DF"/>
    <w:rsid w:val="001C1083"/>
    <w:rsid w:val="00243AFC"/>
    <w:rsid w:val="00257928"/>
    <w:rsid w:val="002B3267"/>
    <w:rsid w:val="002D5542"/>
    <w:rsid w:val="002D66A1"/>
    <w:rsid w:val="00313F0C"/>
    <w:rsid w:val="0034623D"/>
    <w:rsid w:val="003A6E25"/>
    <w:rsid w:val="003B24A9"/>
    <w:rsid w:val="003E5CB8"/>
    <w:rsid w:val="00404262"/>
    <w:rsid w:val="00406F32"/>
    <w:rsid w:val="00412824"/>
    <w:rsid w:val="00463F31"/>
    <w:rsid w:val="004964D0"/>
    <w:rsid w:val="004B2942"/>
    <w:rsid w:val="004F2A9F"/>
    <w:rsid w:val="0055298B"/>
    <w:rsid w:val="00557465"/>
    <w:rsid w:val="006242A7"/>
    <w:rsid w:val="0063668C"/>
    <w:rsid w:val="00653B32"/>
    <w:rsid w:val="00666321"/>
    <w:rsid w:val="00697151"/>
    <w:rsid w:val="006A02C8"/>
    <w:rsid w:val="006D0AB0"/>
    <w:rsid w:val="006F7DCB"/>
    <w:rsid w:val="00724F2D"/>
    <w:rsid w:val="007F5C17"/>
    <w:rsid w:val="008B789C"/>
    <w:rsid w:val="008D6200"/>
    <w:rsid w:val="00963345"/>
    <w:rsid w:val="0098598C"/>
    <w:rsid w:val="009F448A"/>
    <w:rsid w:val="00A250F3"/>
    <w:rsid w:val="00A84BF8"/>
    <w:rsid w:val="00A95D02"/>
    <w:rsid w:val="00AB20F7"/>
    <w:rsid w:val="00AD4D49"/>
    <w:rsid w:val="00B231F6"/>
    <w:rsid w:val="00B466D3"/>
    <w:rsid w:val="00B62B8A"/>
    <w:rsid w:val="00C36A6C"/>
    <w:rsid w:val="00CB10C2"/>
    <w:rsid w:val="00CD251D"/>
    <w:rsid w:val="00D750EF"/>
    <w:rsid w:val="00D86C52"/>
    <w:rsid w:val="00DB2935"/>
    <w:rsid w:val="00DC1020"/>
    <w:rsid w:val="00E11585"/>
    <w:rsid w:val="00E751D6"/>
    <w:rsid w:val="00EB37C1"/>
    <w:rsid w:val="00EB5006"/>
    <w:rsid w:val="00F61E0B"/>
    <w:rsid w:val="00F76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B10C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B10C2"/>
    <w:pPr>
      <w:keepNext/>
      <w:spacing w:after="120"/>
      <w:jc w:val="center"/>
      <w:outlineLvl w:val="0"/>
    </w:pPr>
    <w:rPr>
      <w:b/>
      <w:kern w:val="28"/>
      <w:sz w:val="28"/>
    </w:rPr>
  </w:style>
  <w:style w:type="paragraph" w:styleId="berschrift2">
    <w:name w:val="heading 2"/>
    <w:basedOn w:val="Standard"/>
    <w:next w:val="GesAbsatz"/>
    <w:qFormat/>
    <w:rsid w:val="00CB10C2"/>
    <w:pPr>
      <w:keepNext/>
      <w:spacing w:before="240"/>
      <w:jc w:val="center"/>
      <w:outlineLvl w:val="1"/>
    </w:pPr>
    <w:rPr>
      <w:b/>
      <w:sz w:val="24"/>
    </w:rPr>
  </w:style>
  <w:style w:type="paragraph" w:styleId="berschrift3">
    <w:name w:val="heading 3"/>
    <w:basedOn w:val="Standard"/>
    <w:next w:val="GesAbsatz"/>
    <w:qFormat/>
    <w:rsid w:val="00CB10C2"/>
    <w:pPr>
      <w:keepNext/>
      <w:spacing w:before="240" w:after="180"/>
      <w:jc w:val="center"/>
      <w:outlineLvl w:val="2"/>
    </w:pPr>
    <w:rPr>
      <w:b/>
    </w:rPr>
  </w:style>
  <w:style w:type="paragraph" w:styleId="berschrift4">
    <w:name w:val="heading 4"/>
    <w:basedOn w:val="Standard"/>
    <w:next w:val="Standard"/>
    <w:rsid w:val="00CB10C2"/>
    <w:pPr>
      <w:keepNext/>
      <w:spacing w:before="240"/>
      <w:outlineLvl w:val="3"/>
    </w:pPr>
  </w:style>
  <w:style w:type="paragraph" w:styleId="berschrift5">
    <w:name w:val="heading 5"/>
    <w:basedOn w:val="Standard"/>
    <w:next w:val="Standard"/>
    <w:rsid w:val="00CB10C2"/>
    <w:pPr>
      <w:spacing w:before="120"/>
      <w:ind w:left="709" w:hanging="709"/>
      <w:outlineLvl w:val="4"/>
    </w:pPr>
  </w:style>
  <w:style w:type="character" w:default="1" w:styleId="Absatz-Standardschriftart">
    <w:name w:val="Default Paragraph Font"/>
    <w:uiPriority w:val="1"/>
    <w:unhideWhenUsed/>
    <w:rsid w:val="00CB10C2"/>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CB10C2"/>
  </w:style>
  <w:style w:type="paragraph" w:styleId="Kopfzeile">
    <w:name w:val="header"/>
    <w:basedOn w:val="Standard"/>
    <w:qFormat/>
    <w:rsid w:val="00CB10C2"/>
    <w:pPr>
      <w:tabs>
        <w:tab w:val="center" w:pos="4536"/>
        <w:tab w:val="right" w:pos="9072"/>
      </w:tabs>
      <w:spacing w:before="0" w:after="120"/>
      <w:jc w:val="right"/>
    </w:pPr>
  </w:style>
  <w:style w:type="paragraph" w:styleId="Fuzeile">
    <w:name w:val="footer"/>
    <w:basedOn w:val="Standard"/>
    <w:qFormat/>
    <w:rsid w:val="00CB10C2"/>
    <w:pPr>
      <w:tabs>
        <w:tab w:val="clear" w:pos="425"/>
        <w:tab w:val="right" w:pos="8505"/>
        <w:tab w:val="right" w:pos="9639"/>
      </w:tabs>
      <w:spacing w:before="0" w:after="0"/>
      <w:jc w:val="left"/>
    </w:pPr>
    <w:rPr>
      <w:sz w:val="16"/>
    </w:rPr>
  </w:style>
  <w:style w:type="character" w:styleId="Seitenzahl">
    <w:name w:val="page number"/>
    <w:semiHidden/>
    <w:rsid w:val="00CB10C2"/>
    <w:rPr>
      <w:rFonts w:ascii="Arial" w:hAnsi="Arial"/>
      <w:sz w:val="16"/>
    </w:rPr>
  </w:style>
  <w:style w:type="paragraph" w:styleId="Verzeichnis2">
    <w:name w:val="toc 2"/>
    <w:basedOn w:val="Standard"/>
    <w:next w:val="Standard"/>
    <w:uiPriority w:val="39"/>
    <w:rsid w:val="00CB10C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CB10C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CB10C2"/>
    <w:pPr>
      <w:spacing w:before="0" w:after="0"/>
    </w:pPr>
    <w:rPr>
      <w:sz w:val="16"/>
    </w:rPr>
  </w:style>
  <w:style w:type="paragraph" w:styleId="Verzeichnis1">
    <w:name w:val="toc 1"/>
    <w:basedOn w:val="Verzeichnis3"/>
    <w:next w:val="Standard"/>
    <w:uiPriority w:val="39"/>
    <w:rsid w:val="00CB10C2"/>
    <w:pPr>
      <w:spacing w:before="120" w:after="120"/>
      <w:ind w:left="0"/>
    </w:pPr>
    <w:rPr>
      <w:b/>
      <w:i w:val="0"/>
      <w:caps/>
    </w:rPr>
  </w:style>
  <w:style w:type="paragraph" w:customStyle="1" w:styleId="GesAbsatz">
    <w:name w:val="GesAbsatz"/>
    <w:basedOn w:val="Standard"/>
    <w:qFormat/>
    <w:rsid w:val="00CB10C2"/>
    <w:pPr>
      <w:spacing w:before="100"/>
    </w:pPr>
    <w:rPr>
      <w:color w:val="000000"/>
    </w:rPr>
  </w:style>
  <w:style w:type="paragraph" w:styleId="Verzeichnis4">
    <w:name w:val="toc 4"/>
    <w:basedOn w:val="Standard"/>
    <w:next w:val="Standard"/>
    <w:semiHidden/>
    <w:rsid w:val="00CB10C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CB10C2"/>
    <w:rPr>
      <w:sz w:val="20"/>
      <w:szCs w:val="20"/>
      <w:vertAlign w:val="superscript"/>
    </w:rPr>
  </w:style>
  <w:style w:type="paragraph" w:styleId="Verzeichnis5">
    <w:name w:val="toc 5"/>
    <w:basedOn w:val="Standard"/>
    <w:next w:val="Standard"/>
    <w:semiHidden/>
    <w:rsid w:val="00CB10C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B10C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B10C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B10C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B10C2"/>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CB10C2"/>
    <w:rPr>
      <w:color w:val="0000FF"/>
      <w:u w:val="single"/>
    </w:rPr>
  </w:style>
  <w:style w:type="character" w:styleId="BesuchterHyperlink">
    <w:name w:val="FollowedHyperlink"/>
    <w:basedOn w:val="Absatz-Standardschriftart"/>
    <w:rsid w:val="00CD251D"/>
    <w:rPr>
      <w:color w:val="800080"/>
      <w:u w:val="single"/>
    </w:rPr>
  </w:style>
  <w:style w:type="paragraph" w:customStyle="1" w:styleId="Kopfzeile0">
    <w:name w:val="Kopfzeile0"/>
    <w:basedOn w:val="Standard"/>
    <w:next w:val="Kopfzeile"/>
    <w:qFormat/>
    <w:rsid w:val="00CB10C2"/>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B10C2"/>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CB10C2"/>
    <w:pPr>
      <w:keepNext/>
      <w:spacing w:after="120"/>
      <w:jc w:val="center"/>
      <w:outlineLvl w:val="0"/>
    </w:pPr>
    <w:rPr>
      <w:b/>
      <w:kern w:val="28"/>
      <w:sz w:val="28"/>
    </w:rPr>
  </w:style>
  <w:style w:type="paragraph" w:styleId="berschrift2">
    <w:name w:val="heading 2"/>
    <w:basedOn w:val="Standard"/>
    <w:next w:val="GesAbsatz"/>
    <w:qFormat/>
    <w:rsid w:val="00CB10C2"/>
    <w:pPr>
      <w:keepNext/>
      <w:spacing w:before="240"/>
      <w:jc w:val="center"/>
      <w:outlineLvl w:val="1"/>
    </w:pPr>
    <w:rPr>
      <w:b/>
      <w:sz w:val="24"/>
    </w:rPr>
  </w:style>
  <w:style w:type="paragraph" w:styleId="berschrift3">
    <w:name w:val="heading 3"/>
    <w:basedOn w:val="Standard"/>
    <w:next w:val="GesAbsatz"/>
    <w:qFormat/>
    <w:rsid w:val="00CB10C2"/>
    <w:pPr>
      <w:keepNext/>
      <w:spacing w:before="240" w:after="180"/>
      <w:jc w:val="center"/>
      <w:outlineLvl w:val="2"/>
    </w:pPr>
    <w:rPr>
      <w:b/>
    </w:rPr>
  </w:style>
  <w:style w:type="paragraph" w:styleId="berschrift4">
    <w:name w:val="heading 4"/>
    <w:basedOn w:val="Standard"/>
    <w:next w:val="Standard"/>
    <w:rsid w:val="00CB10C2"/>
    <w:pPr>
      <w:keepNext/>
      <w:spacing w:before="240"/>
      <w:outlineLvl w:val="3"/>
    </w:pPr>
  </w:style>
  <w:style w:type="paragraph" w:styleId="berschrift5">
    <w:name w:val="heading 5"/>
    <w:basedOn w:val="Standard"/>
    <w:next w:val="Standard"/>
    <w:rsid w:val="00CB10C2"/>
    <w:pPr>
      <w:spacing w:before="120"/>
      <w:ind w:left="709" w:hanging="709"/>
      <w:outlineLvl w:val="4"/>
    </w:pPr>
  </w:style>
  <w:style w:type="character" w:default="1" w:styleId="Absatz-Standardschriftart">
    <w:name w:val="Default Paragraph Font"/>
    <w:uiPriority w:val="1"/>
    <w:unhideWhenUsed/>
    <w:rsid w:val="00CB10C2"/>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CB10C2"/>
  </w:style>
  <w:style w:type="paragraph" w:styleId="Kopfzeile">
    <w:name w:val="header"/>
    <w:basedOn w:val="Standard"/>
    <w:qFormat/>
    <w:rsid w:val="00CB10C2"/>
    <w:pPr>
      <w:tabs>
        <w:tab w:val="center" w:pos="4536"/>
        <w:tab w:val="right" w:pos="9072"/>
      </w:tabs>
      <w:spacing w:before="0" w:after="120"/>
      <w:jc w:val="right"/>
    </w:pPr>
  </w:style>
  <w:style w:type="paragraph" w:styleId="Fuzeile">
    <w:name w:val="footer"/>
    <w:basedOn w:val="Standard"/>
    <w:qFormat/>
    <w:rsid w:val="00CB10C2"/>
    <w:pPr>
      <w:tabs>
        <w:tab w:val="clear" w:pos="425"/>
        <w:tab w:val="right" w:pos="8505"/>
        <w:tab w:val="right" w:pos="9639"/>
      </w:tabs>
      <w:spacing w:before="0" w:after="0"/>
      <w:jc w:val="left"/>
    </w:pPr>
    <w:rPr>
      <w:sz w:val="16"/>
    </w:rPr>
  </w:style>
  <w:style w:type="character" w:styleId="Seitenzahl">
    <w:name w:val="page number"/>
    <w:semiHidden/>
    <w:rsid w:val="00CB10C2"/>
    <w:rPr>
      <w:rFonts w:ascii="Arial" w:hAnsi="Arial"/>
      <w:sz w:val="16"/>
    </w:rPr>
  </w:style>
  <w:style w:type="paragraph" w:styleId="Verzeichnis2">
    <w:name w:val="toc 2"/>
    <w:basedOn w:val="Standard"/>
    <w:next w:val="Standard"/>
    <w:uiPriority w:val="39"/>
    <w:rsid w:val="00CB10C2"/>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CB10C2"/>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CB10C2"/>
    <w:pPr>
      <w:spacing w:before="0" w:after="0"/>
    </w:pPr>
    <w:rPr>
      <w:sz w:val="16"/>
    </w:rPr>
  </w:style>
  <w:style w:type="paragraph" w:styleId="Verzeichnis1">
    <w:name w:val="toc 1"/>
    <w:basedOn w:val="Verzeichnis3"/>
    <w:next w:val="Standard"/>
    <w:uiPriority w:val="39"/>
    <w:rsid w:val="00CB10C2"/>
    <w:pPr>
      <w:spacing w:before="120" w:after="120"/>
      <w:ind w:left="0"/>
    </w:pPr>
    <w:rPr>
      <w:b/>
      <w:i w:val="0"/>
      <w:caps/>
    </w:rPr>
  </w:style>
  <w:style w:type="paragraph" w:customStyle="1" w:styleId="GesAbsatz">
    <w:name w:val="GesAbsatz"/>
    <w:basedOn w:val="Standard"/>
    <w:qFormat/>
    <w:rsid w:val="00CB10C2"/>
    <w:pPr>
      <w:spacing w:before="100"/>
    </w:pPr>
    <w:rPr>
      <w:color w:val="000000"/>
    </w:rPr>
  </w:style>
  <w:style w:type="paragraph" w:styleId="Verzeichnis4">
    <w:name w:val="toc 4"/>
    <w:basedOn w:val="Standard"/>
    <w:next w:val="Standard"/>
    <w:semiHidden/>
    <w:rsid w:val="00CB10C2"/>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CB10C2"/>
    <w:rPr>
      <w:sz w:val="20"/>
      <w:szCs w:val="20"/>
      <w:vertAlign w:val="superscript"/>
    </w:rPr>
  </w:style>
  <w:style w:type="paragraph" w:styleId="Verzeichnis5">
    <w:name w:val="toc 5"/>
    <w:basedOn w:val="Standard"/>
    <w:next w:val="Standard"/>
    <w:semiHidden/>
    <w:rsid w:val="00CB10C2"/>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CB10C2"/>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CB10C2"/>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CB10C2"/>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CB10C2"/>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CB10C2"/>
    <w:rPr>
      <w:color w:val="0000FF"/>
      <w:u w:val="single"/>
    </w:rPr>
  </w:style>
  <w:style w:type="character" w:styleId="BesuchterHyperlink">
    <w:name w:val="FollowedHyperlink"/>
    <w:basedOn w:val="Absatz-Standardschriftart"/>
    <w:rsid w:val="00CD251D"/>
    <w:rPr>
      <w:color w:val="800080"/>
      <w:u w:val="single"/>
    </w:rPr>
  </w:style>
  <w:style w:type="paragraph" w:customStyle="1" w:styleId="Kopfzeile0">
    <w:name w:val="Kopfzeile0"/>
    <w:basedOn w:val="Standard"/>
    <w:next w:val="Kopfzeile"/>
    <w:qFormat/>
    <w:rsid w:val="00CB10C2"/>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5D98-1BA8-45B8-B3BB-3372201D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1716</Words>
  <Characters>12082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Verordnung über die Beschaffenheit und die Auszeichnung von Qualitäten von Kraftstoffen</vt:lpstr>
    </vt:vector>
  </TitlesOfParts>
  <Company>LANUV NRW</Company>
  <LinksUpToDate>false</LinksUpToDate>
  <CharactersWithSpaces>13771</CharactersWithSpaces>
  <SharedDoc>false</SharedDoc>
  <HLinks>
    <vt:vector size="168" baseType="variant">
      <vt:variant>
        <vt:i4>1769526</vt:i4>
      </vt:variant>
      <vt:variant>
        <vt:i4>161</vt:i4>
      </vt:variant>
      <vt:variant>
        <vt:i4>0</vt:i4>
      </vt:variant>
      <vt:variant>
        <vt:i4>5</vt:i4>
      </vt:variant>
      <vt:variant>
        <vt:lpwstr/>
      </vt:variant>
      <vt:variant>
        <vt:lpwstr>_Toc221076285</vt:lpwstr>
      </vt:variant>
      <vt:variant>
        <vt:i4>1769526</vt:i4>
      </vt:variant>
      <vt:variant>
        <vt:i4>155</vt:i4>
      </vt:variant>
      <vt:variant>
        <vt:i4>0</vt:i4>
      </vt:variant>
      <vt:variant>
        <vt:i4>5</vt:i4>
      </vt:variant>
      <vt:variant>
        <vt:lpwstr/>
      </vt:variant>
      <vt:variant>
        <vt:lpwstr>_Toc221076284</vt:lpwstr>
      </vt:variant>
      <vt:variant>
        <vt:i4>1769526</vt:i4>
      </vt:variant>
      <vt:variant>
        <vt:i4>149</vt:i4>
      </vt:variant>
      <vt:variant>
        <vt:i4>0</vt:i4>
      </vt:variant>
      <vt:variant>
        <vt:i4>5</vt:i4>
      </vt:variant>
      <vt:variant>
        <vt:lpwstr/>
      </vt:variant>
      <vt:variant>
        <vt:lpwstr>_Toc221076283</vt:lpwstr>
      </vt:variant>
      <vt:variant>
        <vt:i4>1769526</vt:i4>
      </vt:variant>
      <vt:variant>
        <vt:i4>143</vt:i4>
      </vt:variant>
      <vt:variant>
        <vt:i4>0</vt:i4>
      </vt:variant>
      <vt:variant>
        <vt:i4>5</vt:i4>
      </vt:variant>
      <vt:variant>
        <vt:lpwstr/>
      </vt:variant>
      <vt:variant>
        <vt:lpwstr>_Toc221076282</vt:lpwstr>
      </vt:variant>
      <vt:variant>
        <vt:i4>1769526</vt:i4>
      </vt:variant>
      <vt:variant>
        <vt:i4>137</vt:i4>
      </vt:variant>
      <vt:variant>
        <vt:i4>0</vt:i4>
      </vt:variant>
      <vt:variant>
        <vt:i4>5</vt:i4>
      </vt:variant>
      <vt:variant>
        <vt:lpwstr/>
      </vt:variant>
      <vt:variant>
        <vt:lpwstr>_Toc221076281</vt:lpwstr>
      </vt:variant>
      <vt:variant>
        <vt:i4>1769526</vt:i4>
      </vt:variant>
      <vt:variant>
        <vt:i4>131</vt:i4>
      </vt:variant>
      <vt:variant>
        <vt:i4>0</vt:i4>
      </vt:variant>
      <vt:variant>
        <vt:i4>5</vt:i4>
      </vt:variant>
      <vt:variant>
        <vt:lpwstr/>
      </vt:variant>
      <vt:variant>
        <vt:lpwstr>_Toc221076280</vt:lpwstr>
      </vt:variant>
      <vt:variant>
        <vt:i4>1310774</vt:i4>
      </vt:variant>
      <vt:variant>
        <vt:i4>125</vt:i4>
      </vt:variant>
      <vt:variant>
        <vt:i4>0</vt:i4>
      </vt:variant>
      <vt:variant>
        <vt:i4>5</vt:i4>
      </vt:variant>
      <vt:variant>
        <vt:lpwstr/>
      </vt:variant>
      <vt:variant>
        <vt:lpwstr>_Toc221076279</vt:lpwstr>
      </vt:variant>
      <vt:variant>
        <vt:i4>1310774</vt:i4>
      </vt:variant>
      <vt:variant>
        <vt:i4>119</vt:i4>
      </vt:variant>
      <vt:variant>
        <vt:i4>0</vt:i4>
      </vt:variant>
      <vt:variant>
        <vt:i4>5</vt:i4>
      </vt:variant>
      <vt:variant>
        <vt:lpwstr/>
      </vt:variant>
      <vt:variant>
        <vt:lpwstr>_Toc221076278</vt:lpwstr>
      </vt:variant>
      <vt:variant>
        <vt:i4>1310774</vt:i4>
      </vt:variant>
      <vt:variant>
        <vt:i4>113</vt:i4>
      </vt:variant>
      <vt:variant>
        <vt:i4>0</vt:i4>
      </vt:variant>
      <vt:variant>
        <vt:i4>5</vt:i4>
      </vt:variant>
      <vt:variant>
        <vt:lpwstr/>
      </vt:variant>
      <vt:variant>
        <vt:lpwstr>_Toc221076277</vt:lpwstr>
      </vt:variant>
      <vt:variant>
        <vt:i4>1310774</vt:i4>
      </vt:variant>
      <vt:variant>
        <vt:i4>107</vt:i4>
      </vt:variant>
      <vt:variant>
        <vt:i4>0</vt:i4>
      </vt:variant>
      <vt:variant>
        <vt:i4>5</vt:i4>
      </vt:variant>
      <vt:variant>
        <vt:lpwstr/>
      </vt:variant>
      <vt:variant>
        <vt:lpwstr>_Toc221076276</vt:lpwstr>
      </vt:variant>
      <vt:variant>
        <vt:i4>1310774</vt:i4>
      </vt:variant>
      <vt:variant>
        <vt:i4>101</vt:i4>
      </vt:variant>
      <vt:variant>
        <vt:i4>0</vt:i4>
      </vt:variant>
      <vt:variant>
        <vt:i4>5</vt:i4>
      </vt:variant>
      <vt:variant>
        <vt:lpwstr/>
      </vt:variant>
      <vt:variant>
        <vt:lpwstr>_Toc221076275</vt:lpwstr>
      </vt:variant>
      <vt:variant>
        <vt:i4>1310774</vt:i4>
      </vt:variant>
      <vt:variant>
        <vt:i4>95</vt:i4>
      </vt:variant>
      <vt:variant>
        <vt:i4>0</vt:i4>
      </vt:variant>
      <vt:variant>
        <vt:i4>5</vt:i4>
      </vt:variant>
      <vt:variant>
        <vt:lpwstr/>
      </vt:variant>
      <vt:variant>
        <vt:lpwstr>_Toc221076274</vt:lpwstr>
      </vt:variant>
      <vt:variant>
        <vt:i4>1310774</vt:i4>
      </vt:variant>
      <vt:variant>
        <vt:i4>89</vt:i4>
      </vt:variant>
      <vt:variant>
        <vt:i4>0</vt:i4>
      </vt:variant>
      <vt:variant>
        <vt:i4>5</vt:i4>
      </vt:variant>
      <vt:variant>
        <vt:lpwstr/>
      </vt:variant>
      <vt:variant>
        <vt:lpwstr>_Toc221076273</vt:lpwstr>
      </vt:variant>
      <vt:variant>
        <vt:i4>1310774</vt:i4>
      </vt:variant>
      <vt:variant>
        <vt:i4>83</vt:i4>
      </vt:variant>
      <vt:variant>
        <vt:i4>0</vt:i4>
      </vt:variant>
      <vt:variant>
        <vt:i4>5</vt:i4>
      </vt:variant>
      <vt:variant>
        <vt:lpwstr/>
      </vt:variant>
      <vt:variant>
        <vt:lpwstr>_Toc221076272</vt:lpwstr>
      </vt:variant>
      <vt:variant>
        <vt:i4>1310774</vt:i4>
      </vt:variant>
      <vt:variant>
        <vt:i4>77</vt:i4>
      </vt:variant>
      <vt:variant>
        <vt:i4>0</vt:i4>
      </vt:variant>
      <vt:variant>
        <vt:i4>5</vt:i4>
      </vt:variant>
      <vt:variant>
        <vt:lpwstr/>
      </vt:variant>
      <vt:variant>
        <vt:lpwstr>_Toc221076271</vt:lpwstr>
      </vt:variant>
      <vt:variant>
        <vt:i4>1310774</vt:i4>
      </vt:variant>
      <vt:variant>
        <vt:i4>71</vt:i4>
      </vt:variant>
      <vt:variant>
        <vt:i4>0</vt:i4>
      </vt:variant>
      <vt:variant>
        <vt:i4>5</vt:i4>
      </vt:variant>
      <vt:variant>
        <vt:lpwstr/>
      </vt:variant>
      <vt:variant>
        <vt:lpwstr>_Toc221076270</vt:lpwstr>
      </vt:variant>
      <vt:variant>
        <vt:i4>1376310</vt:i4>
      </vt:variant>
      <vt:variant>
        <vt:i4>65</vt:i4>
      </vt:variant>
      <vt:variant>
        <vt:i4>0</vt:i4>
      </vt:variant>
      <vt:variant>
        <vt:i4>5</vt:i4>
      </vt:variant>
      <vt:variant>
        <vt:lpwstr/>
      </vt:variant>
      <vt:variant>
        <vt:lpwstr>_Toc221076269</vt:lpwstr>
      </vt:variant>
      <vt:variant>
        <vt:i4>1376310</vt:i4>
      </vt:variant>
      <vt:variant>
        <vt:i4>59</vt:i4>
      </vt:variant>
      <vt:variant>
        <vt:i4>0</vt:i4>
      </vt:variant>
      <vt:variant>
        <vt:i4>5</vt:i4>
      </vt:variant>
      <vt:variant>
        <vt:lpwstr/>
      </vt:variant>
      <vt:variant>
        <vt:lpwstr>_Toc221076268</vt:lpwstr>
      </vt:variant>
      <vt:variant>
        <vt:i4>1376310</vt:i4>
      </vt:variant>
      <vt:variant>
        <vt:i4>53</vt:i4>
      </vt:variant>
      <vt:variant>
        <vt:i4>0</vt:i4>
      </vt:variant>
      <vt:variant>
        <vt:i4>5</vt:i4>
      </vt:variant>
      <vt:variant>
        <vt:lpwstr/>
      </vt:variant>
      <vt:variant>
        <vt:lpwstr>_Toc221076267</vt:lpwstr>
      </vt:variant>
      <vt:variant>
        <vt:i4>1376310</vt:i4>
      </vt:variant>
      <vt:variant>
        <vt:i4>47</vt:i4>
      </vt:variant>
      <vt:variant>
        <vt:i4>0</vt:i4>
      </vt:variant>
      <vt:variant>
        <vt:i4>5</vt:i4>
      </vt:variant>
      <vt:variant>
        <vt:lpwstr/>
      </vt:variant>
      <vt:variant>
        <vt:lpwstr>_Toc221076266</vt:lpwstr>
      </vt:variant>
      <vt:variant>
        <vt:i4>1376310</vt:i4>
      </vt:variant>
      <vt:variant>
        <vt:i4>41</vt:i4>
      </vt:variant>
      <vt:variant>
        <vt:i4>0</vt:i4>
      </vt:variant>
      <vt:variant>
        <vt:i4>5</vt:i4>
      </vt:variant>
      <vt:variant>
        <vt:lpwstr/>
      </vt:variant>
      <vt:variant>
        <vt:lpwstr>_Toc221076265</vt:lpwstr>
      </vt:variant>
      <vt:variant>
        <vt:i4>1376310</vt:i4>
      </vt:variant>
      <vt:variant>
        <vt:i4>35</vt:i4>
      </vt:variant>
      <vt:variant>
        <vt:i4>0</vt:i4>
      </vt:variant>
      <vt:variant>
        <vt:i4>5</vt:i4>
      </vt:variant>
      <vt:variant>
        <vt:lpwstr/>
      </vt:variant>
      <vt:variant>
        <vt:lpwstr>_Toc221076264</vt:lpwstr>
      </vt:variant>
      <vt:variant>
        <vt:i4>1376310</vt:i4>
      </vt:variant>
      <vt:variant>
        <vt:i4>29</vt:i4>
      </vt:variant>
      <vt:variant>
        <vt:i4>0</vt:i4>
      </vt:variant>
      <vt:variant>
        <vt:i4>5</vt:i4>
      </vt:variant>
      <vt:variant>
        <vt:lpwstr/>
      </vt:variant>
      <vt:variant>
        <vt:lpwstr>_Toc221076263</vt:lpwstr>
      </vt:variant>
      <vt:variant>
        <vt:i4>1376310</vt:i4>
      </vt:variant>
      <vt:variant>
        <vt:i4>23</vt:i4>
      </vt:variant>
      <vt:variant>
        <vt:i4>0</vt:i4>
      </vt:variant>
      <vt:variant>
        <vt:i4>5</vt:i4>
      </vt:variant>
      <vt:variant>
        <vt:lpwstr/>
      </vt:variant>
      <vt:variant>
        <vt:lpwstr>_Toc221076262</vt:lpwstr>
      </vt:variant>
      <vt:variant>
        <vt:i4>1376310</vt:i4>
      </vt:variant>
      <vt:variant>
        <vt:i4>17</vt:i4>
      </vt:variant>
      <vt:variant>
        <vt:i4>0</vt:i4>
      </vt:variant>
      <vt:variant>
        <vt:i4>5</vt:i4>
      </vt:variant>
      <vt:variant>
        <vt:lpwstr/>
      </vt:variant>
      <vt:variant>
        <vt:lpwstr>_Toc221076261</vt:lpwstr>
      </vt:variant>
      <vt:variant>
        <vt:i4>1376310</vt:i4>
      </vt:variant>
      <vt:variant>
        <vt:i4>11</vt:i4>
      </vt:variant>
      <vt:variant>
        <vt:i4>0</vt:i4>
      </vt:variant>
      <vt:variant>
        <vt:i4>5</vt:i4>
      </vt:variant>
      <vt:variant>
        <vt:lpwstr/>
      </vt:variant>
      <vt:variant>
        <vt:lpwstr>_Toc221076260</vt:lpwstr>
      </vt:variant>
      <vt:variant>
        <vt:i4>1441846</vt:i4>
      </vt:variant>
      <vt:variant>
        <vt:i4>5</vt:i4>
      </vt:variant>
      <vt:variant>
        <vt:i4>0</vt:i4>
      </vt:variant>
      <vt:variant>
        <vt:i4>5</vt:i4>
      </vt:variant>
      <vt:variant>
        <vt:lpwstr/>
      </vt:variant>
      <vt:variant>
        <vt:lpwstr>_Toc221076259</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Beschaffenheit und die Auszeichnung von Qualitäten von Kraftstoffen</dc:title>
  <dc:subject>10. BImSchV</dc:subject>
  <dc:creator>Natrop</dc:creator>
  <cp:lastModifiedBy>rueter</cp:lastModifiedBy>
  <cp:revision>2</cp:revision>
  <cp:lastPrinted>2004-12-14T11:08:00Z</cp:lastPrinted>
  <dcterms:created xsi:type="dcterms:W3CDTF">2016-09-20T08:22:00Z</dcterms:created>
  <dcterms:modified xsi:type="dcterms:W3CDTF">2016-09-20T08:22:00Z</dcterms:modified>
</cp:coreProperties>
</file>