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C4" w:rsidRPr="00D64D58" w:rsidRDefault="007F4EC4" w:rsidP="00D64D58">
      <w:pPr>
        <w:pStyle w:val="berschrift1"/>
      </w:pPr>
      <w:bookmarkStart w:id="0" w:name="_Toc235242235"/>
      <w:r w:rsidRPr="00D64D58">
        <w:t xml:space="preserve">Dritte Verordnung zur Durchführung des Bundes-Immissionsschutzgesetzes - Verordnung über den Schwefelgehalt </w:t>
      </w:r>
      <w:r w:rsidRPr="00D64D58">
        <w:br/>
        <w:t>bestimmter fl</w:t>
      </w:r>
      <w:bookmarkStart w:id="1" w:name="_GoBack"/>
      <w:bookmarkEnd w:id="1"/>
      <w:r w:rsidRPr="00D64D58">
        <w:t xml:space="preserve">üssiger Kraft- oder Brennstoffe </w:t>
      </w:r>
      <w:r w:rsidR="0003255D" w:rsidRPr="00D64D58">
        <w:t>-</w:t>
      </w:r>
      <w:r w:rsidRPr="00D64D58">
        <w:t xml:space="preserve"> 3. BImSchV </w:t>
      </w:r>
      <w:r w:rsidRPr="00F70E27">
        <w:rPr>
          <w:vertAlign w:val="superscript"/>
        </w:rPr>
        <w:footnoteReference w:id="1"/>
      </w:r>
      <w:bookmarkEnd w:id="0"/>
    </w:p>
    <w:p w:rsidR="007F4EC4" w:rsidRDefault="007F4EC4">
      <w:pPr>
        <w:pStyle w:val="GesAbsatz"/>
        <w:jc w:val="center"/>
        <w:rPr>
          <w:snapToGrid w:val="0"/>
        </w:rPr>
      </w:pPr>
      <w:r>
        <w:rPr>
          <w:snapToGrid w:val="0"/>
        </w:rPr>
        <w:t>vom 24. Juni 2002</w:t>
      </w:r>
    </w:p>
    <w:p w:rsidR="001E4FA4" w:rsidRPr="001E4FA4" w:rsidRDefault="001E4FA4">
      <w:pPr>
        <w:pStyle w:val="GesAbsatz"/>
        <w:rPr>
          <w:b/>
          <w:i/>
          <w:snapToGrid w:val="0"/>
          <w:color w:val="FF0000"/>
          <w:sz w:val="22"/>
          <w:szCs w:val="22"/>
        </w:rPr>
      </w:pPr>
      <w:r w:rsidRPr="001E4FA4">
        <w:rPr>
          <w:b/>
          <w:i/>
          <w:snapToGrid w:val="0"/>
          <w:color w:val="FF0000"/>
          <w:sz w:val="22"/>
          <w:szCs w:val="22"/>
        </w:rPr>
        <w:t>Gültig bis 13.12.2010</w:t>
      </w:r>
      <w:r w:rsidR="00077A28">
        <w:rPr>
          <w:b/>
          <w:i/>
          <w:snapToGrid w:val="0"/>
          <w:color w:val="FF0000"/>
          <w:sz w:val="22"/>
          <w:szCs w:val="22"/>
        </w:rPr>
        <w:t xml:space="preserve"> - aufgehoben durch 10. BImSchV vom 8.12.2010</w:t>
      </w:r>
    </w:p>
    <w:p w:rsidR="007F4EC4" w:rsidRDefault="00F70E27">
      <w:pPr>
        <w:pStyle w:val="GesAbsatz"/>
        <w:rPr>
          <w:snapToGrid w:val="0"/>
        </w:rPr>
      </w:pPr>
      <w:hyperlink w:anchor="Gesetzeshistorie" w:history="1">
        <w:r w:rsidR="007F4EC4">
          <w:rPr>
            <w:rStyle w:val="Hyperlink"/>
            <w:snapToGrid w:val="0"/>
          </w:rPr>
          <w:t>Gesetzeshistorie</w:t>
        </w:r>
      </w:hyperlink>
    </w:p>
    <w:p w:rsidR="007F4EC4" w:rsidRDefault="007F4EC4">
      <w:pPr>
        <w:pStyle w:val="GesAbsatz"/>
        <w:jc w:val="center"/>
        <w:rPr>
          <w:b/>
          <w:snapToGrid w:val="0"/>
          <w:sz w:val="22"/>
        </w:rPr>
      </w:pPr>
      <w:r>
        <w:rPr>
          <w:b/>
          <w:snapToGrid w:val="0"/>
          <w:sz w:val="22"/>
        </w:rPr>
        <w:t>Inhalt:</w:t>
      </w:r>
    </w:p>
    <w:p w:rsidR="005F7BF6" w:rsidRDefault="005F7BF6">
      <w:pPr>
        <w:pStyle w:val="Verzeichnis1"/>
        <w:tabs>
          <w:tab w:val="clear" w:pos="9638"/>
          <w:tab w:val="right" w:leader="dot" w:pos="9627"/>
        </w:tabs>
        <w:rPr>
          <w:b w:val="0"/>
          <w:bCs/>
          <w:caps w:val="0"/>
          <w:noProof/>
          <w:sz w:val="24"/>
          <w:szCs w:val="24"/>
        </w:rPr>
      </w:pPr>
      <w:r>
        <w:rPr>
          <w:bCs/>
          <w:snapToGrid w:val="0"/>
        </w:rPr>
        <w:fldChar w:fldCharType="begin"/>
      </w:r>
      <w:r>
        <w:rPr>
          <w:bCs/>
          <w:snapToGrid w:val="0"/>
        </w:rPr>
        <w:instrText xml:space="preserve"> TOC \o "1-3" </w:instrText>
      </w:r>
      <w:r>
        <w:rPr>
          <w:bCs/>
          <w:snapToGrid w:val="0"/>
        </w:rPr>
        <w:fldChar w:fldCharType="separate"/>
      </w:r>
      <w:r w:rsidRPr="00846A13">
        <w:rPr>
          <w:noProof/>
          <w:snapToGrid w:val="0"/>
        </w:rPr>
        <w:t>Verordnung über den Schwefelgehalt  bestimmter flüssiger</w:t>
      </w:r>
      <w:r w:rsidRPr="00846A13">
        <w:rPr>
          <w:b w:val="0"/>
          <w:noProof/>
          <w:snapToGrid w:val="0"/>
        </w:rPr>
        <w:t xml:space="preserve"> </w:t>
      </w:r>
      <w:r w:rsidRPr="00846A13">
        <w:rPr>
          <w:noProof/>
          <w:snapToGrid w:val="0"/>
        </w:rPr>
        <w:t>Kraft- oder Brenn</w:t>
      </w:r>
      <w:r w:rsidR="00231B0E">
        <w:rPr>
          <w:noProof/>
          <w:snapToGrid w:val="0"/>
        </w:rPr>
        <w:softHyphen/>
      </w:r>
      <w:r w:rsidRPr="00846A13">
        <w:rPr>
          <w:noProof/>
          <w:snapToGrid w:val="0"/>
        </w:rPr>
        <w:t>stoffe – 3. BImSchV</w:t>
      </w:r>
      <w:r w:rsidRPr="00846A13">
        <w:rPr>
          <w:b w:val="0"/>
          <w:noProof/>
          <w:snapToGrid w:val="0"/>
        </w:rPr>
        <w:t xml:space="preserve"> </w:t>
      </w:r>
      <w:r>
        <w:rPr>
          <w:noProof/>
        </w:rPr>
        <w:tab/>
      </w:r>
      <w:r>
        <w:rPr>
          <w:noProof/>
        </w:rPr>
        <w:fldChar w:fldCharType="begin"/>
      </w:r>
      <w:r>
        <w:rPr>
          <w:noProof/>
        </w:rPr>
        <w:instrText xml:space="preserve"> PAGEREF _Toc235242235 \h </w:instrText>
      </w:r>
      <w:r>
        <w:rPr>
          <w:noProof/>
        </w:rPr>
      </w:r>
      <w:r>
        <w:rPr>
          <w:noProof/>
        </w:rPr>
        <w:fldChar w:fldCharType="separate"/>
      </w:r>
      <w:r w:rsidR="00D64D58">
        <w:rPr>
          <w:noProof/>
        </w:rPr>
        <w:t>1</w:t>
      </w:r>
      <w:r>
        <w:rPr>
          <w:noProof/>
        </w:rPr>
        <w:fldChar w:fldCharType="end"/>
      </w:r>
    </w:p>
    <w:p w:rsidR="005F7BF6" w:rsidRDefault="005F7BF6">
      <w:pPr>
        <w:pStyle w:val="Verzeichnis3"/>
        <w:tabs>
          <w:tab w:val="clear" w:pos="9638"/>
          <w:tab w:val="right" w:leader="dot" w:pos="9627"/>
        </w:tabs>
        <w:rPr>
          <w:i w:val="0"/>
          <w:iCs/>
          <w:noProof/>
          <w:sz w:val="24"/>
          <w:szCs w:val="24"/>
        </w:rPr>
      </w:pPr>
      <w:r w:rsidRPr="00846A13">
        <w:rPr>
          <w:noProof/>
          <w:snapToGrid w:val="0"/>
        </w:rPr>
        <w:t>§ 1 Anwendungsbereich</w:t>
      </w:r>
      <w:r>
        <w:rPr>
          <w:noProof/>
        </w:rPr>
        <w:tab/>
      </w:r>
      <w:r>
        <w:rPr>
          <w:noProof/>
        </w:rPr>
        <w:fldChar w:fldCharType="begin"/>
      </w:r>
      <w:r>
        <w:rPr>
          <w:noProof/>
        </w:rPr>
        <w:instrText xml:space="preserve"> PAGEREF _Toc235242236 \h </w:instrText>
      </w:r>
      <w:r>
        <w:rPr>
          <w:noProof/>
        </w:rPr>
      </w:r>
      <w:r>
        <w:rPr>
          <w:noProof/>
        </w:rPr>
        <w:fldChar w:fldCharType="separate"/>
      </w:r>
      <w:r w:rsidR="00D64D58">
        <w:rPr>
          <w:noProof/>
        </w:rPr>
        <w:t>1</w:t>
      </w:r>
      <w:r>
        <w:rPr>
          <w:noProof/>
        </w:rPr>
        <w:fldChar w:fldCharType="end"/>
      </w:r>
    </w:p>
    <w:p w:rsidR="005F7BF6" w:rsidRDefault="005F7BF6">
      <w:pPr>
        <w:pStyle w:val="Verzeichnis3"/>
        <w:tabs>
          <w:tab w:val="clear" w:pos="9638"/>
          <w:tab w:val="right" w:leader="dot" w:pos="9627"/>
        </w:tabs>
        <w:rPr>
          <w:i w:val="0"/>
          <w:iCs/>
          <w:noProof/>
          <w:sz w:val="24"/>
          <w:szCs w:val="24"/>
        </w:rPr>
      </w:pPr>
      <w:r w:rsidRPr="00846A13">
        <w:rPr>
          <w:noProof/>
          <w:snapToGrid w:val="0"/>
        </w:rPr>
        <w:t>§ 2 Begriffsbestimmu</w:t>
      </w:r>
      <w:r>
        <w:rPr>
          <w:noProof/>
        </w:rPr>
        <w:t>n</w:t>
      </w:r>
      <w:r w:rsidRPr="00846A13">
        <w:rPr>
          <w:noProof/>
          <w:snapToGrid w:val="0"/>
        </w:rPr>
        <w:t>gen</w:t>
      </w:r>
      <w:r>
        <w:rPr>
          <w:noProof/>
        </w:rPr>
        <w:tab/>
      </w:r>
      <w:r>
        <w:rPr>
          <w:noProof/>
        </w:rPr>
        <w:fldChar w:fldCharType="begin"/>
      </w:r>
      <w:r>
        <w:rPr>
          <w:noProof/>
        </w:rPr>
        <w:instrText xml:space="preserve"> PAGEREF _Toc235242237 \h </w:instrText>
      </w:r>
      <w:r>
        <w:rPr>
          <w:noProof/>
        </w:rPr>
      </w:r>
      <w:r>
        <w:rPr>
          <w:noProof/>
        </w:rPr>
        <w:fldChar w:fldCharType="separate"/>
      </w:r>
      <w:r w:rsidR="00D64D58">
        <w:rPr>
          <w:noProof/>
        </w:rPr>
        <w:t>1</w:t>
      </w:r>
      <w:r>
        <w:rPr>
          <w:noProof/>
        </w:rPr>
        <w:fldChar w:fldCharType="end"/>
      </w:r>
    </w:p>
    <w:p w:rsidR="005F7BF6" w:rsidRDefault="005F7BF6">
      <w:pPr>
        <w:pStyle w:val="Verzeichnis3"/>
        <w:tabs>
          <w:tab w:val="clear" w:pos="9638"/>
          <w:tab w:val="right" w:leader="dot" w:pos="9627"/>
        </w:tabs>
        <w:rPr>
          <w:i w:val="0"/>
          <w:iCs/>
          <w:noProof/>
          <w:sz w:val="24"/>
          <w:szCs w:val="24"/>
        </w:rPr>
      </w:pPr>
      <w:r w:rsidRPr="00846A13">
        <w:rPr>
          <w:noProof/>
          <w:snapToGrid w:val="0"/>
        </w:rPr>
        <w:t>§ 3 Begrenzung des Schwefelgehalts</w:t>
      </w:r>
      <w:r>
        <w:rPr>
          <w:noProof/>
        </w:rPr>
        <w:tab/>
      </w:r>
      <w:r>
        <w:rPr>
          <w:noProof/>
        </w:rPr>
        <w:fldChar w:fldCharType="begin"/>
      </w:r>
      <w:r>
        <w:rPr>
          <w:noProof/>
        </w:rPr>
        <w:instrText xml:space="preserve"> PAGEREF _Toc235242238 \h </w:instrText>
      </w:r>
      <w:r>
        <w:rPr>
          <w:noProof/>
        </w:rPr>
      </w:r>
      <w:r>
        <w:rPr>
          <w:noProof/>
        </w:rPr>
        <w:fldChar w:fldCharType="separate"/>
      </w:r>
      <w:r w:rsidR="00D64D58">
        <w:rPr>
          <w:noProof/>
        </w:rPr>
        <w:t>2</w:t>
      </w:r>
      <w:r>
        <w:rPr>
          <w:noProof/>
        </w:rPr>
        <w:fldChar w:fldCharType="end"/>
      </w:r>
    </w:p>
    <w:p w:rsidR="005F7BF6" w:rsidRDefault="005F7BF6">
      <w:pPr>
        <w:pStyle w:val="Verzeichnis3"/>
        <w:tabs>
          <w:tab w:val="clear" w:pos="9638"/>
          <w:tab w:val="right" w:leader="dot" w:pos="9627"/>
        </w:tabs>
        <w:rPr>
          <w:i w:val="0"/>
          <w:iCs/>
          <w:noProof/>
          <w:sz w:val="24"/>
          <w:szCs w:val="24"/>
        </w:rPr>
      </w:pPr>
      <w:r w:rsidRPr="00846A13">
        <w:rPr>
          <w:noProof/>
          <w:snapToGrid w:val="0"/>
        </w:rPr>
        <w:t>§ 3a Kennzeichnung von schwefelarmem Brennstoff</w:t>
      </w:r>
      <w:r>
        <w:rPr>
          <w:noProof/>
        </w:rPr>
        <w:tab/>
      </w:r>
      <w:r>
        <w:rPr>
          <w:noProof/>
        </w:rPr>
        <w:fldChar w:fldCharType="begin"/>
      </w:r>
      <w:r>
        <w:rPr>
          <w:noProof/>
        </w:rPr>
        <w:instrText xml:space="preserve"> PAGEREF _Toc235242239 \h </w:instrText>
      </w:r>
      <w:r>
        <w:rPr>
          <w:noProof/>
        </w:rPr>
      </w:r>
      <w:r>
        <w:rPr>
          <w:noProof/>
        </w:rPr>
        <w:fldChar w:fldCharType="separate"/>
      </w:r>
      <w:r w:rsidR="00D64D58">
        <w:rPr>
          <w:noProof/>
        </w:rPr>
        <w:t>2</w:t>
      </w:r>
      <w:r>
        <w:rPr>
          <w:noProof/>
        </w:rPr>
        <w:fldChar w:fldCharType="end"/>
      </w:r>
    </w:p>
    <w:p w:rsidR="005F7BF6" w:rsidRDefault="005F7BF6">
      <w:pPr>
        <w:pStyle w:val="Verzeichnis3"/>
        <w:tabs>
          <w:tab w:val="clear" w:pos="9638"/>
          <w:tab w:val="right" w:leader="dot" w:pos="9627"/>
        </w:tabs>
        <w:rPr>
          <w:i w:val="0"/>
          <w:iCs/>
          <w:noProof/>
          <w:sz w:val="24"/>
          <w:szCs w:val="24"/>
        </w:rPr>
      </w:pPr>
      <w:r w:rsidRPr="00846A13">
        <w:rPr>
          <w:noProof/>
          <w:snapToGrid w:val="0"/>
        </w:rPr>
        <w:t>§ 4 Ausnahmen</w:t>
      </w:r>
      <w:r>
        <w:rPr>
          <w:noProof/>
        </w:rPr>
        <w:tab/>
      </w:r>
      <w:r>
        <w:rPr>
          <w:noProof/>
        </w:rPr>
        <w:fldChar w:fldCharType="begin"/>
      </w:r>
      <w:r>
        <w:rPr>
          <w:noProof/>
        </w:rPr>
        <w:instrText xml:space="preserve"> PAGEREF _Toc235242240 \h </w:instrText>
      </w:r>
      <w:r>
        <w:rPr>
          <w:noProof/>
        </w:rPr>
      </w:r>
      <w:r>
        <w:rPr>
          <w:noProof/>
        </w:rPr>
        <w:fldChar w:fldCharType="separate"/>
      </w:r>
      <w:r w:rsidR="00D64D58">
        <w:rPr>
          <w:noProof/>
        </w:rPr>
        <w:t>2</w:t>
      </w:r>
      <w:r>
        <w:rPr>
          <w:noProof/>
        </w:rPr>
        <w:fldChar w:fldCharType="end"/>
      </w:r>
    </w:p>
    <w:p w:rsidR="005F7BF6" w:rsidRDefault="005F7BF6">
      <w:pPr>
        <w:pStyle w:val="Verzeichnis3"/>
        <w:tabs>
          <w:tab w:val="clear" w:pos="9638"/>
          <w:tab w:val="right" w:leader="dot" w:pos="9627"/>
        </w:tabs>
        <w:rPr>
          <w:i w:val="0"/>
          <w:iCs/>
          <w:noProof/>
          <w:sz w:val="24"/>
          <w:szCs w:val="24"/>
        </w:rPr>
      </w:pPr>
      <w:r w:rsidRPr="00846A13">
        <w:rPr>
          <w:noProof/>
          <w:snapToGrid w:val="0"/>
        </w:rPr>
        <w:t>§ 5 Überwachung</w:t>
      </w:r>
      <w:r>
        <w:rPr>
          <w:noProof/>
        </w:rPr>
        <w:tab/>
      </w:r>
      <w:r>
        <w:rPr>
          <w:noProof/>
        </w:rPr>
        <w:fldChar w:fldCharType="begin"/>
      </w:r>
      <w:r>
        <w:rPr>
          <w:noProof/>
        </w:rPr>
        <w:instrText xml:space="preserve"> PAGEREF _Toc235242241 \h </w:instrText>
      </w:r>
      <w:r>
        <w:rPr>
          <w:noProof/>
        </w:rPr>
      </w:r>
      <w:r>
        <w:rPr>
          <w:noProof/>
        </w:rPr>
        <w:fldChar w:fldCharType="separate"/>
      </w:r>
      <w:r w:rsidR="00D64D58">
        <w:rPr>
          <w:noProof/>
        </w:rPr>
        <w:t>3</w:t>
      </w:r>
      <w:r>
        <w:rPr>
          <w:noProof/>
        </w:rPr>
        <w:fldChar w:fldCharType="end"/>
      </w:r>
    </w:p>
    <w:p w:rsidR="005F7BF6" w:rsidRDefault="005F7BF6">
      <w:pPr>
        <w:pStyle w:val="Verzeichnis3"/>
        <w:tabs>
          <w:tab w:val="clear" w:pos="9638"/>
          <w:tab w:val="right" w:leader="dot" w:pos="9627"/>
        </w:tabs>
        <w:rPr>
          <w:i w:val="0"/>
          <w:iCs/>
          <w:noProof/>
          <w:sz w:val="24"/>
          <w:szCs w:val="24"/>
        </w:rPr>
      </w:pPr>
      <w:r w:rsidRPr="00846A13">
        <w:rPr>
          <w:noProof/>
          <w:snapToGrid w:val="0"/>
        </w:rPr>
        <w:t>§ 6 Einfuhr von Heizöl, Schiffskraftstoff und Dieselkraftstoff</w:t>
      </w:r>
      <w:r>
        <w:rPr>
          <w:noProof/>
        </w:rPr>
        <w:tab/>
      </w:r>
      <w:r>
        <w:rPr>
          <w:noProof/>
        </w:rPr>
        <w:fldChar w:fldCharType="begin"/>
      </w:r>
      <w:r>
        <w:rPr>
          <w:noProof/>
        </w:rPr>
        <w:instrText xml:space="preserve"> PAGEREF _Toc235242242 \h </w:instrText>
      </w:r>
      <w:r>
        <w:rPr>
          <w:noProof/>
        </w:rPr>
      </w:r>
      <w:r>
        <w:rPr>
          <w:noProof/>
        </w:rPr>
        <w:fldChar w:fldCharType="separate"/>
      </w:r>
      <w:r w:rsidR="00D64D58">
        <w:rPr>
          <w:noProof/>
        </w:rPr>
        <w:t>3</w:t>
      </w:r>
      <w:r>
        <w:rPr>
          <w:noProof/>
        </w:rPr>
        <w:fldChar w:fldCharType="end"/>
      </w:r>
    </w:p>
    <w:p w:rsidR="005F7BF6" w:rsidRDefault="005F7BF6">
      <w:pPr>
        <w:pStyle w:val="Verzeichnis3"/>
        <w:tabs>
          <w:tab w:val="clear" w:pos="9638"/>
          <w:tab w:val="right" w:leader="dot" w:pos="9627"/>
        </w:tabs>
        <w:rPr>
          <w:i w:val="0"/>
          <w:iCs/>
          <w:noProof/>
          <w:sz w:val="24"/>
          <w:szCs w:val="24"/>
        </w:rPr>
      </w:pPr>
      <w:r w:rsidRPr="00846A13">
        <w:rPr>
          <w:noProof/>
          <w:snapToGrid w:val="0"/>
        </w:rPr>
        <w:t>§7 Zugänglichkeit der Normen</w:t>
      </w:r>
      <w:r>
        <w:rPr>
          <w:noProof/>
        </w:rPr>
        <w:tab/>
      </w:r>
      <w:r>
        <w:rPr>
          <w:noProof/>
        </w:rPr>
        <w:fldChar w:fldCharType="begin"/>
      </w:r>
      <w:r>
        <w:rPr>
          <w:noProof/>
        </w:rPr>
        <w:instrText xml:space="preserve"> PAGEREF _Toc235242243 \h </w:instrText>
      </w:r>
      <w:r>
        <w:rPr>
          <w:noProof/>
        </w:rPr>
      </w:r>
      <w:r>
        <w:rPr>
          <w:noProof/>
        </w:rPr>
        <w:fldChar w:fldCharType="separate"/>
      </w:r>
      <w:r w:rsidR="00D64D58">
        <w:rPr>
          <w:noProof/>
        </w:rPr>
        <w:t>3</w:t>
      </w:r>
      <w:r>
        <w:rPr>
          <w:noProof/>
        </w:rPr>
        <w:fldChar w:fldCharType="end"/>
      </w:r>
    </w:p>
    <w:p w:rsidR="005F7BF6" w:rsidRDefault="005F7BF6">
      <w:pPr>
        <w:pStyle w:val="Verzeichnis3"/>
        <w:tabs>
          <w:tab w:val="clear" w:pos="9638"/>
          <w:tab w:val="right" w:leader="dot" w:pos="9627"/>
        </w:tabs>
        <w:rPr>
          <w:i w:val="0"/>
          <w:iCs/>
          <w:noProof/>
          <w:sz w:val="24"/>
          <w:szCs w:val="24"/>
        </w:rPr>
      </w:pPr>
      <w:r w:rsidRPr="00846A13">
        <w:rPr>
          <w:noProof/>
          <w:snapToGrid w:val="0"/>
        </w:rPr>
        <w:t>§ 8 Ordnungswidrigkeiten</w:t>
      </w:r>
      <w:r>
        <w:rPr>
          <w:noProof/>
        </w:rPr>
        <w:tab/>
      </w:r>
      <w:r>
        <w:rPr>
          <w:noProof/>
        </w:rPr>
        <w:fldChar w:fldCharType="begin"/>
      </w:r>
      <w:r>
        <w:rPr>
          <w:noProof/>
        </w:rPr>
        <w:instrText xml:space="preserve"> PAGEREF _Toc235242244 \h </w:instrText>
      </w:r>
      <w:r>
        <w:rPr>
          <w:noProof/>
        </w:rPr>
      </w:r>
      <w:r>
        <w:rPr>
          <w:noProof/>
        </w:rPr>
        <w:fldChar w:fldCharType="separate"/>
      </w:r>
      <w:r w:rsidR="00D64D58">
        <w:rPr>
          <w:noProof/>
        </w:rPr>
        <w:t>3</w:t>
      </w:r>
      <w:r>
        <w:rPr>
          <w:noProof/>
        </w:rPr>
        <w:fldChar w:fldCharType="end"/>
      </w:r>
    </w:p>
    <w:p w:rsidR="005F7BF6" w:rsidRDefault="005F7BF6">
      <w:pPr>
        <w:pStyle w:val="Verzeichnis3"/>
        <w:tabs>
          <w:tab w:val="clear" w:pos="9638"/>
          <w:tab w:val="right" w:leader="dot" w:pos="9627"/>
        </w:tabs>
        <w:rPr>
          <w:i w:val="0"/>
          <w:iCs/>
          <w:noProof/>
          <w:sz w:val="24"/>
          <w:szCs w:val="24"/>
        </w:rPr>
      </w:pPr>
      <w:r w:rsidRPr="00846A13">
        <w:rPr>
          <w:noProof/>
          <w:snapToGrid w:val="0"/>
        </w:rPr>
        <w:t>§ 9 Inkrafttreten, Außerkrafttreten</w:t>
      </w:r>
      <w:r>
        <w:rPr>
          <w:noProof/>
        </w:rPr>
        <w:tab/>
      </w:r>
      <w:r>
        <w:rPr>
          <w:noProof/>
        </w:rPr>
        <w:fldChar w:fldCharType="begin"/>
      </w:r>
      <w:r>
        <w:rPr>
          <w:noProof/>
        </w:rPr>
        <w:instrText xml:space="preserve"> PAGEREF _Toc235242245 \h </w:instrText>
      </w:r>
      <w:r>
        <w:rPr>
          <w:noProof/>
        </w:rPr>
      </w:r>
      <w:r>
        <w:rPr>
          <w:noProof/>
        </w:rPr>
        <w:fldChar w:fldCharType="separate"/>
      </w:r>
      <w:r w:rsidR="00D64D58">
        <w:rPr>
          <w:noProof/>
        </w:rPr>
        <w:t>4</w:t>
      </w:r>
      <w:r>
        <w:rPr>
          <w:noProof/>
        </w:rPr>
        <w:fldChar w:fldCharType="end"/>
      </w:r>
    </w:p>
    <w:p w:rsidR="005F7BF6" w:rsidRDefault="005F7BF6">
      <w:pPr>
        <w:pStyle w:val="Verzeichnis2"/>
        <w:tabs>
          <w:tab w:val="clear" w:pos="9638"/>
          <w:tab w:val="right" w:leader="dot" w:pos="9627"/>
        </w:tabs>
        <w:rPr>
          <w:smallCaps w:val="0"/>
          <w:noProof/>
          <w:sz w:val="24"/>
          <w:szCs w:val="24"/>
        </w:rPr>
      </w:pPr>
      <w:r>
        <w:rPr>
          <w:noProof/>
        </w:rPr>
        <w:t>Anlage (zu § 5 Abs. 2)</w:t>
      </w:r>
      <w:r>
        <w:rPr>
          <w:noProof/>
        </w:rPr>
        <w:tab/>
      </w:r>
      <w:r>
        <w:rPr>
          <w:noProof/>
        </w:rPr>
        <w:fldChar w:fldCharType="begin"/>
      </w:r>
      <w:r>
        <w:rPr>
          <w:noProof/>
        </w:rPr>
        <w:instrText xml:space="preserve"> PAGEREF _Toc235242246 \h </w:instrText>
      </w:r>
      <w:r>
        <w:rPr>
          <w:noProof/>
        </w:rPr>
      </w:r>
      <w:r>
        <w:rPr>
          <w:noProof/>
        </w:rPr>
        <w:fldChar w:fldCharType="separate"/>
      </w:r>
      <w:r w:rsidR="00D64D58">
        <w:rPr>
          <w:noProof/>
        </w:rPr>
        <w:t>4</w:t>
      </w:r>
      <w:r>
        <w:rPr>
          <w:noProof/>
        </w:rPr>
        <w:fldChar w:fldCharType="end"/>
      </w:r>
    </w:p>
    <w:p w:rsidR="007F4EC4" w:rsidRDefault="005F7BF6">
      <w:pPr>
        <w:pStyle w:val="GesAbsatz"/>
        <w:rPr>
          <w:snapToGrid w:val="0"/>
        </w:rPr>
      </w:pPr>
      <w:r>
        <w:rPr>
          <w:rFonts w:ascii="Times New Roman" w:hAnsi="Times New Roman"/>
          <w:bCs/>
          <w:snapToGrid w:val="0"/>
          <w:color w:val="auto"/>
        </w:rPr>
        <w:fldChar w:fldCharType="end"/>
      </w:r>
    </w:p>
    <w:p w:rsidR="00C25979" w:rsidRPr="00C25979" w:rsidRDefault="00C25979" w:rsidP="00370116">
      <w:pPr>
        <w:pStyle w:val="berschrift3"/>
        <w:rPr>
          <w:snapToGrid w:val="0"/>
        </w:rPr>
      </w:pPr>
      <w:bookmarkStart w:id="2" w:name="_Toc235242236"/>
      <w:r w:rsidRPr="00C25979">
        <w:rPr>
          <w:snapToGrid w:val="0"/>
        </w:rPr>
        <w:t>§ 1</w:t>
      </w:r>
      <w:r>
        <w:rPr>
          <w:snapToGrid w:val="0"/>
        </w:rPr>
        <w:br/>
      </w:r>
      <w:r w:rsidRPr="00C25979">
        <w:rPr>
          <w:snapToGrid w:val="0"/>
        </w:rPr>
        <w:t>Anwendungsbereich</w:t>
      </w:r>
      <w:bookmarkEnd w:id="2"/>
    </w:p>
    <w:p w:rsidR="007F4EC4" w:rsidRPr="00C25979" w:rsidRDefault="00C25979" w:rsidP="00C25979">
      <w:pPr>
        <w:pStyle w:val="GesAbsatz"/>
        <w:rPr>
          <w:snapToGrid w:val="0"/>
        </w:rPr>
      </w:pPr>
      <w:r w:rsidRPr="00370116">
        <w:rPr>
          <w:snapToGrid w:val="0"/>
          <w:color w:val="auto"/>
        </w:rPr>
        <w:t>Diese Verordnung gilt für den Schwefelgehalt von</w:t>
      </w:r>
      <w:r>
        <w:rPr>
          <w:snapToGrid w:val="0"/>
          <w:color w:val="auto"/>
        </w:rPr>
        <w:t xml:space="preserve"> </w:t>
      </w:r>
      <w:r w:rsidRPr="00370116">
        <w:rPr>
          <w:snapToGrid w:val="0"/>
          <w:color w:val="auto"/>
        </w:rPr>
        <w:t>leichtem und schwerem Heizöl zur Verwendung als</w:t>
      </w:r>
      <w:r>
        <w:rPr>
          <w:snapToGrid w:val="0"/>
          <w:color w:val="auto"/>
        </w:rPr>
        <w:t xml:space="preserve"> </w:t>
      </w:r>
      <w:r w:rsidRPr="00370116">
        <w:rPr>
          <w:snapToGrid w:val="0"/>
          <w:color w:val="auto"/>
        </w:rPr>
        <w:t>Brennstoff sowie von Dieselkraftstoff und von</w:t>
      </w:r>
      <w:r>
        <w:rPr>
          <w:snapToGrid w:val="0"/>
          <w:color w:val="auto"/>
        </w:rPr>
        <w:t xml:space="preserve"> </w:t>
      </w:r>
      <w:r w:rsidRPr="00370116">
        <w:rPr>
          <w:snapToGrid w:val="0"/>
          <w:color w:val="auto"/>
        </w:rPr>
        <w:t>Schiffskraftstoffen zum Betrieb von Dieselmotoren.</w:t>
      </w:r>
      <w:r>
        <w:rPr>
          <w:snapToGrid w:val="0"/>
          <w:color w:val="auto"/>
        </w:rPr>
        <w:t xml:space="preserve"> </w:t>
      </w:r>
      <w:r w:rsidRPr="00370116">
        <w:rPr>
          <w:snapToGrid w:val="0"/>
          <w:color w:val="auto"/>
        </w:rPr>
        <w:t>Die in di</w:t>
      </w:r>
      <w:r w:rsidRPr="00370116">
        <w:rPr>
          <w:snapToGrid w:val="0"/>
          <w:color w:val="auto"/>
        </w:rPr>
        <w:t>e</w:t>
      </w:r>
      <w:r w:rsidRPr="00370116">
        <w:rPr>
          <w:snapToGrid w:val="0"/>
          <w:color w:val="auto"/>
        </w:rPr>
        <w:t>ser Verordnung festgelegten Grenzwerte</w:t>
      </w:r>
      <w:r>
        <w:rPr>
          <w:snapToGrid w:val="0"/>
          <w:color w:val="auto"/>
        </w:rPr>
        <w:t xml:space="preserve"> </w:t>
      </w:r>
      <w:r w:rsidRPr="00370116">
        <w:rPr>
          <w:snapToGrid w:val="0"/>
          <w:color w:val="auto"/>
        </w:rPr>
        <w:t>für den Schwefelgehalt bestimmter flüssiger Kraft</w:t>
      </w:r>
      <w:r>
        <w:rPr>
          <w:snapToGrid w:val="0"/>
          <w:color w:val="auto"/>
        </w:rPr>
        <w:t xml:space="preserve">- </w:t>
      </w:r>
      <w:r w:rsidRPr="00370116">
        <w:rPr>
          <w:snapToGrid w:val="0"/>
          <w:color w:val="auto"/>
        </w:rPr>
        <w:t>oder</w:t>
      </w:r>
      <w:r>
        <w:rPr>
          <w:snapToGrid w:val="0"/>
          <w:color w:val="auto"/>
        </w:rPr>
        <w:t xml:space="preserve"> </w:t>
      </w:r>
      <w:r w:rsidRPr="00370116">
        <w:rPr>
          <w:snapToGrid w:val="0"/>
          <w:color w:val="auto"/>
        </w:rPr>
        <w:t>Brennsto</w:t>
      </w:r>
      <w:r w:rsidRPr="00370116">
        <w:rPr>
          <w:snapToGrid w:val="0"/>
          <w:color w:val="auto"/>
        </w:rPr>
        <w:t>f</w:t>
      </w:r>
      <w:r w:rsidRPr="00370116">
        <w:rPr>
          <w:snapToGrid w:val="0"/>
          <w:color w:val="auto"/>
        </w:rPr>
        <w:t>fe, die aus Erdöl gewonnen werden,</w:t>
      </w:r>
      <w:r>
        <w:rPr>
          <w:snapToGrid w:val="0"/>
          <w:color w:val="auto"/>
        </w:rPr>
        <w:t xml:space="preserve"> </w:t>
      </w:r>
      <w:r w:rsidRPr="00370116">
        <w:rPr>
          <w:snapToGrid w:val="0"/>
          <w:color w:val="auto"/>
        </w:rPr>
        <w:t>gelten nicht für Kraft- oder Brennstoffe zur Verwendung</w:t>
      </w:r>
      <w:r>
        <w:rPr>
          <w:snapToGrid w:val="0"/>
          <w:color w:val="auto"/>
        </w:rPr>
        <w:t xml:space="preserve"> </w:t>
      </w:r>
      <w:r w:rsidRPr="00370116">
        <w:rPr>
          <w:snapToGrid w:val="0"/>
          <w:color w:val="auto"/>
        </w:rPr>
        <w:t>auf Kriegsschi</w:t>
      </w:r>
      <w:r w:rsidRPr="00370116">
        <w:rPr>
          <w:snapToGrid w:val="0"/>
          <w:color w:val="auto"/>
        </w:rPr>
        <w:t>f</w:t>
      </w:r>
      <w:r w:rsidRPr="00370116">
        <w:rPr>
          <w:snapToGrid w:val="0"/>
          <w:color w:val="auto"/>
        </w:rPr>
        <w:t>fen und anderen zu militärischen</w:t>
      </w:r>
      <w:r>
        <w:rPr>
          <w:snapToGrid w:val="0"/>
          <w:color w:val="auto"/>
        </w:rPr>
        <w:t xml:space="preserve"> </w:t>
      </w:r>
      <w:r w:rsidRPr="00370116">
        <w:rPr>
          <w:snapToGrid w:val="0"/>
          <w:color w:val="auto"/>
        </w:rPr>
        <w:t>Zwecken eingesetzten Schiffen.</w:t>
      </w:r>
    </w:p>
    <w:p w:rsidR="007F4EC4" w:rsidRPr="00D64D58" w:rsidRDefault="007F4EC4">
      <w:pPr>
        <w:pStyle w:val="berschrift3"/>
      </w:pPr>
      <w:bookmarkStart w:id="3" w:name="_Toc235242237"/>
      <w:r>
        <w:rPr>
          <w:snapToGrid w:val="0"/>
        </w:rPr>
        <w:t>§ 2</w:t>
      </w:r>
      <w:r>
        <w:rPr>
          <w:snapToGrid w:val="0"/>
        </w:rPr>
        <w:br/>
        <w:t>Begriffsbestimmu</w:t>
      </w:r>
      <w:r>
        <w:t>n</w:t>
      </w:r>
      <w:r>
        <w:rPr>
          <w:snapToGrid w:val="0"/>
        </w:rPr>
        <w:t>gen</w:t>
      </w:r>
      <w:bookmarkEnd w:id="3"/>
    </w:p>
    <w:p w:rsidR="007F4EC4" w:rsidRDefault="00C25979" w:rsidP="00370116">
      <w:pPr>
        <w:pStyle w:val="GesAbsatz"/>
        <w:rPr>
          <w:snapToGrid w:val="0"/>
        </w:rPr>
      </w:pPr>
      <w:r w:rsidRPr="00C25979">
        <w:rPr>
          <w:snapToGrid w:val="0"/>
        </w:rPr>
        <w:t>(1) Leichtes Heizöl und Dieselkraftstoff im</w:t>
      </w:r>
      <w:r>
        <w:rPr>
          <w:snapToGrid w:val="0"/>
        </w:rPr>
        <w:t xml:space="preserve"> </w:t>
      </w:r>
      <w:r w:rsidRPr="00C25979">
        <w:rPr>
          <w:snapToGrid w:val="0"/>
        </w:rPr>
        <w:t>Sinne dieser Verordnung sind Erdölerzeugnisse</w:t>
      </w:r>
      <w:r>
        <w:rPr>
          <w:snapToGrid w:val="0"/>
        </w:rPr>
        <w:t xml:space="preserve"> </w:t>
      </w:r>
      <w:r w:rsidRPr="00C25979">
        <w:rPr>
          <w:snapToGrid w:val="0"/>
        </w:rPr>
        <w:t>mit Ausnahme von Schiffskraftstoffen für den</w:t>
      </w:r>
      <w:r>
        <w:rPr>
          <w:snapToGrid w:val="0"/>
        </w:rPr>
        <w:t xml:space="preserve"> </w:t>
      </w:r>
      <w:r w:rsidRPr="00C25979">
        <w:rPr>
          <w:snapToGrid w:val="0"/>
        </w:rPr>
        <w:t>Seeverkehr, die nach der DIN EN ISO 3405, Ausgabe</w:t>
      </w:r>
      <w:r>
        <w:rPr>
          <w:snapToGrid w:val="0"/>
        </w:rPr>
        <w:t xml:space="preserve"> </w:t>
      </w:r>
      <w:r w:rsidRPr="00C25979">
        <w:rPr>
          <w:snapToGrid w:val="0"/>
        </w:rPr>
        <w:t>August 2001, bei 350 Grad Celsius mindestens</w:t>
      </w:r>
      <w:r>
        <w:rPr>
          <w:snapToGrid w:val="0"/>
        </w:rPr>
        <w:t xml:space="preserve"> </w:t>
      </w:r>
      <w:r w:rsidRPr="00C25979">
        <w:rPr>
          <w:snapToGrid w:val="0"/>
        </w:rPr>
        <w:t>85 oder bei 360 Grad Celsius mindestens</w:t>
      </w:r>
      <w:r>
        <w:rPr>
          <w:snapToGrid w:val="0"/>
        </w:rPr>
        <w:t xml:space="preserve"> </w:t>
      </w:r>
      <w:r w:rsidRPr="00C25979">
        <w:rPr>
          <w:snapToGrid w:val="0"/>
        </w:rPr>
        <w:t>95 Raumhundertteile Destillat ergeben.</w:t>
      </w:r>
    </w:p>
    <w:p w:rsidR="007F4EC4" w:rsidRDefault="007F4EC4">
      <w:pPr>
        <w:pStyle w:val="GesAbsatz"/>
        <w:rPr>
          <w:snapToGrid w:val="0"/>
        </w:rPr>
      </w:pPr>
      <w:r>
        <w:rPr>
          <w:snapToGrid w:val="0"/>
        </w:rPr>
        <w:t xml:space="preserve">(2) Schweres Heizöl im Sinne dieser Verordnung sind aus Erdöl gewonnene flüssige Kraft- oder Brennstoffe, mit Ausnahme der in den Absätzen 1 und 3 genannten Kraft- und Brennstoffe, bei deren Destillation bei 250 Grad Celsius nach der </w:t>
      </w:r>
      <w:r w:rsidR="00C25979">
        <w:rPr>
          <w:snapToGrid w:val="0"/>
        </w:rPr>
        <w:t>DIN EN ISO 3405, Ausgabe August 2001</w:t>
      </w:r>
      <w:r>
        <w:rPr>
          <w:snapToGrid w:val="0"/>
        </w:rPr>
        <w:t xml:space="preserve"> weniger als 65 Raumhundertteile überg</w:t>
      </w:r>
      <w:r>
        <w:rPr>
          <w:snapToGrid w:val="0"/>
        </w:rPr>
        <w:t>e</w:t>
      </w:r>
      <w:r>
        <w:rPr>
          <w:snapToGrid w:val="0"/>
        </w:rPr>
        <w:t>hen. Kann die Destillation nicht anhand der ASTM D86-Methode bestimmt werden, so wird das Erzeugnis ebenfalls als schweres Heizöl ein</w:t>
      </w:r>
      <w:r w:rsidR="002D5D53">
        <w:rPr>
          <w:snapToGrid w:val="0"/>
        </w:rPr>
        <w:t>gestuft.</w:t>
      </w:r>
    </w:p>
    <w:p w:rsidR="005F6AF4" w:rsidRDefault="005F6AF4" w:rsidP="005F6AF4">
      <w:pPr>
        <w:pStyle w:val="GesAbsatz"/>
        <w:rPr>
          <w:snapToGrid w:val="0"/>
        </w:rPr>
      </w:pPr>
      <w:r w:rsidRPr="005F6AF4">
        <w:rPr>
          <w:snapToGrid w:val="0"/>
        </w:rPr>
        <w:t>(3) Schiffskraftstoff ist jeder zur Verwendung</w:t>
      </w:r>
      <w:r>
        <w:rPr>
          <w:snapToGrid w:val="0"/>
        </w:rPr>
        <w:t xml:space="preserve"> </w:t>
      </w:r>
      <w:r w:rsidRPr="005F6AF4">
        <w:rPr>
          <w:snapToGrid w:val="0"/>
        </w:rPr>
        <w:t>auf einem Schiff bestimmte oder auf einem Schiff</w:t>
      </w:r>
      <w:r>
        <w:rPr>
          <w:snapToGrid w:val="0"/>
        </w:rPr>
        <w:t xml:space="preserve"> </w:t>
      </w:r>
      <w:r w:rsidRPr="005F6AF4">
        <w:rPr>
          <w:snapToGrid w:val="0"/>
        </w:rPr>
        <w:t>verwendete aus Erdöl gewonnene flüssige Kraft</w:t>
      </w:r>
      <w:r>
        <w:rPr>
          <w:snapToGrid w:val="0"/>
        </w:rPr>
        <w:t xml:space="preserve">- </w:t>
      </w:r>
      <w:r w:rsidRPr="005F6AF4">
        <w:rPr>
          <w:snapToGrid w:val="0"/>
        </w:rPr>
        <w:t>oder</w:t>
      </w:r>
      <w:r>
        <w:rPr>
          <w:snapToGrid w:val="0"/>
        </w:rPr>
        <w:t xml:space="preserve"> </w:t>
      </w:r>
      <w:r w:rsidRPr="005F6AF4">
        <w:rPr>
          <w:snapToGrid w:val="0"/>
        </w:rPr>
        <w:t>Brennstoff, einschließlich eines Kraft- oder</w:t>
      </w:r>
      <w:r>
        <w:rPr>
          <w:snapToGrid w:val="0"/>
        </w:rPr>
        <w:t xml:space="preserve"> </w:t>
      </w:r>
      <w:r w:rsidRPr="005F6AF4">
        <w:rPr>
          <w:snapToGrid w:val="0"/>
        </w:rPr>
        <w:t>Brennstoffs, der der Definition der DIN ISO</w:t>
      </w:r>
      <w:r>
        <w:rPr>
          <w:snapToGrid w:val="0"/>
        </w:rPr>
        <w:t xml:space="preserve"> </w:t>
      </w:r>
      <w:r w:rsidRPr="005F6AF4">
        <w:rPr>
          <w:snapToGrid w:val="0"/>
        </w:rPr>
        <w:t>Norm 8217, Ausgabe Dezember 1993 entspricht.</w:t>
      </w:r>
    </w:p>
    <w:p w:rsidR="005F6AF4" w:rsidRPr="005F6AF4" w:rsidRDefault="005F6AF4" w:rsidP="005F6AF4">
      <w:pPr>
        <w:pStyle w:val="GesAbsatz"/>
        <w:rPr>
          <w:snapToGrid w:val="0"/>
        </w:rPr>
      </w:pPr>
      <w:r w:rsidRPr="005F6AF4">
        <w:rPr>
          <w:snapToGrid w:val="0"/>
        </w:rPr>
        <w:t>(3a) Gasöl für den Seeverkehr im Sinne dieser</w:t>
      </w:r>
      <w:r>
        <w:rPr>
          <w:snapToGrid w:val="0"/>
        </w:rPr>
        <w:t xml:space="preserve"> </w:t>
      </w:r>
      <w:r w:rsidRPr="005F6AF4">
        <w:rPr>
          <w:snapToGrid w:val="0"/>
        </w:rPr>
        <w:t>Verordnung sind für Schiffe bestimmte Kraft- und</w:t>
      </w:r>
      <w:r>
        <w:rPr>
          <w:snapToGrid w:val="0"/>
        </w:rPr>
        <w:t xml:space="preserve"> </w:t>
      </w:r>
      <w:r w:rsidRPr="005F6AF4">
        <w:rPr>
          <w:snapToGrid w:val="0"/>
        </w:rPr>
        <w:t>Brennsto</w:t>
      </w:r>
      <w:r w:rsidRPr="005F6AF4">
        <w:rPr>
          <w:snapToGrid w:val="0"/>
        </w:rPr>
        <w:t>f</w:t>
      </w:r>
      <w:r w:rsidRPr="005F6AF4">
        <w:rPr>
          <w:snapToGrid w:val="0"/>
        </w:rPr>
        <w:t>fe, deren Viskosität und Dichte im Rahmen</w:t>
      </w:r>
      <w:r>
        <w:rPr>
          <w:snapToGrid w:val="0"/>
        </w:rPr>
        <w:t xml:space="preserve"> </w:t>
      </w:r>
      <w:r w:rsidRPr="005F6AF4">
        <w:rPr>
          <w:snapToGrid w:val="0"/>
        </w:rPr>
        <w:t>der Werte für Viskosität und Dichte der</w:t>
      </w:r>
      <w:r>
        <w:rPr>
          <w:snapToGrid w:val="0"/>
        </w:rPr>
        <w:t xml:space="preserve"> </w:t>
      </w:r>
      <w:r w:rsidRPr="005F6AF4">
        <w:rPr>
          <w:snapToGrid w:val="0"/>
        </w:rPr>
        <w:t>Güteklassen DMX und DMA nach Tabelle 1 der</w:t>
      </w:r>
      <w:r>
        <w:rPr>
          <w:snapToGrid w:val="0"/>
        </w:rPr>
        <w:t xml:space="preserve"> </w:t>
      </w:r>
      <w:r w:rsidRPr="005F6AF4">
        <w:rPr>
          <w:snapToGrid w:val="0"/>
        </w:rPr>
        <w:t>DIN ISO Norm 8217, Ausgabe Dezember 1993,</w:t>
      </w:r>
      <w:r>
        <w:rPr>
          <w:snapToGrid w:val="0"/>
        </w:rPr>
        <w:t xml:space="preserve"> </w:t>
      </w:r>
      <w:r w:rsidRPr="005F6AF4">
        <w:rPr>
          <w:snapToGrid w:val="0"/>
        </w:rPr>
        <w:t>liegen.</w:t>
      </w:r>
    </w:p>
    <w:p w:rsidR="005F6AF4" w:rsidRPr="005F6AF4" w:rsidRDefault="005F6AF4" w:rsidP="005F6AF4">
      <w:pPr>
        <w:pStyle w:val="GesAbsatz"/>
        <w:rPr>
          <w:snapToGrid w:val="0"/>
        </w:rPr>
      </w:pPr>
      <w:r w:rsidRPr="005F6AF4">
        <w:rPr>
          <w:snapToGrid w:val="0"/>
        </w:rPr>
        <w:t>(3b) Schiffsdiesel ist jeder Schiffskraftstoff,</w:t>
      </w:r>
      <w:r>
        <w:rPr>
          <w:snapToGrid w:val="0"/>
        </w:rPr>
        <w:t xml:space="preserve"> </w:t>
      </w:r>
      <w:r w:rsidRPr="005F6AF4">
        <w:rPr>
          <w:snapToGrid w:val="0"/>
        </w:rPr>
        <w:t>dessen Viskosität und Dichte im Rahmen der</w:t>
      </w:r>
      <w:r>
        <w:rPr>
          <w:snapToGrid w:val="0"/>
        </w:rPr>
        <w:t xml:space="preserve"> </w:t>
      </w:r>
      <w:r w:rsidRPr="005F6AF4">
        <w:rPr>
          <w:snapToGrid w:val="0"/>
        </w:rPr>
        <w:t>Werte für Viskosität und Dichte der Güteklassen</w:t>
      </w:r>
      <w:r>
        <w:rPr>
          <w:snapToGrid w:val="0"/>
        </w:rPr>
        <w:t xml:space="preserve"> </w:t>
      </w:r>
      <w:r w:rsidRPr="005F6AF4">
        <w:rPr>
          <w:snapToGrid w:val="0"/>
        </w:rPr>
        <w:t>DMB und DMC nach Tabelle 1 der DIN ISO</w:t>
      </w:r>
      <w:r>
        <w:rPr>
          <w:snapToGrid w:val="0"/>
        </w:rPr>
        <w:t xml:space="preserve"> </w:t>
      </w:r>
      <w:r w:rsidRPr="005F6AF4">
        <w:rPr>
          <w:snapToGrid w:val="0"/>
        </w:rPr>
        <w:t>Norm 8217, Ausgabe Deze</w:t>
      </w:r>
      <w:r w:rsidRPr="005F6AF4">
        <w:rPr>
          <w:snapToGrid w:val="0"/>
        </w:rPr>
        <w:t>m</w:t>
      </w:r>
      <w:r w:rsidRPr="005F6AF4">
        <w:rPr>
          <w:snapToGrid w:val="0"/>
        </w:rPr>
        <w:t>ber</w:t>
      </w:r>
      <w:r>
        <w:rPr>
          <w:snapToGrid w:val="0"/>
        </w:rPr>
        <w:t> </w:t>
      </w:r>
      <w:r w:rsidRPr="005F6AF4">
        <w:rPr>
          <w:snapToGrid w:val="0"/>
        </w:rPr>
        <w:t>1993, liegen.</w:t>
      </w:r>
    </w:p>
    <w:p w:rsidR="007F4EC4" w:rsidRDefault="005F6AF4" w:rsidP="005F6AF4">
      <w:pPr>
        <w:pStyle w:val="GesAbsatz"/>
        <w:rPr>
          <w:snapToGrid w:val="0"/>
        </w:rPr>
      </w:pPr>
      <w:r w:rsidRPr="005F6AF4">
        <w:rPr>
          <w:snapToGrid w:val="0"/>
        </w:rPr>
        <w:t>(3c) Sonstige Schiffskraftstoffe sind die nicht</w:t>
      </w:r>
      <w:r>
        <w:rPr>
          <w:snapToGrid w:val="0"/>
        </w:rPr>
        <w:t xml:space="preserve"> </w:t>
      </w:r>
      <w:r w:rsidRPr="005F6AF4">
        <w:rPr>
          <w:snapToGrid w:val="0"/>
        </w:rPr>
        <w:t>in den Absätzen 3a und 3b genannten Schiffskraftstoffe.</w:t>
      </w:r>
    </w:p>
    <w:p w:rsidR="007F4EC4" w:rsidRDefault="007F4EC4">
      <w:pPr>
        <w:pStyle w:val="GesAbsatz"/>
        <w:rPr>
          <w:snapToGrid w:val="0"/>
        </w:rPr>
      </w:pPr>
      <w:r>
        <w:rPr>
          <w:snapToGrid w:val="0"/>
        </w:rPr>
        <w:lastRenderedPageBreak/>
        <w:t xml:space="preserve">(4) Einführer im Sinne dieser Verordnung ist, wer leichtes oder schweres Heizöl, </w:t>
      </w:r>
      <w:r w:rsidR="00C5266D" w:rsidRPr="00C5266D">
        <w:rPr>
          <w:snapToGrid w:val="0"/>
        </w:rPr>
        <w:t>Schiffskraftstoff</w:t>
      </w:r>
      <w:r>
        <w:rPr>
          <w:snapToGrid w:val="0"/>
        </w:rPr>
        <w:t xml:space="preserve"> oder Di</w:t>
      </w:r>
      <w:r>
        <w:rPr>
          <w:snapToGrid w:val="0"/>
        </w:rPr>
        <w:t>e</w:t>
      </w:r>
      <w:r>
        <w:rPr>
          <w:snapToGrid w:val="0"/>
        </w:rPr>
        <w:t>selkraftstoff gewerbsmäßig oder im Rahmen wirtschaftlicher Unternehmungen einführt.</w:t>
      </w:r>
    </w:p>
    <w:p w:rsidR="007F4EC4" w:rsidRDefault="007F4EC4">
      <w:pPr>
        <w:pStyle w:val="GesAbsatz"/>
        <w:rPr>
          <w:snapToGrid w:val="0"/>
        </w:rPr>
      </w:pPr>
      <w:r>
        <w:rPr>
          <w:snapToGrid w:val="0"/>
        </w:rPr>
        <w:t xml:space="preserve">(5) Vermischer im Sinne dieser Verordnung ist, wer leichtes oder schweres Heizöl, </w:t>
      </w:r>
      <w:r w:rsidR="00C5266D" w:rsidRPr="00C5266D">
        <w:rPr>
          <w:snapToGrid w:val="0"/>
        </w:rPr>
        <w:t>Schiffskraftstoff</w:t>
      </w:r>
      <w:r>
        <w:rPr>
          <w:snapToGrid w:val="0"/>
        </w:rPr>
        <w:t xml:space="preserve"> oder Dieselkraftstoff vermischt oder die Vermischung veranlasst.</w:t>
      </w:r>
    </w:p>
    <w:p w:rsidR="007F4EC4" w:rsidRPr="00C5266D" w:rsidRDefault="007F4EC4" w:rsidP="00C5266D">
      <w:pPr>
        <w:pStyle w:val="GesAbsatz"/>
        <w:rPr>
          <w:snapToGrid w:val="0"/>
        </w:rPr>
      </w:pPr>
      <w:r>
        <w:rPr>
          <w:snapToGrid w:val="0"/>
        </w:rPr>
        <w:t xml:space="preserve">(6) Großverteiler im Sinne dieser Verordnung ist, wer leichtes oder schweres Heizöl, </w:t>
      </w:r>
      <w:r w:rsidR="00C5266D" w:rsidRPr="00C5266D">
        <w:rPr>
          <w:snapToGrid w:val="0"/>
        </w:rPr>
        <w:t>Schiffskraftstoff</w:t>
      </w:r>
      <w:r>
        <w:rPr>
          <w:snapToGrid w:val="0"/>
        </w:rPr>
        <w:t xml:space="preserve"> oder Dieselkraftstoff gewerbsmäßig oder im Rahmen wirtschaftlicher Unternehmungen verteilt und über eine L</w:t>
      </w:r>
      <w:r>
        <w:rPr>
          <w:snapToGrid w:val="0"/>
        </w:rPr>
        <w:t>a</w:t>
      </w:r>
      <w:r>
        <w:rPr>
          <w:snapToGrid w:val="0"/>
        </w:rPr>
        <w:t>gerkapazität von mehr als 1 000 Kubikmeter verfügt.</w:t>
      </w:r>
      <w:r w:rsidR="00C5266D">
        <w:rPr>
          <w:snapToGrid w:val="0"/>
        </w:rPr>
        <w:t xml:space="preserve"> </w:t>
      </w:r>
      <w:r w:rsidR="00C5266D" w:rsidRPr="00C5266D">
        <w:rPr>
          <w:snapToGrid w:val="0"/>
        </w:rPr>
        <w:t>Das Verteilen nach Satz 1 schließt die Abgabe</w:t>
      </w:r>
      <w:r w:rsidR="00C5266D">
        <w:rPr>
          <w:snapToGrid w:val="0"/>
        </w:rPr>
        <w:t xml:space="preserve"> </w:t>
      </w:r>
      <w:r w:rsidR="00C5266D" w:rsidRPr="00C5266D">
        <w:rPr>
          <w:snapToGrid w:val="0"/>
        </w:rPr>
        <w:t>an Schiffe ein.</w:t>
      </w:r>
    </w:p>
    <w:p w:rsidR="007F4EC4" w:rsidRPr="00D64D58" w:rsidRDefault="007F4EC4">
      <w:pPr>
        <w:pStyle w:val="berschrift3"/>
      </w:pPr>
      <w:bookmarkStart w:id="4" w:name="_Toc235242238"/>
      <w:r>
        <w:rPr>
          <w:snapToGrid w:val="0"/>
        </w:rPr>
        <w:t>§ 3</w:t>
      </w:r>
      <w:r>
        <w:rPr>
          <w:snapToGrid w:val="0"/>
        </w:rPr>
        <w:br/>
        <w:t>Begrenzung des Schwefelgehalts</w:t>
      </w:r>
      <w:bookmarkEnd w:id="4"/>
    </w:p>
    <w:p w:rsidR="00C5266D" w:rsidRDefault="00C5266D" w:rsidP="00370116">
      <w:pPr>
        <w:pStyle w:val="GesAbsatz"/>
        <w:rPr>
          <w:snapToGrid w:val="0"/>
        </w:rPr>
      </w:pPr>
      <w:r w:rsidRPr="00C5266D">
        <w:rPr>
          <w:snapToGrid w:val="0"/>
        </w:rPr>
        <w:t>(1) Leichtes Heizöl darf gewerbsmäßig oder</w:t>
      </w:r>
      <w:r>
        <w:rPr>
          <w:snapToGrid w:val="0"/>
        </w:rPr>
        <w:t xml:space="preserve"> </w:t>
      </w:r>
      <w:r w:rsidRPr="00C5266D">
        <w:rPr>
          <w:snapToGrid w:val="0"/>
        </w:rPr>
        <w:t>im Rahmen wirtschaftlicher Unternehmungen anderen</w:t>
      </w:r>
      <w:r>
        <w:rPr>
          <w:snapToGrid w:val="0"/>
        </w:rPr>
        <w:t xml:space="preserve"> </w:t>
      </w:r>
      <w:r w:rsidRPr="00C5266D">
        <w:rPr>
          <w:snapToGrid w:val="0"/>
        </w:rPr>
        <w:t>nur übe</w:t>
      </w:r>
      <w:r w:rsidRPr="00C5266D">
        <w:rPr>
          <w:snapToGrid w:val="0"/>
        </w:rPr>
        <w:t>r</w:t>
      </w:r>
      <w:r w:rsidRPr="00C5266D">
        <w:rPr>
          <w:snapToGrid w:val="0"/>
        </w:rPr>
        <w:t>lassen und Gasöl für den Seeverkehr</w:t>
      </w:r>
      <w:r>
        <w:rPr>
          <w:snapToGrid w:val="0"/>
        </w:rPr>
        <w:t xml:space="preserve"> </w:t>
      </w:r>
      <w:r w:rsidRPr="00C5266D">
        <w:rPr>
          <w:snapToGrid w:val="0"/>
        </w:rPr>
        <w:t>nur verwendet werden, wenn ein Gehalt an</w:t>
      </w:r>
      <w:r>
        <w:rPr>
          <w:snapToGrid w:val="0"/>
        </w:rPr>
        <w:t xml:space="preserve"> </w:t>
      </w:r>
      <w:r w:rsidRPr="00C5266D">
        <w:rPr>
          <w:snapToGrid w:val="0"/>
        </w:rPr>
        <w:t>Schwefelverbindungen, berechnet als Schwefel,</w:t>
      </w:r>
      <w:r>
        <w:rPr>
          <w:snapToGrid w:val="0"/>
        </w:rPr>
        <w:t xml:space="preserve"> </w:t>
      </w:r>
      <w:r w:rsidRPr="00C5266D">
        <w:rPr>
          <w:snapToGrid w:val="0"/>
        </w:rPr>
        <w:t>von 0,10 Massenhundertteile nicht überschritten</w:t>
      </w:r>
      <w:r>
        <w:rPr>
          <w:snapToGrid w:val="0"/>
        </w:rPr>
        <w:t xml:space="preserve"> </w:t>
      </w:r>
      <w:r w:rsidRPr="00C5266D">
        <w:rPr>
          <w:snapToGrid w:val="0"/>
        </w:rPr>
        <w:t>wird.</w:t>
      </w:r>
    </w:p>
    <w:p w:rsidR="007F4EC4" w:rsidRDefault="00C5266D" w:rsidP="00370116">
      <w:pPr>
        <w:pStyle w:val="GesAbsatz"/>
        <w:rPr>
          <w:snapToGrid w:val="0"/>
        </w:rPr>
      </w:pPr>
      <w:r w:rsidRPr="00C5266D">
        <w:rPr>
          <w:snapToGrid w:val="0"/>
        </w:rPr>
        <w:t>(1a) Schiffsdiesel darf gewerbsmäßig oder im</w:t>
      </w:r>
      <w:r>
        <w:rPr>
          <w:snapToGrid w:val="0"/>
        </w:rPr>
        <w:t xml:space="preserve"> </w:t>
      </w:r>
      <w:r w:rsidRPr="00C5266D">
        <w:rPr>
          <w:snapToGrid w:val="0"/>
        </w:rPr>
        <w:t>Rahmen wirtschaftlicher Unternehmungen anderen</w:t>
      </w:r>
      <w:r>
        <w:rPr>
          <w:snapToGrid w:val="0"/>
        </w:rPr>
        <w:t xml:space="preserve"> </w:t>
      </w:r>
      <w:r w:rsidRPr="00C5266D">
        <w:rPr>
          <w:snapToGrid w:val="0"/>
        </w:rPr>
        <w:t>nur übe</w:t>
      </w:r>
      <w:r w:rsidRPr="00C5266D">
        <w:rPr>
          <w:snapToGrid w:val="0"/>
        </w:rPr>
        <w:t>r</w:t>
      </w:r>
      <w:r w:rsidRPr="00C5266D">
        <w:rPr>
          <w:snapToGrid w:val="0"/>
        </w:rPr>
        <w:t>lassen werden, wenn ein Gehalt an</w:t>
      </w:r>
      <w:r>
        <w:rPr>
          <w:snapToGrid w:val="0"/>
        </w:rPr>
        <w:t xml:space="preserve"> </w:t>
      </w:r>
      <w:r w:rsidRPr="00C5266D">
        <w:rPr>
          <w:snapToGrid w:val="0"/>
        </w:rPr>
        <w:t>Schwefelverbindungen, berechnet als Schwefel,</w:t>
      </w:r>
      <w:r>
        <w:rPr>
          <w:snapToGrid w:val="0"/>
        </w:rPr>
        <w:t xml:space="preserve"> </w:t>
      </w:r>
      <w:r w:rsidRPr="00C5266D">
        <w:rPr>
          <w:snapToGrid w:val="0"/>
        </w:rPr>
        <w:t>von 1,5 Massenhu</w:t>
      </w:r>
      <w:r w:rsidRPr="00C5266D">
        <w:rPr>
          <w:snapToGrid w:val="0"/>
        </w:rPr>
        <w:t>n</w:t>
      </w:r>
      <w:r w:rsidRPr="00C5266D">
        <w:rPr>
          <w:snapToGrid w:val="0"/>
        </w:rPr>
        <w:t>dertteile nicht überschritten</w:t>
      </w:r>
      <w:r>
        <w:rPr>
          <w:snapToGrid w:val="0"/>
        </w:rPr>
        <w:t xml:space="preserve"> </w:t>
      </w:r>
      <w:r w:rsidRPr="00C5266D">
        <w:rPr>
          <w:snapToGrid w:val="0"/>
        </w:rPr>
        <w:t>wird. Gasöl für den Seeverkehr darf gewerbsmäßig</w:t>
      </w:r>
      <w:r>
        <w:rPr>
          <w:snapToGrid w:val="0"/>
        </w:rPr>
        <w:t xml:space="preserve"> </w:t>
      </w:r>
      <w:r w:rsidRPr="00C5266D">
        <w:rPr>
          <w:snapToGrid w:val="0"/>
        </w:rPr>
        <w:t>oder im Rahmen wirtschaftl</w:t>
      </w:r>
      <w:r w:rsidRPr="00C5266D">
        <w:rPr>
          <w:snapToGrid w:val="0"/>
        </w:rPr>
        <w:t>i</w:t>
      </w:r>
      <w:r w:rsidRPr="00C5266D">
        <w:rPr>
          <w:snapToGrid w:val="0"/>
        </w:rPr>
        <w:t>cher Unternehmungen</w:t>
      </w:r>
      <w:r>
        <w:rPr>
          <w:snapToGrid w:val="0"/>
        </w:rPr>
        <w:t xml:space="preserve"> </w:t>
      </w:r>
      <w:r w:rsidRPr="00C5266D">
        <w:rPr>
          <w:snapToGrid w:val="0"/>
        </w:rPr>
        <w:t>ab dem 1. Januar 2010 anderen nur</w:t>
      </w:r>
      <w:r>
        <w:rPr>
          <w:snapToGrid w:val="0"/>
        </w:rPr>
        <w:t xml:space="preserve"> </w:t>
      </w:r>
      <w:r w:rsidRPr="00C5266D">
        <w:rPr>
          <w:snapToGrid w:val="0"/>
        </w:rPr>
        <w:t>überlassen werden, wenn ein Gehalt an Schw</w:t>
      </w:r>
      <w:r w:rsidRPr="00C5266D">
        <w:rPr>
          <w:snapToGrid w:val="0"/>
        </w:rPr>
        <w:t>e</w:t>
      </w:r>
      <w:r w:rsidRPr="00C5266D">
        <w:rPr>
          <w:snapToGrid w:val="0"/>
        </w:rPr>
        <w:t>felverbindungen,</w:t>
      </w:r>
      <w:r>
        <w:rPr>
          <w:snapToGrid w:val="0"/>
        </w:rPr>
        <w:t xml:space="preserve"> </w:t>
      </w:r>
      <w:r w:rsidRPr="00C5266D">
        <w:rPr>
          <w:snapToGrid w:val="0"/>
        </w:rPr>
        <w:t>berechnet als Schwefel, von</w:t>
      </w:r>
      <w:r>
        <w:rPr>
          <w:snapToGrid w:val="0"/>
        </w:rPr>
        <w:t xml:space="preserve"> </w:t>
      </w:r>
      <w:r w:rsidRPr="00C5266D">
        <w:rPr>
          <w:snapToGrid w:val="0"/>
        </w:rPr>
        <w:t>0,1 Massenhundertteile nicht überschritten wird.</w:t>
      </w:r>
      <w:r w:rsidRPr="00C5266D" w:rsidDel="00C5266D">
        <w:rPr>
          <w:snapToGrid w:val="0"/>
        </w:rPr>
        <w:t xml:space="preserve"> </w:t>
      </w:r>
    </w:p>
    <w:p w:rsidR="007F4EC4" w:rsidRDefault="007F4EC4">
      <w:pPr>
        <w:pStyle w:val="GesAbsatz"/>
        <w:rPr>
          <w:snapToGrid w:val="0"/>
        </w:rPr>
      </w:pPr>
      <w:r>
        <w:rPr>
          <w:snapToGrid w:val="0"/>
        </w:rPr>
        <w:t xml:space="preserve">(2) Schweres Heizöl darf gewerbsmäßig oder im Rahmen wirtschaftlicher Unternehmungen anderen nur überlassen werden, wenn 1,00 Massenhundertteile, berechnet als Schwefel, nicht überschritten werden. Es können auch höhere Schwefelgehalte als die unter Satz 1 genannten zugelassen werden, soweit das Heizöl in Übereinstimmung mit den Anforderungen der Verordnung über Großfeuerungsanlagen oder der Ersten Allgemeinen Verwaltungsvorschrift zum Bundes-Immissionsschutzgesetz (TA Luft) vom </w:t>
      </w:r>
      <w:r w:rsidR="00C5266D">
        <w:rPr>
          <w:snapToGrid w:val="0"/>
        </w:rPr>
        <w:t>24. Juli 2002</w:t>
      </w:r>
      <w:r>
        <w:rPr>
          <w:snapToGrid w:val="0"/>
        </w:rPr>
        <w:t xml:space="preserve"> in Ve</w:t>
      </w:r>
      <w:r>
        <w:rPr>
          <w:snapToGrid w:val="0"/>
        </w:rPr>
        <w:t>r</w:t>
      </w:r>
      <w:r>
        <w:rPr>
          <w:snapToGrid w:val="0"/>
        </w:rPr>
        <w:t xml:space="preserve">brennungsanlagen eingesetzt werden darf und ausschließlich für den Einsatz in diesen Anlagen bestimmt ist. </w:t>
      </w:r>
    </w:p>
    <w:p w:rsidR="007F4EC4" w:rsidRDefault="007F4EC4">
      <w:pPr>
        <w:pStyle w:val="GesAbsatz"/>
        <w:rPr>
          <w:snapToGrid w:val="0"/>
        </w:rPr>
      </w:pPr>
      <w:r>
        <w:rPr>
          <w:snapToGrid w:val="0"/>
        </w:rPr>
        <w:t>(3) Dieselkraftstoff darf gewerbsmäßig oder im Rahmen wirtschaftlicher Unternehmungen anderen nur übe</w:t>
      </w:r>
      <w:r>
        <w:rPr>
          <w:snapToGrid w:val="0"/>
        </w:rPr>
        <w:t>r</w:t>
      </w:r>
      <w:r>
        <w:rPr>
          <w:snapToGrid w:val="0"/>
        </w:rPr>
        <w:t xml:space="preserve">lassen werden, wenn der Gehalt an Schwefelverbindungen, berechnet als Schwefel, von </w:t>
      </w:r>
      <w:r w:rsidR="00C5266D">
        <w:rPr>
          <w:snapToGrid w:val="0"/>
        </w:rPr>
        <w:t>10 mg/kg</w:t>
      </w:r>
      <w:r>
        <w:rPr>
          <w:snapToGrid w:val="0"/>
        </w:rPr>
        <w:t xml:space="preserve"> nicht überschritten wird. </w:t>
      </w:r>
    </w:p>
    <w:p w:rsidR="007F4EC4" w:rsidRDefault="007F4EC4">
      <w:pPr>
        <w:pStyle w:val="GesAbsatz"/>
        <w:rPr>
          <w:snapToGrid w:val="0"/>
        </w:rPr>
      </w:pPr>
      <w:r>
        <w:rPr>
          <w:snapToGrid w:val="0"/>
        </w:rPr>
        <w:t xml:space="preserve">(3a) Die Regelungen für die Absätze 1 bis 3 gelten nur für die Überlassung an den Verbraucher und an für die Abgabe an den Verbraucher vorgesehene Stellen. </w:t>
      </w:r>
    </w:p>
    <w:p w:rsidR="007F4EC4" w:rsidRDefault="007F4EC4">
      <w:pPr>
        <w:pStyle w:val="GesAbsatz"/>
        <w:rPr>
          <w:snapToGrid w:val="0"/>
        </w:rPr>
      </w:pPr>
      <w:r>
        <w:rPr>
          <w:snapToGrid w:val="0"/>
        </w:rPr>
        <w:t>(4) Für Brenn- und Kraftstoffe, die eingeführt oder sonst in den Geltungsbereich dieser Verordnung verbracht werden und die unter diese Verordnung fallen, sind die Absätze 1 bis 3 erst vom Zeitpunkt der Abfertigung in den zollrechtlich freien Verkehr anzuwenden.</w:t>
      </w:r>
    </w:p>
    <w:p w:rsidR="007F4EC4" w:rsidRDefault="00C5266D" w:rsidP="00C5266D">
      <w:pPr>
        <w:pStyle w:val="GesAbsatz"/>
        <w:rPr>
          <w:snapToGrid w:val="0"/>
        </w:rPr>
      </w:pPr>
      <w:r w:rsidRPr="00C5266D">
        <w:rPr>
          <w:snapToGrid w:val="0"/>
        </w:rPr>
        <w:t>(5) Dieselkraftstoff für die Binnenschifffahrt</w:t>
      </w:r>
      <w:r>
        <w:rPr>
          <w:snapToGrid w:val="0"/>
        </w:rPr>
        <w:t xml:space="preserve"> </w:t>
      </w:r>
      <w:r w:rsidRPr="00C5266D">
        <w:rPr>
          <w:snapToGrid w:val="0"/>
        </w:rPr>
        <w:t>darf gewerbsmäßig oder im Rahmen wirtschaftlicher</w:t>
      </w:r>
      <w:r>
        <w:rPr>
          <w:snapToGrid w:val="0"/>
        </w:rPr>
        <w:t xml:space="preserve"> </w:t>
      </w:r>
      <w:r w:rsidRPr="00C5266D">
        <w:rPr>
          <w:snapToGrid w:val="0"/>
        </w:rPr>
        <w:t>Unterne</w:t>
      </w:r>
      <w:r w:rsidRPr="00C5266D">
        <w:rPr>
          <w:snapToGrid w:val="0"/>
        </w:rPr>
        <w:t>h</w:t>
      </w:r>
      <w:r w:rsidRPr="00C5266D">
        <w:rPr>
          <w:snapToGrid w:val="0"/>
        </w:rPr>
        <w:t>mungen anderen nur überlassen</w:t>
      </w:r>
      <w:r>
        <w:rPr>
          <w:snapToGrid w:val="0"/>
        </w:rPr>
        <w:t xml:space="preserve"> </w:t>
      </w:r>
      <w:r w:rsidRPr="00C5266D">
        <w:rPr>
          <w:snapToGrid w:val="0"/>
        </w:rPr>
        <w:t>werden, wenn ein Höchstgehalt an Schwefel von</w:t>
      </w:r>
      <w:r>
        <w:rPr>
          <w:snapToGrid w:val="0"/>
        </w:rPr>
        <w:t xml:space="preserve"> </w:t>
      </w:r>
      <w:r w:rsidRPr="00C5266D">
        <w:rPr>
          <w:snapToGrid w:val="0"/>
        </w:rPr>
        <w:t xml:space="preserve">0,10 </w:t>
      </w:r>
      <w:proofErr w:type="gramStart"/>
      <w:r w:rsidRPr="00C5266D">
        <w:rPr>
          <w:snapToGrid w:val="0"/>
        </w:rPr>
        <w:t>Massenhundertteile</w:t>
      </w:r>
      <w:proofErr w:type="gramEnd"/>
      <w:r w:rsidRPr="00C5266D">
        <w:rPr>
          <w:snapToGrid w:val="0"/>
        </w:rPr>
        <w:t xml:space="preserve"> nicht überschritten wird.</w:t>
      </w:r>
      <w:r>
        <w:rPr>
          <w:snapToGrid w:val="0"/>
        </w:rPr>
        <w:t xml:space="preserve"> </w:t>
      </w:r>
      <w:r w:rsidRPr="00C5266D">
        <w:rPr>
          <w:snapToGrid w:val="0"/>
        </w:rPr>
        <w:t>Ab 1. Januar 2010 darf Schiffskraftstoff, der einen</w:t>
      </w:r>
      <w:r>
        <w:rPr>
          <w:snapToGrid w:val="0"/>
        </w:rPr>
        <w:t xml:space="preserve"> </w:t>
      </w:r>
      <w:r w:rsidRPr="00C5266D">
        <w:rPr>
          <w:snapToGrid w:val="0"/>
        </w:rPr>
        <w:t>Gehalt an Schwefelverbindungen, berechnet</w:t>
      </w:r>
      <w:r>
        <w:rPr>
          <w:snapToGrid w:val="0"/>
        </w:rPr>
        <w:t xml:space="preserve"> </w:t>
      </w:r>
      <w:r w:rsidRPr="00C5266D">
        <w:rPr>
          <w:snapToGrid w:val="0"/>
        </w:rPr>
        <w:t>als Schwefel, von 0,1 Massenhundertteile überschreitet,</w:t>
      </w:r>
      <w:r>
        <w:rPr>
          <w:snapToGrid w:val="0"/>
        </w:rPr>
        <w:t xml:space="preserve"> </w:t>
      </w:r>
      <w:r w:rsidRPr="00C5266D">
        <w:rPr>
          <w:snapToGrid w:val="0"/>
        </w:rPr>
        <w:t>in der Binnenschifffahrt nicht verwendet</w:t>
      </w:r>
      <w:r>
        <w:rPr>
          <w:snapToGrid w:val="0"/>
        </w:rPr>
        <w:t xml:space="preserve"> </w:t>
      </w:r>
      <w:r w:rsidRPr="00C5266D">
        <w:rPr>
          <w:snapToGrid w:val="0"/>
        </w:rPr>
        <w:t>werden.</w:t>
      </w:r>
    </w:p>
    <w:p w:rsidR="007F4EC4" w:rsidRPr="00D64D58" w:rsidRDefault="007F4EC4">
      <w:pPr>
        <w:pStyle w:val="berschrift3"/>
      </w:pPr>
      <w:bookmarkStart w:id="5" w:name="_Toc235242239"/>
      <w:r>
        <w:rPr>
          <w:snapToGrid w:val="0"/>
        </w:rPr>
        <w:t>§ 3a</w:t>
      </w:r>
      <w:r>
        <w:rPr>
          <w:snapToGrid w:val="0"/>
        </w:rPr>
        <w:br/>
        <w:t>Kennzeichnung von schwefelarmem Brennstoff</w:t>
      </w:r>
      <w:bookmarkEnd w:id="5"/>
    </w:p>
    <w:p w:rsidR="007F4EC4" w:rsidRDefault="007F4EC4">
      <w:pPr>
        <w:pStyle w:val="GesAbsatz"/>
        <w:rPr>
          <w:snapToGrid w:val="0"/>
        </w:rPr>
      </w:pPr>
      <w:r>
        <w:rPr>
          <w:snapToGrid w:val="0"/>
        </w:rPr>
        <w:t>Leichtes Heizöl nach § 2 Abs. 1 kann als „schwefelarm“ bezeichnet werden, wenn sein Schwefelgehalt 50 mg/kg (0,005 Massenhundertteile) nicht überschreitet.</w:t>
      </w:r>
    </w:p>
    <w:p w:rsidR="007F4EC4" w:rsidRPr="00D64D58" w:rsidRDefault="007F4EC4">
      <w:pPr>
        <w:pStyle w:val="berschrift3"/>
      </w:pPr>
      <w:bookmarkStart w:id="6" w:name="_Toc235242240"/>
      <w:r>
        <w:rPr>
          <w:snapToGrid w:val="0"/>
        </w:rPr>
        <w:t>§ 4</w:t>
      </w:r>
      <w:r>
        <w:rPr>
          <w:snapToGrid w:val="0"/>
        </w:rPr>
        <w:br/>
        <w:t>Ausnahmen</w:t>
      </w:r>
      <w:bookmarkEnd w:id="6"/>
    </w:p>
    <w:p w:rsidR="007F4EC4" w:rsidRDefault="007F4EC4">
      <w:pPr>
        <w:pStyle w:val="GesAbsatz"/>
        <w:rPr>
          <w:snapToGrid w:val="0"/>
        </w:rPr>
      </w:pPr>
      <w:r>
        <w:rPr>
          <w:snapToGrid w:val="0"/>
        </w:rPr>
        <w:t>(1) Die zuständige Behörde bewilligt im Benehmen mit dem Bundesamt für Wirtschaft</w:t>
      </w:r>
      <w:r w:rsidR="00024F7D">
        <w:rPr>
          <w:snapToGrid w:val="0"/>
        </w:rPr>
        <w:t xml:space="preserve"> und Ausfuhrkontrolle</w:t>
      </w:r>
      <w:r>
        <w:rPr>
          <w:snapToGrid w:val="0"/>
        </w:rPr>
        <w:t xml:space="preserve"> auf Antrag Ausnahmen von § 3, soweit die Einhaltung des zulässigen Höchstgehalts an Schwefelverbindu</w:t>
      </w:r>
      <w:r>
        <w:rPr>
          <w:snapToGrid w:val="0"/>
        </w:rPr>
        <w:t>n</w:t>
      </w:r>
      <w:r>
        <w:rPr>
          <w:snapToGrid w:val="0"/>
        </w:rPr>
        <w:t>gen zu einer erheblichen Gefährdung der Versorgung des Verbrauchers führen würde.</w:t>
      </w:r>
    </w:p>
    <w:p w:rsidR="007F4EC4" w:rsidRDefault="007F4EC4">
      <w:pPr>
        <w:pStyle w:val="GesAbsatz"/>
        <w:rPr>
          <w:snapToGrid w:val="0"/>
        </w:rPr>
      </w:pPr>
      <w:r>
        <w:rPr>
          <w:snapToGrid w:val="0"/>
        </w:rPr>
        <w:t>(2) Die Bewilligung kann unter Bedingungen erteilt und mit Auflagen verbunden werden; sie kann widerrufen werden, wenn die Voraussetzungen für ihre Erteilung nicht mehr vorliegen. Die Bewilligung ist zu befristen.</w:t>
      </w:r>
    </w:p>
    <w:p w:rsidR="007F4EC4" w:rsidRPr="00D64D58" w:rsidRDefault="007F4EC4">
      <w:pPr>
        <w:pStyle w:val="berschrift3"/>
      </w:pPr>
      <w:bookmarkStart w:id="7" w:name="_Toc235242241"/>
      <w:r>
        <w:rPr>
          <w:snapToGrid w:val="0"/>
        </w:rPr>
        <w:lastRenderedPageBreak/>
        <w:t>§ 5</w:t>
      </w:r>
      <w:r>
        <w:rPr>
          <w:snapToGrid w:val="0"/>
        </w:rPr>
        <w:br/>
        <w:t>Überwachung</w:t>
      </w:r>
      <w:bookmarkEnd w:id="7"/>
    </w:p>
    <w:p w:rsidR="007F4EC4" w:rsidRDefault="007F4EC4">
      <w:pPr>
        <w:pStyle w:val="GesAbsatz"/>
        <w:rPr>
          <w:snapToGrid w:val="0"/>
        </w:rPr>
      </w:pPr>
      <w:r>
        <w:rPr>
          <w:snapToGrid w:val="0"/>
        </w:rPr>
        <w:t>(1) Der Auskunftspflichtige nach § 52 Abs. 3 Satz 1 in Verbindung mit Abs. 2 Satz 1 des Bundes-Immissionsschutzgesetzes, der Brenn- und Kraftstoffe, die unter diese Verordnung fallen, als Hersteller, Vermischer, Einführer oder Großverteiler lagert, hat Tankbelegbücher zu führen und auf Verlangen vorzul</w:t>
      </w:r>
      <w:r>
        <w:rPr>
          <w:snapToGrid w:val="0"/>
        </w:rPr>
        <w:t>e</w:t>
      </w:r>
      <w:r>
        <w:rPr>
          <w:snapToGrid w:val="0"/>
        </w:rPr>
        <w:t xml:space="preserve">gen, aus denen sich die Lieferanten des Heizöls, </w:t>
      </w:r>
      <w:r w:rsidR="00024F7D">
        <w:rPr>
          <w:snapToGrid w:val="0"/>
        </w:rPr>
        <w:t>Schiffskraftstoffs</w:t>
      </w:r>
      <w:r>
        <w:rPr>
          <w:snapToGrid w:val="0"/>
        </w:rPr>
        <w:t xml:space="preserve"> oder Dieselkraftstoffs ergeben.</w:t>
      </w:r>
    </w:p>
    <w:p w:rsidR="007F4EC4" w:rsidRDefault="007F4EC4">
      <w:pPr>
        <w:pStyle w:val="GesAbsatz"/>
        <w:rPr>
          <w:snapToGrid w:val="0"/>
        </w:rPr>
      </w:pPr>
      <w:r>
        <w:rPr>
          <w:snapToGrid w:val="0"/>
        </w:rPr>
        <w:t>(2) Auf Verlangen der zuständigen Behörde hat der Auskunftspflichtige nach Absatz 1 eine Erklärung des Herstellers oder Vermischers über die Beschaffenheit des gelagerten Brenn- oder Kraftstoffs auf einem Vo</w:t>
      </w:r>
      <w:r>
        <w:rPr>
          <w:snapToGrid w:val="0"/>
        </w:rPr>
        <w:t>r</w:t>
      </w:r>
      <w:r>
        <w:rPr>
          <w:snapToGrid w:val="0"/>
        </w:rPr>
        <w:t xml:space="preserve">druck nach dem Muster der Anlage vorzulegen; sofern der Hersteller oder Vermischer nicht selbst geliefert hat, muss die Erklärung zusätzlich Angaben des Lieferanten über die dem Auskunftspflichtigen gelieferten Mengen auf einem Vordruck nach dem Muster der Anlage enthalten. Die zuständige Behörde kann dem Auskunftspflichtigen für die Vorlage der Erklärung eine Frist setzen. </w:t>
      </w:r>
    </w:p>
    <w:p w:rsidR="007F4EC4" w:rsidRDefault="007F4EC4">
      <w:pPr>
        <w:pStyle w:val="GesAbsatz"/>
        <w:rPr>
          <w:snapToGrid w:val="0"/>
        </w:rPr>
      </w:pPr>
      <w:r>
        <w:rPr>
          <w:snapToGrid w:val="0"/>
        </w:rPr>
        <w:t>(3) Die zuständigen Behörden ergreifen die erforderlichen Maßnahmen, um durch Probenahmen zu kontro</w:t>
      </w:r>
      <w:r>
        <w:rPr>
          <w:snapToGrid w:val="0"/>
        </w:rPr>
        <w:t>l</w:t>
      </w:r>
      <w:r>
        <w:rPr>
          <w:snapToGrid w:val="0"/>
        </w:rPr>
        <w:t>lieren, ob der Schwefelgehalt der verwendeten</w:t>
      </w:r>
      <w:r w:rsidR="00024F7D">
        <w:rPr>
          <w:snapToGrid w:val="0"/>
        </w:rPr>
        <w:t xml:space="preserve"> und in Verkehr gebrachten</w:t>
      </w:r>
      <w:r>
        <w:rPr>
          <w:snapToGrid w:val="0"/>
        </w:rPr>
        <w:t xml:space="preserve"> Kraft- und Brennstoffe dem § 3 entspricht. Die </w:t>
      </w:r>
      <w:proofErr w:type="gramStart"/>
      <w:r>
        <w:rPr>
          <w:snapToGrid w:val="0"/>
        </w:rPr>
        <w:t>Probenahmen</w:t>
      </w:r>
      <w:proofErr w:type="gramEnd"/>
      <w:r>
        <w:rPr>
          <w:snapToGrid w:val="0"/>
        </w:rPr>
        <w:t xml:space="preserve"> müssen mit ausreichender Häufigkeit vorgenommen werden und für den g</w:t>
      </w:r>
      <w:r>
        <w:rPr>
          <w:snapToGrid w:val="0"/>
        </w:rPr>
        <w:t>e</w:t>
      </w:r>
      <w:r>
        <w:rPr>
          <w:snapToGrid w:val="0"/>
        </w:rPr>
        <w:t>prüften Kraft- und Brennstoff repräsentativ sein. Für die Bestimmung des Schwefelgehalts sind folgende Prüfverfahren zu verwenden:</w:t>
      </w:r>
    </w:p>
    <w:p w:rsidR="007F4EC4" w:rsidRDefault="007F4EC4">
      <w:pPr>
        <w:pStyle w:val="GesAbsatz"/>
        <w:rPr>
          <w:snapToGrid w:val="0"/>
        </w:rPr>
      </w:pPr>
      <w:r>
        <w:rPr>
          <w:snapToGrid w:val="0"/>
        </w:rPr>
        <w:t>a)</w:t>
      </w:r>
      <w:r>
        <w:rPr>
          <w:snapToGrid w:val="0"/>
        </w:rPr>
        <w:tab/>
        <w:t xml:space="preserve">Schweres Heizöl und </w:t>
      </w:r>
      <w:r w:rsidR="00024F7D">
        <w:rPr>
          <w:snapToGrid w:val="0"/>
        </w:rPr>
        <w:t>Schiffskraftstoff</w:t>
      </w:r>
      <w:r>
        <w:rPr>
          <w:snapToGrid w:val="0"/>
        </w:rPr>
        <w:t xml:space="preserve">: </w:t>
      </w:r>
      <w:r w:rsidR="00024F7D">
        <w:rPr>
          <w:snapToGrid w:val="0"/>
        </w:rPr>
        <w:t>DIN EN ISO 8754 (2003)</w:t>
      </w:r>
      <w:r>
        <w:rPr>
          <w:snapToGrid w:val="0"/>
        </w:rPr>
        <w:t xml:space="preserve"> und EN ISO 14596.</w:t>
      </w:r>
    </w:p>
    <w:p w:rsidR="007F4EC4" w:rsidRDefault="007F4EC4">
      <w:pPr>
        <w:pStyle w:val="GesAbsatz"/>
        <w:rPr>
          <w:snapToGrid w:val="0"/>
        </w:rPr>
      </w:pPr>
      <w:r>
        <w:rPr>
          <w:snapToGrid w:val="0"/>
        </w:rPr>
        <w:t>b)</w:t>
      </w:r>
      <w:r>
        <w:rPr>
          <w:snapToGrid w:val="0"/>
        </w:rPr>
        <w:tab/>
        <w:t xml:space="preserve">Leichtes Heizöl und Dieselkraftstoff: EN 24260 (1994), </w:t>
      </w:r>
      <w:r w:rsidR="00024F7D">
        <w:rPr>
          <w:snapToGrid w:val="0"/>
        </w:rPr>
        <w:t>DIN EN ISO 8754 (2003)</w:t>
      </w:r>
      <w:r>
        <w:rPr>
          <w:snapToGrid w:val="0"/>
        </w:rPr>
        <w:t xml:space="preserve"> und EN ISO 14596.</w:t>
      </w:r>
    </w:p>
    <w:p w:rsidR="007F4EC4" w:rsidRDefault="007F4EC4">
      <w:pPr>
        <w:pStyle w:val="GesAbsatz"/>
        <w:rPr>
          <w:snapToGrid w:val="0"/>
        </w:rPr>
      </w:pPr>
      <w:r>
        <w:rPr>
          <w:snapToGrid w:val="0"/>
        </w:rPr>
        <w:t>Als Referenzverfahren dient EN ISO 14596.</w:t>
      </w:r>
    </w:p>
    <w:p w:rsidR="007F4EC4" w:rsidRDefault="007F4EC4">
      <w:pPr>
        <w:pStyle w:val="GesAbsatz"/>
        <w:rPr>
          <w:snapToGrid w:val="0"/>
        </w:rPr>
      </w:pPr>
      <w:r>
        <w:rPr>
          <w:snapToGrid w:val="0"/>
        </w:rPr>
        <w:t>(4) Die nach Landesrecht zuständigen obersten Landesbehörden oder die von ihnen bestimmten Behörden legen bis spätestens zum 31. Mai eine jährliche Übersicht der Ergebnisse der nach Absatz 3 vorgenomm</w:t>
      </w:r>
      <w:r>
        <w:rPr>
          <w:snapToGrid w:val="0"/>
        </w:rPr>
        <w:t>e</w:t>
      </w:r>
      <w:r>
        <w:rPr>
          <w:snapToGrid w:val="0"/>
        </w:rPr>
        <w:t>nen Maßnahmen dem Bundesministerium für Umwelt, Naturschutz und Reaktorsicherheit zur Berichtersta</w:t>
      </w:r>
      <w:r>
        <w:rPr>
          <w:snapToGrid w:val="0"/>
        </w:rPr>
        <w:t>t</w:t>
      </w:r>
      <w:r>
        <w:rPr>
          <w:snapToGrid w:val="0"/>
        </w:rPr>
        <w:t xml:space="preserve">tung an die Kommission der Europäischen Gemeinschaften vor. </w:t>
      </w:r>
    </w:p>
    <w:p w:rsidR="007F4EC4" w:rsidRDefault="007F4EC4">
      <w:pPr>
        <w:pStyle w:val="berschrift3"/>
        <w:rPr>
          <w:snapToGrid w:val="0"/>
        </w:rPr>
      </w:pPr>
      <w:bookmarkStart w:id="8" w:name="_Toc235242242"/>
      <w:r>
        <w:rPr>
          <w:snapToGrid w:val="0"/>
        </w:rPr>
        <w:t>§ 6</w:t>
      </w:r>
      <w:r>
        <w:rPr>
          <w:snapToGrid w:val="0"/>
        </w:rPr>
        <w:br/>
        <w:t xml:space="preserve">Einfuhr von Heizöl, </w:t>
      </w:r>
      <w:r w:rsidR="00024F7D">
        <w:rPr>
          <w:snapToGrid w:val="0"/>
        </w:rPr>
        <w:t>Schiffskraftstoff</w:t>
      </w:r>
      <w:r>
        <w:rPr>
          <w:snapToGrid w:val="0"/>
        </w:rPr>
        <w:t xml:space="preserve"> und Dieselkraftstoff</w:t>
      </w:r>
      <w:bookmarkEnd w:id="8"/>
    </w:p>
    <w:p w:rsidR="007F4EC4" w:rsidRDefault="007F4EC4">
      <w:pPr>
        <w:pStyle w:val="GesAbsatz"/>
        <w:rPr>
          <w:snapToGrid w:val="0"/>
        </w:rPr>
      </w:pPr>
      <w:r>
        <w:rPr>
          <w:snapToGrid w:val="0"/>
        </w:rPr>
        <w:t>(1) Der Einführer hat eine schriftliche Erklärung des Herstellers oder des Vermischers über die Beschaffe</w:t>
      </w:r>
      <w:r>
        <w:rPr>
          <w:snapToGrid w:val="0"/>
        </w:rPr>
        <w:t>n</w:t>
      </w:r>
      <w:r>
        <w:rPr>
          <w:snapToGrid w:val="0"/>
        </w:rPr>
        <w:t>heit des Brenn- und Kraftstoffes den für die Abfertigung der Sendung zuständigen Zolldienststellen unve</w:t>
      </w:r>
      <w:r>
        <w:rPr>
          <w:snapToGrid w:val="0"/>
        </w:rPr>
        <w:t>r</w:t>
      </w:r>
      <w:r>
        <w:rPr>
          <w:snapToGrid w:val="0"/>
        </w:rPr>
        <w:t>züglich, spätestens vor Abfertigung in den zollrechtlichen freien Verkehr, vorzulegen und bis zum ersten Bestimmungsort der Sendung mitzuführen. Der Einführer kann die Beschaffenheit des Brenn- und Kraftsto</w:t>
      </w:r>
      <w:r>
        <w:rPr>
          <w:snapToGrid w:val="0"/>
        </w:rPr>
        <w:t>f</w:t>
      </w:r>
      <w:r>
        <w:rPr>
          <w:snapToGrid w:val="0"/>
        </w:rPr>
        <w:t>fes auch durch eine Eingangsanalyse eines unabhängigen Labors feststellen lassen und das Ergebnis in die schriftliche Erklärung einfügen. Die Erklärung muss vollständige Angaben auf einem Vordruck nach dem Muster der Anlage enthalten.</w:t>
      </w:r>
    </w:p>
    <w:p w:rsidR="007F4EC4" w:rsidRDefault="007F4EC4">
      <w:pPr>
        <w:pStyle w:val="GesAbsatz"/>
        <w:rPr>
          <w:snapToGrid w:val="0"/>
        </w:rPr>
      </w:pPr>
      <w:r>
        <w:rPr>
          <w:snapToGrid w:val="0"/>
        </w:rPr>
        <w:t xml:space="preserve">(2) Der Einführer hat die Sendung der für den ersten Bestimmungsort </w:t>
      </w:r>
      <w:proofErr w:type="gramStart"/>
      <w:r>
        <w:rPr>
          <w:snapToGrid w:val="0"/>
        </w:rPr>
        <w:t>zuständigen</w:t>
      </w:r>
      <w:proofErr w:type="gramEnd"/>
      <w:r>
        <w:rPr>
          <w:snapToGrid w:val="0"/>
        </w:rPr>
        <w:t xml:space="preserve"> Behörde so rechtzeitig zu melden, dass die Behörde von der Sendung vor ihrem Eintreffen am ersten Bestimmungsort Kenntnis erhält.</w:t>
      </w:r>
    </w:p>
    <w:p w:rsidR="007F4EC4" w:rsidRDefault="007F4EC4">
      <w:pPr>
        <w:pStyle w:val="GesAbsatz"/>
        <w:rPr>
          <w:snapToGrid w:val="0"/>
        </w:rPr>
      </w:pPr>
      <w:r>
        <w:rPr>
          <w:snapToGrid w:val="0"/>
        </w:rPr>
        <w:t>(3) Die zollamtlich bescheinigte Erklärung des Herstellers, des Vermischers oder die Eingangsanalyse g</w:t>
      </w:r>
      <w:r>
        <w:rPr>
          <w:snapToGrid w:val="0"/>
        </w:rPr>
        <w:t>e</w:t>
      </w:r>
      <w:r>
        <w:rPr>
          <w:snapToGrid w:val="0"/>
        </w:rPr>
        <w:t>mäß Absatz 1 Satz 2 ist am ersten Bestimmungsort der Sendung vom Einführer verfügbar zu halten, sola</w:t>
      </w:r>
      <w:r>
        <w:rPr>
          <w:snapToGrid w:val="0"/>
        </w:rPr>
        <w:t>n</w:t>
      </w:r>
      <w:r>
        <w:rPr>
          <w:snapToGrid w:val="0"/>
        </w:rPr>
        <w:t>ge sich die Sendung oder Teile der Sendung dort befinden. Darüber hinaus hat der Einführer eine Ausfert</w:t>
      </w:r>
      <w:r>
        <w:rPr>
          <w:snapToGrid w:val="0"/>
        </w:rPr>
        <w:t>i</w:t>
      </w:r>
      <w:r>
        <w:rPr>
          <w:snapToGrid w:val="0"/>
        </w:rPr>
        <w:t>gung dieser Erklärung als Teil seiner geschäftlichen Unterlagen mindestens ein Jahr aufzubewahren.</w:t>
      </w:r>
    </w:p>
    <w:p w:rsidR="007F4EC4" w:rsidRDefault="007F4EC4">
      <w:pPr>
        <w:pStyle w:val="GesAbsatz"/>
        <w:rPr>
          <w:snapToGrid w:val="0"/>
        </w:rPr>
      </w:pPr>
      <w:r>
        <w:rPr>
          <w:snapToGrid w:val="0"/>
        </w:rPr>
        <w:t>(4) Die Absätze 1, 2 und 3 sind nicht anzuwenden auf Einfuhren aus Staaten der Europäischen Union.</w:t>
      </w:r>
    </w:p>
    <w:p w:rsidR="00024F7D" w:rsidRPr="00024F7D" w:rsidRDefault="00024F7D" w:rsidP="00370116">
      <w:pPr>
        <w:pStyle w:val="berschrift3"/>
        <w:rPr>
          <w:snapToGrid w:val="0"/>
        </w:rPr>
      </w:pPr>
      <w:bookmarkStart w:id="9" w:name="_Toc235242243"/>
      <w:r w:rsidRPr="00024F7D">
        <w:rPr>
          <w:snapToGrid w:val="0"/>
        </w:rPr>
        <w:t>§7</w:t>
      </w:r>
      <w:r>
        <w:rPr>
          <w:snapToGrid w:val="0"/>
        </w:rPr>
        <w:br/>
      </w:r>
      <w:r w:rsidRPr="00024F7D">
        <w:rPr>
          <w:snapToGrid w:val="0"/>
        </w:rPr>
        <w:t>Zugänglichkeit der Normen</w:t>
      </w:r>
      <w:bookmarkEnd w:id="9"/>
    </w:p>
    <w:p w:rsidR="007F4EC4" w:rsidRPr="00024F7D" w:rsidRDefault="00024F7D" w:rsidP="00024F7D">
      <w:pPr>
        <w:pStyle w:val="GesAbsatz"/>
        <w:rPr>
          <w:snapToGrid w:val="0"/>
        </w:rPr>
      </w:pPr>
      <w:r w:rsidRPr="00370116">
        <w:rPr>
          <w:snapToGrid w:val="0"/>
          <w:color w:val="auto"/>
        </w:rPr>
        <w:t>Die in den §§ 2 und 5 sowie in der Anlage genannten</w:t>
      </w:r>
      <w:r>
        <w:rPr>
          <w:snapToGrid w:val="0"/>
          <w:color w:val="auto"/>
        </w:rPr>
        <w:t xml:space="preserve"> </w:t>
      </w:r>
      <w:r w:rsidRPr="00370116">
        <w:rPr>
          <w:snapToGrid w:val="0"/>
          <w:color w:val="auto"/>
        </w:rPr>
        <w:t>ISO-, DIN ISO- und DIN EN ISO-Normen sind bei</w:t>
      </w:r>
      <w:r>
        <w:rPr>
          <w:snapToGrid w:val="0"/>
          <w:color w:val="auto"/>
        </w:rPr>
        <w:t xml:space="preserve"> </w:t>
      </w:r>
      <w:r w:rsidRPr="00370116">
        <w:rPr>
          <w:snapToGrid w:val="0"/>
          <w:color w:val="auto"/>
        </w:rPr>
        <w:t>der Beuth-Verlag GmbH, Berlin, erhältlich. Die genannten</w:t>
      </w:r>
      <w:r>
        <w:rPr>
          <w:snapToGrid w:val="0"/>
          <w:color w:val="auto"/>
        </w:rPr>
        <w:t xml:space="preserve"> </w:t>
      </w:r>
      <w:r w:rsidRPr="00370116">
        <w:rPr>
          <w:snapToGrid w:val="0"/>
          <w:color w:val="auto"/>
        </w:rPr>
        <w:t>Normen sind beim Deutschen Patent- und</w:t>
      </w:r>
      <w:r>
        <w:rPr>
          <w:snapToGrid w:val="0"/>
          <w:color w:val="auto"/>
        </w:rPr>
        <w:t xml:space="preserve"> </w:t>
      </w:r>
      <w:r w:rsidRPr="00370116">
        <w:rPr>
          <w:snapToGrid w:val="0"/>
          <w:color w:val="auto"/>
        </w:rPr>
        <w:t>Markenamt in München archivmäßig gesichert niedergelegt.</w:t>
      </w:r>
    </w:p>
    <w:p w:rsidR="007F4EC4" w:rsidRDefault="007F4EC4">
      <w:pPr>
        <w:pStyle w:val="berschrift3"/>
        <w:rPr>
          <w:snapToGrid w:val="0"/>
        </w:rPr>
      </w:pPr>
      <w:bookmarkStart w:id="10" w:name="_Toc235242244"/>
      <w:r>
        <w:rPr>
          <w:snapToGrid w:val="0"/>
        </w:rPr>
        <w:t>§ 8</w:t>
      </w:r>
      <w:r>
        <w:rPr>
          <w:snapToGrid w:val="0"/>
        </w:rPr>
        <w:br/>
        <w:t>Ordnungswidrigkeiten</w:t>
      </w:r>
      <w:bookmarkEnd w:id="10"/>
    </w:p>
    <w:p w:rsidR="007F4EC4" w:rsidRDefault="00024F7D">
      <w:pPr>
        <w:pStyle w:val="GesAbsatz"/>
        <w:rPr>
          <w:snapToGrid w:val="0"/>
        </w:rPr>
      </w:pPr>
      <w:r>
        <w:rPr>
          <w:snapToGrid w:val="0"/>
        </w:rPr>
        <w:t xml:space="preserve">(1) </w:t>
      </w:r>
      <w:r w:rsidR="007F4EC4">
        <w:rPr>
          <w:snapToGrid w:val="0"/>
        </w:rPr>
        <w:t>Ordnungswidrig im Sinne des § 62 Abs. 1 Nr. 7 des Bundes-Immissionsschutzgesetzes handelt, wer vorsätzlich oder fahrlässig</w:t>
      </w:r>
    </w:p>
    <w:p w:rsidR="007F4EC4" w:rsidRDefault="007F4EC4" w:rsidP="00024F7D">
      <w:pPr>
        <w:pStyle w:val="GesAbsatz"/>
        <w:ind w:left="426" w:hanging="426"/>
        <w:rPr>
          <w:snapToGrid w:val="0"/>
        </w:rPr>
      </w:pPr>
      <w:r>
        <w:rPr>
          <w:snapToGrid w:val="0"/>
        </w:rPr>
        <w:t>1.</w:t>
      </w:r>
      <w:r>
        <w:rPr>
          <w:snapToGrid w:val="0"/>
        </w:rPr>
        <w:tab/>
        <w:t xml:space="preserve">entgegen </w:t>
      </w:r>
      <w:r w:rsidR="00024F7D" w:rsidRPr="00024F7D">
        <w:rPr>
          <w:snapToGrid w:val="0"/>
        </w:rPr>
        <w:t>§ 3 Absatz 1, Absatz 1a, Absatz 2 Satz 1,</w:t>
      </w:r>
      <w:r w:rsidR="00024F7D">
        <w:rPr>
          <w:snapToGrid w:val="0"/>
        </w:rPr>
        <w:t xml:space="preserve"> </w:t>
      </w:r>
      <w:r w:rsidR="00024F7D" w:rsidRPr="00024F7D">
        <w:rPr>
          <w:snapToGrid w:val="0"/>
        </w:rPr>
        <w:t>Absatz 3 oder Absatz 5 Satz 1</w:t>
      </w:r>
      <w:r>
        <w:rPr>
          <w:snapToGrid w:val="0"/>
        </w:rPr>
        <w:t xml:space="preserve"> einen dort genan</w:t>
      </w:r>
      <w:r>
        <w:rPr>
          <w:snapToGrid w:val="0"/>
        </w:rPr>
        <w:t>n</w:t>
      </w:r>
      <w:r>
        <w:rPr>
          <w:snapToGrid w:val="0"/>
        </w:rPr>
        <w:t>ten Brenn- oder Kraftstoff anderen überlässt,</w:t>
      </w:r>
    </w:p>
    <w:p w:rsidR="007F4EC4" w:rsidRDefault="007F4EC4">
      <w:pPr>
        <w:pStyle w:val="GesAbsatz"/>
        <w:ind w:left="426" w:hanging="426"/>
        <w:rPr>
          <w:snapToGrid w:val="0"/>
        </w:rPr>
      </w:pPr>
      <w:r>
        <w:rPr>
          <w:snapToGrid w:val="0"/>
        </w:rPr>
        <w:lastRenderedPageBreak/>
        <w:t>2.</w:t>
      </w:r>
      <w:r>
        <w:rPr>
          <w:snapToGrid w:val="0"/>
        </w:rPr>
        <w:tab/>
        <w:t>entgegen § 5 Abs. 1 Tankbelegbücher nicht oder nicht richtig führt oder nicht, nicht richtig oder nicht rechtzeitig vorlegt,</w:t>
      </w:r>
    </w:p>
    <w:p w:rsidR="007F4EC4" w:rsidRDefault="007F4EC4">
      <w:pPr>
        <w:pStyle w:val="GesAbsatz"/>
        <w:ind w:left="426" w:hanging="426"/>
        <w:rPr>
          <w:snapToGrid w:val="0"/>
        </w:rPr>
      </w:pPr>
      <w:r>
        <w:rPr>
          <w:snapToGrid w:val="0"/>
        </w:rPr>
        <w:t>3.</w:t>
      </w:r>
      <w:r>
        <w:rPr>
          <w:snapToGrid w:val="0"/>
        </w:rPr>
        <w:tab/>
        <w:t>entgegen § 5 Abs. 2 Satz 1 eine Erklärung nicht, nicht richtig, nicht vollständig oder nicht rechtzeitig vorlegt,</w:t>
      </w:r>
    </w:p>
    <w:p w:rsidR="007F4EC4" w:rsidRDefault="007F4EC4">
      <w:pPr>
        <w:pStyle w:val="GesAbsatz"/>
        <w:ind w:left="426" w:hanging="426"/>
        <w:rPr>
          <w:snapToGrid w:val="0"/>
        </w:rPr>
      </w:pPr>
      <w:r>
        <w:rPr>
          <w:snapToGrid w:val="0"/>
        </w:rPr>
        <w:t>4.</w:t>
      </w:r>
      <w:r>
        <w:rPr>
          <w:snapToGrid w:val="0"/>
        </w:rPr>
        <w:tab/>
        <w:t>entgegen § 6 Abs. 1 Satz 1 eine Erklärung nicht, nicht richtig oder nicht rechtzeitig vorlegt oder nicht mitführt,</w:t>
      </w:r>
    </w:p>
    <w:p w:rsidR="007F4EC4" w:rsidRDefault="007F4EC4">
      <w:pPr>
        <w:pStyle w:val="GesAbsatz"/>
        <w:ind w:left="426" w:hanging="426"/>
        <w:rPr>
          <w:snapToGrid w:val="0"/>
        </w:rPr>
      </w:pPr>
      <w:r>
        <w:rPr>
          <w:snapToGrid w:val="0"/>
        </w:rPr>
        <w:t>5.</w:t>
      </w:r>
      <w:r>
        <w:rPr>
          <w:snapToGrid w:val="0"/>
        </w:rPr>
        <w:tab/>
        <w:t>entgegen § 6 Abs. 2 eine Meldung nicht, nicht richtig oder nicht rechtzeitig macht,</w:t>
      </w:r>
    </w:p>
    <w:p w:rsidR="007F4EC4" w:rsidRDefault="007F4EC4">
      <w:pPr>
        <w:pStyle w:val="GesAbsatz"/>
        <w:ind w:left="426" w:hanging="426"/>
        <w:rPr>
          <w:snapToGrid w:val="0"/>
        </w:rPr>
      </w:pPr>
      <w:r>
        <w:rPr>
          <w:snapToGrid w:val="0"/>
        </w:rPr>
        <w:t>6.</w:t>
      </w:r>
      <w:r>
        <w:rPr>
          <w:snapToGrid w:val="0"/>
        </w:rPr>
        <w:tab/>
        <w:t>entgegen § 6 Abs. 3 Satz 1 eine Erklärung nicht oder nicht für die vorgeschriebene Dauer verfügbar hält,</w:t>
      </w:r>
    </w:p>
    <w:p w:rsidR="007F4EC4" w:rsidRDefault="007F4EC4">
      <w:pPr>
        <w:pStyle w:val="GesAbsatz"/>
        <w:ind w:left="426" w:hanging="426"/>
        <w:rPr>
          <w:snapToGrid w:val="0"/>
        </w:rPr>
      </w:pPr>
      <w:r>
        <w:rPr>
          <w:snapToGrid w:val="0"/>
        </w:rPr>
        <w:t>7.</w:t>
      </w:r>
      <w:r>
        <w:rPr>
          <w:snapToGrid w:val="0"/>
        </w:rPr>
        <w:tab/>
        <w:t>entgegen § 6 Abs. 3 Satz 2 eine Ausfertigung nicht oder nicht mindestens ein Jahr aufbewahrt.</w:t>
      </w:r>
    </w:p>
    <w:p w:rsidR="00024F7D" w:rsidRPr="00024F7D" w:rsidRDefault="00024F7D" w:rsidP="00024F7D">
      <w:pPr>
        <w:pStyle w:val="GesAbsatz"/>
        <w:tabs>
          <w:tab w:val="clear" w:pos="425"/>
          <w:tab w:val="left" w:pos="426"/>
        </w:tabs>
        <w:rPr>
          <w:snapToGrid w:val="0"/>
        </w:rPr>
      </w:pPr>
      <w:r w:rsidRPr="00024F7D">
        <w:rPr>
          <w:snapToGrid w:val="0"/>
        </w:rPr>
        <w:t>(2) Ordnungswidrig im Sinne des § 7 Absatz 1</w:t>
      </w:r>
      <w:r>
        <w:rPr>
          <w:snapToGrid w:val="0"/>
        </w:rPr>
        <w:t xml:space="preserve"> </w:t>
      </w:r>
      <w:r w:rsidRPr="00024F7D">
        <w:rPr>
          <w:snapToGrid w:val="0"/>
        </w:rPr>
        <w:t>des Binnenschifffahrtsaufgabengesetzes handelt,</w:t>
      </w:r>
      <w:r>
        <w:rPr>
          <w:snapToGrid w:val="0"/>
        </w:rPr>
        <w:t xml:space="preserve"> </w:t>
      </w:r>
      <w:r w:rsidRPr="00024F7D">
        <w:rPr>
          <w:snapToGrid w:val="0"/>
        </w:rPr>
        <w:t>wer vo</w:t>
      </w:r>
      <w:r w:rsidRPr="00024F7D">
        <w:rPr>
          <w:snapToGrid w:val="0"/>
        </w:rPr>
        <w:t>r</w:t>
      </w:r>
      <w:r w:rsidRPr="00024F7D">
        <w:rPr>
          <w:snapToGrid w:val="0"/>
        </w:rPr>
        <w:t>sätzlich oder fahrlässig entgegen § 3 Absatz</w:t>
      </w:r>
      <w:r>
        <w:rPr>
          <w:snapToGrid w:val="0"/>
        </w:rPr>
        <w:t xml:space="preserve"> </w:t>
      </w:r>
      <w:r w:rsidRPr="00024F7D">
        <w:rPr>
          <w:snapToGrid w:val="0"/>
        </w:rPr>
        <w:t>1 oder Absatz 5 Satz 2 Gasöl für den Seeverkehr</w:t>
      </w:r>
      <w:r>
        <w:rPr>
          <w:snapToGrid w:val="0"/>
        </w:rPr>
        <w:t xml:space="preserve"> </w:t>
      </w:r>
      <w:r w:rsidRPr="00024F7D">
        <w:rPr>
          <w:snapToGrid w:val="0"/>
        </w:rPr>
        <w:t>oder Schiff</w:t>
      </w:r>
      <w:r w:rsidRPr="00024F7D">
        <w:rPr>
          <w:snapToGrid w:val="0"/>
        </w:rPr>
        <w:t>s</w:t>
      </w:r>
      <w:r w:rsidRPr="00024F7D">
        <w:rPr>
          <w:snapToGrid w:val="0"/>
        </w:rPr>
        <w:t>kraftstoff verwendet.</w:t>
      </w:r>
    </w:p>
    <w:p w:rsidR="00024F7D" w:rsidRPr="00024F7D" w:rsidRDefault="00024F7D" w:rsidP="00024F7D">
      <w:pPr>
        <w:pStyle w:val="GesAbsatz"/>
        <w:tabs>
          <w:tab w:val="clear" w:pos="425"/>
          <w:tab w:val="left" w:pos="426"/>
        </w:tabs>
        <w:rPr>
          <w:snapToGrid w:val="0"/>
        </w:rPr>
      </w:pPr>
      <w:r w:rsidRPr="00024F7D">
        <w:rPr>
          <w:snapToGrid w:val="0"/>
        </w:rPr>
        <w:t>(3) Ordnungswidrig im Sinne des § 15 Absatz 1</w:t>
      </w:r>
      <w:r>
        <w:rPr>
          <w:snapToGrid w:val="0"/>
        </w:rPr>
        <w:t xml:space="preserve"> </w:t>
      </w:r>
      <w:r w:rsidRPr="00024F7D">
        <w:rPr>
          <w:snapToGrid w:val="0"/>
        </w:rPr>
        <w:t>Nummer 2 des Seeaufgabengesetzes handelt,</w:t>
      </w:r>
      <w:r>
        <w:rPr>
          <w:snapToGrid w:val="0"/>
        </w:rPr>
        <w:t xml:space="preserve"> </w:t>
      </w:r>
      <w:r w:rsidRPr="00024F7D">
        <w:rPr>
          <w:snapToGrid w:val="0"/>
        </w:rPr>
        <w:t>wer vorsät</w:t>
      </w:r>
      <w:r w:rsidRPr="00024F7D">
        <w:rPr>
          <w:snapToGrid w:val="0"/>
        </w:rPr>
        <w:t>z</w:t>
      </w:r>
      <w:r w:rsidRPr="00024F7D">
        <w:rPr>
          <w:snapToGrid w:val="0"/>
        </w:rPr>
        <w:t>lich oder fahrlässig entgegen § 3 Absatz</w:t>
      </w:r>
      <w:r>
        <w:rPr>
          <w:snapToGrid w:val="0"/>
        </w:rPr>
        <w:t xml:space="preserve"> </w:t>
      </w:r>
      <w:r w:rsidRPr="00024F7D">
        <w:rPr>
          <w:snapToGrid w:val="0"/>
        </w:rPr>
        <w:t>1 Gasöl für den Seeverkehr auf einer der in</w:t>
      </w:r>
      <w:r>
        <w:rPr>
          <w:snapToGrid w:val="0"/>
        </w:rPr>
        <w:t xml:space="preserve"> </w:t>
      </w:r>
      <w:r w:rsidRPr="00024F7D">
        <w:rPr>
          <w:snapToGrid w:val="0"/>
        </w:rPr>
        <w:t>§ 1 Absatz 1 Satz 3 der Seeschifffahrtsstraßen-Ordnung in der Fassung der Bekanntmachung</w:t>
      </w:r>
      <w:r>
        <w:rPr>
          <w:snapToGrid w:val="0"/>
        </w:rPr>
        <w:t xml:space="preserve"> </w:t>
      </w:r>
      <w:r w:rsidRPr="00024F7D">
        <w:rPr>
          <w:snapToGrid w:val="0"/>
        </w:rPr>
        <w:t>vom 22. Oktober 1998 (BGBl. I S. 3209; 1999 I</w:t>
      </w:r>
      <w:r>
        <w:rPr>
          <w:snapToGrid w:val="0"/>
        </w:rPr>
        <w:t xml:space="preserve"> </w:t>
      </w:r>
      <w:r w:rsidRPr="00024F7D">
        <w:rPr>
          <w:snapToGrid w:val="0"/>
        </w:rPr>
        <w:t>S. 193), die zuletzt durch Artikel 2 der Verordnung</w:t>
      </w:r>
      <w:r>
        <w:rPr>
          <w:snapToGrid w:val="0"/>
        </w:rPr>
        <w:t xml:space="preserve"> </w:t>
      </w:r>
      <w:r w:rsidRPr="00024F7D">
        <w:rPr>
          <w:snapToGrid w:val="0"/>
        </w:rPr>
        <w:t>vom 15. April 2008 (BGBl. I S. 741) geändert worden</w:t>
      </w:r>
      <w:r>
        <w:rPr>
          <w:snapToGrid w:val="0"/>
        </w:rPr>
        <w:t xml:space="preserve"> </w:t>
      </w:r>
      <w:r w:rsidRPr="00024F7D">
        <w:rPr>
          <w:snapToGrid w:val="0"/>
        </w:rPr>
        <w:t>ist, bezeichneten Seeschifffahrtsstraße, einer</w:t>
      </w:r>
      <w:r>
        <w:rPr>
          <w:snapToGrid w:val="0"/>
        </w:rPr>
        <w:t xml:space="preserve"> </w:t>
      </w:r>
      <w:r w:rsidRPr="00024F7D">
        <w:rPr>
          <w:snapToGrid w:val="0"/>
        </w:rPr>
        <w:t>Seewasserstraße oder in der ausschließlichen</w:t>
      </w:r>
      <w:r>
        <w:rPr>
          <w:snapToGrid w:val="0"/>
        </w:rPr>
        <w:t xml:space="preserve"> </w:t>
      </w:r>
      <w:r w:rsidRPr="00024F7D">
        <w:rPr>
          <w:snapToGrid w:val="0"/>
        </w:rPr>
        <w:t>Wir</w:t>
      </w:r>
      <w:r w:rsidRPr="00024F7D">
        <w:rPr>
          <w:snapToGrid w:val="0"/>
        </w:rPr>
        <w:t>t</w:t>
      </w:r>
      <w:r w:rsidRPr="00024F7D">
        <w:rPr>
          <w:snapToGrid w:val="0"/>
        </w:rPr>
        <w:t>schaftszone der Bundesrepublik Deutschland</w:t>
      </w:r>
      <w:r>
        <w:rPr>
          <w:snapToGrid w:val="0"/>
        </w:rPr>
        <w:t xml:space="preserve"> </w:t>
      </w:r>
      <w:r w:rsidRPr="00024F7D">
        <w:rPr>
          <w:snapToGrid w:val="0"/>
        </w:rPr>
        <w:t>verwendet.</w:t>
      </w:r>
    </w:p>
    <w:p w:rsidR="00024F7D" w:rsidRPr="00024F7D" w:rsidRDefault="00024F7D" w:rsidP="00370116">
      <w:pPr>
        <w:pStyle w:val="GesAbsatz"/>
        <w:tabs>
          <w:tab w:val="clear" w:pos="425"/>
          <w:tab w:val="left" w:pos="426"/>
        </w:tabs>
        <w:rPr>
          <w:snapToGrid w:val="0"/>
        </w:rPr>
      </w:pPr>
      <w:r w:rsidRPr="00024F7D">
        <w:rPr>
          <w:snapToGrid w:val="0"/>
        </w:rPr>
        <w:t>(4) Die Zuständigkeit für die Verfolgung und</w:t>
      </w:r>
      <w:r>
        <w:rPr>
          <w:snapToGrid w:val="0"/>
        </w:rPr>
        <w:t xml:space="preserve"> </w:t>
      </w:r>
      <w:r w:rsidRPr="00024F7D">
        <w:rPr>
          <w:snapToGrid w:val="0"/>
        </w:rPr>
        <w:t>Ahndung von Ordnungswidrigkeiten nach Absatz</w:t>
      </w:r>
      <w:r>
        <w:rPr>
          <w:snapToGrid w:val="0"/>
        </w:rPr>
        <w:t xml:space="preserve"> </w:t>
      </w:r>
      <w:r w:rsidRPr="00024F7D">
        <w:rPr>
          <w:snapToGrid w:val="0"/>
        </w:rPr>
        <w:t>3 wird auf das Bundesamt für Seeschifffahrt</w:t>
      </w:r>
      <w:r>
        <w:rPr>
          <w:snapToGrid w:val="0"/>
        </w:rPr>
        <w:t xml:space="preserve"> </w:t>
      </w:r>
      <w:r w:rsidRPr="00024F7D">
        <w:rPr>
          <w:snapToGrid w:val="0"/>
        </w:rPr>
        <w:t>und Hydrographie übertragen.</w:t>
      </w:r>
    </w:p>
    <w:p w:rsidR="007F4EC4" w:rsidRDefault="007F4EC4">
      <w:pPr>
        <w:pStyle w:val="berschrift3"/>
        <w:rPr>
          <w:snapToGrid w:val="0"/>
        </w:rPr>
      </w:pPr>
      <w:bookmarkStart w:id="11" w:name="_Toc235242245"/>
      <w:r>
        <w:rPr>
          <w:snapToGrid w:val="0"/>
        </w:rPr>
        <w:t>§ 9</w:t>
      </w:r>
      <w:r>
        <w:rPr>
          <w:snapToGrid w:val="0"/>
        </w:rPr>
        <w:br/>
        <w:t>Inkrafttreten, Außerkrafttreten</w:t>
      </w:r>
      <w:bookmarkEnd w:id="11"/>
    </w:p>
    <w:p w:rsidR="007F4EC4" w:rsidRDefault="007F4EC4">
      <w:pPr>
        <w:pStyle w:val="GesAbsatz"/>
      </w:pPr>
      <w:r>
        <w:rPr>
          <w:snapToGrid w:val="0"/>
        </w:rPr>
        <w:t>Diese Verordnung tritt am Tage nach der Verkündung in Kraft. Gleichzeitig tritt die Verordnung über Schw</w:t>
      </w:r>
      <w:r>
        <w:rPr>
          <w:snapToGrid w:val="0"/>
        </w:rPr>
        <w:t>e</w:t>
      </w:r>
      <w:r>
        <w:rPr>
          <w:snapToGrid w:val="0"/>
        </w:rPr>
        <w:t xml:space="preserve">felgehalt von leichtem Heizöl und Dieselkraftstoff vom </w:t>
      </w:r>
      <w:smartTag w:uri="urn:schemas-microsoft-com:office:smarttags" w:element="date">
        <w:smartTagPr>
          <w:attr w:name="ls" w:val="trans"/>
          <w:attr w:name="Month" w:val="1"/>
          <w:attr w:name="Day" w:val="15"/>
          <w:attr w:name="Year" w:val="1975"/>
        </w:smartTagPr>
        <w:r>
          <w:rPr>
            <w:snapToGrid w:val="0"/>
          </w:rPr>
          <w:t>15. Januar 1975</w:t>
        </w:r>
      </w:smartTag>
      <w:r>
        <w:rPr>
          <w:snapToGrid w:val="0"/>
        </w:rPr>
        <w:t xml:space="preserve"> (BGBl. I S. 264), zuletzt geändert durch Artikel 34 des Gesetzes vom </w:t>
      </w:r>
      <w:smartTag w:uri="urn:schemas-microsoft-com:office:smarttags" w:element="date">
        <w:smartTagPr>
          <w:attr w:name="ls" w:val="trans"/>
          <w:attr w:name="Month" w:val="12"/>
          <w:attr w:name="Day" w:val="21"/>
          <w:attr w:name="Year" w:val="2000"/>
        </w:smartTagPr>
        <w:r>
          <w:rPr>
            <w:snapToGrid w:val="0"/>
          </w:rPr>
          <w:t>21. Dezember 2000</w:t>
        </w:r>
      </w:smartTag>
      <w:r>
        <w:rPr>
          <w:snapToGrid w:val="0"/>
        </w:rPr>
        <w:t xml:space="preserve"> (BGBl. I S. 1956), außer Kraft.</w:t>
      </w:r>
    </w:p>
    <w:p w:rsidR="002D5D53" w:rsidRDefault="002D5D53">
      <w:pPr>
        <w:pStyle w:val="GesAbsatz"/>
      </w:pPr>
    </w:p>
    <w:p w:rsidR="007F4EC4" w:rsidRDefault="007F4EC4">
      <w:pPr>
        <w:pStyle w:val="berschrift2"/>
        <w:jc w:val="left"/>
      </w:pPr>
      <w:bookmarkStart w:id="12" w:name="_Toc448033761"/>
      <w:bookmarkStart w:id="13" w:name="_Toc235242246"/>
      <w:r>
        <w:t>Anlage</w:t>
      </w:r>
      <w:bookmarkEnd w:id="12"/>
      <w:r>
        <w:t xml:space="preserve"> (zu § 5 Abs. 2)</w:t>
      </w:r>
      <w:bookmarkEnd w:id="13"/>
    </w:p>
    <w:p w:rsidR="007F4EC4" w:rsidRDefault="007F4EC4" w:rsidP="00D64D58">
      <w:pPr>
        <w:pStyle w:val="GesAbsatz"/>
      </w:pPr>
      <w:r>
        <w:t>1.</w:t>
      </w:r>
      <w:r>
        <w:tab/>
        <w:t>Erklärung des Herstellers oder Vermischers über die Beschaffenheit flüssiger Kraft- und Brennstoffe</w:t>
      </w:r>
    </w:p>
    <w:p w:rsidR="007F4EC4" w:rsidRDefault="007F4EC4" w:rsidP="00D64D58">
      <w:pPr>
        <w:pStyle w:val="GesAbsatz"/>
      </w:pPr>
      <w:r>
        <w:tab/>
        <w:t>Nummer der Ausfertigung:</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48"/>
        <w:gridCol w:w="1330"/>
        <w:gridCol w:w="1080"/>
        <w:gridCol w:w="1080"/>
        <w:gridCol w:w="1080"/>
        <w:gridCol w:w="1080"/>
        <w:gridCol w:w="1080"/>
      </w:tblGrid>
      <w:tr w:rsidR="00404A6D" w:rsidRPr="002A74EE">
        <w:trPr>
          <w:trHeight w:val="20"/>
        </w:trPr>
        <w:tc>
          <w:tcPr>
            <w:tcW w:w="3048" w:type="dxa"/>
            <w:vAlign w:val="center"/>
          </w:tcPr>
          <w:p w:rsidR="00404A6D" w:rsidRPr="002A74EE" w:rsidRDefault="00404A6D" w:rsidP="00404A6D">
            <w:pPr>
              <w:pStyle w:val="GesAbsatz"/>
              <w:jc w:val="center"/>
              <w:rPr>
                <w:sz w:val="18"/>
                <w:szCs w:val="18"/>
              </w:rPr>
            </w:pPr>
          </w:p>
        </w:tc>
        <w:tc>
          <w:tcPr>
            <w:tcW w:w="1330" w:type="dxa"/>
            <w:vAlign w:val="center"/>
          </w:tcPr>
          <w:p w:rsidR="00404A6D" w:rsidRPr="002A74EE" w:rsidRDefault="00404A6D" w:rsidP="00404A6D">
            <w:pPr>
              <w:pStyle w:val="GesAbsatz"/>
              <w:jc w:val="center"/>
              <w:rPr>
                <w:sz w:val="18"/>
                <w:szCs w:val="18"/>
              </w:rPr>
            </w:pPr>
            <w:r w:rsidRPr="002A74EE">
              <w:rPr>
                <w:sz w:val="18"/>
                <w:szCs w:val="18"/>
              </w:rPr>
              <w:t xml:space="preserve">Leichtes </w:t>
            </w:r>
            <w:r w:rsidR="009A3760">
              <w:rPr>
                <w:sz w:val="18"/>
                <w:szCs w:val="18"/>
              </w:rPr>
              <w:br/>
            </w:r>
            <w:r w:rsidRPr="002A74EE">
              <w:rPr>
                <w:sz w:val="18"/>
                <w:szCs w:val="18"/>
              </w:rPr>
              <w:t>Heizöl</w:t>
            </w:r>
          </w:p>
        </w:tc>
        <w:tc>
          <w:tcPr>
            <w:tcW w:w="1080" w:type="dxa"/>
            <w:vAlign w:val="center"/>
          </w:tcPr>
          <w:p w:rsidR="00404A6D" w:rsidRPr="002A74EE" w:rsidRDefault="00404A6D" w:rsidP="00404A6D">
            <w:pPr>
              <w:pStyle w:val="GesAbsatz"/>
              <w:jc w:val="center"/>
              <w:rPr>
                <w:sz w:val="18"/>
                <w:szCs w:val="18"/>
              </w:rPr>
            </w:pPr>
            <w:r w:rsidRPr="002A74EE">
              <w:rPr>
                <w:sz w:val="18"/>
                <w:szCs w:val="18"/>
              </w:rPr>
              <w:t>Diese</w:t>
            </w:r>
            <w:r w:rsidRPr="002A74EE">
              <w:rPr>
                <w:sz w:val="18"/>
                <w:szCs w:val="18"/>
              </w:rPr>
              <w:t>l</w:t>
            </w:r>
            <w:r w:rsidRPr="002A74EE">
              <w:rPr>
                <w:sz w:val="18"/>
                <w:szCs w:val="18"/>
              </w:rPr>
              <w:t>kraftstoff</w:t>
            </w:r>
          </w:p>
        </w:tc>
        <w:tc>
          <w:tcPr>
            <w:tcW w:w="1080" w:type="dxa"/>
            <w:vAlign w:val="center"/>
          </w:tcPr>
          <w:p w:rsidR="00404A6D" w:rsidRPr="002A74EE" w:rsidRDefault="00404A6D" w:rsidP="00404A6D">
            <w:pPr>
              <w:pStyle w:val="GesAbsatz"/>
              <w:jc w:val="center"/>
              <w:rPr>
                <w:sz w:val="18"/>
                <w:szCs w:val="18"/>
              </w:rPr>
            </w:pPr>
            <w:r w:rsidRPr="002A74EE">
              <w:rPr>
                <w:sz w:val="18"/>
                <w:szCs w:val="18"/>
              </w:rPr>
              <w:t>Gasöl für den Se</w:t>
            </w:r>
            <w:r w:rsidRPr="002A74EE">
              <w:rPr>
                <w:sz w:val="18"/>
                <w:szCs w:val="18"/>
              </w:rPr>
              <w:t>e</w:t>
            </w:r>
            <w:r w:rsidRPr="002A74EE">
              <w:rPr>
                <w:sz w:val="18"/>
                <w:szCs w:val="18"/>
              </w:rPr>
              <w:t>verkehr</w:t>
            </w:r>
          </w:p>
        </w:tc>
        <w:tc>
          <w:tcPr>
            <w:tcW w:w="1080" w:type="dxa"/>
            <w:vAlign w:val="center"/>
          </w:tcPr>
          <w:p w:rsidR="00404A6D" w:rsidRPr="002A74EE" w:rsidRDefault="00404A6D" w:rsidP="00404A6D">
            <w:pPr>
              <w:pStyle w:val="GesAbsatz"/>
              <w:jc w:val="center"/>
              <w:rPr>
                <w:sz w:val="18"/>
                <w:szCs w:val="18"/>
              </w:rPr>
            </w:pPr>
            <w:r w:rsidRPr="002A74EE">
              <w:rPr>
                <w:sz w:val="18"/>
                <w:szCs w:val="18"/>
              </w:rPr>
              <w:t>Schiffs</w:t>
            </w:r>
            <w:r w:rsidR="009A3760">
              <w:rPr>
                <w:sz w:val="18"/>
                <w:szCs w:val="18"/>
              </w:rPr>
              <w:softHyphen/>
            </w:r>
            <w:r w:rsidRPr="002A74EE">
              <w:rPr>
                <w:sz w:val="18"/>
                <w:szCs w:val="18"/>
              </w:rPr>
              <w:t>diesel</w:t>
            </w:r>
          </w:p>
        </w:tc>
        <w:tc>
          <w:tcPr>
            <w:tcW w:w="1080" w:type="dxa"/>
            <w:vAlign w:val="center"/>
          </w:tcPr>
          <w:p w:rsidR="00404A6D" w:rsidRPr="002A74EE" w:rsidRDefault="00404A6D" w:rsidP="00404A6D">
            <w:pPr>
              <w:pStyle w:val="GesAbsatz"/>
              <w:jc w:val="center"/>
              <w:rPr>
                <w:sz w:val="18"/>
                <w:szCs w:val="18"/>
              </w:rPr>
            </w:pPr>
            <w:r w:rsidRPr="002A74EE">
              <w:rPr>
                <w:sz w:val="18"/>
                <w:szCs w:val="18"/>
              </w:rPr>
              <w:t>Sonstige Schiff</w:t>
            </w:r>
            <w:r w:rsidRPr="002A74EE">
              <w:rPr>
                <w:sz w:val="18"/>
                <w:szCs w:val="18"/>
              </w:rPr>
              <w:t>s</w:t>
            </w:r>
            <w:r w:rsidRPr="002A74EE">
              <w:rPr>
                <w:sz w:val="18"/>
                <w:szCs w:val="18"/>
              </w:rPr>
              <w:t>kraftstoffe gemäß § 2 Absatz 3c</w:t>
            </w:r>
          </w:p>
        </w:tc>
        <w:tc>
          <w:tcPr>
            <w:tcW w:w="1080" w:type="dxa"/>
            <w:vAlign w:val="center"/>
          </w:tcPr>
          <w:p w:rsidR="00404A6D" w:rsidRPr="002A74EE" w:rsidRDefault="00404A6D" w:rsidP="00404A6D">
            <w:pPr>
              <w:pStyle w:val="GesAbsatz"/>
              <w:jc w:val="center"/>
              <w:rPr>
                <w:sz w:val="18"/>
                <w:szCs w:val="18"/>
              </w:rPr>
            </w:pPr>
            <w:r w:rsidRPr="002A74EE">
              <w:rPr>
                <w:sz w:val="18"/>
                <w:szCs w:val="18"/>
              </w:rPr>
              <w:t>Schweres Heizöl</w:t>
            </w:r>
          </w:p>
        </w:tc>
      </w:tr>
      <w:tr w:rsidR="00404A6D" w:rsidRPr="002A74EE">
        <w:trPr>
          <w:trHeight w:val="20"/>
        </w:trPr>
        <w:tc>
          <w:tcPr>
            <w:tcW w:w="3048" w:type="dxa"/>
            <w:vAlign w:val="center"/>
          </w:tcPr>
          <w:p w:rsidR="00404A6D" w:rsidRPr="002A74EE" w:rsidRDefault="00404A6D" w:rsidP="003A714A">
            <w:pPr>
              <w:pStyle w:val="GesAbsatz"/>
              <w:rPr>
                <w:sz w:val="18"/>
                <w:szCs w:val="18"/>
              </w:rPr>
            </w:pPr>
            <w:r w:rsidRPr="002A74EE">
              <w:rPr>
                <w:sz w:val="18"/>
                <w:szCs w:val="18"/>
              </w:rPr>
              <w:t>Menge t</w:t>
            </w:r>
          </w:p>
        </w:tc>
        <w:tc>
          <w:tcPr>
            <w:tcW w:w="133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r>
      <w:tr w:rsidR="00404A6D" w:rsidRPr="002A74EE">
        <w:trPr>
          <w:trHeight w:val="20"/>
        </w:trPr>
        <w:tc>
          <w:tcPr>
            <w:tcW w:w="3048" w:type="dxa"/>
            <w:vAlign w:val="center"/>
          </w:tcPr>
          <w:p w:rsidR="00404A6D" w:rsidRPr="002A74EE" w:rsidRDefault="00404A6D" w:rsidP="009A3760">
            <w:pPr>
              <w:pStyle w:val="GesAbsatz"/>
              <w:jc w:val="left"/>
              <w:rPr>
                <w:sz w:val="18"/>
                <w:szCs w:val="18"/>
              </w:rPr>
            </w:pPr>
            <w:r w:rsidRPr="002A74EE">
              <w:rPr>
                <w:sz w:val="18"/>
                <w:szCs w:val="18"/>
              </w:rPr>
              <w:t>Erster Bestimmungsort der Se</w:t>
            </w:r>
            <w:r w:rsidRPr="002A74EE">
              <w:rPr>
                <w:sz w:val="18"/>
                <w:szCs w:val="18"/>
              </w:rPr>
              <w:t>n</w:t>
            </w:r>
            <w:r w:rsidRPr="002A74EE">
              <w:rPr>
                <w:sz w:val="18"/>
                <w:szCs w:val="18"/>
              </w:rPr>
              <w:t>dung</w:t>
            </w:r>
          </w:p>
        </w:tc>
        <w:tc>
          <w:tcPr>
            <w:tcW w:w="133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r>
      <w:tr w:rsidR="00404A6D" w:rsidRPr="002A74EE">
        <w:trPr>
          <w:trHeight w:val="20"/>
        </w:trPr>
        <w:tc>
          <w:tcPr>
            <w:tcW w:w="3048" w:type="dxa"/>
            <w:vAlign w:val="center"/>
          </w:tcPr>
          <w:p w:rsidR="00404A6D" w:rsidRPr="002A74EE" w:rsidRDefault="00404A6D" w:rsidP="003A714A">
            <w:pPr>
              <w:pStyle w:val="GesAbsatz"/>
              <w:rPr>
                <w:sz w:val="18"/>
                <w:szCs w:val="18"/>
              </w:rPr>
            </w:pPr>
            <w:r w:rsidRPr="002A74EE">
              <w:rPr>
                <w:sz w:val="18"/>
                <w:szCs w:val="18"/>
              </w:rPr>
              <w:t>Kenndaten</w:t>
            </w:r>
          </w:p>
        </w:tc>
        <w:tc>
          <w:tcPr>
            <w:tcW w:w="133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r>
      <w:tr w:rsidR="00404A6D" w:rsidRPr="002A74EE">
        <w:trPr>
          <w:trHeight w:val="20"/>
        </w:trPr>
        <w:tc>
          <w:tcPr>
            <w:tcW w:w="3048" w:type="dxa"/>
            <w:vAlign w:val="center"/>
          </w:tcPr>
          <w:p w:rsidR="00404A6D" w:rsidRPr="002A74EE" w:rsidRDefault="00404A6D" w:rsidP="009A3760">
            <w:pPr>
              <w:pStyle w:val="GesAbsatz"/>
              <w:ind w:left="426" w:hanging="426"/>
              <w:jc w:val="left"/>
              <w:rPr>
                <w:sz w:val="18"/>
                <w:szCs w:val="18"/>
              </w:rPr>
            </w:pPr>
            <w:r w:rsidRPr="002A74EE">
              <w:rPr>
                <w:sz w:val="18"/>
                <w:szCs w:val="18"/>
              </w:rPr>
              <w:t>a)</w:t>
            </w:r>
            <w:r w:rsidRPr="002A74EE">
              <w:rPr>
                <w:sz w:val="18"/>
                <w:szCs w:val="18"/>
              </w:rPr>
              <w:tab/>
              <w:t>Dichte bei 15</w:t>
            </w:r>
            <w:r w:rsidR="009A3760">
              <w:rPr>
                <w:sz w:val="18"/>
                <w:szCs w:val="18"/>
              </w:rPr>
              <w:t xml:space="preserve"> </w:t>
            </w:r>
            <w:r w:rsidRPr="002A74EE">
              <w:rPr>
                <w:sz w:val="18"/>
                <w:szCs w:val="18"/>
              </w:rPr>
              <w:t>Grad C nach</w:t>
            </w:r>
            <w:r w:rsidRPr="002A74EE">
              <w:rPr>
                <w:sz w:val="18"/>
                <w:szCs w:val="18"/>
              </w:rPr>
              <w:br/>
              <w:t>DIN EN ISO 3675 (1998) und</w:t>
            </w:r>
            <w:r w:rsidRPr="002A74EE">
              <w:rPr>
                <w:sz w:val="18"/>
                <w:szCs w:val="18"/>
              </w:rPr>
              <w:br/>
              <w:t>DIN EN ISO 12185 (1997) in kg/cbm:</w:t>
            </w:r>
          </w:p>
        </w:tc>
        <w:tc>
          <w:tcPr>
            <w:tcW w:w="133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r>
      <w:tr w:rsidR="00404A6D" w:rsidRPr="002A74EE">
        <w:trPr>
          <w:trHeight w:val="20"/>
        </w:trPr>
        <w:tc>
          <w:tcPr>
            <w:tcW w:w="3048" w:type="dxa"/>
            <w:vAlign w:val="center"/>
          </w:tcPr>
          <w:p w:rsidR="00404A6D" w:rsidRPr="002A74EE" w:rsidRDefault="00404A6D" w:rsidP="009A3760">
            <w:pPr>
              <w:pStyle w:val="GesAbsatz"/>
              <w:ind w:left="426" w:hanging="426"/>
              <w:jc w:val="left"/>
              <w:rPr>
                <w:sz w:val="18"/>
                <w:szCs w:val="18"/>
              </w:rPr>
            </w:pPr>
            <w:r w:rsidRPr="002A74EE">
              <w:rPr>
                <w:sz w:val="18"/>
                <w:szCs w:val="18"/>
              </w:rPr>
              <w:t>b)</w:t>
            </w:r>
            <w:r w:rsidRPr="002A74EE">
              <w:rPr>
                <w:sz w:val="18"/>
                <w:szCs w:val="18"/>
              </w:rPr>
              <w:tab/>
              <w:t>Viskosität bei 40 Grad C nach</w:t>
            </w:r>
            <w:r w:rsidRPr="002A74EE">
              <w:rPr>
                <w:sz w:val="18"/>
                <w:szCs w:val="18"/>
              </w:rPr>
              <w:br/>
              <w:t>DIN EN ISO 3104, Ausgabe</w:t>
            </w:r>
            <w:r w:rsidRPr="002A74EE">
              <w:rPr>
                <w:sz w:val="18"/>
                <w:szCs w:val="18"/>
              </w:rPr>
              <w:br/>
              <w:t>Dezember 1999:</w:t>
            </w:r>
          </w:p>
        </w:tc>
        <w:tc>
          <w:tcPr>
            <w:tcW w:w="133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r>
      <w:tr w:rsidR="00404A6D" w:rsidRPr="002A74EE">
        <w:trPr>
          <w:trHeight w:val="20"/>
        </w:trPr>
        <w:tc>
          <w:tcPr>
            <w:tcW w:w="3048" w:type="dxa"/>
            <w:vAlign w:val="center"/>
          </w:tcPr>
          <w:p w:rsidR="00404A6D" w:rsidRPr="002A74EE" w:rsidRDefault="00404A6D" w:rsidP="009A3760">
            <w:pPr>
              <w:pStyle w:val="GesAbsatz"/>
              <w:keepNext/>
              <w:ind w:left="426" w:hanging="426"/>
              <w:rPr>
                <w:sz w:val="18"/>
                <w:szCs w:val="18"/>
              </w:rPr>
            </w:pPr>
            <w:r w:rsidRPr="002A74EE">
              <w:rPr>
                <w:sz w:val="18"/>
                <w:szCs w:val="18"/>
              </w:rPr>
              <w:lastRenderedPageBreak/>
              <w:t>c)</w:t>
            </w:r>
            <w:r w:rsidRPr="002A74EE">
              <w:rPr>
                <w:sz w:val="18"/>
                <w:szCs w:val="18"/>
              </w:rPr>
              <w:tab/>
              <w:t>Siedeverlauf nach DIN EN ISO 3405 Ausgabe August 2001:</w:t>
            </w:r>
          </w:p>
          <w:p w:rsidR="00404A6D" w:rsidRPr="002A74EE" w:rsidRDefault="00404A6D" w:rsidP="009A3760">
            <w:pPr>
              <w:pStyle w:val="GesAbsatz"/>
              <w:keepNext/>
              <w:ind w:left="426"/>
              <w:rPr>
                <w:sz w:val="18"/>
                <w:szCs w:val="18"/>
              </w:rPr>
            </w:pPr>
            <w:r w:rsidRPr="002A74EE">
              <w:rPr>
                <w:sz w:val="18"/>
                <w:szCs w:val="18"/>
              </w:rPr>
              <w:t>Bis 250 Grad C aufgefangene Destillatmenge in Vol.-%:</w:t>
            </w:r>
          </w:p>
          <w:p w:rsidR="00404A6D" w:rsidRPr="002A74EE" w:rsidRDefault="00404A6D" w:rsidP="009A3760">
            <w:pPr>
              <w:pStyle w:val="GesAbsatz"/>
              <w:keepNext/>
              <w:ind w:left="426"/>
              <w:rPr>
                <w:sz w:val="18"/>
                <w:szCs w:val="18"/>
              </w:rPr>
            </w:pPr>
            <w:r w:rsidRPr="002A74EE">
              <w:rPr>
                <w:sz w:val="18"/>
                <w:szCs w:val="18"/>
              </w:rPr>
              <w:t>Bis 350 Grad C aufgefangene Destillatmenge in Vol.-%:</w:t>
            </w:r>
          </w:p>
          <w:p w:rsidR="00404A6D" w:rsidRPr="002A74EE" w:rsidRDefault="00404A6D" w:rsidP="009A3760">
            <w:pPr>
              <w:pStyle w:val="GesAbsatz"/>
              <w:keepNext/>
              <w:ind w:left="426"/>
              <w:rPr>
                <w:sz w:val="18"/>
                <w:szCs w:val="18"/>
              </w:rPr>
            </w:pPr>
            <w:r w:rsidRPr="002A74EE">
              <w:rPr>
                <w:sz w:val="18"/>
                <w:szCs w:val="18"/>
              </w:rPr>
              <w:t>Bis 360 Grad C aufgefangene Destillatmenge in Vol.-%:</w:t>
            </w:r>
          </w:p>
        </w:tc>
        <w:tc>
          <w:tcPr>
            <w:tcW w:w="1330" w:type="dxa"/>
            <w:vAlign w:val="center"/>
          </w:tcPr>
          <w:p w:rsidR="00404A6D" w:rsidRPr="002A74EE" w:rsidRDefault="00404A6D" w:rsidP="009A3760">
            <w:pPr>
              <w:pStyle w:val="GesAbsatz"/>
              <w:keepNext/>
              <w:rPr>
                <w:sz w:val="18"/>
                <w:szCs w:val="18"/>
              </w:rPr>
            </w:pPr>
          </w:p>
        </w:tc>
        <w:tc>
          <w:tcPr>
            <w:tcW w:w="1080" w:type="dxa"/>
            <w:vAlign w:val="center"/>
          </w:tcPr>
          <w:p w:rsidR="00404A6D" w:rsidRPr="002A74EE" w:rsidRDefault="00404A6D" w:rsidP="009A3760">
            <w:pPr>
              <w:pStyle w:val="GesAbsatz"/>
              <w:keepNext/>
              <w:rPr>
                <w:sz w:val="18"/>
                <w:szCs w:val="18"/>
              </w:rPr>
            </w:pPr>
          </w:p>
        </w:tc>
        <w:tc>
          <w:tcPr>
            <w:tcW w:w="1080" w:type="dxa"/>
            <w:vAlign w:val="center"/>
          </w:tcPr>
          <w:p w:rsidR="00404A6D" w:rsidRPr="002A74EE" w:rsidRDefault="00404A6D" w:rsidP="009A3760">
            <w:pPr>
              <w:pStyle w:val="GesAbsatz"/>
              <w:keepNext/>
              <w:rPr>
                <w:sz w:val="18"/>
                <w:szCs w:val="18"/>
              </w:rPr>
            </w:pPr>
          </w:p>
        </w:tc>
        <w:tc>
          <w:tcPr>
            <w:tcW w:w="1080" w:type="dxa"/>
            <w:vAlign w:val="center"/>
          </w:tcPr>
          <w:p w:rsidR="00404A6D" w:rsidRPr="002A74EE" w:rsidRDefault="00404A6D" w:rsidP="009A3760">
            <w:pPr>
              <w:pStyle w:val="GesAbsatz"/>
              <w:keepNext/>
              <w:rPr>
                <w:sz w:val="18"/>
                <w:szCs w:val="18"/>
              </w:rPr>
            </w:pPr>
          </w:p>
        </w:tc>
        <w:tc>
          <w:tcPr>
            <w:tcW w:w="1080" w:type="dxa"/>
          </w:tcPr>
          <w:p w:rsidR="00404A6D" w:rsidRPr="002A74EE" w:rsidRDefault="00404A6D" w:rsidP="009A3760">
            <w:pPr>
              <w:pStyle w:val="GesAbsatz"/>
              <w:keepNext/>
              <w:rPr>
                <w:sz w:val="18"/>
                <w:szCs w:val="18"/>
              </w:rPr>
            </w:pPr>
          </w:p>
        </w:tc>
        <w:tc>
          <w:tcPr>
            <w:tcW w:w="1080" w:type="dxa"/>
          </w:tcPr>
          <w:p w:rsidR="00404A6D" w:rsidRPr="002A74EE" w:rsidRDefault="00404A6D" w:rsidP="009A3760">
            <w:pPr>
              <w:pStyle w:val="GesAbsatz"/>
              <w:keepNext/>
              <w:rPr>
                <w:sz w:val="18"/>
                <w:szCs w:val="18"/>
              </w:rPr>
            </w:pPr>
          </w:p>
        </w:tc>
      </w:tr>
      <w:tr w:rsidR="00404A6D" w:rsidRPr="002A74EE">
        <w:trPr>
          <w:trHeight w:val="20"/>
        </w:trPr>
        <w:tc>
          <w:tcPr>
            <w:tcW w:w="3048" w:type="dxa"/>
            <w:vAlign w:val="center"/>
          </w:tcPr>
          <w:p w:rsidR="00404A6D" w:rsidRPr="002A74EE" w:rsidRDefault="00404A6D" w:rsidP="009A3760">
            <w:pPr>
              <w:pStyle w:val="GesAbsatz"/>
              <w:ind w:left="426" w:hanging="426"/>
              <w:jc w:val="left"/>
              <w:rPr>
                <w:sz w:val="18"/>
                <w:szCs w:val="18"/>
              </w:rPr>
            </w:pPr>
            <w:r w:rsidRPr="002A74EE">
              <w:rPr>
                <w:sz w:val="18"/>
                <w:szCs w:val="18"/>
              </w:rPr>
              <w:t>d)</w:t>
            </w:r>
            <w:r w:rsidRPr="002A74EE">
              <w:rPr>
                <w:sz w:val="18"/>
                <w:szCs w:val="18"/>
              </w:rPr>
              <w:tab/>
              <w:t>Schwefelgehalt nach DIN EN ISO 8754 (2003), DIN EN ISO 14596 (2007) und DIN EN 24260 (1994) in Gew.-%::</w:t>
            </w:r>
          </w:p>
        </w:tc>
        <w:tc>
          <w:tcPr>
            <w:tcW w:w="133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vAlign w:val="center"/>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c>
          <w:tcPr>
            <w:tcW w:w="1080" w:type="dxa"/>
          </w:tcPr>
          <w:p w:rsidR="00404A6D" w:rsidRPr="002A74EE" w:rsidRDefault="00404A6D" w:rsidP="003A714A">
            <w:pPr>
              <w:pStyle w:val="GesAbsatz"/>
              <w:rPr>
                <w:sz w:val="18"/>
                <w:szCs w:val="18"/>
              </w:rPr>
            </w:pPr>
          </w:p>
        </w:tc>
      </w:tr>
    </w:tbl>
    <w:p w:rsidR="007F4EC4" w:rsidRDefault="007F4EC4" w:rsidP="00D64D58">
      <w:pPr>
        <w:pStyle w:val="GesAbsatz"/>
      </w:pPr>
    </w:p>
    <w:p w:rsidR="007F4EC4" w:rsidRDefault="007F4EC4" w:rsidP="00D64D58">
      <w:pPr>
        <w:pStyle w:val="GesAbsatz"/>
        <w:ind w:left="426"/>
      </w:pPr>
      <w:r>
        <w:t>Ort, Datum und Nummer der Prüfung:</w:t>
      </w:r>
    </w:p>
    <w:p w:rsidR="007F4EC4" w:rsidRDefault="007F4EC4" w:rsidP="00D64D58">
      <w:pPr>
        <w:pStyle w:val="GesAbsatz"/>
        <w:ind w:left="426"/>
      </w:pPr>
      <w:r>
        <w:t>Hersteller (Name und Anschrift):</w:t>
      </w:r>
    </w:p>
    <w:p w:rsidR="007F4EC4" w:rsidRDefault="007F4EC4" w:rsidP="00D64D58">
      <w:pPr>
        <w:pStyle w:val="GesAbsatz"/>
        <w:ind w:left="426"/>
      </w:pPr>
      <w:r>
        <w:t>Unterschrift:</w:t>
      </w:r>
    </w:p>
    <w:p w:rsidR="007F4EC4" w:rsidRDefault="007F4EC4" w:rsidP="00D64D58">
      <w:pPr>
        <w:pStyle w:val="GesAbsatz"/>
      </w:pPr>
    </w:p>
    <w:p w:rsidR="007F4EC4" w:rsidRDefault="007F4EC4" w:rsidP="00D64D58">
      <w:pPr>
        <w:pStyle w:val="GesAbsatz"/>
      </w:pPr>
      <w:r>
        <w:t>2.</w:t>
      </w:r>
      <w:r>
        <w:tab/>
        <w:t>Zollamtlich abgefertigt am:</w:t>
      </w:r>
    </w:p>
    <w:p w:rsidR="007F4EC4" w:rsidRDefault="007F4EC4" w:rsidP="00D64D58">
      <w:pPr>
        <w:pStyle w:val="GesAbsatz"/>
        <w:ind w:left="426"/>
      </w:pPr>
      <w:r>
        <w:t>Firmenname und Geschäftssitz:</w:t>
      </w:r>
    </w:p>
    <w:p w:rsidR="007F4EC4" w:rsidRDefault="007F4EC4" w:rsidP="00D64D58">
      <w:pPr>
        <w:pStyle w:val="GesAbsatz"/>
        <w:ind w:left="426"/>
      </w:pPr>
      <w:r>
        <w:t>abgefertigte Menge:</w:t>
      </w:r>
    </w:p>
    <w:p w:rsidR="007F4EC4" w:rsidRDefault="007F4EC4" w:rsidP="00D64D58">
      <w:pPr>
        <w:pStyle w:val="GesAbsatz"/>
        <w:ind w:left="426"/>
      </w:pPr>
      <w:r>
        <w:t>Unterschrift und Dienstbezeichnung:</w:t>
      </w:r>
    </w:p>
    <w:p w:rsidR="007F4EC4" w:rsidRDefault="007F4EC4" w:rsidP="00D64D58">
      <w:pPr>
        <w:pStyle w:val="GesAbsatz"/>
      </w:pPr>
    </w:p>
    <w:p w:rsidR="007F4EC4" w:rsidRDefault="007F4EC4" w:rsidP="00D64D58">
      <w:pPr>
        <w:pStyle w:val="GesAbsatz"/>
      </w:pPr>
      <w:r>
        <w:t>3.</w:t>
      </w:r>
      <w:r>
        <w:tab/>
        <w:t>Zusätzliche Erklärung des Lieferanten nach § 5</w:t>
      </w:r>
    </w:p>
    <w:p w:rsidR="007F4EC4" w:rsidRDefault="007F4EC4" w:rsidP="00D64D58">
      <w:pPr>
        <w:pStyle w:val="GesAbsatz"/>
        <w:ind w:left="426"/>
      </w:pPr>
      <w:r>
        <w:t>Firmenname und Geschäftssitz:</w:t>
      </w:r>
    </w:p>
    <w:p w:rsidR="007F4EC4" w:rsidRDefault="007F4EC4" w:rsidP="00D64D58">
      <w:pPr>
        <w:pStyle w:val="GesAbsatz"/>
        <w:ind w:left="426"/>
      </w:pPr>
      <w:r>
        <w:t>gelieferte Menge:</w:t>
      </w:r>
    </w:p>
    <w:p w:rsidR="007F4EC4" w:rsidRDefault="007F4EC4" w:rsidP="00D64D58">
      <w:pPr>
        <w:pStyle w:val="GesAbsatz"/>
        <w:ind w:left="426"/>
      </w:pPr>
      <w:r>
        <w:t>Empfänger:</w:t>
      </w:r>
    </w:p>
    <w:p w:rsidR="007F4EC4" w:rsidRDefault="007F4EC4" w:rsidP="00D64D58">
      <w:pPr>
        <w:pStyle w:val="GesAbsatz"/>
        <w:ind w:left="426"/>
      </w:pPr>
      <w:r>
        <w:t>Bestimmungsort:</w:t>
      </w:r>
    </w:p>
    <w:p w:rsidR="007F4EC4" w:rsidRDefault="007F4EC4" w:rsidP="00D64D58">
      <w:pPr>
        <w:pStyle w:val="GesAbsatz"/>
        <w:ind w:left="426"/>
      </w:pPr>
      <w:r>
        <w:t>Ort, Datum:</w:t>
      </w:r>
    </w:p>
    <w:p w:rsidR="007F4EC4" w:rsidRDefault="007F4EC4" w:rsidP="00D64D58">
      <w:pPr>
        <w:pStyle w:val="GesAbsatz"/>
        <w:ind w:left="426"/>
      </w:pPr>
      <w:r>
        <w:t>Unterschrift:</w:t>
      </w:r>
    </w:p>
    <w:p w:rsidR="007F4EC4" w:rsidRDefault="007F4EC4">
      <w:pPr>
        <w:pStyle w:val="GesAbsatz"/>
      </w:pPr>
    </w:p>
    <w:p w:rsidR="007F4EC4" w:rsidRPr="009A3760" w:rsidRDefault="007F4EC4">
      <w:pPr>
        <w:pStyle w:val="GesAbsatz"/>
        <w:rPr>
          <w:sz w:val="22"/>
          <w:szCs w:val="22"/>
        </w:rPr>
      </w:pPr>
      <w:bookmarkStart w:id="14" w:name="Gesetzeshistorie"/>
      <w:bookmarkEnd w:id="14"/>
      <w:r w:rsidRPr="009A3760">
        <w:rPr>
          <w:b/>
          <w:sz w:val="22"/>
          <w:szCs w:val="22"/>
        </w:rPr>
        <w:t>Änderungen:</w:t>
      </w:r>
    </w:p>
    <w:p w:rsidR="007F4EC4" w:rsidRDefault="005D4613" w:rsidP="005D4613">
      <w:pPr>
        <w:pStyle w:val="GesAbsatz"/>
        <w:tabs>
          <w:tab w:val="clear" w:pos="425"/>
          <w:tab w:val="left" w:pos="2835"/>
        </w:tabs>
      </w:pPr>
      <w:r>
        <w:t>24.06.2002</w:t>
      </w:r>
      <w:r>
        <w:tab/>
      </w:r>
      <w:r w:rsidRPr="00822F37">
        <w:t xml:space="preserve">BGBl. I Nr. 41 S. 2243 </w:t>
      </w:r>
      <w:r>
        <w:t>Ursprungsfassung</w:t>
      </w:r>
    </w:p>
    <w:p w:rsidR="00C25979" w:rsidRDefault="00C25979" w:rsidP="005D4613">
      <w:pPr>
        <w:pStyle w:val="GesAbsatz"/>
        <w:tabs>
          <w:tab w:val="clear" w:pos="425"/>
          <w:tab w:val="left" w:pos="2835"/>
        </w:tabs>
      </w:pPr>
      <w:r>
        <w:t>03.07.2009</w:t>
      </w:r>
      <w:r>
        <w:tab/>
      </w:r>
      <w:r w:rsidRPr="00822F37">
        <w:t>BGBl. I Nr. 39 S. 1720</w:t>
      </w:r>
      <w:r>
        <w:t xml:space="preserve"> Inkrafttreten 11.07.2009</w:t>
      </w:r>
    </w:p>
    <w:p w:rsidR="005D4613" w:rsidRDefault="005D4613" w:rsidP="005D4613">
      <w:pPr>
        <w:pStyle w:val="GesAbsatz"/>
        <w:tabs>
          <w:tab w:val="clear" w:pos="425"/>
          <w:tab w:val="left" w:pos="2835"/>
        </w:tabs>
      </w:pPr>
    </w:p>
    <w:p w:rsidR="00E13498" w:rsidRDefault="00E13498" w:rsidP="005D4613">
      <w:pPr>
        <w:pStyle w:val="GesAbsatz"/>
        <w:tabs>
          <w:tab w:val="clear" w:pos="425"/>
          <w:tab w:val="left" w:pos="2835"/>
        </w:tabs>
      </w:pPr>
    </w:p>
    <w:p w:rsidR="00E13498" w:rsidRDefault="00E13498" w:rsidP="005D4613">
      <w:pPr>
        <w:pStyle w:val="GesAbsatz"/>
        <w:tabs>
          <w:tab w:val="clear" w:pos="425"/>
          <w:tab w:val="left" w:pos="2835"/>
        </w:tabs>
      </w:pPr>
      <w:bookmarkStart w:id="15" w:name="Materialien"/>
      <w:bookmarkEnd w:id="15"/>
    </w:p>
    <w:sectPr w:rsidR="00E13498">
      <w:headerReference w:type="default" r:id="rId8"/>
      <w:footerReference w:type="even" r:id="rId9"/>
      <w:footerReference w:type="default" r:id="rId10"/>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21" w:rsidRDefault="00CB7F21">
      <w:r>
        <w:separator/>
      </w:r>
    </w:p>
  </w:endnote>
  <w:endnote w:type="continuationSeparator" w:id="0">
    <w:p w:rsidR="00CB7F21" w:rsidRDefault="00CB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37" w:rsidRDefault="00822F3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22F37" w:rsidRDefault="00822F3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37" w:rsidRPr="00D64D58" w:rsidRDefault="00822F37" w:rsidP="00D64D58">
    <w:pPr>
      <w:pStyle w:val="Fuzeile"/>
    </w:pPr>
    <w:r>
      <w:tab/>
      <w:t>24.</w:t>
    </w:r>
    <w:r w:rsidR="00370116">
      <w:t>0</w:t>
    </w:r>
    <w:r>
      <w:t>6.2002 (BGBl. I S</w:t>
    </w:r>
    <w:r w:rsidRPr="00D64D58">
      <w:t>. 2243 / FNA 2129-8-3-1)</w:t>
    </w:r>
    <w:r w:rsidRPr="00D64D58">
      <w:tab/>
      <w:t xml:space="preserve">Seite </w:t>
    </w:r>
    <w:r w:rsidRPr="00D64D58">
      <w:fldChar w:fldCharType="begin"/>
    </w:r>
    <w:r w:rsidRPr="00D64D58">
      <w:instrText xml:space="preserve"> PAGE  \* MERGEFORMAT </w:instrText>
    </w:r>
    <w:r w:rsidRPr="00D64D58">
      <w:fldChar w:fldCharType="separate"/>
    </w:r>
    <w:r w:rsidR="00F70E27">
      <w:rPr>
        <w:noProof/>
      </w:rPr>
      <w:t>1</w:t>
    </w:r>
    <w:r w:rsidRPr="00D64D58">
      <w:fldChar w:fldCharType="end"/>
    </w:r>
  </w:p>
  <w:p w:rsidR="00822F37" w:rsidRPr="004C4859" w:rsidRDefault="00822F37" w:rsidP="00D64D58">
    <w:pPr>
      <w:pStyle w:val="Fuzeile"/>
      <w:rPr>
        <w:lang w:val="en-GB"/>
      </w:rPr>
    </w:pPr>
    <w:r w:rsidRPr="00D64D58">
      <w:tab/>
    </w:r>
    <w:r w:rsidRPr="00F70E27">
      <w:rPr>
        <w:lang w:val="en-US"/>
      </w:rPr>
      <w:t>Stand 03.07.2009 (BGB</w:t>
    </w:r>
    <w:r w:rsidRPr="004C4859">
      <w:rPr>
        <w:lang w:val="en-GB"/>
      </w:rPr>
      <w:t xml:space="preserve">l. I S. 1720, </w:t>
    </w:r>
    <w:proofErr w:type="spellStart"/>
    <w:r w:rsidRPr="004C4859">
      <w:rPr>
        <w:lang w:val="en-GB"/>
      </w:rPr>
      <w:t>ber</w:t>
    </w:r>
    <w:proofErr w:type="spellEnd"/>
    <w:r w:rsidRPr="004C4859">
      <w:rPr>
        <w:lang w:val="en-GB"/>
      </w:rPr>
      <w:t xml:space="preserve">. S. </w:t>
    </w:r>
    <w:r>
      <w:rPr>
        <w:lang w:val="en-GB"/>
      </w:rPr>
      <w:t>3140</w:t>
    </w:r>
    <w:r w:rsidRPr="004C4859">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21" w:rsidRDefault="00CB7F21">
      <w:r>
        <w:separator/>
      </w:r>
    </w:p>
  </w:footnote>
  <w:footnote w:type="continuationSeparator" w:id="0">
    <w:p w:rsidR="00CB7F21" w:rsidRDefault="00CB7F21">
      <w:r>
        <w:continuationSeparator/>
      </w:r>
    </w:p>
  </w:footnote>
  <w:footnote w:id="1">
    <w:p w:rsidR="00822F37" w:rsidRDefault="00822F37" w:rsidP="00D64D58">
      <w:pPr>
        <w:pStyle w:val="Funotentext"/>
        <w:tabs>
          <w:tab w:val="clear" w:pos="425"/>
        </w:tabs>
      </w:pPr>
      <w:r>
        <w:rPr>
          <w:rStyle w:val="Funotenzeichen"/>
          <w:sz w:val="16"/>
        </w:rPr>
        <w:footnoteRef/>
      </w:r>
      <w:r w:rsidR="00D64D58">
        <w:t xml:space="preserve"> </w:t>
      </w:r>
      <w:r>
        <w:rPr>
          <w:snapToGrid w:val="0"/>
        </w:rPr>
        <w:t xml:space="preserve">Mit </w:t>
      </w:r>
      <w:r w:rsidRPr="00D64D58">
        <w:t xml:space="preserve">dieser Verordnung wird die Richtlinie 1999/32/EG des Rates vom </w:t>
      </w:r>
      <w:smartTag w:uri="urn:schemas-microsoft-com:office:smarttags" w:element="date">
        <w:smartTagPr>
          <w:attr w:name="Year" w:val="1999"/>
          <w:attr w:name="Day" w:val="26"/>
          <w:attr w:name="Month" w:val="4"/>
          <w:attr w:name="ls" w:val="trans"/>
        </w:smartTagPr>
        <w:r w:rsidRPr="00D64D58">
          <w:t>26. April 1999</w:t>
        </w:r>
      </w:smartTag>
      <w:r w:rsidRPr="00D64D58">
        <w:t xml:space="preserve"> über eine Verringerung des Schwefelgehalts bestimmter flüssiger Kraft- und Brennstoffe und zur Änderung der Richtlinie 93/12/ EWG (ABl. EG Nr. L 121 S. 13) in deutsches Recht umgesetzt</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37" w:rsidRDefault="00822F37" w:rsidP="00D64D58">
    <w:pPr>
      <w:pStyle w:val="Kopfzeile0"/>
    </w:pPr>
    <w:r>
      <w:t>Archiv6.52</w:t>
    </w:r>
  </w:p>
  <w:p w:rsidR="00822F37" w:rsidRDefault="00822F37">
    <w:pPr>
      <w:pStyle w:val="Kopfzeile"/>
    </w:pPr>
    <w:r>
      <w:t>3. BImSchV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0DB7"/>
    <w:multiLevelType w:val="singleLevel"/>
    <w:tmpl w:val="C60415B2"/>
    <w:lvl w:ilvl="0">
      <w:start w:val="4"/>
      <w:numFmt w:val="decimal"/>
      <w:lvlText w:val="%1."/>
      <w:legacy w:legacy="1" w:legacySpace="0" w:legacyIndent="283"/>
      <w:lvlJc w:val="left"/>
      <w:pPr>
        <w:ind w:left="283" w:hanging="283"/>
      </w:pPr>
    </w:lvl>
  </w:abstractNum>
  <w:abstractNum w:abstractNumId="1">
    <w:nsid w:val="19B31CF6"/>
    <w:multiLevelType w:val="singleLevel"/>
    <w:tmpl w:val="9B76A1FC"/>
    <w:lvl w:ilvl="0">
      <w:start w:val="2"/>
      <w:numFmt w:val="decimal"/>
      <w:lvlText w:val="%1."/>
      <w:legacy w:legacy="1" w:legacySpace="0" w:legacyIndent="283"/>
      <w:lvlJc w:val="left"/>
      <w:pPr>
        <w:ind w:left="283" w:hanging="283"/>
      </w:pPr>
    </w:lvl>
  </w:abstractNum>
  <w:abstractNum w:abstractNumId="2">
    <w:nsid w:val="607940CF"/>
    <w:multiLevelType w:val="singleLevel"/>
    <w:tmpl w:val="071C2EE8"/>
    <w:lvl w:ilvl="0">
      <w:start w:val="1"/>
      <w:numFmt w:val="decimal"/>
      <w:lvlText w:val="%1."/>
      <w:legacy w:legacy="1" w:legacySpace="0" w:legacyIndent="283"/>
      <w:lvlJc w:val="left"/>
      <w:pPr>
        <w:ind w:left="283" w:hanging="283"/>
      </w:pPr>
    </w:lvl>
  </w:abstractNum>
  <w:abstractNum w:abstractNumId="3">
    <w:nsid w:val="6BB66092"/>
    <w:multiLevelType w:val="singleLevel"/>
    <w:tmpl w:val="1826E8A8"/>
    <w:lvl w:ilvl="0">
      <w:start w:val="3"/>
      <w:numFmt w:val="decimal"/>
      <w:lvlText w:val="%1."/>
      <w:legacy w:legacy="1" w:legacySpace="0" w:legacyIndent="283"/>
      <w:lvlJc w:val="left"/>
      <w:pPr>
        <w:ind w:left="283" w:hanging="283"/>
      </w:pPr>
    </w:lvl>
  </w:abstractNum>
  <w:abstractNum w:abstractNumId="4">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4"/>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A7"/>
    <w:rsid w:val="00024F7D"/>
    <w:rsid w:val="0003255D"/>
    <w:rsid w:val="00044416"/>
    <w:rsid w:val="00077A28"/>
    <w:rsid w:val="001E4FA4"/>
    <w:rsid w:val="001E4FC2"/>
    <w:rsid w:val="001F552E"/>
    <w:rsid w:val="001F6E76"/>
    <w:rsid w:val="00231B0E"/>
    <w:rsid w:val="00297DBC"/>
    <w:rsid w:val="002D120A"/>
    <w:rsid w:val="002D5D53"/>
    <w:rsid w:val="00370116"/>
    <w:rsid w:val="003A160A"/>
    <w:rsid w:val="003A714A"/>
    <w:rsid w:val="003E3DFC"/>
    <w:rsid w:val="00404A6D"/>
    <w:rsid w:val="004B4915"/>
    <w:rsid w:val="004C4859"/>
    <w:rsid w:val="0052052A"/>
    <w:rsid w:val="005A562A"/>
    <w:rsid w:val="005D4613"/>
    <w:rsid w:val="005F6AF4"/>
    <w:rsid w:val="005F7BF6"/>
    <w:rsid w:val="007D67D5"/>
    <w:rsid w:val="007E539B"/>
    <w:rsid w:val="007F4EC4"/>
    <w:rsid w:val="00822F37"/>
    <w:rsid w:val="009405EE"/>
    <w:rsid w:val="00995CA4"/>
    <w:rsid w:val="009A3760"/>
    <w:rsid w:val="009D2E3A"/>
    <w:rsid w:val="009F41D7"/>
    <w:rsid w:val="00AA22B9"/>
    <w:rsid w:val="00AF4A62"/>
    <w:rsid w:val="00B22EE7"/>
    <w:rsid w:val="00B231D7"/>
    <w:rsid w:val="00B32D65"/>
    <w:rsid w:val="00BC357A"/>
    <w:rsid w:val="00C25979"/>
    <w:rsid w:val="00C5266D"/>
    <w:rsid w:val="00C761EF"/>
    <w:rsid w:val="00CB7F21"/>
    <w:rsid w:val="00D64D58"/>
    <w:rsid w:val="00E051E4"/>
    <w:rsid w:val="00E13498"/>
    <w:rsid w:val="00E73F3A"/>
    <w:rsid w:val="00EE2B16"/>
    <w:rsid w:val="00F70E27"/>
    <w:rsid w:val="00F71A91"/>
    <w:rsid w:val="00F870A7"/>
    <w:rsid w:val="00FD4ED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4D5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64D58"/>
    <w:pPr>
      <w:keepNext/>
      <w:spacing w:after="120"/>
      <w:jc w:val="center"/>
      <w:outlineLvl w:val="0"/>
    </w:pPr>
    <w:rPr>
      <w:b/>
      <w:kern w:val="28"/>
      <w:sz w:val="28"/>
    </w:rPr>
  </w:style>
  <w:style w:type="paragraph" w:styleId="berschrift2">
    <w:name w:val="heading 2"/>
    <w:basedOn w:val="Standard"/>
    <w:next w:val="GesAbsatz"/>
    <w:qFormat/>
    <w:rsid w:val="00D64D58"/>
    <w:pPr>
      <w:keepNext/>
      <w:spacing w:before="240"/>
      <w:jc w:val="center"/>
      <w:outlineLvl w:val="1"/>
    </w:pPr>
    <w:rPr>
      <w:b/>
      <w:sz w:val="24"/>
    </w:rPr>
  </w:style>
  <w:style w:type="paragraph" w:styleId="berschrift3">
    <w:name w:val="heading 3"/>
    <w:basedOn w:val="Standard"/>
    <w:next w:val="GesAbsatz"/>
    <w:qFormat/>
    <w:rsid w:val="00D64D58"/>
    <w:pPr>
      <w:keepNext/>
      <w:spacing w:before="240" w:after="180"/>
      <w:jc w:val="center"/>
      <w:outlineLvl w:val="2"/>
    </w:pPr>
    <w:rPr>
      <w:b/>
    </w:rPr>
  </w:style>
  <w:style w:type="paragraph" w:styleId="berschrift4">
    <w:name w:val="heading 4"/>
    <w:basedOn w:val="Standard"/>
    <w:next w:val="Standard"/>
    <w:rsid w:val="00D64D58"/>
    <w:pPr>
      <w:keepNext/>
      <w:spacing w:before="240"/>
      <w:outlineLvl w:val="3"/>
    </w:pPr>
  </w:style>
  <w:style w:type="paragraph" w:styleId="berschrift5">
    <w:name w:val="heading 5"/>
    <w:basedOn w:val="Standard"/>
    <w:next w:val="Standard"/>
    <w:link w:val="berschrift5Zchn"/>
    <w:rsid w:val="00D64D5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64D58"/>
    <w:pPr>
      <w:tabs>
        <w:tab w:val="center" w:pos="4536"/>
        <w:tab w:val="right" w:pos="9072"/>
      </w:tabs>
      <w:spacing w:before="0" w:after="120"/>
      <w:jc w:val="right"/>
    </w:pPr>
  </w:style>
  <w:style w:type="paragraph" w:styleId="Fuzeile">
    <w:name w:val="footer"/>
    <w:basedOn w:val="Standard"/>
    <w:qFormat/>
    <w:rsid w:val="00D64D58"/>
    <w:pPr>
      <w:tabs>
        <w:tab w:val="clear" w:pos="425"/>
        <w:tab w:val="right" w:pos="8505"/>
        <w:tab w:val="right" w:pos="9639"/>
      </w:tabs>
      <w:spacing w:before="0" w:after="0"/>
      <w:jc w:val="left"/>
    </w:pPr>
    <w:rPr>
      <w:sz w:val="16"/>
    </w:rPr>
  </w:style>
  <w:style w:type="character" w:styleId="Seitenzahl">
    <w:name w:val="page number"/>
    <w:rsid w:val="00D64D58"/>
    <w:rPr>
      <w:rFonts w:ascii="Arial" w:hAnsi="Arial"/>
      <w:sz w:val="16"/>
    </w:rPr>
  </w:style>
  <w:style w:type="paragraph" w:styleId="Verzeichnis2">
    <w:name w:val="toc 2"/>
    <w:basedOn w:val="Standard"/>
    <w:next w:val="Standard"/>
    <w:semiHidden/>
    <w:rsid w:val="00D64D5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D64D5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64D58"/>
    <w:pPr>
      <w:spacing w:before="0" w:after="0"/>
    </w:pPr>
    <w:rPr>
      <w:sz w:val="16"/>
    </w:rPr>
  </w:style>
  <w:style w:type="paragraph" w:styleId="Verzeichnis1">
    <w:name w:val="toc 1"/>
    <w:basedOn w:val="Verzeichnis3"/>
    <w:next w:val="Standard"/>
    <w:semiHidden/>
    <w:rsid w:val="00D64D58"/>
    <w:pPr>
      <w:spacing w:before="120" w:after="120"/>
      <w:ind w:left="0"/>
    </w:pPr>
    <w:rPr>
      <w:b/>
      <w:i w:val="0"/>
      <w:caps/>
    </w:rPr>
  </w:style>
  <w:style w:type="paragraph" w:customStyle="1" w:styleId="GesAbsatz">
    <w:name w:val="GesAbsatz"/>
    <w:basedOn w:val="Standard"/>
    <w:qFormat/>
    <w:rsid w:val="00D64D58"/>
    <w:pPr>
      <w:spacing w:before="100"/>
    </w:pPr>
    <w:rPr>
      <w:color w:val="000000"/>
    </w:rPr>
  </w:style>
  <w:style w:type="paragraph" w:styleId="Verzeichnis4">
    <w:name w:val="toc 4"/>
    <w:basedOn w:val="Standard"/>
    <w:next w:val="Standard"/>
    <w:semiHidden/>
    <w:rsid w:val="00D64D58"/>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64D5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64D5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64D5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64D5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64D58"/>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D64D58"/>
    <w:rPr>
      <w:sz w:val="20"/>
      <w:szCs w:val="20"/>
      <w:vertAlign w:val="superscript"/>
    </w:rPr>
  </w:style>
  <w:style w:type="character" w:styleId="Hyperlink">
    <w:name w:val="Hyperlink"/>
    <w:rsid w:val="00D64D58"/>
    <w:rPr>
      <w:color w:val="0000FF"/>
      <w:u w:val="single"/>
    </w:rPr>
  </w:style>
  <w:style w:type="character" w:styleId="BesuchterHyperlink">
    <w:name w:val="FollowedHyperlink"/>
    <w:rsid w:val="005D4613"/>
    <w:rPr>
      <w:color w:val="800080"/>
      <w:u w:val="single"/>
    </w:rPr>
  </w:style>
  <w:style w:type="paragraph" w:customStyle="1" w:styleId="Kopfzeile0">
    <w:name w:val="Kopfzeile0"/>
    <w:basedOn w:val="Standard"/>
    <w:next w:val="Kopfzeile"/>
    <w:qFormat/>
    <w:rsid w:val="00D64D58"/>
    <w:pPr>
      <w:spacing w:before="0" w:after="0"/>
      <w:jc w:val="right"/>
    </w:pPr>
    <w:rPr>
      <w:b/>
      <w:sz w:val="24"/>
    </w:rPr>
  </w:style>
  <w:style w:type="character" w:customStyle="1" w:styleId="berschrift5Zchn">
    <w:name w:val="Überschrift 5 Zchn"/>
    <w:basedOn w:val="Absatz-Standardschriftart"/>
    <w:link w:val="berschrift5"/>
    <w:rsid w:val="00D64D5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4D5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64D58"/>
    <w:pPr>
      <w:keepNext/>
      <w:spacing w:after="120"/>
      <w:jc w:val="center"/>
      <w:outlineLvl w:val="0"/>
    </w:pPr>
    <w:rPr>
      <w:b/>
      <w:kern w:val="28"/>
      <w:sz w:val="28"/>
    </w:rPr>
  </w:style>
  <w:style w:type="paragraph" w:styleId="berschrift2">
    <w:name w:val="heading 2"/>
    <w:basedOn w:val="Standard"/>
    <w:next w:val="GesAbsatz"/>
    <w:qFormat/>
    <w:rsid w:val="00D64D58"/>
    <w:pPr>
      <w:keepNext/>
      <w:spacing w:before="240"/>
      <w:jc w:val="center"/>
      <w:outlineLvl w:val="1"/>
    </w:pPr>
    <w:rPr>
      <w:b/>
      <w:sz w:val="24"/>
    </w:rPr>
  </w:style>
  <w:style w:type="paragraph" w:styleId="berschrift3">
    <w:name w:val="heading 3"/>
    <w:basedOn w:val="Standard"/>
    <w:next w:val="GesAbsatz"/>
    <w:qFormat/>
    <w:rsid w:val="00D64D58"/>
    <w:pPr>
      <w:keepNext/>
      <w:spacing w:before="240" w:after="180"/>
      <w:jc w:val="center"/>
      <w:outlineLvl w:val="2"/>
    </w:pPr>
    <w:rPr>
      <w:b/>
    </w:rPr>
  </w:style>
  <w:style w:type="paragraph" w:styleId="berschrift4">
    <w:name w:val="heading 4"/>
    <w:basedOn w:val="Standard"/>
    <w:next w:val="Standard"/>
    <w:rsid w:val="00D64D58"/>
    <w:pPr>
      <w:keepNext/>
      <w:spacing w:before="240"/>
      <w:outlineLvl w:val="3"/>
    </w:pPr>
  </w:style>
  <w:style w:type="paragraph" w:styleId="berschrift5">
    <w:name w:val="heading 5"/>
    <w:basedOn w:val="Standard"/>
    <w:next w:val="Standard"/>
    <w:link w:val="berschrift5Zchn"/>
    <w:rsid w:val="00D64D5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64D58"/>
    <w:pPr>
      <w:tabs>
        <w:tab w:val="center" w:pos="4536"/>
        <w:tab w:val="right" w:pos="9072"/>
      </w:tabs>
      <w:spacing w:before="0" w:after="120"/>
      <w:jc w:val="right"/>
    </w:pPr>
  </w:style>
  <w:style w:type="paragraph" w:styleId="Fuzeile">
    <w:name w:val="footer"/>
    <w:basedOn w:val="Standard"/>
    <w:qFormat/>
    <w:rsid w:val="00D64D58"/>
    <w:pPr>
      <w:tabs>
        <w:tab w:val="clear" w:pos="425"/>
        <w:tab w:val="right" w:pos="8505"/>
        <w:tab w:val="right" w:pos="9639"/>
      </w:tabs>
      <w:spacing w:before="0" w:after="0"/>
      <w:jc w:val="left"/>
    </w:pPr>
    <w:rPr>
      <w:sz w:val="16"/>
    </w:rPr>
  </w:style>
  <w:style w:type="character" w:styleId="Seitenzahl">
    <w:name w:val="page number"/>
    <w:rsid w:val="00D64D58"/>
    <w:rPr>
      <w:rFonts w:ascii="Arial" w:hAnsi="Arial"/>
      <w:sz w:val="16"/>
    </w:rPr>
  </w:style>
  <w:style w:type="paragraph" w:styleId="Verzeichnis2">
    <w:name w:val="toc 2"/>
    <w:basedOn w:val="Standard"/>
    <w:next w:val="Standard"/>
    <w:semiHidden/>
    <w:rsid w:val="00D64D5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D64D5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64D58"/>
    <w:pPr>
      <w:spacing w:before="0" w:after="0"/>
    </w:pPr>
    <w:rPr>
      <w:sz w:val="16"/>
    </w:rPr>
  </w:style>
  <w:style w:type="paragraph" w:styleId="Verzeichnis1">
    <w:name w:val="toc 1"/>
    <w:basedOn w:val="Verzeichnis3"/>
    <w:next w:val="Standard"/>
    <w:semiHidden/>
    <w:rsid w:val="00D64D58"/>
    <w:pPr>
      <w:spacing w:before="120" w:after="120"/>
      <w:ind w:left="0"/>
    </w:pPr>
    <w:rPr>
      <w:b/>
      <w:i w:val="0"/>
      <w:caps/>
    </w:rPr>
  </w:style>
  <w:style w:type="paragraph" w:customStyle="1" w:styleId="GesAbsatz">
    <w:name w:val="GesAbsatz"/>
    <w:basedOn w:val="Standard"/>
    <w:qFormat/>
    <w:rsid w:val="00D64D58"/>
    <w:pPr>
      <w:spacing w:before="100"/>
    </w:pPr>
    <w:rPr>
      <w:color w:val="000000"/>
    </w:rPr>
  </w:style>
  <w:style w:type="paragraph" w:styleId="Verzeichnis4">
    <w:name w:val="toc 4"/>
    <w:basedOn w:val="Standard"/>
    <w:next w:val="Standard"/>
    <w:semiHidden/>
    <w:rsid w:val="00D64D58"/>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64D5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64D5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64D5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64D5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64D58"/>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D64D58"/>
    <w:rPr>
      <w:sz w:val="20"/>
      <w:szCs w:val="20"/>
      <w:vertAlign w:val="superscript"/>
    </w:rPr>
  </w:style>
  <w:style w:type="character" w:styleId="Hyperlink">
    <w:name w:val="Hyperlink"/>
    <w:rsid w:val="00D64D58"/>
    <w:rPr>
      <w:color w:val="0000FF"/>
      <w:u w:val="single"/>
    </w:rPr>
  </w:style>
  <w:style w:type="character" w:styleId="BesuchterHyperlink">
    <w:name w:val="FollowedHyperlink"/>
    <w:rsid w:val="005D4613"/>
    <w:rPr>
      <w:color w:val="800080"/>
      <w:u w:val="single"/>
    </w:rPr>
  </w:style>
  <w:style w:type="paragraph" w:customStyle="1" w:styleId="Kopfzeile0">
    <w:name w:val="Kopfzeile0"/>
    <w:basedOn w:val="Standard"/>
    <w:next w:val="Kopfzeile"/>
    <w:qFormat/>
    <w:rsid w:val="00D64D58"/>
    <w:pPr>
      <w:spacing w:before="0" w:after="0"/>
      <w:jc w:val="right"/>
    </w:pPr>
    <w:rPr>
      <w:b/>
      <w:sz w:val="24"/>
    </w:rPr>
  </w:style>
  <w:style w:type="character" w:customStyle="1" w:styleId="berschrift5Zchn">
    <w:name w:val="Überschrift 5 Zchn"/>
    <w:basedOn w:val="Absatz-Standardschriftart"/>
    <w:link w:val="berschrift5"/>
    <w:rsid w:val="00D64D5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1982</Words>
  <Characters>12572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3. BImSchV</vt:lpstr>
    </vt:vector>
  </TitlesOfParts>
  <Company>LANUV NRW</Company>
  <LinksUpToDate>false</LinksUpToDate>
  <CharactersWithSpaces>14525</CharactersWithSpaces>
  <SharedDoc>false</SharedDoc>
  <HLinks>
    <vt:vector size="6" baseType="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BImSchV</dc:title>
  <dc:creator>LANUV NRW</dc:creator>
  <dc:description>durchgesehen 02.2005</dc:description>
  <cp:lastModifiedBy>rueter</cp:lastModifiedBy>
  <cp:revision>3</cp:revision>
  <cp:lastPrinted>2004-12-02T08:58:00Z</cp:lastPrinted>
  <dcterms:created xsi:type="dcterms:W3CDTF">2015-03-17T08:24:00Z</dcterms:created>
  <dcterms:modified xsi:type="dcterms:W3CDTF">2016-09-20T08:24:00Z</dcterms:modified>
</cp:coreProperties>
</file>