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spacing w:before="0"/>
      </w:pPr>
      <w:bookmarkStart w:id="0" w:name="_Toc400858111"/>
      <w:bookmarkStart w:id="1" w:name="_Toc448029068"/>
      <w:bookmarkStart w:id="2" w:name="_Toc512400012"/>
      <w:bookmarkStart w:id="3" w:name="_Toc174110492"/>
      <w:r>
        <w:t xml:space="preserve">Zweiundzwanzigste </w:t>
      </w:r>
      <w:bookmarkStart w:id="4" w:name="_GoBack"/>
      <w:bookmarkEnd w:id="4"/>
      <w:r>
        <w:t>Verordnung zur Durchführung des</w:t>
      </w:r>
      <w:r>
        <w:br/>
        <w:t>Bundes-Immissionsschutzgesetzes</w:t>
      </w:r>
      <w:r>
        <w:t xml:space="preserve"> - </w:t>
      </w:r>
      <w:r>
        <w:br/>
        <w:t>Verordnung über Immissionswe</w:t>
      </w:r>
      <w:r>
        <w:t>r</w:t>
      </w:r>
      <w:r>
        <w:t>te für Schadstoffe in der Luft -</w:t>
      </w:r>
      <w:r>
        <w:br/>
        <w:t>22. BImSchV</w:t>
      </w:r>
      <w:bookmarkEnd w:id="0"/>
      <w:bookmarkEnd w:id="1"/>
      <w:bookmarkEnd w:id="2"/>
      <w:r>
        <w:rPr>
          <w:rStyle w:val="Funotenzeichen"/>
        </w:rPr>
        <w:footnoteReference w:customMarkFollows="1" w:id="1"/>
        <w:t>1)</w:t>
      </w:r>
      <w:bookmarkEnd w:id="3"/>
    </w:p>
    <w:p>
      <w:pPr>
        <w:pStyle w:val="GesAbsatz"/>
        <w:jc w:val="center"/>
      </w:pPr>
      <w:r>
        <w:t>vom 11. September 2002</w:t>
      </w:r>
    </w:p>
    <w:p>
      <w:pPr>
        <w:pStyle w:val="GesAbsatz"/>
        <w:jc w:val="left"/>
        <w:rPr>
          <w:b/>
          <w:i/>
          <w:color w:val="FF0000"/>
          <w:sz w:val="22"/>
          <w:szCs w:val="22"/>
        </w:rPr>
      </w:pPr>
      <w:r>
        <w:rPr>
          <w:b/>
          <w:i/>
          <w:color w:val="FF0000"/>
          <w:sz w:val="22"/>
          <w:szCs w:val="22"/>
        </w:rPr>
        <w:t xml:space="preserve">gültig bis 05.08.2010 - abgelöst durch 39. BImSchV </w:t>
      </w:r>
    </w:p>
    <w:p>
      <w:pPr>
        <w:pStyle w:val="GesAbsatz"/>
        <w:tabs>
          <w:tab w:val="clear" w:pos="425"/>
        </w:tabs>
        <w:jc w:val="left"/>
      </w:pPr>
      <w:hyperlink w:anchor="Gesetzeshistorie" w:tooltip="LINK zur Gesetzeshistorie (Änderungen) am Ende des Dokumentes" w:history="1">
        <w:r>
          <w:rPr>
            <w:rStyle w:val="Hyperlink"/>
          </w:rPr>
          <w:t>Gesetzeshist</w:t>
        </w:r>
        <w:r>
          <w:rPr>
            <w:rStyle w:val="Hyperlink"/>
          </w:rPr>
          <w:t>o</w:t>
        </w:r>
        <w:r>
          <w:rPr>
            <w:rStyle w:val="Hyperlink"/>
          </w:rPr>
          <w:t>rie</w:t>
        </w:r>
      </w:hyperlink>
    </w:p>
    <w:p>
      <w:pPr>
        <w:pStyle w:val="GesAbsatz"/>
        <w:jc w:val="center"/>
        <w:rPr>
          <w:b/>
          <w:bCs/>
          <w:sz w:val="22"/>
        </w:rPr>
      </w:pPr>
      <w:r>
        <w:rPr>
          <w:b/>
          <w:bCs/>
          <w:sz w:val="22"/>
        </w:rPr>
        <w:t>Inhalt:</w:t>
      </w:r>
    </w:p>
    <w:p>
      <w:pPr>
        <w:pStyle w:val="Verzeichnis1"/>
        <w:tabs>
          <w:tab w:val="right" w:leader="dot" w:pos="9628"/>
        </w:tabs>
        <w:rPr>
          <w:rFonts w:asciiTheme="minorHAnsi" w:eastAsiaTheme="minorEastAsia" w:hAnsiTheme="minorHAnsi" w:cstheme="minorBidi"/>
          <w:b w:val="0"/>
          <w:bCs w:val="0"/>
          <w:caps w:val="0"/>
          <w:noProof/>
          <w:sz w:val="22"/>
          <w:szCs w:val="22"/>
        </w:rPr>
      </w:pPr>
      <w:r>
        <w:rPr>
          <w:sz w:val="22"/>
        </w:rPr>
        <w:fldChar w:fldCharType="begin"/>
      </w:r>
      <w:r>
        <w:rPr>
          <w:sz w:val="22"/>
        </w:rPr>
        <w:instrText xml:space="preserve"> TOC \o "1-3" \h \z </w:instrText>
      </w:r>
      <w:r>
        <w:rPr>
          <w:sz w:val="22"/>
        </w:rPr>
        <w:fldChar w:fldCharType="separate"/>
      </w:r>
      <w:hyperlink w:anchor="_Toc174110492" w:history="1">
        <w:r>
          <w:rPr>
            <w:rStyle w:val="Hyperlink"/>
            <w:noProof/>
          </w:rPr>
          <w:t>22. BImSchV</w:t>
        </w:r>
        <w:r>
          <w:rPr>
            <w:noProof/>
            <w:webHidden/>
          </w:rPr>
          <w:tab/>
        </w:r>
        <w:r>
          <w:rPr>
            <w:noProof/>
            <w:webHidden/>
          </w:rPr>
          <w:fldChar w:fldCharType="begin"/>
        </w:r>
        <w:r>
          <w:rPr>
            <w:noProof/>
            <w:webHidden/>
          </w:rPr>
          <w:instrText xml:space="preserve"> PAGEREF _Toc174110492 \h </w:instrText>
        </w:r>
        <w:r>
          <w:rPr>
            <w:noProof/>
            <w:webHidden/>
          </w:rPr>
        </w:r>
        <w:r>
          <w:rPr>
            <w:noProof/>
            <w:webHidden/>
          </w:rPr>
          <w:fldChar w:fldCharType="separate"/>
        </w:r>
        <w:r>
          <w:rPr>
            <w:noProof/>
            <w:webHidden/>
          </w:rPr>
          <w:t>1</w:t>
        </w:r>
        <w:r>
          <w:rPr>
            <w:noProof/>
            <w:webHidden/>
          </w:rPr>
          <w:fldChar w:fldCharType="end"/>
        </w:r>
      </w:hyperlink>
    </w:p>
    <w:p>
      <w:pPr>
        <w:pStyle w:val="Verzeichnis3"/>
        <w:tabs>
          <w:tab w:val="right" w:leader="dot" w:pos="9628"/>
        </w:tabs>
        <w:rPr>
          <w:rFonts w:asciiTheme="minorHAnsi" w:eastAsiaTheme="minorEastAsia" w:hAnsiTheme="minorHAnsi" w:cstheme="minorBidi"/>
          <w:i w:val="0"/>
          <w:iCs w:val="0"/>
          <w:noProof/>
          <w:sz w:val="22"/>
          <w:szCs w:val="22"/>
        </w:rPr>
      </w:pPr>
      <w:hyperlink w:anchor="_Toc174110493" w:history="1">
        <w:r>
          <w:rPr>
            <w:rStyle w:val="Hyperlink"/>
            <w:rFonts w:cs="Arial"/>
            <w:noProof/>
          </w:rPr>
          <w:t xml:space="preserve">§ 1 </w:t>
        </w:r>
        <w:r>
          <w:rPr>
            <w:rStyle w:val="Hyperlink"/>
            <w:noProof/>
          </w:rPr>
          <w:t>Begriffsbestimmungen</w:t>
        </w:r>
        <w:r>
          <w:rPr>
            <w:noProof/>
            <w:webHidden/>
          </w:rPr>
          <w:tab/>
        </w:r>
        <w:r>
          <w:rPr>
            <w:noProof/>
            <w:webHidden/>
          </w:rPr>
          <w:fldChar w:fldCharType="begin"/>
        </w:r>
        <w:r>
          <w:rPr>
            <w:noProof/>
            <w:webHidden/>
          </w:rPr>
          <w:instrText xml:space="preserve"> PAGEREF _Toc174110493 \h </w:instrText>
        </w:r>
        <w:r>
          <w:rPr>
            <w:noProof/>
            <w:webHidden/>
          </w:rPr>
        </w:r>
        <w:r>
          <w:rPr>
            <w:noProof/>
            <w:webHidden/>
          </w:rPr>
          <w:fldChar w:fldCharType="separate"/>
        </w:r>
        <w:r>
          <w:rPr>
            <w:noProof/>
            <w:webHidden/>
          </w:rPr>
          <w:t>2</w:t>
        </w:r>
        <w:r>
          <w:rPr>
            <w:noProof/>
            <w:webHidden/>
          </w:rPr>
          <w:fldChar w:fldCharType="end"/>
        </w:r>
      </w:hyperlink>
    </w:p>
    <w:p>
      <w:pPr>
        <w:pStyle w:val="Verzeichnis2"/>
        <w:tabs>
          <w:tab w:val="right" w:leader="dot" w:pos="9628"/>
        </w:tabs>
        <w:rPr>
          <w:rFonts w:asciiTheme="minorHAnsi" w:eastAsiaTheme="minorEastAsia" w:hAnsiTheme="minorHAnsi" w:cstheme="minorBidi"/>
          <w:smallCaps w:val="0"/>
          <w:noProof/>
          <w:sz w:val="22"/>
          <w:szCs w:val="22"/>
        </w:rPr>
      </w:pPr>
      <w:hyperlink w:anchor="_Toc174110494" w:history="1">
        <w:r>
          <w:rPr>
            <w:rStyle w:val="Hyperlink"/>
            <w:noProof/>
          </w:rPr>
          <w:t>Erster Teil Immissionswerte, Beurteilung, Maßnahmen und Informationspflichten</w:t>
        </w:r>
        <w:r>
          <w:rPr>
            <w:noProof/>
            <w:webHidden/>
          </w:rPr>
          <w:tab/>
        </w:r>
        <w:r>
          <w:rPr>
            <w:noProof/>
            <w:webHidden/>
          </w:rPr>
          <w:fldChar w:fldCharType="begin"/>
        </w:r>
        <w:r>
          <w:rPr>
            <w:noProof/>
            <w:webHidden/>
          </w:rPr>
          <w:instrText xml:space="preserve"> PAGEREF _Toc174110494 \h </w:instrText>
        </w:r>
        <w:r>
          <w:rPr>
            <w:noProof/>
            <w:webHidden/>
          </w:rPr>
        </w:r>
        <w:r>
          <w:rPr>
            <w:noProof/>
            <w:webHidden/>
          </w:rPr>
          <w:fldChar w:fldCharType="separate"/>
        </w:r>
        <w:r>
          <w:rPr>
            <w:noProof/>
            <w:webHidden/>
          </w:rPr>
          <w:t>3</w:t>
        </w:r>
        <w:r>
          <w:rPr>
            <w:noProof/>
            <w:webHidden/>
          </w:rPr>
          <w:fldChar w:fldCharType="end"/>
        </w:r>
      </w:hyperlink>
    </w:p>
    <w:p>
      <w:pPr>
        <w:pStyle w:val="Verzeichnis3"/>
        <w:tabs>
          <w:tab w:val="right" w:leader="dot" w:pos="9628"/>
        </w:tabs>
        <w:rPr>
          <w:rFonts w:asciiTheme="minorHAnsi" w:eastAsiaTheme="minorEastAsia" w:hAnsiTheme="minorHAnsi" w:cstheme="minorBidi"/>
          <w:i w:val="0"/>
          <w:iCs w:val="0"/>
          <w:noProof/>
          <w:sz w:val="22"/>
          <w:szCs w:val="22"/>
        </w:rPr>
      </w:pPr>
      <w:hyperlink w:anchor="_Toc174110495" w:history="1">
        <w:r>
          <w:rPr>
            <w:rStyle w:val="Hyperlink"/>
            <w:rFonts w:cs="Arial"/>
            <w:noProof/>
          </w:rPr>
          <w:t>§ 2 Immissionsgrenzwerte und Alarmschwelle für Schwefeldioxid</w:t>
        </w:r>
        <w:r>
          <w:rPr>
            <w:noProof/>
            <w:webHidden/>
          </w:rPr>
          <w:tab/>
        </w:r>
        <w:r>
          <w:rPr>
            <w:noProof/>
            <w:webHidden/>
          </w:rPr>
          <w:fldChar w:fldCharType="begin"/>
        </w:r>
        <w:r>
          <w:rPr>
            <w:noProof/>
            <w:webHidden/>
          </w:rPr>
          <w:instrText xml:space="preserve"> PAGEREF _Toc174110495 \h </w:instrText>
        </w:r>
        <w:r>
          <w:rPr>
            <w:noProof/>
            <w:webHidden/>
          </w:rPr>
        </w:r>
        <w:r>
          <w:rPr>
            <w:noProof/>
            <w:webHidden/>
          </w:rPr>
          <w:fldChar w:fldCharType="separate"/>
        </w:r>
        <w:r>
          <w:rPr>
            <w:noProof/>
            <w:webHidden/>
          </w:rPr>
          <w:t>3</w:t>
        </w:r>
        <w:r>
          <w:rPr>
            <w:noProof/>
            <w:webHidden/>
          </w:rPr>
          <w:fldChar w:fldCharType="end"/>
        </w:r>
      </w:hyperlink>
    </w:p>
    <w:p>
      <w:pPr>
        <w:pStyle w:val="Verzeichnis3"/>
        <w:tabs>
          <w:tab w:val="right" w:leader="dot" w:pos="9628"/>
        </w:tabs>
        <w:rPr>
          <w:rFonts w:asciiTheme="minorHAnsi" w:eastAsiaTheme="minorEastAsia" w:hAnsiTheme="minorHAnsi" w:cstheme="minorBidi"/>
          <w:i w:val="0"/>
          <w:iCs w:val="0"/>
          <w:noProof/>
          <w:sz w:val="22"/>
          <w:szCs w:val="22"/>
        </w:rPr>
      </w:pPr>
      <w:hyperlink w:anchor="_Toc174110496" w:history="1">
        <w:r>
          <w:rPr>
            <w:rStyle w:val="Hyperlink"/>
            <w:noProof/>
          </w:rPr>
          <w:t>§ 3 Immissionsgrenzwerte, Toleranzmargen für Stickstoffdioxid (NO</w:t>
        </w:r>
        <w:r>
          <w:rPr>
            <w:rStyle w:val="Hyperlink"/>
            <w:noProof/>
            <w:vertAlign w:val="subscript"/>
          </w:rPr>
          <w:t>2</w:t>
        </w:r>
        <w:r>
          <w:rPr>
            <w:rStyle w:val="Hyperlink"/>
            <w:noProof/>
          </w:rPr>
          <w:t>), Immissionsgrenzwert für Stickstoffoxide (NO</w:t>
        </w:r>
        <w:r>
          <w:rPr>
            <w:rStyle w:val="Hyperlink"/>
            <w:noProof/>
            <w:vertAlign w:val="subscript"/>
          </w:rPr>
          <w:t>x</w:t>
        </w:r>
        <w:r>
          <w:rPr>
            <w:rStyle w:val="Hyperlink"/>
            <w:noProof/>
          </w:rPr>
          <w:t>) und Alarmschwelle für Stickstoffdioxid</w:t>
        </w:r>
        <w:r>
          <w:rPr>
            <w:noProof/>
            <w:webHidden/>
          </w:rPr>
          <w:tab/>
        </w:r>
        <w:r>
          <w:rPr>
            <w:noProof/>
            <w:webHidden/>
          </w:rPr>
          <w:fldChar w:fldCharType="begin"/>
        </w:r>
        <w:r>
          <w:rPr>
            <w:noProof/>
            <w:webHidden/>
          </w:rPr>
          <w:instrText xml:space="preserve"> PAGEREF _Toc174110496 \h </w:instrText>
        </w:r>
        <w:r>
          <w:rPr>
            <w:noProof/>
            <w:webHidden/>
          </w:rPr>
        </w:r>
        <w:r>
          <w:rPr>
            <w:noProof/>
            <w:webHidden/>
          </w:rPr>
          <w:fldChar w:fldCharType="separate"/>
        </w:r>
        <w:r>
          <w:rPr>
            <w:noProof/>
            <w:webHidden/>
          </w:rPr>
          <w:t>3</w:t>
        </w:r>
        <w:r>
          <w:rPr>
            <w:noProof/>
            <w:webHidden/>
          </w:rPr>
          <w:fldChar w:fldCharType="end"/>
        </w:r>
      </w:hyperlink>
    </w:p>
    <w:p>
      <w:pPr>
        <w:pStyle w:val="Verzeichnis3"/>
        <w:tabs>
          <w:tab w:val="right" w:leader="dot" w:pos="9628"/>
        </w:tabs>
        <w:rPr>
          <w:rFonts w:asciiTheme="minorHAnsi" w:eastAsiaTheme="minorEastAsia" w:hAnsiTheme="minorHAnsi" w:cstheme="minorBidi"/>
          <w:i w:val="0"/>
          <w:iCs w:val="0"/>
          <w:noProof/>
          <w:sz w:val="22"/>
          <w:szCs w:val="22"/>
        </w:rPr>
      </w:pPr>
      <w:hyperlink w:anchor="_Toc174110497" w:history="1">
        <w:r>
          <w:rPr>
            <w:rStyle w:val="Hyperlink"/>
            <w:noProof/>
          </w:rPr>
          <w:t>§ 4 Immissionsgrenzwerte für Partikel (PM</w:t>
        </w:r>
        <w:r>
          <w:rPr>
            <w:rStyle w:val="Hyperlink"/>
            <w:noProof/>
            <w:vertAlign w:val="subscript"/>
          </w:rPr>
          <w:t>10</w:t>
        </w:r>
        <w:r>
          <w:rPr>
            <w:rStyle w:val="Hyperlink"/>
            <w:noProof/>
          </w:rPr>
          <w:t>)</w:t>
        </w:r>
        <w:r>
          <w:rPr>
            <w:noProof/>
            <w:webHidden/>
          </w:rPr>
          <w:tab/>
        </w:r>
        <w:r>
          <w:rPr>
            <w:noProof/>
            <w:webHidden/>
          </w:rPr>
          <w:fldChar w:fldCharType="begin"/>
        </w:r>
        <w:r>
          <w:rPr>
            <w:noProof/>
            <w:webHidden/>
          </w:rPr>
          <w:instrText xml:space="preserve"> PAGEREF _Toc174110497 \h </w:instrText>
        </w:r>
        <w:r>
          <w:rPr>
            <w:noProof/>
            <w:webHidden/>
          </w:rPr>
        </w:r>
        <w:r>
          <w:rPr>
            <w:noProof/>
            <w:webHidden/>
          </w:rPr>
          <w:fldChar w:fldCharType="separate"/>
        </w:r>
        <w:r>
          <w:rPr>
            <w:noProof/>
            <w:webHidden/>
          </w:rPr>
          <w:t>4</w:t>
        </w:r>
        <w:r>
          <w:rPr>
            <w:noProof/>
            <w:webHidden/>
          </w:rPr>
          <w:fldChar w:fldCharType="end"/>
        </w:r>
      </w:hyperlink>
    </w:p>
    <w:p>
      <w:pPr>
        <w:pStyle w:val="Verzeichnis3"/>
        <w:tabs>
          <w:tab w:val="right" w:leader="dot" w:pos="9628"/>
        </w:tabs>
        <w:rPr>
          <w:rFonts w:asciiTheme="minorHAnsi" w:eastAsiaTheme="minorEastAsia" w:hAnsiTheme="minorHAnsi" w:cstheme="minorBidi"/>
          <w:i w:val="0"/>
          <w:iCs w:val="0"/>
          <w:noProof/>
          <w:sz w:val="22"/>
          <w:szCs w:val="22"/>
        </w:rPr>
      </w:pPr>
      <w:hyperlink w:anchor="_Toc174110498" w:history="1">
        <w:r>
          <w:rPr>
            <w:rStyle w:val="Hyperlink"/>
            <w:noProof/>
          </w:rPr>
          <w:t>§ 5 Immissionsgrenzwerte und Toleranzmarge für Blei</w:t>
        </w:r>
        <w:r>
          <w:rPr>
            <w:noProof/>
            <w:webHidden/>
          </w:rPr>
          <w:tab/>
        </w:r>
        <w:r>
          <w:rPr>
            <w:noProof/>
            <w:webHidden/>
          </w:rPr>
          <w:fldChar w:fldCharType="begin"/>
        </w:r>
        <w:r>
          <w:rPr>
            <w:noProof/>
            <w:webHidden/>
          </w:rPr>
          <w:instrText xml:space="preserve"> PAGEREF _Toc174110498 \h </w:instrText>
        </w:r>
        <w:r>
          <w:rPr>
            <w:noProof/>
            <w:webHidden/>
          </w:rPr>
        </w:r>
        <w:r>
          <w:rPr>
            <w:noProof/>
            <w:webHidden/>
          </w:rPr>
          <w:fldChar w:fldCharType="separate"/>
        </w:r>
        <w:r>
          <w:rPr>
            <w:noProof/>
            <w:webHidden/>
          </w:rPr>
          <w:t>4</w:t>
        </w:r>
        <w:r>
          <w:rPr>
            <w:noProof/>
            <w:webHidden/>
          </w:rPr>
          <w:fldChar w:fldCharType="end"/>
        </w:r>
      </w:hyperlink>
    </w:p>
    <w:p>
      <w:pPr>
        <w:pStyle w:val="Verzeichnis3"/>
        <w:tabs>
          <w:tab w:val="right" w:leader="dot" w:pos="9628"/>
        </w:tabs>
        <w:rPr>
          <w:rFonts w:asciiTheme="minorHAnsi" w:eastAsiaTheme="minorEastAsia" w:hAnsiTheme="minorHAnsi" w:cstheme="minorBidi"/>
          <w:i w:val="0"/>
          <w:iCs w:val="0"/>
          <w:noProof/>
          <w:sz w:val="22"/>
          <w:szCs w:val="22"/>
        </w:rPr>
      </w:pPr>
      <w:hyperlink w:anchor="_Toc174110499" w:history="1">
        <w:r>
          <w:rPr>
            <w:rStyle w:val="Hyperlink"/>
            <w:rFonts w:cs="Arial"/>
            <w:noProof/>
          </w:rPr>
          <w:t xml:space="preserve">§ 6 </w:t>
        </w:r>
        <w:r>
          <w:rPr>
            <w:rStyle w:val="Hyperlink"/>
            <w:noProof/>
          </w:rPr>
          <w:t>Immissionsgrenzwerte und Toleranzmarge für Benzol</w:t>
        </w:r>
        <w:r>
          <w:rPr>
            <w:noProof/>
            <w:webHidden/>
          </w:rPr>
          <w:tab/>
        </w:r>
        <w:r>
          <w:rPr>
            <w:noProof/>
            <w:webHidden/>
          </w:rPr>
          <w:fldChar w:fldCharType="begin"/>
        </w:r>
        <w:r>
          <w:rPr>
            <w:noProof/>
            <w:webHidden/>
          </w:rPr>
          <w:instrText xml:space="preserve"> PAGEREF _Toc174110499 \h </w:instrText>
        </w:r>
        <w:r>
          <w:rPr>
            <w:noProof/>
            <w:webHidden/>
          </w:rPr>
        </w:r>
        <w:r>
          <w:rPr>
            <w:noProof/>
            <w:webHidden/>
          </w:rPr>
          <w:fldChar w:fldCharType="separate"/>
        </w:r>
        <w:r>
          <w:rPr>
            <w:noProof/>
            <w:webHidden/>
          </w:rPr>
          <w:t>5</w:t>
        </w:r>
        <w:r>
          <w:rPr>
            <w:noProof/>
            <w:webHidden/>
          </w:rPr>
          <w:fldChar w:fldCharType="end"/>
        </w:r>
      </w:hyperlink>
    </w:p>
    <w:p>
      <w:pPr>
        <w:pStyle w:val="Verzeichnis3"/>
        <w:tabs>
          <w:tab w:val="right" w:leader="dot" w:pos="9628"/>
        </w:tabs>
        <w:rPr>
          <w:rFonts w:asciiTheme="minorHAnsi" w:eastAsiaTheme="minorEastAsia" w:hAnsiTheme="minorHAnsi" w:cstheme="minorBidi"/>
          <w:i w:val="0"/>
          <w:iCs w:val="0"/>
          <w:noProof/>
          <w:sz w:val="22"/>
          <w:szCs w:val="22"/>
        </w:rPr>
      </w:pPr>
      <w:hyperlink w:anchor="_Toc174110500" w:history="1">
        <w:r>
          <w:rPr>
            <w:rStyle w:val="Hyperlink"/>
            <w:noProof/>
          </w:rPr>
          <w:t>§ 7 Immissionsgrenzwert und Toleranzmarge für Kohlenmonoxid</w:t>
        </w:r>
        <w:r>
          <w:rPr>
            <w:noProof/>
            <w:webHidden/>
          </w:rPr>
          <w:tab/>
        </w:r>
        <w:r>
          <w:rPr>
            <w:noProof/>
            <w:webHidden/>
          </w:rPr>
          <w:fldChar w:fldCharType="begin"/>
        </w:r>
        <w:r>
          <w:rPr>
            <w:noProof/>
            <w:webHidden/>
          </w:rPr>
          <w:instrText xml:space="preserve"> PAGEREF _Toc174110500 \h </w:instrText>
        </w:r>
        <w:r>
          <w:rPr>
            <w:noProof/>
            <w:webHidden/>
          </w:rPr>
        </w:r>
        <w:r>
          <w:rPr>
            <w:noProof/>
            <w:webHidden/>
          </w:rPr>
          <w:fldChar w:fldCharType="separate"/>
        </w:r>
        <w:r>
          <w:rPr>
            <w:noProof/>
            <w:webHidden/>
          </w:rPr>
          <w:t>5</w:t>
        </w:r>
        <w:r>
          <w:rPr>
            <w:noProof/>
            <w:webHidden/>
          </w:rPr>
          <w:fldChar w:fldCharType="end"/>
        </w:r>
      </w:hyperlink>
    </w:p>
    <w:p>
      <w:pPr>
        <w:pStyle w:val="Verzeichnis3"/>
        <w:tabs>
          <w:tab w:val="right" w:leader="dot" w:pos="9628"/>
        </w:tabs>
        <w:rPr>
          <w:rFonts w:asciiTheme="minorHAnsi" w:eastAsiaTheme="minorEastAsia" w:hAnsiTheme="minorHAnsi" w:cstheme="minorBidi"/>
          <w:i w:val="0"/>
          <w:iCs w:val="0"/>
          <w:noProof/>
          <w:sz w:val="22"/>
          <w:szCs w:val="22"/>
        </w:rPr>
      </w:pPr>
      <w:hyperlink w:anchor="_Toc174110501" w:history="1">
        <w:r>
          <w:rPr>
            <w:rStyle w:val="Hyperlink"/>
            <w:noProof/>
          </w:rPr>
          <w:t>§ 8 (aufgehoben)</w:t>
        </w:r>
        <w:r>
          <w:rPr>
            <w:noProof/>
            <w:webHidden/>
          </w:rPr>
          <w:tab/>
        </w:r>
        <w:r>
          <w:rPr>
            <w:noProof/>
            <w:webHidden/>
          </w:rPr>
          <w:fldChar w:fldCharType="begin"/>
        </w:r>
        <w:r>
          <w:rPr>
            <w:noProof/>
            <w:webHidden/>
          </w:rPr>
          <w:instrText xml:space="preserve"> PAGEREF _Toc174110501 \h </w:instrText>
        </w:r>
        <w:r>
          <w:rPr>
            <w:noProof/>
            <w:webHidden/>
          </w:rPr>
        </w:r>
        <w:r>
          <w:rPr>
            <w:noProof/>
            <w:webHidden/>
          </w:rPr>
          <w:fldChar w:fldCharType="separate"/>
        </w:r>
        <w:r>
          <w:rPr>
            <w:noProof/>
            <w:webHidden/>
          </w:rPr>
          <w:t>5</w:t>
        </w:r>
        <w:r>
          <w:rPr>
            <w:noProof/>
            <w:webHidden/>
          </w:rPr>
          <w:fldChar w:fldCharType="end"/>
        </w:r>
      </w:hyperlink>
    </w:p>
    <w:p>
      <w:pPr>
        <w:pStyle w:val="Verzeichnis3"/>
        <w:tabs>
          <w:tab w:val="right" w:leader="dot" w:pos="9628"/>
        </w:tabs>
        <w:rPr>
          <w:rFonts w:asciiTheme="minorHAnsi" w:eastAsiaTheme="minorEastAsia" w:hAnsiTheme="minorHAnsi" w:cstheme="minorBidi"/>
          <w:i w:val="0"/>
          <w:iCs w:val="0"/>
          <w:noProof/>
          <w:sz w:val="22"/>
          <w:szCs w:val="22"/>
        </w:rPr>
      </w:pPr>
      <w:hyperlink w:anchor="_Toc174110502" w:history="1">
        <w:r>
          <w:rPr>
            <w:rStyle w:val="Hyperlink"/>
            <w:rFonts w:cs="Arial"/>
            <w:noProof/>
          </w:rPr>
          <w:t xml:space="preserve">§ 9 </w:t>
        </w:r>
        <w:r>
          <w:rPr>
            <w:rStyle w:val="Hyperlink"/>
            <w:noProof/>
          </w:rPr>
          <w:t>Festlegung der Ballungsräume und Einstufung der Gebiete und Ballungsräume</w:t>
        </w:r>
        <w:r>
          <w:rPr>
            <w:noProof/>
            <w:webHidden/>
          </w:rPr>
          <w:tab/>
        </w:r>
        <w:r>
          <w:rPr>
            <w:noProof/>
            <w:webHidden/>
          </w:rPr>
          <w:fldChar w:fldCharType="begin"/>
        </w:r>
        <w:r>
          <w:rPr>
            <w:noProof/>
            <w:webHidden/>
          </w:rPr>
          <w:instrText xml:space="preserve"> PAGEREF _Toc174110502 \h </w:instrText>
        </w:r>
        <w:r>
          <w:rPr>
            <w:noProof/>
            <w:webHidden/>
          </w:rPr>
        </w:r>
        <w:r>
          <w:rPr>
            <w:noProof/>
            <w:webHidden/>
          </w:rPr>
          <w:fldChar w:fldCharType="separate"/>
        </w:r>
        <w:r>
          <w:rPr>
            <w:noProof/>
            <w:webHidden/>
          </w:rPr>
          <w:t>5</w:t>
        </w:r>
        <w:r>
          <w:rPr>
            <w:noProof/>
            <w:webHidden/>
          </w:rPr>
          <w:fldChar w:fldCharType="end"/>
        </w:r>
      </w:hyperlink>
    </w:p>
    <w:p>
      <w:pPr>
        <w:pStyle w:val="Verzeichnis3"/>
        <w:tabs>
          <w:tab w:val="right" w:leader="dot" w:pos="9628"/>
        </w:tabs>
        <w:rPr>
          <w:rFonts w:asciiTheme="minorHAnsi" w:eastAsiaTheme="minorEastAsia" w:hAnsiTheme="minorHAnsi" w:cstheme="minorBidi"/>
          <w:i w:val="0"/>
          <w:iCs w:val="0"/>
          <w:noProof/>
          <w:sz w:val="22"/>
          <w:szCs w:val="22"/>
        </w:rPr>
      </w:pPr>
      <w:hyperlink w:anchor="_Toc174110503" w:history="1">
        <w:r>
          <w:rPr>
            <w:rStyle w:val="Hyperlink"/>
            <w:noProof/>
          </w:rPr>
          <w:t>§ 10 Beurteilung der Luftqualität</w:t>
        </w:r>
        <w:r>
          <w:rPr>
            <w:noProof/>
            <w:webHidden/>
          </w:rPr>
          <w:tab/>
        </w:r>
        <w:r>
          <w:rPr>
            <w:noProof/>
            <w:webHidden/>
          </w:rPr>
          <w:fldChar w:fldCharType="begin"/>
        </w:r>
        <w:r>
          <w:rPr>
            <w:noProof/>
            <w:webHidden/>
          </w:rPr>
          <w:instrText xml:space="preserve"> PAGEREF _Toc174110503 \h </w:instrText>
        </w:r>
        <w:r>
          <w:rPr>
            <w:noProof/>
            <w:webHidden/>
          </w:rPr>
        </w:r>
        <w:r>
          <w:rPr>
            <w:noProof/>
            <w:webHidden/>
          </w:rPr>
          <w:fldChar w:fldCharType="separate"/>
        </w:r>
        <w:r>
          <w:rPr>
            <w:noProof/>
            <w:webHidden/>
          </w:rPr>
          <w:t>6</w:t>
        </w:r>
        <w:r>
          <w:rPr>
            <w:noProof/>
            <w:webHidden/>
          </w:rPr>
          <w:fldChar w:fldCharType="end"/>
        </w:r>
      </w:hyperlink>
    </w:p>
    <w:p>
      <w:pPr>
        <w:pStyle w:val="Verzeichnis3"/>
        <w:tabs>
          <w:tab w:val="right" w:leader="dot" w:pos="9628"/>
        </w:tabs>
        <w:rPr>
          <w:rFonts w:asciiTheme="minorHAnsi" w:eastAsiaTheme="minorEastAsia" w:hAnsiTheme="minorHAnsi" w:cstheme="minorBidi"/>
          <w:i w:val="0"/>
          <w:iCs w:val="0"/>
          <w:noProof/>
          <w:sz w:val="22"/>
          <w:szCs w:val="22"/>
        </w:rPr>
      </w:pPr>
      <w:hyperlink w:anchor="_Toc174110504" w:history="1">
        <w:r>
          <w:rPr>
            <w:rStyle w:val="Hyperlink"/>
            <w:noProof/>
          </w:rPr>
          <w:t>§ 11 Luftreinhaltepläne, Aktionspläne, Listen von Gebieten und Ballungsräumen</w:t>
        </w:r>
        <w:r>
          <w:rPr>
            <w:noProof/>
            <w:webHidden/>
          </w:rPr>
          <w:tab/>
        </w:r>
        <w:r>
          <w:rPr>
            <w:noProof/>
            <w:webHidden/>
          </w:rPr>
          <w:fldChar w:fldCharType="begin"/>
        </w:r>
        <w:r>
          <w:rPr>
            <w:noProof/>
            <w:webHidden/>
          </w:rPr>
          <w:instrText xml:space="preserve"> PAGEREF _Toc174110504 \h </w:instrText>
        </w:r>
        <w:r>
          <w:rPr>
            <w:noProof/>
            <w:webHidden/>
          </w:rPr>
        </w:r>
        <w:r>
          <w:rPr>
            <w:noProof/>
            <w:webHidden/>
          </w:rPr>
          <w:fldChar w:fldCharType="separate"/>
        </w:r>
        <w:r>
          <w:rPr>
            <w:noProof/>
            <w:webHidden/>
          </w:rPr>
          <w:t>7</w:t>
        </w:r>
        <w:r>
          <w:rPr>
            <w:noProof/>
            <w:webHidden/>
          </w:rPr>
          <w:fldChar w:fldCharType="end"/>
        </w:r>
      </w:hyperlink>
    </w:p>
    <w:p>
      <w:pPr>
        <w:pStyle w:val="Verzeichnis3"/>
        <w:tabs>
          <w:tab w:val="right" w:leader="dot" w:pos="9628"/>
        </w:tabs>
        <w:rPr>
          <w:rFonts w:asciiTheme="minorHAnsi" w:eastAsiaTheme="minorEastAsia" w:hAnsiTheme="minorHAnsi" w:cstheme="minorBidi"/>
          <w:i w:val="0"/>
          <w:iCs w:val="0"/>
          <w:noProof/>
          <w:sz w:val="22"/>
          <w:szCs w:val="22"/>
        </w:rPr>
      </w:pPr>
      <w:hyperlink w:anchor="_Toc174110505" w:history="1">
        <w:r>
          <w:rPr>
            <w:rStyle w:val="Hyperlink"/>
            <w:noProof/>
          </w:rPr>
          <w:t>§ 12 Unterrichtung der Öffentlichkeit</w:t>
        </w:r>
        <w:r>
          <w:rPr>
            <w:noProof/>
            <w:webHidden/>
          </w:rPr>
          <w:tab/>
        </w:r>
        <w:r>
          <w:rPr>
            <w:noProof/>
            <w:webHidden/>
          </w:rPr>
          <w:fldChar w:fldCharType="begin"/>
        </w:r>
        <w:r>
          <w:rPr>
            <w:noProof/>
            <w:webHidden/>
          </w:rPr>
          <w:instrText xml:space="preserve"> PAGEREF _Toc174110505 \h </w:instrText>
        </w:r>
        <w:r>
          <w:rPr>
            <w:noProof/>
            <w:webHidden/>
          </w:rPr>
        </w:r>
        <w:r>
          <w:rPr>
            <w:noProof/>
            <w:webHidden/>
          </w:rPr>
          <w:fldChar w:fldCharType="separate"/>
        </w:r>
        <w:r>
          <w:rPr>
            <w:noProof/>
            <w:webHidden/>
          </w:rPr>
          <w:t>8</w:t>
        </w:r>
        <w:r>
          <w:rPr>
            <w:noProof/>
            <w:webHidden/>
          </w:rPr>
          <w:fldChar w:fldCharType="end"/>
        </w:r>
      </w:hyperlink>
    </w:p>
    <w:p>
      <w:pPr>
        <w:pStyle w:val="Verzeichnis3"/>
        <w:tabs>
          <w:tab w:val="right" w:leader="dot" w:pos="9628"/>
        </w:tabs>
        <w:rPr>
          <w:rFonts w:asciiTheme="minorHAnsi" w:eastAsiaTheme="minorEastAsia" w:hAnsiTheme="minorHAnsi" w:cstheme="minorBidi"/>
          <w:i w:val="0"/>
          <w:iCs w:val="0"/>
          <w:noProof/>
          <w:sz w:val="22"/>
          <w:szCs w:val="22"/>
        </w:rPr>
      </w:pPr>
      <w:hyperlink w:anchor="_Toc174110506" w:history="1">
        <w:r>
          <w:rPr>
            <w:rStyle w:val="Hyperlink"/>
            <w:noProof/>
          </w:rPr>
          <w:t>§ 13 Berichtspflichten</w:t>
        </w:r>
        <w:r>
          <w:rPr>
            <w:noProof/>
            <w:webHidden/>
          </w:rPr>
          <w:tab/>
        </w:r>
        <w:r>
          <w:rPr>
            <w:noProof/>
            <w:webHidden/>
          </w:rPr>
          <w:fldChar w:fldCharType="begin"/>
        </w:r>
        <w:r>
          <w:rPr>
            <w:noProof/>
            <w:webHidden/>
          </w:rPr>
          <w:instrText xml:space="preserve"> PAGEREF _Toc174110506 \h </w:instrText>
        </w:r>
        <w:r>
          <w:rPr>
            <w:noProof/>
            <w:webHidden/>
          </w:rPr>
        </w:r>
        <w:r>
          <w:rPr>
            <w:noProof/>
            <w:webHidden/>
          </w:rPr>
          <w:fldChar w:fldCharType="separate"/>
        </w:r>
        <w:r>
          <w:rPr>
            <w:noProof/>
            <w:webHidden/>
          </w:rPr>
          <w:t>8</w:t>
        </w:r>
        <w:r>
          <w:rPr>
            <w:noProof/>
            <w:webHidden/>
          </w:rPr>
          <w:fldChar w:fldCharType="end"/>
        </w:r>
      </w:hyperlink>
    </w:p>
    <w:p>
      <w:pPr>
        <w:pStyle w:val="Verzeichnis3"/>
        <w:tabs>
          <w:tab w:val="right" w:leader="dot" w:pos="9628"/>
        </w:tabs>
        <w:rPr>
          <w:rFonts w:asciiTheme="minorHAnsi" w:eastAsiaTheme="minorEastAsia" w:hAnsiTheme="minorHAnsi" w:cstheme="minorBidi"/>
          <w:i w:val="0"/>
          <w:iCs w:val="0"/>
          <w:noProof/>
          <w:sz w:val="22"/>
          <w:szCs w:val="22"/>
        </w:rPr>
      </w:pPr>
      <w:hyperlink w:anchor="_Toc174110507" w:history="1">
        <w:r>
          <w:rPr>
            <w:rStyle w:val="Hyperlink"/>
            <w:noProof/>
          </w:rPr>
          <w:t>§ 14 Prüfpflicht</w:t>
        </w:r>
        <w:r>
          <w:rPr>
            <w:noProof/>
            <w:webHidden/>
          </w:rPr>
          <w:tab/>
        </w:r>
        <w:r>
          <w:rPr>
            <w:noProof/>
            <w:webHidden/>
          </w:rPr>
          <w:fldChar w:fldCharType="begin"/>
        </w:r>
        <w:r>
          <w:rPr>
            <w:noProof/>
            <w:webHidden/>
          </w:rPr>
          <w:instrText xml:space="preserve"> PAGEREF _Toc174110507 \h </w:instrText>
        </w:r>
        <w:r>
          <w:rPr>
            <w:noProof/>
            <w:webHidden/>
          </w:rPr>
        </w:r>
        <w:r>
          <w:rPr>
            <w:noProof/>
            <w:webHidden/>
          </w:rPr>
          <w:fldChar w:fldCharType="separate"/>
        </w:r>
        <w:r>
          <w:rPr>
            <w:noProof/>
            <w:webHidden/>
          </w:rPr>
          <w:t>9</w:t>
        </w:r>
        <w:r>
          <w:rPr>
            <w:noProof/>
            <w:webHidden/>
          </w:rPr>
          <w:fldChar w:fldCharType="end"/>
        </w:r>
      </w:hyperlink>
    </w:p>
    <w:p>
      <w:pPr>
        <w:pStyle w:val="Verzeichnis2"/>
        <w:tabs>
          <w:tab w:val="right" w:leader="dot" w:pos="9628"/>
        </w:tabs>
        <w:rPr>
          <w:rFonts w:asciiTheme="minorHAnsi" w:eastAsiaTheme="minorEastAsia" w:hAnsiTheme="minorHAnsi" w:cstheme="minorBidi"/>
          <w:smallCaps w:val="0"/>
          <w:noProof/>
          <w:sz w:val="22"/>
          <w:szCs w:val="22"/>
        </w:rPr>
      </w:pPr>
      <w:hyperlink w:anchor="_Toc174110508" w:history="1">
        <w:r>
          <w:rPr>
            <w:rStyle w:val="Hyperlink"/>
            <w:noProof/>
          </w:rPr>
          <w:t>Zweiter Teil Regelungen für Arsen, Kadmium, Quecksilber, Nickel und Benzo(a)pyren</w:t>
        </w:r>
        <w:r>
          <w:rPr>
            <w:noProof/>
            <w:webHidden/>
          </w:rPr>
          <w:tab/>
        </w:r>
        <w:r>
          <w:rPr>
            <w:noProof/>
            <w:webHidden/>
          </w:rPr>
          <w:fldChar w:fldCharType="begin"/>
        </w:r>
        <w:r>
          <w:rPr>
            <w:noProof/>
            <w:webHidden/>
          </w:rPr>
          <w:instrText xml:space="preserve"> PAGEREF _Toc174110508 \h </w:instrText>
        </w:r>
        <w:r>
          <w:rPr>
            <w:noProof/>
            <w:webHidden/>
          </w:rPr>
        </w:r>
        <w:r>
          <w:rPr>
            <w:noProof/>
            <w:webHidden/>
          </w:rPr>
          <w:fldChar w:fldCharType="separate"/>
        </w:r>
        <w:r>
          <w:rPr>
            <w:noProof/>
            <w:webHidden/>
          </w:rPr>
          <w:t>9</w:t>
        </w:r>
        <w:r>
          <w:rPr>
            <w:noProof/>
            <w:webHidden/>
          </w:rPr>
          <w:fldChar w:fldCharType="end"/>
        </w:r>
      </w:hyperlink>
    </w:p>
    <w:p>
      <w:pPr>
        <w:pStyle w:val="Verzeichnis3"/>
        <w:tabs>
          <w:tab w:val="right" w:leader="dot" w:pos="9628"/>
        </w:tabs>
        <w:rPr>
          <w:rFonts w:asciiTheme="minorHAnsi" w:eastAsiaTheme="minorEastAsia" w:hAnsiTheme="minorHAnsi" w:cstheme="minorBidi"/>
          <w:i w:val="0"/>
          <w:iCs w:val="0"/>
          <w:noProof/>
          <w:sz w:val="22"/>
          <w:szCs w:val="22"/>
        </w:rPr>
      </w:pPr>
      <w:hyperlink w:anchor="_Toc174110509" w:history="1">
        <w:r>
          <w:rPr>
            <w:rStyle w:val="Hyperlink"/>
            <w:noProof/>
          </w:rPr>
          <w:t>§ 15 Zielwerte</w:t>
        </w:r>
        <w:r>
          <w:rPr>
            <w:noProof/>
            <w:webHidden/>
          </w:rPr>
          <w:tab/>
        </w:r>
        <w:r>
          <w:rPr>
            <w:noProof/>
            <w:webHidden/>
          </w:rPr>
          <w:fldChar w:fldCharType="begin"/>
        </w:r>
        <w:r>
          <w:rPr>
            <w:noProof/>
            <w:webHidden/>
          </w:rPr>
          <w:instrText xml:space="preserve"> PAGEREF _Toc174110509 \h </w:instrText>
        </w:r>
        <w:r>
          <w:rPr>
            <w:noProof/>
            <w:webHidden/>
          </w:rPr>
        </w:r>
        <w:r>
          <w:rPr>
            <w:noProof/>
            <w:webHidden/>
          </w:rPr>
          <w:fldChar w:fldCharType="separate"/>
        </w:r>
        <w:r>
          <w:rPr>
            <w:noProof/>
            <w:webHidden/>
          </w:rPr>
          <w:t>9</w:t>
        </w:r>
        <w:r>
          <w:rPr>
            <w:noProof/>
            <w:webHidden/>
          </w:rPr>
          <w:fldChar w:fldCharType="end"/>
        </w:r>
      </w:hyperlink>
    </w:p>
    <w:p>
      <w:pPr>
        <w:pStyle w:val="Verzeichnis3"/>
        <w:tabs>
          <w:tab w:val="right" w:leader="dot" w:pos="9628"/>
        </w:tabs>
        <w:rPr>
          <w:rFonts w:asciiTheme="minorHAnsi" w:eastAsiaTheme="minorEastAsia" w:hAnsiTheme="minorHAnsi" w:cstheme="minorBidi"/>
          <w:i w:val="0"/>
          <w:iCs w:val="0"/>
          <w:noProof/>
          <w:sz w:val="22"/>
          <w:szCs w:val="22"/>
        </w:rPr>
      </w:pPr>
      <w:hyperlink w:anchor="_Toc174110510" w:history="1">
        <w:r>
          <w:rPr>
            <w:rStyle w:val="Hyperlink"/>
            <w:noProof/>
          </w:rPr>
          <w:t>§ 16 Maßnahmen, Listen von Gebieten und Ballungsräumen</w:t>
        </w:r>
        <w:r>
          <w:rPr>
            <w:noProof/>
            <w:webHidden/>
          </w:rPr>
          <w:tab/>
        </w:r>
        <w:r>
          <w:rPr>
            <w:noProof/>
            <w:webHidden/>
          </w:rPr>
          <w:fldChar w:fldCharType="begin"/>
        </w:r>
        <w:r>
          <w:rPr>
            <w:noProof/>
            <w:webHidden/>
          </w:rPr>
          <w:instrText xml:space="preserve"> PAGEREF _Toc174110510 \h </w:instrText>
        </w:r>
        <w:r>
          <w:rPr>
            <w:noProof/>
            <w:webHidden/>
          </w:rPr>
        </w:r>
        <w:r>
          <w:rPr>
            <w:noProof/>
            <w:webHidden/>
          </w:rPr>
          <w:fldChar w:fldCharType="separate"/>
        </w:r>
        <w:r>
          <w:rPr>
            <w:noProof/>
            <w:webHidden/>
          </w:rPr>
          <w:t>10</w:t>
        </w:r>
        <w:r>
          <w:rPr>
            <w:noProof/>
            <w:webHidden/>
          </w:rPr>
          <w:fldChar w:fldCharType="end"/>
        </w:r>
      </w:hyperlink>
    </w:p>
    <w:p>
      <w:pPr>
        <w:pStyle w:val="Verzeichnis3"/>
        <w:tabs>
          <w:tab w:val="right" w:leader="dot" w:pos="9628"/>
        </w:tabs>
        <w:rPr>
          <w:rFonts w:asciiTheme="minorHAnsi" w:eastAsiaTheme="minorEastAsia" w:hAnsiTheme="minorHAnsi" w:cstheme="minorBidi"/>
          <w:i w:val="0"/>
          <w:iCs w:val="0"/>
          <w:noProof/>
          <w:sz w:val="22"/>
          <w:szCs w:val="22"/>
        </w:rPr>
      </w:pPr>
      <w:hyperlink w:anchor="_Toc174110511" w:history="1">
        <w:r>
          <w:rPr>
            <w:rStyle w:val="Hyperlink"/>
            <w:noProof/>
          </w:rPr>
          <w:t>§ 17 Beurteilung der Immissionskonzentrationen und der Ablagerungsraten</w:t>
        </w:r>
        <w:r>
          <w:rPr>
            <w:noProof/>
            <w:webHidden/>
          </w:rPr>
          <w:tab/>
        </w:r>
        <w:r>
          <w:rPr>
            <w:noProof/>
            <w:webHidden/>
          </w:rPr>
          <w:fldChar w:fldCharType="begin"/>
        </w:r>
        <w:r>
          <w:rPr>
            <w:noProof/>
            <w:webHidden/>
          </w:rPr>
          <w:instrText xml:space="preserve"> PAGEREF _Toc174110511 \h </w:instrText>
        </w:r>
        <w:r>
          <w:rPr>
            <w:noProof/>
            <w:webHidden/>
          </w:rPr>
        </w:r>
        <w:r>
          <w:rPr>
            <w:noProof/>
            <w:webHidden/>
          </w:rPr>
          <w:fldChar w:fldCharType="separate"/>
        </w:r>
        <w:r>
          <w:rPr>
            <w:noProof/>
            <w:webHidden/>
          </w:rPr>
          <w:t>10</w:t>
        </w:r>
        <w:r>
          <w:rPr>
            <w:noProof/>
            <w:webHidden/>
          </w:rPr>
          <w:fldChar w:fldCharType="end"/>
        </w:r>
      </w:hyperlink>
    </w:p>
    <w:p>
      <w:pPr>
        <w:pStyle w:val="Verzeichnis3"/>
        <w:tabs>
          <w:tab w:val="right" w:leader="dot" w:pos="9628"/>
        </w:tabs>
        <w:rPr>
          <w:rFonts w:asciiTheme="minorHAnsi" w:eastAsiaTheme="minorEastAsia" w:hAnsiTheme="minorHAnsi" w:cstheme="minorBidi"/>
          <w:i w:val="0"/>
          <w:iCs w:val="0"/>
          <w:noProof/>
          <w:sz w:val="22"/>
          <w:szCs w:val="22"/>
        </w:rPr>
      </w:pPr>
      <w:hyperlink w:anchor="_Toc174110512" w:history="1">
        <w:r>
          <w:rPr>
            <w:rStyle w:val="Hyperlink"/>
            <w:noProof/>
          </w:rPr>
          <w:t>§ 18 Berichterstattung über Daten, Zielwertüberschreitungen und Maßnahmen</w:t>
        </w:r>
        <w:r>
          <w:rPr>
            <w:noProof/>
            <w:webHidden/>
          </w:rPr>
          <w:tab/>
        </w:r>
        <w:r>
          <w:rPr>
            <w:noProof/>
            <w:webHidden/>
          </w:rPr>
          <w:fldChar w:fldCharType="begin"/>
        </w:r>
        <w:r>
          <w:rPr>
            <w:noProof/>
            <w:webHidden/>
          </w:rPr>
          <w:instrText xml:space="preserve"> PAGEREF _Toc174110512 \h </w:instrText>
        </w:r>
        <w:r>
          <w:rPr>
            <w:noProof/>
            <w:webHidden/>
          </w:rPr>
        </w:r>
        <w:r>
          <w:rPr>
            <w:noProof/>
            <w:webHidden/>
          </w:rPr>
          <w:fldChar w:fldCharType="separate"/>
        </w:r>
        <w:r>
          <w:rPr>
            <w:noProof/>
            <w:webHidden/>
          </w:rPr>
          <w:t>11</w:t>
        </w:r>
        <w:r>
          <w:rPr>
            <w:noProof/>
            <w:webHidden/>
          </w:rPr>
          <w:fldChar w:fldCharType="end"/>
        </w:r>
      </w:hyperlink>
    </w:p>
    <w:p>
      <w:pPr>
        <w:pStyle w:val="Verzeichnis3"/>
        <w:tabs>
          <w:tab w:val="right" w:leader="dot" w:pos="9628"/>
        </w:tabs>
        <w:rPr>
          <w:rFonts w:asciiTheme="minorHAnsi" w:eastAsiaTheme="minorEastAsia" w:hAnsiTheme="minorHAnsi" w:cstheme="minorBidi"/>
          <w:i w:val="0"/>
          <w:iCs w:val="0"/>
          <w:noProof/>
          <w:sz w:val="22"/>
          <w:szCs w:val="22"/>
        </w:rPr>
      </w:pPr>
      <w:hyperlink w:anchor="_Toc174110513" w:history="1">
        <w:r>
          <w:rPr>
            <w:rStyle w:val="Hyperlink"/>
            <w:noProof/>
          </w:rPr>
          <w:t>§ 19 Unterrichtung der Öffentlichkeit über Immissionskonzentrationen, Ablagerungen und Maßnahmen</w:t>
        </w:r>
        <w:r>
          <w:rPr>
            <w:noProof/>
            <w:webHidden/>
          </w:rPr>
          <w:tab/>
        </w:r>
        <w:r>
          <w:rPr>
            <w:noProof/>
            <w:webHidden/>
          </w:rPr>
          <w:fldChar w:fldCharType="begin"/>
        </w:r>
        <w:r>
          <w:rPr>
            <w:noProof/>
            <w:webHidden/>
          </w:rPr>
          <w:instrText xml:space="preserve"> PAGEREF _Toc174110513 \h </w:instrText>
        </w:r>
        <w:r>
          <w:rPr>
            <w:noProof/>
            <w:webHidden/>
          </w:rPr>
        </w:r>
        <w:r>
          <w:rPr>
            <w:noProof/>
            <w:webHidden/>
          </w:rPr>
          <w:fldChar w:fldCharType="separate"/>
        </w:r>
        <w:r>
          <w:rPr>
            <w:noProof/>
            <w:webHidden/>
          </w:rPr>
          <w:t>12</w:t>
        </w:r>
        <w:r>
          <w:rPr>
            <w:noProof/>
            <w:webHidden/>
          </w:rPr>
          <w:fldChar w:fldCharType="end"/>
        </w:r>
      </w:hyperlink>
    </w:p>
    <w:p>
      <w:pPr>
        <w:pStyle w:val="Verzeichnis2"/>
        <w:tabs>
          <w:tab w:val="right" w:leader="dot" w:pos="9628"/>
        </w:tabs>
        <w:rPr>
          <w:rFonts w:asciiTheme="minorHAnsi" w:eastAsiaTheme="minorEastAsia" w:hAnsiTheme="minorHAnsi" w:cstheme="minorBidi"/>
          <w:smallCaps w:val="0"/>
          <w:noProof/>
          <w:sz w:val="22"/>
          <w:szCs w:val="22"/>
        </w:rPr>
      </w:pPr>
      <w:hyperlink w:anchor="_Toc174110514" w:history="1">
        <w:r>
          <w:rPr>
            <w:rStyle w:val="Hyperlink"/>
            <w:noProof/>
          </w:rPr>
          <w:t>Dritter Teil Schlussvorschriften</w:t>
        </w:r>
        <w:r>
          <w:rPr>
            <w:noProof/>
            <w:webHidden/>
          </w:rPr>
          <w:tab/>
        </w:r>
        <w:r>
          <w:rPr>
            <w:noProof/>
            <w:webHidden/>
          </w:rPr>
          <w:fldChar w:fldCharType="begin"/>
        </w:r>
        <w:r>
          <w:rPr>
            <w:noProof/>
            <w:webHidden/>
          </w:rPr>
          <w:instrText xml:space="preserve"> PAGEREF _Toc174110514 \h </w:instrText>
        </w:r>
        <w:r>
          <w:rPr>
            <w:noProof/>
            <w:webHidden/>
          </w:rPr>
        </w:r>
        <w:r>
          <w:rPr>
            <w:noProof/>
            <w:webHidden/>
          </w:rPr>
          <w:fldChar w:fldCharType="separate"/>
        </w:r>
        <w:r>
          <w:rPr>
            <w:noProof/>
            <w:webHidden/>
          </w:rPr>
          <w:t>12</w:t>
        </w:r>
        <w:r>
          <w:rPr>
            <w:noProof/>
            <w:webHidden/>
          </w:rPr>
          <w:fldChar w:fldCharType="end"/>
        </w:r>
      </w:hyperlink>
    </w:p>
    <w:p>
      <w:pPr>
        <w:pStyle w:val="Verzeichnis3"/>
        <w:tabs>
          <w:tab w:val="right" w:leader="dot" w:pos="9628"/>
        </w:tabs>
        <w:rPr>
          <w:rFonts w:asciiTheme="minorHAnsi" w:eastAsiaTheme="minorEastAsia" w:hAnsiTheme="minorHAnsi" w:cstheme="minorBidi"/>
          <w:i w:val="0"/>
          <w:iCs w:val="0"/>
          <w:noProof/>
          <w:sz w:val="22"/>
          <w:szCs w:val="22"/>
        </w:rPr>
      </w:pPr>
      <w:hyperlink w:anchor="_Toc174110515" w:history="1">
        <w:r>
          <w:rPr>
            <w:rStyle w:val="Hyperlink"/>
            <w:noProof/>
          </w:rPr>
          <w:t>§ 20 Inkrafttreten, Außerkrafttreten</w:t>
        </w:r>
        <w:r>
          <w:rPr>
            <w:noProof/>
            <w:webHidden/>
          </w:rPr>
          <w:tab/>
        </w:r>
        <w:r>
          <w:rPr>
            <w:noProof/>
            <w:webHidden/>
          </w:rPr>
          <w:fldChar w:fldCharType="begin"/>
        </w:r>
        <w:r>
          <w:rPr>
            <w:noProof/>
            <w:webHidden/>
          </w:rPr>
          <w:instrText xml:space="preserve"> PAGEREF _Toc174110515 \h </w:instrText>
        </w:r>
        <w:r>
          <w:rPr>
            <w:noProof/>
            <w:webHidden/>
          </w:rPr>
        </w:r>
        <w:r>
          <w:rPr>
            <w:noProof/>
            <w:webHidden/>
          </w:rPr>
          <w:fldChar w:fldCharType="separate"/>
        </w:r>
        <w:r>
          <w:rPr>
            <w:noProof/>
            <w:webHidden/>
          </w:rPr>
          <w:t>12</w:t>
        </w:r>
        <w:r>
          <w:rPr>
            <w:noProof/>
            <w:webHidden/>
          </w:rPr>
          <w:fldChar w:fldCharType="end"/>
        </w:r>
      </w:hyperlink>
    </w:p>
    <w:p>
      <w:pPr>
        <w:pStyle w:val="Verzeichnis2"/>
        <w:tabs>
          <w:tab w:val="right" w:leader="dot" w:pos="9628"/>
        </w:tabs>
        <w:rPr>
          <w:rFonts w:asciiTheme="minorHAnsi" w:eastAsiaTheme="minorEastAsia" w:hAnsiTheme="minorHAnsi" w:cstheme="minorBidi"/>
          <w:smallCaps w:val="0"/>
          <w:noProof/>
          <w:sz w:val="22"/>
          <w:szCs w:val="22"/>
        </w:rPr>
      </w:pPr>
      <w:hyperlink w:anchor="_Toc174110516" w:history="1">
        <w:r>
          <w:rPr>
            <w:rStyle w:val="Hyperlink"/>
            <w:noProof/>
          </w:rPr>
          <w:t>Anlage 1 Ermittlung der Anforderungen für die Beurteilung der Konzentration von Schwefeldioxid, Stickstoffdioxid (NO</w:t>
        </w:r>
        <w:r>
          <w:rPr>
            <w:rStyle w:val="Hyperlink"/>
            <w:noProof/>
            <w:vertAlign w:val="subscript"/>
          </w:rPr>
          <w:t>2</w:t>
        </w:r>
        <w:r>
          <w:rPr>
            <w:rStyle w:val="Hyperlink"/>
            <w:noProof/>
          </w:rPr>
          <w:t>) und Stickstoffoxiden (NO</w:t>
        </w:r>
        <w:r>
          <w:rPr>
            <w:rStyle w:val="Hyperlink"/>
            <w:noProof/>
            <w:vertAlign w:val="subscript"/>
          </w:rPr>
          <w:t>x</w:t>
        </w:r>
        <w:r>
          <w:rPr>
            <w:rStyle w:val="Hyperlink"/>
            <w:noProof/>
          </w:rPr>
          <w:t>), Partikeln (PM</w:t>
        </w:r>
        <w:r>
          <w:rPr>
            <w:rStyle w:val="Hyperlink"/>
            <w:noProof/>
            <w:vertAlign w:val="subscript"/>
          </w:rPr>
          <w:t>10</w:t>
        </w:r>
        <w:r>
          <w:rPr>
            <w:rStyle w:val="Hyperlink"/>
            <w:noProof/>
          </w:rPr>
          <w:t>), Blei, Benzol und Kohlenmonoxid in der Luft innerhalb eines Gebiets oder Ballungsraums</w:t>
        </w:r>
        <w:r>
          <w:rPr>
            <w:noProof/>
            <w:webHidden/>
          </w:rPr>
          <w:tab/>
        </w:r>
        <w:r>
          <w:rPr>
            <w:noProof/>
            <w:webHidden/>
          </w:rPr>
          <w:fldChar w:fldCharType="begin"/>
        </w:r>
        <w:r>
          <w:rPr>
            <w:noProof/>
            <w:webHidden/>
          </w:rPr>
          <w:instrText xml:space="preserve"> PAGEREF _Toc174110516 \h </w:instrText>
        </w:r>
        <w:r>
          <w:rPr>
            <w:noProof/>
            <w:webHidden/>
          </w:rPr>
        </w:r>
        <w:r>
          <w:rPr>
            <w:noProof/>
            <w:webHidden/>
          </w:rPr>
          <w:fldChar w:fldCharType="separate"/>
        </w:r>
        <w:r>
          <w:rPr>
            <w:noProof/>
            <w:webHidden/>
          </w:rPr>
          <w:t>13</w:t>
        </w:r>
        <w:r>
          <w:rPr>
            <w:noProof/>
            <w:webHidden/>
          </w:rPr>
          <w:fldChar w:fldCharType="end"/>
        </w:r>
      </w:hyperlink>
    </w:p>
    <w:p>
      <w:pPr>
        <w:pStyle w:val="Verzeichnis2"/>
        <w:tabs>
          <w:tab w:val="right" w:leader="dot" w:pos="9628"/>
        </w:tabs>
        <w:rPr>
          <w:rFonts w:asciiTheme="minorHAnsi" w:eastAsiaTheme="minorEastAsia" w:hAnsiTheme="minorHAnsi" w:cstheme="minorBidi"/>
          <w:smallCaps w:val="0"/>
          <w:noProof/>
          <w:sz w:val="22"/>
          <w:szCs w:val="22"/>
        </w:rPr>
      </w:pPr>
      <w:hyperlink w:anchor="_Toc174110517" w:history="1">
        <w:r>
          <w:rPr>
            <w:rStyle w:val="Hyperlink"/>
            <w:bCs/>
            <w:noProof/>
          </w:rPr>
          <w:t>Anlage 2</w:t>
        </w:r>
        <w:r>
          <w:rPr>
            <w:rStyle w:val="Hyperlink"/>
            <w:noProof/>
          </w:rPr>
          <w:t xml:space="preserve">  Lage der Probenahmestellen für Messungen von Schwefeldioxid, Stickstoffdioxid und Stickstoffoxiden, Partikeln, Blei, Benzol und Kohlenmonoxid in der Luft</w:t>
        </w:r>
        <w:r>
          <w:rPr>
            <w:noProof/>
            <w:webHidden/>
          </w:rPr>
          <w:tab/>
        </w:r>
        <w:r>
          <w:rPr>
            <w:noProof/>
            <w:webHidden/>
          </w:rPr>
          <w:fldChar w:fldCharType="begin"/>
        </w:r>
        <w:r>
          <w:rPr>
            <w:noProof/>
            <w:webHidden/>
          </w:rPr>
          <w:instrText xml:space="preserve"> PAGEREF _Toc174110517 \h </w:instrText>
        </w:r>
        <w:r>
          <w:rPr>
            <w:noProof/>
            <w:webHidden/>
          </w:rPr>
        </w:r>
        <w:r>
          <w:rPr>
            <w:noProof/>
            <w:webHidden/>
          </w:rPr>
          <w:fldChar w:fldCharType="separate"/>
        </w:r>
        <w:r>
          <w:rPr>
            <w:noProof/>
            <w:webHidden/>
          </w:rPr>
          <w:t>14</w:t>
        </w:r>
        <w:r>
          <w:rPr>
            <w:noProof/>
            <w:webHidden/>
          </w:rPr>
          <w:fldChar w:fldCharType="end"/>
        </w:r>
      </w:hyperlink>
    </w:p>
    <w:p>
      <w:pPr>
        <w:pStyle w:val="Verzeichnis2"/>
        <w:tabs>
          <w:tab w:val="right" w:leader="dot" w:pos="9628"/>
        </w:tabs>
        <w:rPr>
          <w:rFonts w:asciiTheme="minorHAnsi" w:eastAsiaTheme="minorEastAsia" w:hAnsiTheme="minorHAnsi" w:cstheme="minorBidi"/>
          <w:smallCaps w:val="0"/>
          <w:noProof/>
          <w:sz w:val="22"/>
          <w:szCs w:val="22"/>
        </w:rPr>
      </w:pPr>
      <w:hyperlink w:anchor="_Toc174110518" w:history="1">
        <w:r>
          <w:rPr>
            <w:rStyle w:val="Hyperlink"/>
            <w:rFonts w:cs="Arial"/>
            <w:noProof/>
          </w:rPr>
          <w:t>Anlage 3</w:t>
        </w:r>
        <w:r>
          <w:rPr>
            <w:rStyle w:val="Hyperlink"/>
            <w:rFonts w:ascii="HelveticaNeue-Bold" w:hAnsi="HelveticaNeue-Bold"/>
            <w:bCs/>
            <w:noProof/>
          </w:rPr>
          <w:t xml:space="preserve"> </w:t>
        </w:r>
        <w:r>
          <w:rPr>
            <w:rStyle w:val="Hyperlink"/>
            <w:noProof/>
          </w:rPr>
          <w:t>Kriterien für die Festlegung der Mindestzahl der Probenahmestellen für ortsfeste Messungen von Schwefeldioxid (SO</w:t>
        </w:r>
        <w:r>
          <w:rPr>
            <w:rStyle w:val="Hyperlink"/>
            <w:noProof/>
            <w:vertAlign w:val="subscript"/>
          </w:rPr>
          <w:t>2</w:t>
        </w:r>
        <w:r>
          <w:rPr>
            <w:rStyle w:val="Hyperlink"/>
            <w:noProof/>
          </w:rPr>
          <w:t>), Stickstoffdioxid (NO</w:t>
        </w:r>
        <w:r>
          <w:rPr>
            <w:rStyle w:val="Hyperlink"/>
            <w:noProof/>
            <w:vertAlign w:val="subscript"/>
          </w:rPr>
          <w:t>2</w:t>
        </w:r>
        <w:r>
          <w:rPr>
            <w:rStyle w:val="Hyperlink"/>
            <w:noProof/>
          </w:rPr>
          <w:t>) und Stickstoffoxiden (NO</w:t>
        </w:r>
        <w:r>
          <w:rPr>
            <w:rStyle w:val="Hyperlink"/>
            <w:noProof/>
            <w:vertAlign w:val="subscript"/>
          </w:rPr>
          <w:t>x</w:t>
        </w:r>
        <w:r>
          <w:rPr>
            <w:rStyle w:val="Hyperlink"/>
            <w:noProof/>
          </w:rPr>
          <w:t>), Partikeln, Blei, Benzol und Kohlenmonoxid in der Luft</w:t>
        </w:r>
        <w:r>
          <w:rPr>
            <w:noProof/>
            <w:webHidden/>
          </w:rPr>
          <w:tab/>
        </w:r>
        <w:r>
          <w:rPr>
            <w:noProof/>
            <w:webHidden/>
          </w:rPr>
          <w:fldChar w:fldCharType="begin"/>
        </w:r>
        <w:r>
          <w:rPr>
            <w:noProof/>
            <w:webHidden/>
          </w:rPr>
          <w:instrText xml:space="preserve"> PAGEREF _Toc174110518 \h </w:instrText>
        </w:r>
        <w:r>
          <w:rPr>
            <w:noProof/>
            <w:webHidden/>
          </w:rPr>
        </w:r>
        <w:r>
          <w:rPr>
            <w:noProof/>
            <w:webHidden/>
          </w:rPr>
          <w:fldChar w:fldCharType="separate"/>
        </w:r>
        <w:r>
          <w:rPr>
            <w:noProof/>
            <w:webHidden/>
          </w:rPr>
          <w:t>15</w:t>
        </w:r>
        <w:r>
          <w:rPr>
            <w:noProof/>
            <w:webHidden/>
          </w:rPr>
          <w:fldChar w:fldCharType="end"/>
        </w:r>
      </w:hyperlink>
    </w:p>
    <w:p>
      <w:pPr>
        <w:pStyle w:val="Verzeichnis2"/>
        <w:tabs>
          <w:tab w:val="right" w:leader="dot" w:pos="9628"/>
        </w:tabs>
        <w:rPr>
          <w:rFonts w:asciiTheme="minorHAnsi" w:eastAsiaTheme="minorEastAsia" w:hAnsiTheme="minorHAnsi" w:cstheme="minorBidi"/>
          <w:smallCaps w:val="0"/>
          <w:noProof/>
          <w:sz w:val="22"/>
          <w:szCs w:val="22"/>
        </w:rPr>
      </w:pPr>
      <w:hyperlink w:anchor="_Toc174110519" w:history="1">
        <w:r>
          <w:rPr>
            <w:rStyle w:val="Hyperlink"/>
            <w:rFonts w:cs="Arial"/>
            <w:noProof/>
          </w:rPr>
          <w:t>Anlage 4</w:t>
        </w:r>
        <w:r>
          <w:rPr>
            <w:rStyle w:val="Hyperlink"/>
            <w:rFonts w:ascii="HelveticaNeue-Bold" w:hAnsi="HelveticaNeue-Bold"/>
            <w:bCs/>
            <w:noProof/>
          </w:rPr>
          <w:t xml:space="preserve"> </w:t>
        </w:r>
        <w:r>
          <w:rPr>
            <w:rStyle w:val="Hyperlink"/>
            <w:noProof/>
          </w:rPr>
          <w:t>Datenqualitätsziele und Zusammenstellung der Ergebnisse der Luftqualitätsbeurteilung</w:t>
        </w:r>
        <w:r>
          <w:rPr>
            <w:noProof/>
            <w:webHidden/>
          </w:rPr>
          <w:tab/>
        </w:r>
        <w:r>
          <w:rPr>
            <w:noProof/>
            <w:webHidden/>
          </w:rPr>
          <w:fldChar w:fldCharType="begin"/>
        </w:r>
        <w:r>
          <w:rPr>
            <w:noProof/>
            <w:webHidden/>
          </w:rPr>
          <w:instrText xml:space="preserve"> PAGEREF _Toc174110519 \h </w:instrText>
        </w:r>
        <w:r>
          <w:rPr>
            <w:noProof/>
            <w:webHidden/>
          </w:rPr>
        </w:r>
        <w:r>
          <w:rPr>
            <w:noProof/>
            <w:webHidden/>
          </w:rPr>
          <w:fldChar w:fldCharType="separate"/>
        </w:r>
        <w:r>
          <w:rPr>
            <w:noProof/>
            <w:webHidden/>
          </w:rPr>
          <w:t>17</w:t>
        </w:r>
        <w:r>
          <w:rPr>
            <w:noProof/>
            <w:webHidden/>
          </w:rPr>
          <w:fldChar w:fldCharType="end"/>
        </w:r>
      </w:hyperlink>
    </w:p>
    <w:p>
      <w:pPr>
        <w:pStyle w:val="Verzeichnis2"/>
        <w:tabs>
          <w:tab w:val="right" w:leader="dot" w:pos="9628"/>
        </w:tabs>
        <w:rPr>
          <w:rFonts w:asciiTheme="minorHAnsi" w:eastAsiaTheme="minorEastAsia" w:hAnsiTheme="minorHAnsi" w:cstheme="minorBidi"/>
          <w:smallCaps w:val="0"/>
          <w:noProof/>
          <w:sz w:val="22"/>
          <w:szCs w:val="22"/>
        </w:rPr>
      </w:pPr>
      <w:hyperlink w:anchor="_Toc174110520" w:history="1">
        <w:r>
          <w:rPr>
            <w:rStyle w:val="Hyperlink"/>
            <w:rFonts w:cs="Arial"/>
            <w:noProof/>
          </w:rPr>
          <w:t>Anlage 5</w:t>
        </w:r>
        <w:r>
          <w:rPr>
            <w:rStyle w:val="Hyperlink"/>
            <w:rFonts w:ascii="HelveticaNeue-Bold" w:hAnsi="HelveticaNeue-Bold"/>
            <w:bCs/>
            <w:noProof/>
          </w:rPr>
          <w:t xml:space="preserve"> </w:t>
        </w:r>
        <w:r>
          <w:rPr>
            <w:rStyle w:val="Hyperlink"/>
            <w:noProof/>
          </w:rPr>
          <w:t>Referenzmethoden für die Beurteilung der Konzentration von Schwefeldioxid, Stickstoffdioxid und Stickstoffoxiden, Partikeln (PM10 und PM2,5), Blei, Benzol und Kohlenmonoxid</w:t>
        </w:r>
        <w:r>
          <w:rPr>
            <w:noProof/>
            <w:webHidden/>
          </w:rPr>
          <w:tab/>
        </w:r>
        <w:r>
          <w:rPr>
            <w:noProof/>
            <w:webHidden/>
          </w:rPr>
          <w:fldChar w:fldCharType="begin"/>
        </w:r>
        <w:r>
          <w:rPr>
            <w:noProof/>
            <w:webHidden/>
          </w:rPr>
          <w:instrText xml:space="preserve"> PAGEREF _Toc174110520 \h </w:instrText>
        </w:r>
        <w:r>
          <w:rPr>
            <w:noProof/>
            <w:webHidden/>
          </w:rPr>
        </w:r>
        <w:r>
          <w:rPr>
            <w:noProof/>
            <w:webHidden/>
          </w:rPr>
          <w:fldChar w:fldCharType="separate"/>
        </w:r>
        <w:r>
          <w:rPr>
            <w:noProof/>
            <w:webHidden/>
          </w:rPr>
          <w:t>18</w:t>
        </w:r>
        <w:r>
          <w:rPr>
            <w:noProof/>
            <w:webHidden/>
          </w:rPr>
          <w:fldChar w:fldCharType="end"/>
        </w:r>
      </w:hyperlink>
    </w:p>
    <w:p>
      <w:pPr>
        <w:pStyle w:val="Verzeichnis2"/>
        <w:tabs>
          <w:tab w:val="right" w:leader="dot" w:pos="9628"/>
        </w:tabs>
        <w:rPr>
          <w:rFonts w:asciiTheme="minorHAnsi" w:eastAsiaTheme="minorEastAsia" w:hAnsiTheme="minorHAnsi" w:cstheme="minorBidi"/>
          <w:smallCaps w:val="0"/>
          <w:noProof/>
          <w:sz w:val="22"/>
          <w:szCs w:val="22"/>
        </w:rPr>
      </w:pPr>
      <w:hyperlink w:anchor="_Toc174110521" w:history="1">
        <w:r>
          <w:rPr>
            <w:rStyle w:val="Hyperlink"/>
            <w:noProof/>
          </w:rPr>
          <w:t>Anlage 6 In Plänen zur Verbesserung der Luftqualität zu berücksichtigende Informationen</w:t>
        </w:r>
        <w:r>
          <w:rPr>
            <w:noProof/>
            <w:webHidden/>
          </w:rPr>
          <w:tab/>
        </w:r>
        <w:r>
          <w:rPr>
            <w:noProof/>
            <w:webHidden/>
          </w:rPr>
          <w:fldChar w:fldCharType="begin"/>
        </w:r>
        <w:r>
          <w:rPr>
            <w:noProof/>
            <w:webHidden/>
          </w:rPr>
          <w:instrText xml:space="preserve"> PAGEREF _Toc174110521 \h </w:instrText>
        </w:r>
        <w:r>
          <w:rPr>
            <w:noProof/>
            <w:webHidden/>
          </w:rPr>
        </w:r>
        <w:r>
          <w:rPr>
            <w:noProof/>
            <w:webHidden/>
          </w:rPr>
          <w:fldChar w:fldCharType="separate"/>
        </w:r>
        <w:r>
          <w:rPr>
            <w:noProof/>
            <w:webHidden/>
          </w:rPr>
          <w:t>20</w:t>
        </w:r>
        <w:r>
          <w:rPr>
            <w:noProof/>
            <w:webHidden/>
          </w:rPr>
          <w:fldChar w:fldCharType="end"/>
        </w:r>
      </w:hyperlink>
    </w:p>
    <w:p>
      <w:pPr>
        <w:pStyle w:val="Verzeichnis2"/>
        <w:tabs>
          <w:tab w:val="right" w:leader="dot" w:pos="9628"/>
        </w:tabs>
        <w:rPr>
          <w:rFonts w:asciiTheme="minorHAnsi" w:eastAsiaTheme="minorEastAsia" w:hAnsiTheme="minorHAnsi" w:cstheme="minorBidi"/>
          <w:smallCaps w:val="0"/>
          <w:noProof/>
          <w:sz w:val="22"/>
          <w:szCs w:val="22"/>
        </w:rPr>
      </w:pPr>
      <w:hyperlink w:anchor="_Toc174110522" w:history="1">
        <w:r>
          <w:rPr>
            <w:rStyle w:val="Hyperlink"/>
            <w:noProof/>
          </w:rPr>
          <w:t>Anlage 7 Mindestinformation der Öffentlichkeit bei Überschreiten der Alarmschwellen für Schwefeldioxid und Stickstoffdioxid</w:t>
        </w:r>
        <w:r>
          <w:rPr>
            <w:noProof/>
            <w:webHidden/>
          </w:rPr>
          <w:tab/>
        </w:r>
        <w:r>
          <w:rPr>
            <w:noProof/>
            <w:webHidden/>
          </w:rPr>
          <w:fldChar w:fldCharType="begin"/>
        </w:r>
        <w:r>
          <w:rPr>
            <w:noProof/>
            <w:webHidden/>
          </w:rPr>
          <w:instrText xml:space="preserve"> PAGEREF _Toc174110522 \h </w:instrText>
        </w:r>
        <w:r>
          <w:rPr>
            <w:noProof/>
            <w:webHidden/>
          </w:rPr>
        </w:r>
        <w:r>
          <w:rPr>
            <w:noProof/>
            <w:webHidden/>
          </w:rPr>
          <w:fldChar w:fldCharType="separate"/>
        </w:r>
        <w:r>
          <w:rPr>
            <w:noProof/>
            <w:webHidden/>
          </w:rPr>
          <w:t>21</w:t>
        </w:r>
        <w:r>
          <w:rPr>
            <w:noProof/>
            <w:webHidden/>
          </w:rPr>
          <w:fldChar w:fldCharType="end"/>
        </w:r>
      </w:hyperlink>
    </w:p>
    <w:p>
      <w:pPr>
        <w:pStyle w:val="Verzeichnis2"/>
        <w:tabs>
          <w:tab w:val="right" w:leader="dot" w:pos="9628"/>
        </w:tabs>
        <w:rPr>
          <w:rFonts w:asciiTheme="minorHAnsi" w:eastAsiaTheme="minorEastAsia" w:hAnsiTheme="minorHAnsi" w:cstheme="minorBidi"/>
          <w:smallCaps w:val="0"/>
          <w:noProof/>
          <w:sz w:val="22"/>
          <w:szCs w:val="22"/>
        </w:rPr>
      </w:pPr>
      <w:hyperlink w:anchor="_Toc174110523" w:history="1">
        <w:r>
          <w:rPr>
            <w:rStyle w:val="Hyperlink"/>
            <w:noProof/>
          </w:rPr>
          <w:t>Anlage 8 Festlegung der Anforderungen an die Beurteilung der Immissionskonzentrationen von Arsen, Kadmium, Nickel und Benzo(a)pyren innerhalb eines Gebiets oder Ballungsraums</w:t>
        </w:r>
        <w:r>
          <w:rPr>
            <w:noProof/>
            <w:webHidden/>
          </w:rPr>
          <w:tab/>
        </w:r>
        <w:r>
          <w:rPr>
            <w:noProof/>
            <w:webHidden/>
          </w:rPr>
          <w:fldChar w:fldCharType="begin"/>
        </w:r>
        <w:r>
          <w:rPr>
            <w:noProof/>
            <w:webHidden/>
          </w:rPr>
          <w:instrText xml:space="preserve"> PAGEREF _Toc174110523 \h </w:instrText>
        </w:r>
        <w:r>
          <w:rPr>
            <w:noProof/>
            <w:webHidden/>
          </w:rPr>
        </w:r>
        <w:r>
          <w:rPr>
            <w:noProof/>
            <w:webHidden/>
          </w:rPr>
          <w:fldChar w:fldCharType="separate"/>
        </w:r>
        <w:r>
          <w:rPr>
            <w:noProof/>
            <w:webHidden/>
          </w:rPr>
          <w:t>21</w:t>
        </w:r>
        <w:r>
          <w:rPr>
            <w:noProof/>
            <w:webHidden/>
          </w:rPr>
          <w:fldChar w:fldCharType="end"/>
        </w:r>
      </w:hyperlink>
    </w:p>
    <w:p>
      <w:pPr>
        <w:pStyle w:val="Verzeichnis2"/>
        <w:tabs>
          <w:tab w:val="right" w:leader="dot" w:pos="9628"/>
        </w:tabs>
        <w:rPr>
          <w:rFonts w:asciiTheme="minorHAnsi" w:eastAsiaTheme="minorEastAsia" w:hAnsiTheme="minorHAnsi" w:cstheme="minorBidi"/>
          <w:smallCaps w:val="0"/>
          <w:noProof/>
          <w:sz w:val="22"/>
          <w:szCs w:val="22"/>
        </w:rPr>
      </w:pPr>
      <w:hyperlink w:anchor="_Toc174110524" w:history="1">
        <w:r>
          <w:rPr>
            <w:rStyle w:val="Hyperlink"/>
            <w:noProof/>
          </w:rPr>
          <w:t>Anlage 9 Standort und Mindestanzahl der Probenahmestellen für die Messung der Immissionskonzentrationen und der Ablagerungsraten von Arsen, Kadmium, Nickel und Benzo(a)pyren</w:t>
        </w:r>
        <w:r>
          <w:rPr>
            <w:noProof/>
            <w:webHidden/>
          </w:rPr>
          <w:tab/>
        </w:r>
        <w:r>
          <w:rPr>
            <w:noProof/>
            <w:webHidden/>
          </w:rPr>
          <w:fldChar w:fldCharType="begin"/>
        </w:r>
        <w:r>
          <w:rPr>
            <w:noProof/>
            <w:webHidden/>
          </w:rPr>
          <w:instrText xml:space="preserve"> PAGEREF _Toc174110524 \h </w:instrText>
        </w:r>
        <w:r>
          <w:rPr>
            <w:noProof/>
            <w:webHidden/>
          </w:rPr>
        </w:r>
        <w:r>
          <w:rPr>
            <w:noProof/>
            <w:webHidden/>
          </w:rPr>
          <w:fldChar w:fldCharType="separate"/>
        </w:r>
        <w:r>
          <w:rPr>
            <w:noProof/>
            <w:webHidden/>
          </w:rPr>
          <w:t>21</w:t>
        </w:r>
        <w:r>
          <w:rPr>
            <w:noProof/>
            <w:webHidden/>
          </w:rPr>
          <w:fldChar w:fldCharType="end"/>
        </w:r>
      </w:hyperlink>
    </w:p>
    <w:p>
      <w:pPr>
        <w:pStyle w:val="Verzeichnis2"/>
        <w:tabs>
          <w:tab w:val="right" w:leader="dot" w:pos="9628"/>
        </w:tabs>
        <w:rPr>
          <w:rFonts w:asciiTheme="minorHAnsi" w:eastAsiaTheme="minorEastAsia" w:hAnsiTheme="minorHAnsi" w:cstheme="minorBidi"/>
          <w:smallCaps w:val="0"/>
          <w:noProof/>
          <w:sz w:val="22"/>
          <w:szCs w:val="22"/>
        </w:rPr>
      </w:pPr>
      <w:hyperlink w:anchor="_Toc174110525" w:history="1">
        <w:r>
          <w:rPr>
            <w:rStyle w:val="Hyperlink"/>
            <w:noProof/>
          </w:rPr>
          <w:t>Anlage 10 Datenqualitätsziele und Anforderungen an Modelle zur Bestimmung der Luftqualität von Arsen, Kadmium, Nickel und Benzo(a)pyren</w:t>
        </w:r>
        <w:r>
          <w:rPr>
            <w:noProof/>
            <w:webHidden/>
          </w:rPr>
          <w:tab/>
        </w:r>
        <w:r>
          <w:rPr>
            <w:noProof/>
            <w:webHidden/>
          </w:rPr>
          <w:fldChar w:fldCharType="begin"/>
        </w:r>
        <w:r>
          <w:rPr>
            <w:noProof/>
            <w:webHidden/>
          </w:rPr>
          <w:instrText xml:space="preserve"> PAGEREF _Toc174110525 \h </w:instrText>
        </w:r>
        <w:r>
          <w:rPr>
            <w:noProof/>
            <w:webHidden/>
          </w:rPr>
        </w:r>
        <w:r>
          <w:rPr>
            <w:noProof/>
            <w:webHidden/>
          </w:rPr>
          <w:fldChar w:fldCharType="separate"/>
        </w:r>
        <w:r>
          <w:rPr>
            <w:noProof/>
            <w:webHidden/>
          </w:rPr>
          <w:t>24</w:t>
        </w:r>
        <w:r>
          <w:rPr>
            <w:noProof/>
            <w:webHidden/>
          </w:rPr>
          <w:fldChar w:fldCharType="end"/>
        </w:r>
      </w:hyperlink>
    </w:p>
    <w:p>
      <w:pPr>
        <w:pStyle w:val="Verzeichnis2"/>
        <w:tabs>
          <w:tab w:val="right" w:leader="dot" w:pos="9628"/>
        </w:tabs>
        <w:rPr>
          <w:rFonts w:asciiTheme="minorHAnsi" w:eastAsiaTheme="minorEastAsia" w:hAnsiTheme="minorHAnsi" w:cstheme="minorBidi"/>
          <w:smallCaps w:val="0"/>
          <w:noProof/>
          <w:sz w:val="22"/>
          <w:szCs w:val="22"/>
        </w:rPr>
      </w:pPr>
      <w:hyperlink w:anchor="_Toc174110526" w:history="1">
        <w:r>
          <w:rPr>
            <w:rStyle w:val="Hyperlink"/>
            <w:noProof/>
          </w:rPr>
          <w:t>Anlage 11 Referenzmethoden für die Beurteilung der Immissionskonzentrationen und der Ablagerungsraten von Arsen, Kadmium, Nickel, Quecksilber und polyzyklischen aromatischen Kohlenwasserstoffen</w:t>
        </w:r>
        <w:r>
          <w:rPr>
            <w:noProof/>
            <w:webHidden/>
          </w:rPr>
          <w:tab/>
        </w:r>
        <w:r>
          <w:rPr>
            <w:noProof/>
            <w:webHidden/>
          </w:rPr>
          <w:fldChar w:fldCharType="begin"/>
        </w:r>
        <w:r>
          <w:rPr>
            <w:noProof/>
            <w:webHidden/>
          </w:rPr>
          <w:instrText xml:space="preserve"> PAGEREF _Toc174110526 \h </w:instrText>
        </w:r>
        <w:r>
          <w:rPr>
            <w:noProof/>
            <w:webHidden/>
          </w:rPr>
        </w:r>
        <w:r>
          <w:rPr>
            <w:noProof/>
            <w:webHidden/>
          </w:rPr>
          <w:fldChar w:fldCharType="separate"/>
        </w:r>
        <w:r>
          <w:rPr>
            <w:noProof/>
            <w:webHidden/>
          </w:rPr>
          <w:t>25</w:t>
        </w:r>
        <w:r>
          <w:rPr>
            <w:noProof/>
            <w:webHidden/>
          </w:rPr>
          <w:fldChar w:fldCharType="end"/>
        </w:r>
      </w:hyperlink>
    </w:p>
    <w:p>
      <w:pPr>
        <w:pStyle w:val="GesAbsatz"/>
        <w:jc w:val="center"/>
        <w:rPr>
          <w:sz w:val="22"/>
        </w:rPr>
      </w:pPr>
      <w:r>
        <w:rPr>
          <w:rFonts w:ascii="Times New Roman" w:hAnsi="Times New Roman"/>
          <w:color w:val="auto"/>
          <w:sz w:val="22"/>
        </w:rPr>
        <w:fldChar w:fldCharType="end"/>
      </w:r>
    </w:p>
    <w:p>
      <w:pPr>
        <w:pStyle w:val="GesAbsatz"/>
        <w:rPr>
          <w:rFonts w:cs="Arial"/>
          <w:szCs w:val="18"/>
        </w:rPr>
      </w:pPr>
      <w:r>
        <w:rPr>
          <w:rFonts w:cs="Arial"/>
          <w:szCs w:val="18"/>
        </w:rPr>
        <w:t>Auf Grund des § 48a Abs. 1 und 3 des Bundes-Immissionsschutzgesetzes in der Fassung der Bekanntm</w:t>
      </w:r>
      <w:r>
        <w:rPr>
          <w:rFonts w:cs="Arial"/>
          <w:szCs w:val="18"/>
        </w:rPr>
        <w:t>a</w:t>
      </w:r>
      <w:r>
        <w:rPr>
          <w:rFonts w:cs="Arial"/>
          <w:szCs w:val="18"/>
        </w:rPr>
        <w:t>chung vom 14. Mai 1990 (BGBl. I S. 880), von denen Abs. 3 durch Artikel 1 Nummer 6 des Gesetzes vom 19. Oktober 1998 (BGBl. I S. 3178) eingefügt worden ist, verordnet die Bundesregierung mit Zustimmung des Deutschen Bundestages:</w:t>
      </w:r>
    </w:p>
    <w:p>
      <w:pPr>
        <w:pStyle w:val="berschrift3"/>
      </w:pPr>
      <w:bookmarkStart w:id="5" w:name="_Toc174110493"/>
      <w:r>
        <w:rPr>
          <w:rFonts w:cs="Arial"/>
        </w:rPr>
        <w:t>§ 1</w:t>
      </w:r>
      <w:r>
        <w:rPr>
          <w:rFonts w:cs="Arial"/>
        </w:rPr>
        <w:br/>
      </w:r>
      <w:r>
        <w:t>Begriffsbestimmungen</w:t>
      </w:r>
      <w:bookmarkEnd w:id="5"/>
    </w:p>
    <w:p>
      <w:pPr>
        <w:pStyle w:val="GesAbsatz"/>
      </w:pPr>
      <w:r>
        <w:t>Im Sinne dieser Verordnung bedeuten</w:t>
      </w:r>
    </w:p>
    <w:p>
      <w:pPr>
        <w:pStyle w:val="GesAbsatz"/>
        <w:ind w:left="426" w:hanging="426"/>
      </w:pPr>
      <w:r>
        <w:t>1.</w:t>
      </w:r>
      <w:r>
        <w:tab/>
        <w:t>„Wert“ die Konzentration eines Schadstoffes in der Luft;</w:t>
      </w:r>
    </w:p>
    <w:p>
      <w:pPr>
        <w:pStyle w:val="GesAbsatz"/>
        <w:ind w:left="426" w:hanging="426"/>
      </w:pPr>
      <w:r>
        <w:t>2.</w:t>
      </w:r>
      <w:r>
        <w:tab/>
        <w:t>„Beurteilung“ die Ermittlung und Bewertung der Luftqualität durch Messung, Berechnung, Vorhersage oder Schätzung anhand der Methoden und Kriterien, die in dieser Verordnung genannt sind;</w:t>
      </w:r>
    </w:p>
    <w:p>
      <w:pPr>
        <w:pStyle w:val="GesAbsatz"/>
        <w:ind w:left="426" w:hanging="426"/>
      </w:pPr>
      <w:r>
        <w:t>3.</w:t>
      </w:r>
      <w:r>
        <w:tab/>
        <w:t>„Immissionsgrenzwert“ einen Wert für einen bestimmten Schadstoff, der nach den Regelungen der §§ 2 bis 7 bis zu dem dort genannten Zeitpunkt einzuhalten ist und danach nicht überschritten werden darf;</w:t>
      </w:r>
    </w:p>
    <w:p>
      <w:pPr>
        <w:pStyle w:val="GesAbsatz"/>
        <w:ind w:left="426" w:hanging="426"/>
      </w:pPr>
      <w:r>
        <w:t>4.</w:t>
      </w:r>
      <w:r>
        <w:tab/>
        <w:t>„Alarmschwelle“ einen Wert, bei dessen Überschreitung bereits bei kurzfristiger Exposition eine Gefahr für die menschliche Gesundheit besteht;</w:t>
      </w:r>
    </w:p>
    <w:p>
      <w:pPr>
        <w:pStyle w:val="GesAbsatz"/>
        <w:ind w:left="426" w:hanging="426"/>
      </w:pPr>
      <w:r>
        <w:t>5.</w:t>
      </w:r>
      <w:r>
        <w:tab/>
        <w:t>„Toleranzmarge“ einen in jährlichen Stufen abnehmenden Wert, um den der Immissionsgrenzwert i</w:t>
      </w:r>
      <w:r>
        <w:t>n</w:t>
      </w:r>
      <w:r>
        <w:t>nerhalb der in den §§ 3, 5 und 6 festgesetzten Fristen überschritten werden darf, ohne die Erstellung von Luftreinhalteplänen zu bedingen;</w:t>
      </w:r>
    </w:p>
    <w:p>
      <w:pPr>
        <w:pStyle w:val="GesAbsatz"/>
        <w:ind w:left="426" w:hanging="426"/>
      </w:pPr>
      <w:r>
        <w:t>6.</w:t>
      </w:r>
      <w:r>
        <w:tab/>
        <w:t>„Gebiet“ ein von den zuständigen Behörden festgelegter Teil der Fläche eines Landes im Sinne des § 9 Abs. 2 dieser Verordnung;</w:t>
      </w:r>
    </w:p>
    <w:p>
      <w:pPr>
        <w:pStyle w:val="GesAbsatz"/>
        <w:ind w:left="426" w:hanging="426"/>
      </w:pPr>
      <w:r>
        <w:t>7.</w:t>
      </w:r>
      <w:r>
        <w:tab/>
        <w:t>„Ballungsraum“ ein Gebiet mit mindestens 250 000 Einwohnern, das aus einer oder mehreren Gemei</w:t>
      </w:r>
      <w:r>
        <w:t>n</w:t>
      </w:r>
      <w:r>
        <w:t>den besteht oder ein Gebiet, das aus einer oder mehreren Gemeinden besteht, welche jeweils eine Ei</w:t>
      </w:r>
      <w:r>
        <w:t>n</w:t>
      </w:r>
      <w:r>
        <w:t>wohnerdichte von 1 000 Einwohnern oder mehr je Quadratkilometer bezogen auf die Gemarkung</w:t>
      </w:r>
      <w:r>
        <w:t>s</w:t>
      </w:r>
      <w:r>
        <w:t>fläche haben und die zusammen mindestens eine Fläche von 100 Quadratkilometern darstellen;</w:t>
      </w:r>
    </w:p>
    <w:p>
      <w:pPr>
        <w:pStyle w:val="GesAbsatz"/>
        <w:ind w:left="426" w:hanging="426"/>
      </w:pPr>
      <w:r>
        <w:t>8.</w:t>
      </w:r>
      <w:r>
        <w:tab/>
        <w:t>„Stickstoffoxide“ die Summe von Stickstoffmonoxid und Stickstoffdioxid, ermittelt durch die Addition als Teile auf 1 Milliarde Teile und ausgedrückt als Stickstoffdioxid in µg/m</w:t>
      </w:r>
      <w:r>
        <w:rPr>
          <w:szCs w:val="12"/>
          <w:vertAlign w:val="superscript"/>
        </w:rPr>
        <w:t>3</w:t>
      </w:r>
      <w:r>
        <w:t>;</w:t>
      </w:r>
    </w:p>
    <w:p>
      <w:pPr>
        <w:pStyle w:val="GesAbsatz"/>
        <w:ind w:left="426" w:hanging="426"/>
      </w:pPr>
      <w:r>
        <w:t>9.</w:t>
      </w:r>
      <w:r>
        <w:tab/>
        <w:t>„PM</w:t>
      </w:r>
      <w:r>
        <w:rPr>
          <w:szCs w:val="12"/>
          <w:vertAlign w:val="subscript"/>
        </w:rPr>
        <w:t>10</w:t>
      </w:r>
      <w:r>
        <w:t>“ die Partikel, die einen größenselektierenden Lufteinlass passieren, der für einen aerodynam</w:t>
      </w:r>
      <w:r>
        <w:t>i</w:t>
      </w:r>
      <w:r>
        <w:t>schen Durchmesser von 10 µm einen Abscheidegrad von 50 Prozent aufweist;</w:t>
      </w:r>
    </w:p>
    <w:p>
      <w:pPr>
        <w:pStyle w:val="GesAbsatz"/>
        <w:ind w:left="426" w:hanging="426"/>
      </w:pPr>
      <w:r>
        <w:t>10.</w:t>
      </w:r>
      <w:r>
        <w:tab/>
        <w:t>„PM</w:t>
      </w:r>
      <w:r>
        <w:rPr>
          <w:szCs w:val="12"/>
          <w:vertAlign w:val="subscript"/>
        </w:rPr>
        <w:t>2,5</w:t>
      </w:r>
      <w:r>
        <w:t>“ die Partikel, die einen größenselektierenden Lufteinlass passieren, der für einen aerodynam</w:t>
      </w:r>
      <w:r>
        <w:t>i</w:t>
      </w:r>
      <w:r>
        <w:t>schen Durchmesser von 2,5 µm einen Abscheidegrad von 50 Prozent aufweist;</w:t>
      </w:r>
    </w:p>
    <w:p>
      <w:pPr>
        <w:pStyle w:val="GesAbsatz"/>
        <w:ind w:left="426" w:hanging="426"/>
      </w:pPr>
      <w:r>
        <w:t>11.</w:t>
      </w:r>
      <w:r>
        <w:tab/>
        <w:t>„Obere Beurteilungsschwelle“ einen Wert, unterhalb dessen eine Kombination von Messungen und M</w:t>
      </w:r>
      <w:r>
        <w:t>o</w:t>
      </w:r>
      <w:r>
        <w:t>dellrechnungen zur Beurteilung der Luftqualität angewandt werden kann;</w:t>
      </w:r>
    </w:p>
    <w:p>
      <w:pPr>
        <w:pStyle w:val="GesAbsatz"/>
        <w:ind w:left="426" w:hanging="426"/>
      </w:pPr>
      <w:r>
        <w:t>12.</w:t>
      </w:r>
      <w:r>
        <w:tab/>
        <w:t>„Untere Beurteilungsschwelle“ einen Wert, unterhalb dessen für die Beurteilung der Luftqualität nur M</w:t>
      </w:r>
      <w:r>
        <w:t>o</w:t>
      </w:r>
      <w:r>
        <w:t>dellrechnungen oder Schätzverfahren, die den Genauigkeitsanforderungen der Anlage 4 entsprechen, angewandt zu werden brauchen;</w:t>
      </w:r>
    </w:p>
    <w:p>
      <w:pPr>
        <w:pStyle w:val="GesAbsatz"/>
        <w:ind w:left="426" w:hanging="426"/>
      </w:pPr>
      <w:r>
        <w:t>13.</w:t>
      </w:r>
      <w:r>
        <w:tab/>
        <w:t>„Naturereignisse“ Vulkanausbrüche, Erdbeben, geothermische Aktivitäten, Freilandbrände, Stürme oder die atmosphärische Aufwirbelung oder den atmosphärischen Transport natürlicher Partikel aus Tro</w:t>
      </w:r>
      <w:r>
        <w:t>c</w:t>
      </w:r>
      <w:r>
        <w:t>kengebieten;</w:t>
      </w:r>
    </w:p>
    <w:p>
      <w:pPr>
        <w:pStyle w:val="GesAbsatz"/>
        <w:ind w:left="426" w:hanging="426"/>
        <w:rPr>
          <w:rFonts w:cs="Arial"/>
        </w:rPr>
      </w:pPr>
      <w:r>
        <w:rPr>
          <w:rFonts w:cs="Arial"/>
        </w:rPr>
        <w:lastRenderedPageBreak/>
        <w:t>14.</w:t>
      </w:r>
      <w:r>
        <w:rPr>
          <w:rFonts w:cs="Arial"/>
        </w:rPr>
        <w:tab/>
        <w:t>„Zielwert“ ist die nach Möglichkeit in einem bestimmten Zeitraum zu erreichende Immissionskonzentrat</w:t>
      </w:r>
      <w:r>
        <w:rPr>
          <w:rFonts w:cs="Arial"/>
        </w:rPr>
        <w:t>i</w:t>
      </w:r>
      <w:r>
        <w:rPr>
          <w:rFonts w:cs="Arial"/>
        </w:rPr>
        <w:t>on, die mit dem Ziel festgelegt wird, die schädlichen Einflüsse auf die menschliche Gesundheit und die Umwelt insgesamt zu vermeiden, zu verhindern oder zu verringern;</w:t>
      </w:r>
    </w:p>
    <w:p>
      <w:pPr>
        <w:pStyle w:val="GesAbsatz"/>
        <w:ind w:left="426" w:hanging="426"/>
        <w:rPr>
          <w:rFonts w:cs="Arial"/>
        </w:rPr>
      </w:pPr>
      <w:r>
        <w:rPr>
          <w:rFonts w:cs="Arial"/>
        </w:rPr>
        <w:t>15.</w:t>
      </w:r>
      <w:r>
        <w:rPr>
          <w:rFonts w:cs="Arial"/>
        </w:rPr>
        <w:tab/>
        <w:t>„Gesamtablagerung“ ist die Gesamtmenge der Schadstoffe, die auf einer bestimmten Fläche innerhalb eines bestimmten Zeitraums aus der Luft auf Oberflächen (zum Beispiel Boden, Vegetation, Gewässer, Gebäude und so weiter) gelangt;</w:t>
      </w:r>
    </w:p>
    <w:p>
      <w:pPr>
        <w:pStyle w:val="GesAbsatz"/>
        <w:ind w:left="426" w:hanging="426"/>
        <w:rPr>
          <w:rFonts w:cs="Arial"/>
        </w:rPr>
      </w:pPr>
      <w:r>
        <w:rPr>
          <w:rFonts w:cs="Arial"/>
        </w:rPr>
        <w:t>16.</w:t>
      </w:r>
      <w:r>
        <w:rPr>
          <w:rFonts w:cs="Arial"/>
        </w:rPr>
        <w:tab/>
        <w:t>„Ortsfeste Messungen“ sind Messungen gemäß Artikel 6 Abs. 5 der Richtlinie 96/62/EG des Rates vom 27. September 1996 über die Beurteilung und die Kontrolle der Luftqualität (ABl. EG Nr. L 296 S. 55), geändert durch die Verordnung (EG) Nr. 1882/2003 des Europäischen Parlaments und des Rates vom 29. September 2003 (ABl. EU Nr. L 284 S. 1) in der jeweils geltenden Fassung, die kontinuierlich oder stichprobenartig (Zufallsstichproben) an festen Orten durchgeführt werden;</w:t>
      </w:r>
    </w:p>
    <w:p>
      <w:pPr>
        <w:pStyle w:val="GesAbsatz"/>
        <w:ind w:left="426" w:hanging="426"/>
        <w:rPr>
          <w:rFonts w:cs="Arial"/>
        </w:rPr>
      </w:pPr>
      <w:r>
        <w:rPr>
          <w:rFonts w:cs="Arial"/>
        </w:rPr>
        <w:t>17.</w:t>
      </w:r>
      <w:r>
        <w:rPr>
          <w:rFonts w:cs="Arial"/>
        </w:rPr>
        <w:tab/>
        <w:t>„Arsen“, „Kadmium“, „Nickel“ und „Benzo(a)pyren“ sind der Gesamtgehalt dieser Elemente und Verbi</w:t>
      </w:r>
      <w:r>
        <w:rPr>
          <w:rFonts w:cs="Arial"/>
        </w:rPr>
        <w:t>n</w:t>
      </w:r>
      <w:r>
        <w:rPr>
          <w:rFonts w:cs="Arial"/>
        </w:rPr>
        <w:t>dungen in der PM</w:t>
      </w:r>
      <w:r>
        <w:rPr>
          <w:rFonts w:cs="Arial"/>
          <w:vertAlign w:val="subscript"/>
        </w:rPr>
        <w:t>10</w:t>
      </w:r>
      <w:r>
        <w:rPr>
          <w:rFonts w:cs="Arial"/>
        </w:rPr>
        <w:t>-Fraktion;</w:t>
      </w:r>
    </w:p>
    <w:p>
      <w:pPr>
        <w:pStyle w:val="GesAbsatz"/>
        <w:ind w:left="426" w:hanging="426"/>
        <w:rPr>
          <w:rFonts w:cs="Arial"/>
        </w:rPr>
      </w:pPr>
      <w:r>
        <w:rPr>
          <w:rFonts w:cs="Arial"/>
        </w:rPr>
        <w:t>18.</w:t>
      </w:r>
      <w:r>
        <w:rPr>
          <w:rFonts w:cs="Arial"/>
        </w:rPr>
        <w:tab/>
        <w:t>„Polyzyklische aromatische Kohlenwasserstoffe“ sind organische Verbindungen, die sich aus mind</w:t>
      </w:r>
      <w:r>
        <w:rPr>
          <w:rFonts w:cs="Arial"/>
        </w:rPr>
        <w:t>e</w:t>
      </w:r>
      <w:r>
        <w:rPr>
          <w:rFonts w:cs="Arial"/>
        </w:rPr>
        <w:t>stens zwei miteinander verbundenen aromatischen Ringen zusammensetzen, die ausschließlich aus Kohlenstoff und Wasserstoff bestehen;</w:t>
      </w:r>
    </w:p>
    <w:p>
      <w:pPr>
        <w:pStyle w:val="GesAbsatz"/>
        <w:ind w:left="426" w:hanging="426"/>
        <w:rPr>
          <w:rFonts w:cs="Arial"/>
        </w:rPr>
      </w:pPr>
      <w:r>
        <w:rPr>
          <w:rFonts w:cs="Arial"/>
        </w:rPr>
        <w:t>19.</w:t>
      </w:r>
      <w:r>
        <w:rPr>
          <w:rFonts w:cs="Arial"/>
        </w:rPr>
        <w:tab/>
        <w:t>„Gesamtes gasförmiges Quecksilber“ sind elementarer Quecksilberdampf (Hg°) und reaktives gasfö</w:t>
      </w:r>
      <w:r>
        <w:rPr>
          <w:rFonts w:cs="Arial"/>
        </w:rPr>
        <w:t>r</w:t>
      </w:r>
      <w:r>
        <w:rPr>
          <w:rFonts w:cs="Arial"/>
        </w:rPr>
        <w:t>miges Quecksilber. Reaktives gasförmiges Quecksilber besteht aus wasserlöslichen Quecksilberverbi</w:t>
      </w:r>
      <w:r>
        <w:rPr>
          <w:rFonts w:cs="Arial"/>
        </w:rPr>
        <w:t>n</w:t>
      </w:r>
      <w:r>
        <w:rPr>
          <w:rFonts w:cs="Arial"/>
        </w:rPr>
        <w:t>dungen mit ausreichend hohem Dampfdruck, um in der Gasphase zu existieren.</w:t>
      </w:r>
    </w:p>
    <w:p>
      <w:pPr>
        <w:pStyle w:val="berschrift2"/>
      </w:pPr>
      <w:bookmarkStart w:id="6" w:name="_Toc174110494"/>
      <w:r>
        <w:t>Erster Teil</w:t>
      </w:r>
      <w:r>
        <w:br/>
        <w:t>Immissionswerte, Beurteilung, Maßnahmen und Informationspflichten</w:t>
      </w:r>
      <w:bookmarkEnd w:id="6"/>
    </w:p>
    <w:p>
      <w:pPr>
        <w:pStyle w:val="berschrift3"/>
        <w:rPr>
          <w:rStyle w:val="berschrift3Zchn"/>
        </w:rPr>
      </w:pPr>
      <w:bookmarkStart w:id="7" w:name="_Toc174110495"/>
      <w:r>
        <w:rPr>
          <w:rFonts w:cs="Arial"/>
        </w:rPr>
        <w:t>§ 2</w:t>
      </w:r>
      <w:r>
        <w:rPr>
          <w:rFonts w:cs="Arial"/>
        </w:rPr>
        <w:br/>
        <w:t>Immissionsgrenzwerte und Alarmschwelle für Schwefeldioxid</w:t>
      </w:r>
      <w:bookmarkEnd w:id="7"/>
    </w:p>
    <w:p>
      <w:pPr>
        <w:pStyle w:val="GesAbsatz"/>
      </w:pPr>
      <w:r>
        <w:t>(1) Für Schwefeldioxid beträgt der über eine volle Stunde gemittelte Immissionsgrenzwert zum Schutz der menschlichen Gesundheit</w:t>
      </w:r>
    </w:p>
    <w:p>
      <w:pPr>
        <w:pStyle w:val="GesAbsatz"/>
        <w:jc w:val="center"/>
      </w:pPr>
      <w:r>
        <w:t>350 Mikrogramm pro Kubikmeter</w:t>
      </w:r>
    </w:p>
    <w:p>
      <w:pPr>
        <w:pStyle w:val="GesAbsatz"/>
      </w:pPr>
      <w:r>
        <w:t>bei 24 zugelassenen Überschreitungen im Kalenderjahr.</w:t>
      </w:r>
    </w:p>
    <w:p>
      <w:pPr>
        <w:pStyle w:val="GesAbsatz"/>
      </w:pPr>
      <w:r>
        <w:t xml:space="preserve">(2) Zum Schutz der menschlichen Gesundheit beträgt der über 24 Stunden, das heißt einen Zeitraum von </w:t>
      </w:r>
      <w:smartTag w:uri="urn:schemas-microsoft-com:office:smarttags" w:element="time">
        <w:smartTagPr>
          <w:attr w:name="Hour" w:val="0"/>
          <w:attr w:name="Minute" w:val="00"/>
        </w:smartTagPr>
        <w:r>
          <w:t>0.00</w:t>
        </w:r>
      </w:smartTag>
      <w:r>
        <w:t xml:space="preserve"> Uhr bis 24.00 Uhr, gemittelte Immissionsgrenzwert</w:t>
      </w:r>
    </w:p>
    <w:p>
      <w:pPr>
        <w:pStyle w:val="GesAbsatz"/>
        <w:jc w:val="center"/>
      </w:pPr>
      <w:r>
        <w:t>125 Mikrogramm pro Kubikmeter</w:t>
      </w:r>
    </w:p>
    <w:p>
      <w:pPr>
        <w:pStyle w:val="GesAbsatz"/>
      </w:pPr>
      <w:r>
        <w:t>bei drei zugelassenen Überschreitungen im Kalenderjahr.</w:t>
      </w:r>
    </w:p>
    <w:p>
      <w:pPr>
        <w:pStyle w:val="GesAbsatz"/>
      </w:pPr>
      <w:r>
        <w:t>(3) Zum Schutz von Ökosystemen beträgt der Immissionsgrenzwert für das Kalenderjahr sowie für das Wi</w:t>
      </w:r>
      <w:r>
        <w:t>n</w:t>
      </w:r>
      <w:r>
        <w:t>terhalbjahr (1. Oktober des laufenden Jahres bis 31. März des Folgejahres)</w:t>
      </w:r>
    </w:p>
    <w:p>
      <w:pPr>
        <w:pStyle w:val="GesAbsatz"/>
        <w:jc w:val="center"/>
      </w:pPr>
      <w:r>
        <w:t>20 Mikrogramm pro Kubikmeter.</w:t>
      </w:r>
    </w:p>
    <w:p>
      <w:pPr>
        <w:pStyle w:val="GesAbsatz"/>
      </w:pPr>
      <w:r>
        <w:t>(4) Die Alarmschwelle für Schwefeldioxid beträgt über eine volle Stunde gemittelt</w:t>
      </w:r>
    </w:p>
    <w:p>
      <w:pPr>
        <w:pStyle w:val="GesAbsatz"/>
        <w:jc w:val="center"/>
      </w:pPr>
      <w:r>
        <w:t>500 Mikrogramm pro K</w:t>
      </w:r>
      <w:r>
        <w:t>u</w:t>
      </w:r>
      <w:r>
        <w:t>bikmeter,</w:t>
      </w:r>
    </w:p>
    <w:p>
      <w:pPr>
        <w:pStyle w:val="GesAbsatz"/>
      </w:pPr>
      <w:r>
        <w:t>gemessen an drei aufeinander folgenden Stunden an den von den Ländern gemäß Anlage 2 dieser Veror</w:t>
      </w:r>
      <w:r>
        <w:t>d</w:t>
      </w:r>
      <w:r>
        <w:t>nung eingerichteten Probenahmestellen, die für die Luftqualität in einem Bereich von mindestens 100 Qu</w:t>
      </w:r>
      <w:r>
        <w:t>a</w:t>
      </w:r>
      <w:r>
        <w:t>dratkilometern oder im gesamten Gebiet oder Ballungsraum repräsentativ sind; maßgebend ist die kleinste dieser Flächen.</w:t>
      </w:r>
    </w:p>
    <w:p>
      <w:pPr>
        <w:pStyle w:val="GesAbsatz"/>
        <w:rPr>
          <w:rFonts w:cs="Arial"/>
        </w:rPr>
      </w:pPr>
      <w:r>
        <w:t>(5) Die Immissionsgrenzwerte beziehen sich auf den Normzustand, der durch eine Temperatur von 293 Ke</w:t>
      </w:r>
      <w:r>
        <w:t>l</w:t>
      </w:r>
      <w:r>
        <w:t>vin und einen Druck von 101,3 Kilopascal definiert wird.</w:t>
      </w:r>
    </w:p>
    <w:p>
      <w:pPr>
        <w:pStyle w:val="berschrift3"/>
      </w:pPr>
      <w:bookmarkStart w:id="8" w:name="_Toc174110496"/>
      <w:r>
        <w:t>§ 3</w:t>
      </w:r>
      <w:r>
        <w:br/>
        <w:t>Immissionsgrenzwerte, Toleranzmargen</w:t>
      </w:r>
      <w:r>
        <w:rPr>
          <w:b w:val="0"/>
        </w:rPr>
        <w:t xml:space="preserve"> </w:t>
      </w:r>
      <w:r>
        <w:t>für Stickstoffdioxid (NO</w:t>
      </w:r>
      <w:r>
        <w:rPr>
          <w:szCs w:val="12"/>
          <w:vertAlign w:val="subscript"/>
        </w:rPr>
        <w:t>2</w:t>
      </w:r>
      <w:r>
        <w:t>), Immissionsgrenzwert</w:t>
      </w:r>
      <w:r>
        <w:rPr>
          <w:b w:val="0"/>
        </w:rPr>
        <w:br/>
      </w:r>
      <w:r>
        <w:t>für Stickstoffoxide (NO</w:t>
      </w:r>
      <w:r>
        <w:rPr>
          <w:szCs w:val="12"/>
          <w:vertAlign w:val="subscript"/>
        </w:rPr>
        <w:t>x</w:t>
      </w:r>
      <w:r>
        <w:t>)</w:t>
      </w:r>
      <w:r>
        <w:rPr>
          <w:b w:val="0"/>
        </w:rPr>
        <w:t xml:space="preserve"> </w:t>
      </w:r>
      <w:r>
        <w:t>und Alarmschwelle für Stickstoffdioxid</w:t>
      </w:r>
      <w:bookmarkEnd w:id="8"/>
    </w:p>
    <w:p>
      <w:pPr>
        <w:pStyle w:val="GesAbsatz"/>
        <w:rPr>
          <w:rFonts w:cs="Arial"/>
        </w:rPr>
      </w:pPr>
      <w:r>
        <w:rPr>
          <w:rFonts w:cs="Arial"/>
        </w:rPr>
        <w:t>(1) Für Stickstoffdioxid (NO</w:t>
      </w:r>
      <w:r>
        <w:rPr>
          <w:rFonts w:cs="Arial"/>
          <w:szCs w:val="12"/>
          <w:vertAlign w:val="subscript"/>
        </w:rPr>
        <w:t>2</w:t>
      </w:r>
      <w:r>
        <w:rPr>
          <w:rFonts w:cs="Arial"/>
        </w:rPr>
        <w:t>) beträgt der Immissionsgrenzwert bis zum 31. Dezember 2009 200 µg/m</w:t>
      </w:r>
      <w:r>
        <w:rPr>
          <w:rFonts w:cs="Arial"/>
          <w:szCs w:val="12"/>
          <w:vertAlign w:val="superscript"/>
        </w:rPr>
        <w:t>3</w:t>
      </w:r>
      <w:r>
        <w:rPr>
          <w:rFonts w:cs="Arial"/>
          <w:szCs w:val="12"/>
        </w:rPr>
        <w:t xml:space="preserve"> </w:t>
      </w:r>
      <w:r>
        <w:rPr>
          <w:rFonts w:cs="Arial"/>
        </w:rPr>
        <w:t>(98- Prozent-Wert der Summenhäufigkeit, berechnet aus den während eines Jahres gemessenen Mittelwerten über eine Stunde oder kürzere Zeiträume).</w:t>
      </w:r>
    </w:p>
    <w:p>
      <w:pPr>
        <w:pStyle w:val="GesAbsatz"/>
        <w:rPr>
          <w:rFonts w:cs="Arial"/>
        </w:rPr>
      </w:pPr>
      <w:r>
        <w:rPr>
          <w:rFonts w:cs="Arial"/>
        </w:rPr>
        <w:lastRenderedPageBreak/>
        <w:t>(2) Zum Schutz der menschlichen Gesundheit beträgt der ab 1. Januar 2010 einzuhaltende über eine volle Stunde gemittelte Immissionsgrenzwert für Stickstoffdioxid (NO</w:t>
      </w:r>
      <w:r>
        <w:rPr>
          <w:rFonts w:cs="Arial"/>
          <w:szCs w:val="12"/>
          <w:vertAlign w:val="subscript"/>
        </w:rPr>
        <w:t>2</w:t>
      </w:r>
      <w:r>
        <w:rPr>
          <w:rFonts w:cs="Arial"/>
        </w:rPr>
        <w:t>)</w:t>
      </w:r>
    </w:p>
    <w:p>
      <w:pPr>
        <w:pStyle w:val="GesAbsatz"/>
        <w:jc w:val="center"/>
        <w:rPr>
          <w:rFonts w:cs="Arial"/>
          <w:szCs w:val="12"/>
        </w:rPr>
      </w:pPr>
      <w:r>
        <w:rPr>
          <w:rFonts w:cs="Arial"/>
        </w:rPr>
        <w:t>200 µg/m</w:t>
      </w:r>
      <w:r>
        <w:rPr>
          <w:rFonts w:cs="Arial"/>
          <w:szCs w:val="12"/>
          <w:vertAlign w:val="superscript"/>
        </w:rPr>
        <w:t>3</w:t>
      </w:r>
    </w:p>
    <w:p>
      <w:pPr>
        <w:pStyle w:val="GesAbsatz"/>
        <w:rPr>
          <w:rFonts w:cs="Arial"/>
        </w:rPr>
      </w:pPr>
      <w:r>
        <w:rPr>
          <w:rFonts w:cs="Arial"/>
        </w:rPr>
        <w:t>bei 18 zugelassenen Überschreitungen im Kalenderjahr.</w:t>
      </w:r>
    </w:p>
    <w:p>
      <w:pPr>
        <w:pStyle w:val="GesAbsatz"/>
        <w:rPr>
          <w:rFonts w:cs="Arial"/>
        </w:rPr>
      </w:pPr>
      <w:r>
        <w:rPr>
          <w:rFonts w:cs="Arial"/>
        </w:rPr>
        <w:t>(3) Für den Immissionsgrenzwert des Absatzes 2 beträgt die Toleranzmarge 40 Mikrogramm pro Kubikm</w:t>
      </w:r>
      <w:r>
        <w:rPr>
          <w:rFonts w:cs="Arial"/>
        </w:rPr>
        <w:t>e</w:t>
      </w:r>
      <w:r>
        <w:rPr>
          <w:rFonts w:cs="Arial"/>
        </w:rPr>
        <w:t>ter. Sie vermindert sich ab dem 1. Januar 2007 bis zum 1. Januar 2010 stufenweise um jährlich 10 Mikr</w:t>
      </w:r>
      <w:r>
        <w:rPr>
          <w:rFonts w:cs="Arial"/>
        </w:rPr>
        <w:t>o</w:t>
      </w:r>
      <w:r>
        <w:rPr>
          <w:rFonts w:cs="Arial"/>
        </w:rPr>
        <w:t>gramm pro Kubikmeter.</w:t>
      </w:r>
    </w:p>
    <w:p>
      <w:pPr>
        <w:pStyle w:val="GesAbsatz"/>
        <w:rPr>
          <w:rFonts w:cs="Arial"/>
        </w:rPr>
      </w:pPr>
      <w:r>
        <w:rPr>
          <w:rFonts w:cs="Arial"/>
        </w:rPr>
        <w:t>(4) Zum Schutz der menschlichen Gesundheit beträgt der ab dem Jahr 2010 einzuhaltende über ein Kale</w:t>
      </w:r>
      <w:r>
        <w:rPr>
          <w:rFonts w:cs="Arial"/>
        </w:rPr>
        <w:t>n</w:t>
      </w:r>
      <w:r>
        <w:rPr>
          <w:rFonts w:cs="Arial"/>
        </w:rPr>
        <w:t>derjahr gemittelte Immissionsgrenzwert für Stickstoffdioxid (NO</w:t>
      </w:r>
      <w:r>
        <w:rPr>
          <w:rFonts w:cs="Arial"/>
          <w:vertAlign w:val="subscript"/>
        </w:rPr>
        <w:t>2</w:t>
      </w:r>
      <w:r>
        <w:rPr>
          <w:rFonts w:cs="Arial"/>
        </w:rPr>
        <w:t>)</w:t>
      </w:r>
    </w:p>
    <w:p>
      <w:pPr>
        <w:pStyle w:val="GesAbsatz"/>
        <w:jc w:val="center"/>
        <w:rPr>
          <w:rFonts w:cs="Arial"/>
        </w:rPr>
      </w:pPr>
      <w:r>
        <w:rPr>
          <w:rFonts w:cs="Arial"/>
        </w:rPr>
        <w:t>40 Mikrogramm pro Kubikmeter.</w:t>
      </w:r>
    </w:p>
    <w:p>
      <w:pPr>
        <w:pStyle w:val="GesAbsatz"/>
        <w:rPr>
          <w:rFonts w:cs="Arial"/>
        </w:rPr>
      </w:pPr>
      <w:r>
        <w:rPr>
          <w:rFonts w:cs="Arial"/>
        </w:rPr>
        <w:t>(5) Für den Immissionsgrenzwert des Absatzes 4 beträgt die Toleranzmarge 8 Mikrogramm pro Kubikmeter. Sie vermindert sich ab dem 1. Januar 2007 bis zum 1. Januar 2010 stufenweise um jährlich 2 Mikrogramm pro Kubikmeter.</w:t>
      </w:r>
    </w:p>
    <w:p>
      <w:pPr>
        <w:pStyle w:val="GesAbsatz"/>
        <w:rPr>
          <w:rFonts w:cs="Arial"/>
        </w:rPr>
      </w:pPr>
      <w:r>
        <w:rPr>
          <w:rFonts w:cs="Arial"/>
        </w:rPr>
        <w:t>(6) Zum Schutz der Vegetation beträgt der über ein Kalenderjahr gemittelte Immissionsgrenzwert für Stic</w:t>
      </w:r>
      <w:r>
        <w:rPr>
          <w:rFonts w:cs="Arial"/>
        </w:rPr>
        <w:t>k</w:t>
      </w:r>
      <w:r>
        <w:rPr>
          <w:rFonts w:cs="Arial"/>
        </w:rPr>
        <w:t>stoffoxide (NO</w:t>
      </w:r>
      <w:r>
        <w:rPr>
          <w:rFonts w:cs="Arial"/>
          <w:vertAlign w:val="subscript"/>
        </w:rPr>
        <w:t>x</w:t>
      </w:r>
      <w:r>
        <w:rPr>
          <w:rFonts w:cs="Arial"/>
        </w:rPr>
        <w:t>)</w:t>
      </w:r>
    </w:p>
    <w:p>
      <w:pPr>
        <w:pStyle w:val="GesAbsatz"/>
        <w:jc w:val="center"/>
        <w:rPr>
          <w:rFonts w:cs="Arial"/>
        </w:rPr>
      </w:pPr>
      <w:r>
        <w:rPr>
          <w:rFonts w:cs="Arial"/>
        </w:rPr>
        <w:t>30 Mikrogramm pro Kubikmeter.</w:t>
      </w:r>
    </w:p>
    <w:p>
      <w:pPr>
        <w:pStyle w:val="GesAbsatz"/>
        <w:rPr>
          <w:rFonts w:cs="Arial"/>
        </w:rPr>
      </w:pPr>
      <w:r>
        <w:rPr>
          <w:rFonts w:cs="Arial"/>
        </w:rPr>
        <w:t>(7) Die Alarmschwelle für Stickstoffdioxid (NO</w:t>
      </w:r>
      <w:r>
        <w:rPr>
          <w:rFonts w:cs="Arial"/>
          <w:szCs w:val="12"/>
          <w:vertAlign w:val="subscript"/>
        </w:rPr>
        <w:t>2</w:t>
      </w:r>
      <w:r>
        <w:rPr>
          <w:rFonts w:cs="Arial"/>
        </w:rPr>
        <w:t>) beträgt über eine volle Stunde gemittelt</w:t>
      </w:r>
    </w:p>
    <w:p>
      <w:pPr>
        <w:pStyle w:val="GesAbsatz"/>
        <w:jc w:val="center"/>
        <w:rPr>
          <w:rFonts w:cs="Arial"/>
        </w:rPr>
      </w:pPr>
      <w:r>
        <w:rPr>
          <w:rFonts w:cs="Arial"/>
        </w:rPr>
        <w:t>400 µg/m</w:t>
      </w:r>
      <w:r>
        <w:rPr>
          <w:rFonts w:cs="Arial"/>
          <w:szCs w:val="12"/>
          <w:vertAlign w:val="superscript"/>
        </w:rPr>
        <w:t>3</w:t>
      </w:r>
      <w:r>
        <w:rPr>
          <w:rFonts w:cs="Arial"/>
        </w:rPr>
        <w:t>,</w:t>
      </w:r>
    </w:p>
    <w:p>
      <w:pPr>
        <w:pStyle w:val="GesAbsatz"/>
        <w:rPr>
          <w:rFonts w:cs="Arial"/>
        </w:rPr>
      </w:pPr>
      <w:r>
        <w:rPr>
          <w:rFonts w:cs="Arial"/>
        </w:rPr>
        <w:t>gemessen an drei aufeinander folgenden Stunden an den von den Ländern gemäß Anlage 2 dieser Veror</w:t>
      </w:r>
      <w:r>
        <w:rPr>
          <w:rFonts w:cs="Arial"/>
        </w:rPr>
        <w:t>d</w:t>
      </w:r>
      <w:r>
        <w:rPr>
          <w:rFonts w:cs="Arial"/>
        </w:rPr>
        <w:t>nung eingerichteten Probenahmestellen, die für die Luftqualität in einem Bereich von mindestens 100 Quadratkilometern oder im gesamten Gebiet oder Ballungsraum repräsentativ sind; maßgebend ist die kleinste dieser Flächen.</w:t>
      </w:r>
    </w:p>
    <w:p>
      <w:pPr>
        <w:pStyle w:val="GesAbsatz"/>
        <w:rPr>
          <w:rFonts w:cs="Arial"/>
        </w:rPr>
      </w:pPr>
      <w:r>
        <w:rPr>
          <w:rFonts w:cs="Arial"/>
        </w:rPr>
        <w:t>(8) Die Immissionsgrenzwerte beziehen sich auf den Normzustand, der durch eine Temperatur von 293 Ke</w:t>
      </w:r>
      <w:r>
        <w:rPr>
          <w:rFonts w:cs="Arial"/>
        </w:rPr>
        <w:t>l</w:t>
      </w:r>
      <w:r>
        <w:rPr>
          <w:rFonts w:cs="Arial"/>
        </w:rPr>
        <w:t>vin und einen Druck von 101,3 Kilopascal definiert wird.</w:t>
      </w:r>
    </w:p>
    <w:p>
      <w:pPr>
        <w:pStyle w:val="berschrift3"/>
      </w:pPr>
      <w:bookmarkStart w:id="9" w:name="_Toc174110497"/>
      <w:r>
        <w:t>§ 4</w:t>
      </w:r>
      <w:r>
        <w:br/>
        <w:t>Immissionsgrenzwerte für Partikel (PM</w:t>
      </w:r>
      <w:r>
        <w:rPr>
          <w:vertAlign w:val="subscript"/>
        </w:rPr>
        <w:t>10</w:t>
      </w:r>
      <w:r>
        <w:t>)</w:t>
      </w:r>
      <w:bookmarkEnd w:id="9"/>
    </w:p>
    <w:p>
      <w:pPr>
        <w:pStyle w:val="GesAbsatz"/>
      </w:pPr>
      <w:r>
        <w:t>(1) Für Partikel PM</w:t>
      </w:r>
      <w:r>
        <w:rPr>
          <w:vertAlign w:val="subscript"/>
        </w:rPr>
        <w:t>10</w:t>
      </w:r>
      <w:r>
        <w:t xml:space="preserve"> beträgt der über 24 Stunden gemittelte Immissionsgrenzwert für den Schutz der menschlichen Gesundheit</w:t>
      </w:r>
    </w:p>
    <w:p>
      <w:pPr>
        <w:pStyle w:val="GesAbsatz"/>
        <w:jc w:val="center"/>
      </w:pPr>
      <w:r>
        <w:t>50 Mikrogramm pro Kubikmeter</w:t>
      </w:r>
    </w:p>
    <w:p>
      <w:pPr>
        <w:pStyle w:val="GesAbsatz"/>
      </w:pPr>
      <w:r>
        <w:t>bei 35 zugelassenen Überschreitungen im Kalenderjahr. Eine Probenahm</w:t>
      </w:r>
      <w:r>
        <w:t>e</w:t>
      </w:r>
      <w:r>
        <w:t xml:space="preserve">zeit von </w:t>
      </w:r>
      <w:smartTag w:uri="urn:schemas-microsoft-com:office:smarttags" w:element="time">
        <w:smartTagPr>
          <w:attr w:name="Hour" w:val="0"/>
          <w:attr w:name="Minute" w:val="00"/>
        </w:smartTagPr>
        <w:r>
          <w:t>0.00</w:t>
        </w:r>
      </w:smartTag>
      <w:r>
        <w:t xml:space="preserve"> Uhr bis 24.00 Uhr ist anzustreben.</w:t>
      </w:r>
    </w:p>
    <w:p>
      <w:pPr>
        <w:pStyle w:val="GesAbsatz"/>
      </w:pPr>
      <w:r>
        <w:t>(2) Für den Schutz der menschlichen Gesundheit beträgt der über ein Kalenderjahr gemittelte Immission</w:t>
      </w:r>
      <w:r>
        <w:t>s</w:t>
      </w:r>
      <w:r>
        <w:t>grenzwert für Partikel PM</w:t>
      </w:r>
      <w:r>
        <w:rPr>
          <w:vertAlign w:val="subscript"/>
        </w:rPr>
        <w:t>10</w:t>
      </w:r>
    </w:p>
    <w:p>
      <w:pPr>
        <w:pStyle w:val="GesAbsatz"/>
        <w:jc w:val="center"/>
      </w:pPr>
      <w:r>
        <w:t>40 Mikrogramm pro Kubikmeter.</w:t>
      </w:r>
    </w:p>
    <w:p>
      <w:pPr>
        <w:pStyle w:val="berschrift3"/>
      </w:pPr>
      <w:bookmarkStart w:id="10" w:name="_Toc174110498"/>
      <w:r>
        <w:t>§ 5</w:t>
      </w:r>
      <w:r>
        <w:br/>
        <w:t>Immissionsgrenzwerte und Toleranzmarge für Blei</w:t>
      </w:r>
      <w:bookmarkEnd w:id="10"/>
    </w:p>
    <w:p>
      <w:pPr>
        <w:pStyle w:val="GesAbsatz"/>
      </w:pPr>
      <w:r>
        <w:t>(1) Für Blei beträgt der über ein Kalenderjahr gemittelte Immissionsgrenzwert für den Schutz der menschl</w:t>
      </w:r>
      <w:r>
        <w:t>i</w:t>
      </w:r>
      <w:r>
        <w:t>chen Gesundheit</w:t>
      </w:r>
    </w:p>
    <w:p>
      <w:pPr>
        <w:pStyle w:val="GesAbsatz"/>
        <w:jc w:val="center"/>
      </w:pPr>
      <w:r>
        <w:t>0,5 Mikrogramm pro Kubikmeter.</w:t>
      </w:r>
    </w:p>
    <w:p>
      <w:pPr>
        <w:pStyle w:val="GesAbsatz"/>
      </w:pPr>
      <w:r>
        <w:t>(2) In der Nachbarschaft industrieller Quellen an Standorten, die durch jahrzehntelange industrielle Tätigkeit belastet worden sind, beträgt der Immissionsgrenzwert</w:t>
      </w:r>
    </w:p>
    <w:p>
      <w:pPr>
        <w:pStyle w:val="GesAbsatz"/>
        <w:jc w:val="center"/>
      </w:pPr>
      <w:r>
        <w:t>1,0 Mikrogramm pro Kubikmeter</w:t>
      </w:r>
    </w:p>
    <w:p>
      <w:pPr>
        <w:pStyle w:val="GesAbsatz"/>
      </w:pPr>
      <w:r>
        <w:t>im Umkreis von nicht mehr als 1 000 Meter von derartigen Quellen, wenn diese Gebiete dem Bundesminist</w:t>
      </w:r>
      <w:r>
        <w:t>e</w:t>
      </w:r>
      <w:r>
        <w:t>rium für Umwelt, Naturschutz und Reaktorsicherheit von der zuständigen Behörde über die nach Lande</w:t>
      </w:r>
      <w:r>
        <w:t>s</w:t>
      </w:r>
      <w:r>
        <w:t>recht zuständige Behörde mit einer angemessenen Begründung mitgeteilt worden sind. In diesen Fällen muss der Immissionsgrenzwert des Absatzes 1 ab dem Jahr 2010 eingehalten werden.</w:t>
      </w:r>
    </w:p>
    <w:p>
      <w:pPr>
        <w:pStyle w:val="GesAbsatz"/>
      </w:pPr>
      <w:r>
        <w:lastRenderedPageBreak/>
        <w:t>(3) In den Fällen des Absatzes 2 beträgt die Toleranzmarge, bezogen auf den ab dem Jahr 2010 einzuha</w:t>
      </w:r>
      <w:r>
        <w:t>l</w:t>
      </w:r>
      <w:r>
        <w:t>tenden Grenzwert 0,20 Mikrogramm pro Kubikmeter. Sie vermindert sich ab dem 1. Januar 2007 bis zum 1. Januar 2010 stufenweise um jährlich 0,05 Mikrogramm pro Kubikmeter.</w:t>
      </w:r>
    </w:p>
    <w:p>
      <w:pPr>
        <w:pStyle w:val="berschrift3"/>
      </w:pPr>
      <w:bookmarkStart w:id="11" w:name="_Toc174110499"/>
      <w:r>
        <w:rPr>
          <w:rFonts w:cs="Arial"/>
        </w:rPr>
        <w:t>§ 6</w:t>
      </w:r>
      <w:r>
        <w:rPr>
          <w:rFonts w:cs="Arial"/>
        </w:rPr>
        <w:br/>
      </w:r>
      <w:r>
        <w:t>Immissionsgrenzwerte und Toleranzmarge für Benzol</w:t>
      </w:r>
      <w:bookmarkEnd w:id="11"/>
    </w:p>
    <w:p>
      <w:pPr>
        <w:pStyle w:val="GesAbsatz"/>
      </w:pPr>
      <w:r>
        <w:t>(1) Für Benzol beträgt der ab dem Jahr 2010 einzuhaltende über ein Kalenderjahr gemittelte Immission</w:t>
      </w:r>
      <w:r>
        <w:t>s</w:t>
      </w:r>
      <w:r>
        <w:t>grenzwert für den Schutz der menschlichen Gesundheit</w:t>
      </w:r>
    </w:p>
    <w:p>
      <w:pPr>
        <w:pStyle w:val="GesAbsatz"/>
        <w:jc w:val="center"/>
      </w:pPr>
      <w:r>
        <w:t>5 Mikrogramm pro Kubikmeter.</w:t>
      </w:r>
    </w:p>
    <w:p>
      <w:pPr>
        <w:pStyle w:val="GesAbsatz"/>
        <w:rPr>
          <w:rFonts w:cs="Arial"/>
          <w:szCs w:val="18"/>
        </w:rPr>
      </w:pPr>
      <w:r>
        <w:rPr>
          <w:rFonts w:cs="Arial"/>
          <w:szCs w:val="18"/>
        </w:rPr>
        <w:t>(2) Für den Immissionsgrenzwert des Absatzes 1 beträgt die Toleranzmarge 4 Mikrogramm pro Kubikmeter. Sie vermindert sich ab dem 1. Januar 2007 bis zum 1. Januar 2010 stufenweise um jährlich 1 Mikrogramm pro Kubikmeter.</w:t>
      </w:r>
    </w:p>
    <w:p>
      <w:pPr>
        <w:pStyle w:val="GesAbsatz"/>
        <w:rPr>
          <w:rFonts w:cs="Arial"/>
          <w:szCs w:val="18"/>
        </w:rPr>
      </w:pPr>
      <w:r>
        <w:rPr>
          <w:rFonts w:cs="Arial"/>
          <w:szCs w:val="18"/>
        </w:rPr>
        <w:t>(3) Ist die Einhaltung des in Absatz 1 festgelegten Immissionsgrenzwertes in einem Bundesland aufgrund standortspezifischer Ausbreitungsbedingungen oder maßgebender klimatischer Bedingungen, wie geringe Windgeschwindigkeit und/oder verdunstungsfördernde Bedingungen, schwierig und würde die Anwendung der Maßnahmen zu schwerwiegenden sozioökonomischen Problemen führen, so bittet das Bundesminister</w:t>
      </w:r>
      <w:r>
        <w:rPr>
          <w:rFonts w:cs="Arial"/>
          <w:szCs w:val="18"/>
        </w:rPr>
        <w:t>i</w:t>
      </w:r>
      <w:r>
        <w:rPr>
          <w:rFonts w:cs="Arial"/>
          <w:szCs w:val="18"/>
        </w:rPr>
        <w:t>um für Umwelt, Naturschutz und Reaktorsicherheit auf Antrag dieses Bundeslandes bei der Kommission um eine auf höchstens fünf Jahre begrenzte Verlängerung der Frist des Absatzes 1. Zu diesem Zweck</w:t>
      </w:r>
    </w:p>
    <w:p>
      <w:pPr>
        <w:pStyle w:val="GesAbsatz"/>
        <w:tabs>
          <w:tab w:val="clear" w:pos="425"/>
          <w:tab w:val="left" w:pos="426"/>
        </w:tabs>
        <w:rPr>
          <w:rFonts w:cs="Arial"/>
          <w:szCs w:val="18"/>
        </w:rPr>
      </w:pPr>
      <w:r>
        <w:rPr>
          <w:rFonts w:cs="Arial"/>
          <w:szCs w:val="18"/>
        </w:rPr>
        <w:t>-</w:t>
      </w:r>
      <w:r>
        <w:rPr>
          <w:rFonts w:cs="Arial"/>
          <w:szCs w:val="18"/>
        </w:rPr>
        <w:tab/>
        <w:t>benennt das Bundesland die betreffenden Gebiete und Ballungsräume,</w:t>
      </w:r>
    </w:p>
    <w:p>
      <w:pPr>
        <w:pStyle w:val="GesAbsatz"/>
        <w:tabs>
          <w:tab w:val="clear" w:pos="425"/>
          <w:tab w:val="left" w:pos="426"/>
        </w:tabs>
        <w:rPr>
          <w:rFonts w:cs="Arial"/>
          <w:szCs w:val="18"/>
        </w:rPr>
      </w:pPr>
      <w:r>
        <w:rPr>
          <w:rFonts w:cs="Arial"/>
          <w:szCs w:val="18"/>
        </w:rPr>
        <w:t>-</w:t>
      </w:r>
      <w:r>
        <w:rPr>
          <w:rFonts w:cs="Arial"/>
          <w:szCs w:val="18"/>
        </w:rPr>
        <w:tab/>
        <w:t>erbringt das Bundesland den Nachweis, dass die Verlängerung gerechtfertigt ist,</w:t>
      </w:r>
    </w:p>
    <w:p>
      <w:pPr>
        <w:pStyle w:val="GesAbsatz"/>
        <w:tabs>
          <w:tab w:val="clear" w:pos="425"/>
          <w:tab w:val="left" w:pos="426"/>
        </w:tabs>
        <w:ind w:left="426" w:hanging="426"/>
        <w:rPr>
          <w:rFonts w:cs="Arial"/>
          <w:szCs w:val="18"/>
        </w:rPr>
      </w:pPr>
      <w:r>
        <w:rPr>
          <w:rFonts w:cs="Arial"/>
          <w:szCs w:val="18"/>
        </w:rPr>
        <w:t>-</w:t>
      </w:r>
      <w:r>
        <w:rPr>
          <w:rFonts w:cs="Arial"/>
          <w:szCs w:val="18"/>
        </w:rPr>
        <w:tab/>
        <w:t>weist das Bundesland nach, dass alle zumutbaren Maßnahmen zur Senkung der Konzentrationen der betreffenden Schadstoffe und zur weitest möglichen Eingrenzung des Gebiets, in dem der Immission</w:t>
      </w:r>
      <w:r>
        <w:rPr>
          <w:rFonts w:cs="Arial"/>
          <w:szCs w:val="18"/>
        </w:rPr>
        <w:t>s</w:t>
      </w:r>
      <w:r>
        <w:rPr>
          <w:rFonts w:cs="Arial"/>
          <w:szCs w:val="18"/>
        </w:rPr>
        <w:t>grenzwert überschritten ist, ergriffen wurden, und</w:t>
      </w:r>
    </w:p>
    <w:p>
      <w:pPr>
        <w:pStyle w:val="GesAbsatz"/>
        <w:tabs>
          <w:tab w:val="clear" w:pos="425"/>
          <w:tab w:val="left" w:pos="426"/>
        </w:tabs>
        <w:ind w:left="426" w:hanging="426"/>
        <w:rPr>
          <w:rFonts w:cs="Arial"/>
          <w:szCs w:val="18"/>
        </w:rPr>
      </w:pPr>
      <w:r>
        <w:rPr>
          <w:rFonts w:cs="Arial"/>
          <w:szCs w:val="18"/>
        </w:rPr>
        <w:t>-</w:t>
      </w:r>
      <w:r>
        <w:rPr>
          <w:rFonts w:cs="Arial"/>
          <w:szCs w:val="18"/>
        </w:rPr>
        <w:tab/>
        <w:t>skizziert das Bundesland die künftigen Entwicklungen im Hinblick auf die von ihm beabsichtigten Ma</w:t>
      </w:r>
      <w:r>
        <w:rPr>
          <w:rFonts w:cs="Arial"/>
          <w:szCs w:val="18"/>
        </w:rPr>
        <w:t>ß</w:t>
      </w:r>
      <w:r>
        <w:rPr>
          <w:rFonts w:cs="Arial"/>
          <w:szCs w:val="18"/>
        </w:rPr>
        <w:t xml:space="preserve">nahmen. </w:t>
      </w:r>
    </w:p>
    <w:p>
      <w:pPr>
        <w:pStyle w:val="GesAbsatz"/>
        <w:rPr>
          <w:rFonts w:cs="Arial"/>
          <w:szCs w:val="18"/>
        </w:rPr>
      </w:pPr>
      <w:r>
        <w:rPr>
          <w:rFonts w:cs="Arial"/>
          <w:szCs w:val="18"/>
        </w:rPr>
        <w:t>Der während dieser Verlängerung zulässige Immissionsgrenzwert für Benzol darf 10 µg/m</w:t>
      </w:r>
      <w:r>
        <w:rPr>
          <w:rFonts w:cs="Arial"/>
          <w:szCs w:val="12"/>
          <w:vertAlign w:val="superscript"/>
        </w:rPr>
        <w:t>3</w:t>
      </w:r>
      <w:r>
        <w:rPr>
          <w:rFonts w:cs="Arial"/>
          <w:szCs w:val="12"/>
        </w:rPr>
        <w:t xml:space="preserve"> </w:t>
      </w:r>
      <w:r>
        <w:rPr>
          <w:rFonts w:cs="Arial"/>
          <w:szCs w:val="18"/>
        </w:rPr>
        <w:t>nicht überschre</w:t>
      </w:r>
      <w:r>
        <w:rPr>
          <w:rFonts w:cs="Arial"/>
          <w:szCs w:val="18"/>
        </w:rPr>
        <w:t>i</w:t>
      </w:r>
      <w:r>
        <w:rPr>
          <w:rFonts w:cs="Arial"/>
          <w:szCs w:val="18"/>
        </w:rPr>
        <w:t>ten.</w:t>
      </w:r>
    </w:p>
    <w:p>
      <w:pPr>
        <w:pStyle w:val="GesAbsatz"/>
        <w:rPr>
          <w:rFonts w:cs="Arial"/>
          <w:szCs w:val="18"/>
        </w:rPr>
      </w:pPr>
      <w:r>
        <w:rPr>
          <w:rFonts w:cs="Arial"/>
          <w:szCs w:val="18"/>
        </w:rPr>
        <w:t>(4) Die Immissionsgrenzwerte beziehen sich auf den Normzustand, der durch eine Temperatur von 293 Ke</w:t>
      </w:r>
      <w:r>
        <w:rPr>
          <w:rFonts w:cs="Arial"/>
          <w:szCs w:val="18"/>
        </w:rPr>
        <w:t>l</w:t>
      </w:r>
      <w:r>
        <w:rPr>
          <w:rFonts w:cs="Arial"/>
          <w:szCs w:val="18"/>
        </w:rPr>
        <w:t>vin und einen Druck von 101,3 Kilopascal definiert wird.</w:t>
      </w:r>
    </w:p>
    <w:p>
      <w:pPr>
        <w:pStyle w:val="berschrift3"/>
      </w:pPr>
      <w:bookmarkStart w:id="12" w:name="_Toc174110500"/>
      <w:r>
        <w:t>§ 7</w:t>
      </w:r>
      <w:r>
        <w:br/>
        <w:t>Immissionsgrenzwert und Toleranzmarge für Kohlenmonoxid</w:t>
      </w:r>
      <w:bookmarkEnd w:id="12"/>
    </w:p>
    <w:p>
      <w:pPr>
        <w:pStyle w:val="GesAbsatz"/>
      </w:pPr>
      <w:r>
        <w:t>(1) Für Kohlenmonoxid beträgt der gemäß Absatz 2 ermittelte Immissionsgrenzwert für den Schutz der menschlichen Gesundheit</w:t>
      </w:r>
    </w:p>
    <w:p>
      <w:pPr>
        <w:pStyle w:val="GesAbsatz"/>
        <w:jc w:val="center"/>
      </w:pPr>
      <w:r>
        <w:t>10 Milligramm pro Kubikmeter.</w:t>
      </w:r>
    </w:p>
    <w:p>
      <w:pPr>
        <w:pStyle w:val="GesAbsatz"/>
        <w:rPr>
          <w:rFonts w:cs="Arial"/>
          <w:szCs w:val="18"/>
        </w:rPr>
      </w:pPr>
      <w:r>
        <w:rPr>
          <w:rFonts w:cs="Arial"/>
          <w:szCs w:val="18"/>
        </w:rPr>
        <w:t xml:space="preserve">(2) Der höchste Achtstundenmittelwert der Konzentration eines Tages wird ermittelt, indem die gleitenden Achtstundenmittelwerte geprüft werden, die aus Einstundenmittelwerten berechnet und stündlich aktualisiert werden. Jeder auf diese Weise errechnete Achtstundenmittelwert gilt für den Tag, an dem dieser Zeitraum endet, d.h., dass der erste Berechnungszeitraum für jeden einzelnen Tag die Zeitspanne von </w:t>
      </w:r>
      <w:smartTag w:uri="urn:schemas-microsoft-com:office:smarttags" w:element="time">
        <w:smartTagPr>
          <w:attr w:name="Hour" w:val="17"/>
          <w:attr w:name="Minute" w:val="00"/>
        </w:smartTagPr>
        <w:r>
          <w:rPr>
            <w:rFonts w:cs="Arial"/>
            <w:szCs w:val="18"/>
          </w:rPr>
          <w:t>17.00</w:t>
        </w:r>
      </w:smartTag>
      <w:r>
        <w:rPr>
          <w:rFonts w:cs="Arial"/>
          <w:szCs w:val="18"/>
        </w:rPr>
        <w:t xml:space="preserve"> Uhr des vorangegangenen Tages bis </w:t>
      </w:r>
      <w:smartTag w:uri="urn:schemas-microsoft-com:office:smarttags" w:element="time">
        <w:smartTagPr>
          <w:attr w:name="Hour" w:val="1"/>
          <w:attr w:name="Minute" w:val="00"/>
        </w:smartTagPr>
        <w:r>
          <w:rPr>
            <w:rFonts w:cs="Arial"/>
            <w:szCs w:val="18"/>
          </w:rPr>
          <w:t>1.00</w:t>
        </w:r>
      </w:smartTag>
      <w:r>
        <w:rPr>
          <w:rFonts w:cs="Arial"/>
          <w:szCs w:val="18"/>
        </w:rPr>
        <w:t xml:space="preserve"> Uhr des betreffenden Tages umfasst, während für den letzten Berec</w:t>
      </w:r>
      <w:r>
        <w:rPr>
          <w:rFonts w:cs="Arial"/>
          <w:szCs w:val="18"/>
        </w:rPr>
        <w:t>h</w:t>
      </w:r>
      <w:r>
        <w:rPr>
          <w:rFonts w:cs="Arial"/>
          <w:szCs w:val="18"/>
        </w:rPr>
        <w:t xml:space="preserve">nungszeitraum jeweils die Stunden von </w:t>
      </w:r>
      <w:smartTag w:uri="urn:schemas-microsoft-com:office:smarttags" w:element="time">
        <w:smartTagPr>
          <w:attr w:name="Hour" w:val="16"/>
          <w:attr w:name="Minute" w:val="00"/>
        </w:smartTagPr>
        <w:r>
          <w:rPr>
            <w:rFonts w:cs="Arial"/>
            <w:szCs w:val="18"/>
          </w:rPr>
          <w:t>16.00</w:t>
        </w:r>
      </w:smartTag>
      <w:r>
        <w:rPr>
          <w:rFonts w:cs="Arial"/>
          <w:szCs w:val="18"/>
        </w:rPr>
        <w:t xml:space="preserve"> Uhr bis 24.00 Uhr des betreffenden Tages zugrunde gelegt werden.</w:t>
      </w:r>
    </w:p>
    <w:p>
      <w:pPr>
        <w:pStyle w:val="GesAbsatz"/>
      </w:pPr>
      <w:r>
        <w:t>(4) Der Immissionsgrenzwert bezieht sich auf den Normzustand, der durch eine Temperatur von 293 Kelvin und einen Druck von 101,3 Kilopascal definiert wird.</w:t>
      </w:r>
    </w:p>
    <w:p>
      <w:pPr>
        <w:pStyle w:val="berschrift3"/>
      </w:pPr>
      <w:bookmarkStart w:id="13" w:name="_Toc174110501"/>
      <w:r>
        <w:t>§ 8</w:t>
      </w:r>
      <w:r>
        <w:br/>
        <w:t>(aufgehoben)</w:t>
      </w:r>
      <w:bookmarkEnd w:id="13"/>
    </w:p>
    <w:p>
      <w:pPr>
        <w:pStyle w:val="berschrift3"/>
        <w:rPr>
          <w:rFonts w:cs="Arial"/>
          <w:bCs/>
          <w:szCs w:val="18"/>
        </w:rPr>
      </w:pPr>
      <w:bookmarkStart w:id="14" w:name="_Toc174110502"/>
      <w:r>
        <w:rPr>
          <w:rFonts w:cs="Arial"/>
          <w:szCs w:val="18"/>
        </w:rPr>
        <w:t>§ 9</w:t>
      </w:r>
      <w:r>
        <w:rPr>
          <w:rFonts w:cs="Arial"/>
          <w:szCs w:val="18"/>
        </w:rPr>
        <w:br/>
      </w:r>
      <w:r>
        <w:t>Festlegung der Ballungsräume und Einstufung der Gebiete und Ballungsräume</w:t>
      </w:r>
      <w:bookmarkEnd w:id="14"/>
    </w:p>
    <w:p>
      <w:pPr>
        <w:pStyle w:val="GesAbsatz"/>
        <w:rPr>
          <w:rFonts w:cs="Arial"/>
          <w:szCs w:val="18"/>
        </w:rPr>
      </w:pPr>
      <w:r>
        <w:rPr>
          <w:rFonts w:cs="Arial"/>
          <w:szCs w:val="18"/>
        </w:rPr>
        <w:t>(1) Die nachfolgenden Absätze gelten nicht für den in § 3 Abs. 1 festgesetzten Immissionsgren</w:t>
      </w:r>
      <w:r>
        <w:rPr>
          <w:rFonts w:cs="Arial"/>
          <w:szCs w:val="18"/>
        </w:rPr>
        <w:t>z</w:t>
      </w:r>
      <w:r>
        <w:rPr>
          <w:rFonts w:cs="Arial"/>
          <w:szCs w:val="18"/>
        </w:rPr>
        <w:t>wert.</w:t>
      </w:r>
    </w:p>
    <w:p>
      <w:pPr>
        <w:pStyle w:val="GesAbsatz"/>
        <w:rPr>
          <w:rFonts w:cs="Arial"/>
          <w:szCs w:val="18"/>
        </w:rPr>
      </w:pPr>
      <w:r>
        <w:rPr>
          <w:rFonts w:cs="Arial"/>
          <w:szCs w:val="18"/>
        </w:rPr>
        <w:lastRenderedPageBreak/>
        <w:t>(2) Die zuständigen Behörden legen die Ballungsräume fest. Sie stufen jährlich Gebiete und Ballungsräume wie folgt ein:</w:t>
      </w:r>
    </w:p>
    <w:p>
      <w:pPr>
        <w:pStyle w:val="GesAbsatz"/>
        <w:rPr>
          <w:rFonts w:cs="Arial"/>
          <w:szCs w:val="18"/>
        </w:rPr>
      </w:pPr>
      <w:r>
        <w:rPr>
          <w:rFonts w:cs="Arial"/>
          <w:szCs w:val="18"/>
        </w:rPr>
        <w:t>Gebiete und Ballungsräume</w:t>
      </w:r>
    </w:p>
    <w:p>
      <w:pPr>
        <w:pStyle w:val="GesAbsatz"/>
        <w:tabs>
          <w:tab w:val="clear" w:pos="425"/>
          <w:tab w:val="left" w:pos="426"/>
        </w:tabs>
        <w:rPr>
          <w:rFonts w:cs="Arial"/>
          <w:szCs w:val="18"/>
        </w:rPr>
      </w:pPr>
      <w:r>
        <w:rPr>
          <w:rFonts w:cs="Arial"/>
          <w:szCs w:val="18"/>
        </w:rPr>
        <w:t>1.</w:t>
      </w:r>
      <w:r>
        <w:rPr>
          <w:rFonts w:cs="Arial"/>
          <w:szCs w:val="18"/>
        </w:rPr>
        <w:tab/>
        <w:t>mit Werten oberhalb der Summe von Immissionsgrenzwert und Toleranzmarge;</w:t>
      </w:r>
    </w:p>
    <w:p>
      <w:pPr>
        <w:pStyle w:val="GesAbsatz"/>
        <w:tabs>
          <w:tab w:val="clear" w:pos="425"/>
          <w:tab w:val="left" w:pos="426"/>
        </w:tabs>
        <w:ind w:left="426" w:hanging="426"/>
        <w:rPr>
          <w:rFonts w:cs="Arial"/>
          <w:szCs w:val="18"/>
        </w:rPr>
      </w:pPr>
      <w:r>
        <w:rPr>
          <w:rFonts w:cs="Arial"/>
          <w:szCs w:val="18"/>
        </w:rPr>
        <w:t>2.</w:t>
      </w:r>
      <w:r>
        <w:rPr>
          <w:rFonts w:cs="Arial"/>
          <w:szCs w:val="18"/>
        </w:rPr>
        <w:tab/>
        <w:t>mit Werten oberhalb des Immissionsgrenzwertes bis einschließlich dem Wert aus Summe von Immiss</w:t>
      </w:r>
      <w:r>
        <w:rPr>
          <w:rFonts w:cs="Arial"/>
          <w:szCs w:val="18"/>
        </w:rPr>
        <w:t>i</w:t>
      </w:r>
      <w:r>
        <w:rPr>
          <w:rFonts w:cs="Arial"/>
          <w:szCs w:val="18"/>
        </w:rPr>
        <w:t>onsgrenzwert und Toleranzmarge;</w:t>
      </w:r>
    </w:p>
    <w:p>
      <w:pPr>
        <w:pStyle w:val="GesAbsatz"/>
        <w:tabs>
          <w:tab w:val="clear" w:pos="425"/>
          <w:tab w:val="left" w:pos="426"/>
        </w:tabs>
        <w:rPr>
          <w:rFonts w:cs="Arial"/>
          <w:szCs w:val="18"/>
        </w:rPr>
      </w:pPr>
      <w:r>
        <w:rPr>
          <w:rFonts w:cs="Arial"/>
          <w:szCs w:val="18"/>
        </w:rPr>
        <w:t>3.</w:t>
      </w:r>
      <w:r>
        <w:rPr>
          <w:rFonts w:cs="Arial"/>
          <w:szCs w:val="18"/>
        </w:rPr>
        <w:tab/>
        <w:t>mit Werten gleich oder unterhalb des Immissionsgrenzwertes.</w:t>
      </w:r>
    </w:p>
    <w:p>
      <w:pPr>
        <w:pStyle w:val="GesAbsatz"/>
        <w:rPr>
          <w:rFonts w:cs="Arial"/>
          <w:szCs w:val="18"/>
        </w:rPr>
      </w:pPr>
      <w:r>
        <w:rPr>
          <w:rFonts w:cs="Arial"/>
          <w:szCs w:val="18"/>
        </w:rPr>
        <w:t>(3) Die Festlegung der Gebiete wird spätestens alle fünf Jahre nach dem Verfahren der Anlage 1 A</w:t>
      </w:r>
      <w:r>
        <w:rPr>
          <w:rFonts w:cs="Arial"/>
          <w:szCs w:val="18"/>
        </w:rPr>
        <w:t>b</w:t>
      </w:r>
      <w:r>
        <w:rPr>
          <w:rFonts w:cs="Arial"/>
          <w:szCs w:val="18"/>
        </w:rPr>
        <w:t>schnitt II überprüft. Sie wird bei signifikanten Änderungen der Konzentration der Schadstoffe früher übe</w:t>
      </w:r>
      <w:r>
        <w:rPr>
          <w:rFonts w:cs="Arial"/>
          <w:szCs w:val="18"/>
        </w:rPr>
        <w:t>r</w:t>
      </w:r>
      <w:r>
        <w:rPr>
          <w:rFonts w:cs="Arial"/>
          <w:szCs w:val="18"/>
        </w:rPr>
        <w:t>prüft.</w:t>
      </w:r>
    </w:p>
    <w:p>
      <w:pPr>
        <w:pStyle w:val="GesAbsatz"/>
        <w:ind w:left="426" w:hanging="426"/>
        <w:rPr>
          <w:rFonts w:cs="Arial"/>
          <w:szCs w:val="18"/>
        </w:rPr>
      </w:pPr>
      <w:r>
        <w:rPr>
          <w:rFonts w:cs="Arial"/>
          <w:szCs w:val="18"/>
        </w:rPr>
        <w:t>(4) Die zuständigen Behörden weisen Probenahmestellen aus, die</w:t>
      </w:r>
    </w:p>
    <w:p>
      <w:pPr>
        <w:pStyle w:val="GesAbsatz"/>
        <w:ind w:left="426" w:hanging="426"/>
        <w:rPr>
          <w:rFonts w:cs="Arial"/>
          <w:szCs w:val="18"/>
        </w:rPr>
      </w:pPr>
      <w:r>
        <w:rPr>
          <w:rFonts w:cs="Arial"/>
          <w:szCs w:val="18"/>
        </w:rPr>
        <w:t>1.</w:t>
      </w:r>
      <w:r>
        <w:rPr>
          <w:rFonts w:cs="Arial"/>
          <w:szCs w:val="18"/>
        </w:rPr>
        <w:tab/>
        <w:t>für den Schutz von Ökosystemen repräsentativ sind; für diese findet der Immissionsgrenzwert für Schw</w:t>
      </w:r>
      <w:r>
        <w:rPr>
          <w:rFonts w:cs="Arial"/>
          <w:szCs w:val="18"/>
        </w:rPr>
        <w:t>e</w:t>
      </w:r>
      <w:r>
        <w:rPr>
          <w:rFonts w:cs="Arial"/>
          <w:szCs w:val="18"/>
        </w:rPr>
        <w:t>feldioxid nach § 2 Abs. 3 Anwendung,</w:t>
      </w:r>
    </w:p>
    <w:p>
      <w:pPr>
        <w:pStyle w:val="GesAbsatz"/>
        <w:ind w:left="426" w:hanging="426"/>
        <w:rPr>
          <w:rFonts w:cs="Arial"/>
          <w:szCs w:val="18"/>
        </w:rPr>
      </w:pPr>
      <w:r>
        <w:rPr>
          <w:rFonts w:cs="Arial"/>
          <w:szCs w:val="18"/>
        </w:rPr>
        <w:t>2.</w:t>
      </w:r>
      <w:r>
        <w:rPr>
          <w:rFonts w:cs="Arial"/>
          <w:szCs w:val="18"/>
        </w:rPr>
        <w:tab/>
        <w:t>für den Schutz der Vegetation repräsentativ sind; für diese findet der Immissionsgrenzwert für Stic</w:t>
      </w:r>
      <w:r>
        <w:rPr>
          <w:rFonts w:cs="Arial"/>
          <w:szCs w:val="18"/>
        </w:rPr>
        <w:t>k</w:t>
      </w:r>
      <w:r>
        <w:rPr>
          <w:rFonts w:cs="Arial"/>
          <w:szCs w:val="18"/>
        </w:rPr>
        <w:t>stoffoxide nach § 3 Abs. 6 Anwendung.</w:t>
      </w:r>
    </w:p>
    <w:p>
      <w:pPr>
        <w:pStyle w:val="berschrift3"/>
      </w:pPr>
      <w:bookmarkStart w:id="15" w:name="_Toc174110503"/>
      <w:r>
        <w:t>§ 10</w:t>
      </w:r>
      <w:r>
        <w:br/>
        <w:t>Beurteilung der Luftqualität</w:t>
      </w:r>
      <w:bookmarkEnd w:id="15"/>
    </w:p>
    <w:p>
      <w:pPr>
        <w:pStyle w:val="GesAbsatz"/>
      </w:pPr>
      <w:r>
        <w:rPr>
          <w:rFonts w:cs="Arial"/>
          <w:szCs w:val="18"/>
        </w:rPr>
        <w:t>(1) Die zuständigen Behörden haben die Luftqualität für die gesamte Fläche ihres Landes in einem bestim</w:t>
      </w:r>
      <w:r>
        <w:rPr>
          <w:rFonts w:cs="Arial"/>
          <w:szCs w:val="18"/>
        </w:rPr>
        <w:t>m</w:t>
      </w:r>
      <w:r>
        <w:rPr>
          <w:rFonts w:cs="Arial"/>
          <w:szCs w:val="18"/>
        </w:rPr>
        <w:t xml:space="preserve">ten </w:t>
      </w:r>
      <w:r>
        <w:t>Zeitraum oder fortlaufend nach Maßgabe der nachfolgenden Absätze zu beurteilen. Die Einst</w:t>
      </w:r>
      <w:r>
        <w:t>u</w:t>
      </w:r>
      <w:r>
        <w:t>fung jedes Gebiets oder Ballungsraums für Zwecke der Anwendung der Absätze 2 bis 4 wird spätestens alle fünf Jahre nach dem Verfahren der Anlage 1 Abschnitt II überprüft. Sie wird bei signifikanten Änderungen der Konze</w:t>
      </w:r>
      <w:r>
        <w:t>n</w:t>
      </w:r>
      <w:r>
        <w:t>tration der Schadstoffe früher überprüft.</w:t>
      </w:r>
    </w:p>
    <w:p>
      <w:pPr>
        <w:pStyle w:val="GesAbsatz"/>
      </w:pPr>
      <w:r>
        <w:t>(2) Die zuständigen Behörden haben zur Beurteilung der Konzentrationen der einzelnen Schadstoffe Me</w:t>
      </w:r>
      <w:r>
        <w:t>s</w:t>
      </w:r>
      <w:r>
        <w:t>sungen nach den Anlagen 2 bis 5 durchzuführen</w:t>
      </w:r>
    </w:p>
    <w:p>
      <w:pPr>
        <w:pStyle w:val="GesAbsatz"/>
        <w:ind w:left="426" w:hanging="426"/>
      </w:pPr>
      <w:r>
        <w:t>-</w:t>
      </w:r>
      <w:r>
        <w:tab/>
        <w:t>in Ballungsräumen, wenn die Werte die in der Anlage 1 festgelegten unteren Beurteilungsschwellen übe</w:t>
      </w:r>
      <w:r>
        <w:t>r</w:t>
      </w:r>
      <w:r>
        <w:t>schreiten,</w:t>
      </w:r>
    </w:p>
    <w:p>
      <w:pPr>
        <w:pStyle w:val="GesAbsatz"/>
        <w:ind w:left="426" w:hanging="426"/>
      </w:pPr>
      <w:r>
        <w:t>-</w:t>
      </w:r>
      <w:r>
        <w:tab/>
        <w:t>in Ballungsräumen bei Stoffen, für die Alarmschwellen festgelegt sind,</w:t>
      </w:r>
    </w:p>
    <w:p>
      <w:pPr>
        <w:pStyle w:val="GesAbsatz"/>
        <w:ind w:left="426" w:hanging="426"/>
      </w:pPr>
      <w:r>
        <w:t>-</w:t>
      </w:r>
      <w:r>
        <w:tab/>
        <w:t>in Gebieten, in denen die Werte die in der Anlage 1 festgelegten unteren Beurteilungsschwellen übe</w:t>
      </w:r>
      <w:r>
        <w:t>r</w:t>
      </w:r>
      <w:r>
        <w:t>schreiten.</w:t>
      </w:r>
    </w:p>
    <w:p>
      <w:pPr>
        <w:pStyle w:val="GesAbsatz"/>
      </w:pPr>
      <w:r>
        <w:t>Um angemessene Informationen über die Luftqualität zu erhalten, können für ihre Beurteilung ergänzende M</w:t>
      </w:r>
      <w:r>
        <w:t>o</w:t>
      </w:r>
      <w:r>
        <w:t>dellrechnungen durchgeführt werden.</w:t>
      </w:r>
    </w:p>
    <w:p>
      <w:pPr>
        <w:pStyle w:val="GesAbsatz"/>
      </w:pPr>
      <w:r>
        <w:t>(3) Zur Beurteilung der Luftqualität kann eine Kombination von Messungen und Modellrechnungen ang</w:t>
      </w:r>
      <w:r>
        <w:t>e</w:t>
      </w:r>
      <w:r>
        <w:t>wandt werden, wenn die Werte über einen repräsentativen Zeitraum zwischen der oberen und der unteren Beurteilungsschwelle liegen. Die Modellrechnungen müssen den Anforderungen der Anlage 4 genügen.</w:t>
      </w:r>
    </w:p>
    <w:p>
      <w:pPr>
        <w:pStyle w:val="GesAbsatz"/>
      </w:pPr>
      <w:r>
        <w:t>(4) Wenn die Werte unterhalb der unteren Beurteilungsschwelle liegen, genügen für ihre Beurteilung Model</w:t>
      </w:r>
      <w:r>
        <w:t>l</w:t>
      </w:r>
      <w:r>
        <w:t>rechnungen oder Schätzverfahren. In diesem Fall und in solchen Gebieten und Ballungsräumen, in d</w:t>
      </w:r>
      <w:r>
        <w:t>e</w:t>
      </w:r>
      <w:r>
        <w:t>nen Informationen von ortsfesten Probenahmestellen durch Informationen aus anderen Quellen, wie Emission</w:t>
      </w:r>
      <w:r>
        <w:t>s</w:t>
      </w:r>
      <w:r>
        <w:t>katastern, orientierenden Messungen oder Ergebnissen aus Modellrechnungen, ergänzt werden, mü</w:t>
      </w:r>
      <w:r>
        <w:t>s</w:t>
      </w:r>
      <w:r>
        <w:t>sen die Ergebnisse der Messungen und anderer Verfahren die Anforderungen der Anlage 4 erfüllen.</w:t>
      </w:r>
    </w:p>
    <w:p>
      <w:pPr>
        <w:pStyle w:val="GesAbsatz"/>
      </w:pPr>
      <w:r>
        <w:t>(5) Die Messung von Schadstoffen hat an ortsfesten Probenahmestellen so häufig zu erfolgen, dass die We</w:t>
      </w:r>
      <w:r>
        <w:t>r</w:t>
      </w:r>
      <w:r>
        <w:t>te mit der in Anlage 4 festgelegten Qualität bestimmt werden können.</w:t>
      </w:r>
    </w:p>
    <w:p>
      <w:pPr>
        <w:pStyle w:val="GesAbsatz"/>
      </w:pPr>
      <w:r>
        <w:t>(6) Für die kontinuierliche Überwachung der Luftqualität sind Messeinrichtungen einzusetzen, die die Qual</w:t>
      </w:r>
      <w:r>
        <w:t>i</w:t>
      </w:r>
      <w:r>
        <w:t>tätsanforderungen der Anlagen 4 und 5 erfüllen.</w:t>
      </w:r>
    </w:p>
    <w:p>
      <w:pPr>
        <w:pStyle w:val="GesAbsatz"/>
      </w:pPr>
      <w:r>
        <w:t>(7) Die Festlegung der Standorte von Probenahmestellen zur Messung der in den §§ 2 bis 7 genannten Schadstoffe richtet sich nach den in Anlage 2 aufgeführten Kriterien. Nach Anlage 3 bestimmt sich die Mi</w:t>
      </w:r>
      <w:r>
        <w:t>n</w:t>
      </w:r>
      <w:r>
        <w:t>destzahl der ortsfesten Probenahmestellen für die Messung der Konzentrationen jedes relevanten Schadsto</w:t>
      </w:r>
      <w:r>
        <w:t>f</w:t>
      </w:r>
      <w:r>
        <w:t>fes, die in jedem Gebiet oder Ballungsraum einzurichten sind, in dem Messungen vorgenommen werden müssen, sofern Daten über die Konzentration in dem Gebiet oder Ballungsraum ausschließlich durch Me</w:t>
      </w:r>
      <w:r>
        <w:t>s</w:t>
      </w:r>
      <w:r>
        <w:t>sungen gewonnen werden.</w:t>
      </w:r>
    </w:p>
    <w:p>
      <w:pPr>
        <w:pStyle w:val="GesAbsatz"/>
      </w:pPr>
      <w:r>
        <w:t>(8) Die Referenzmethoden sind</w:t>
      </w:r>
    </w:p>
    <w:p>
      <w:pPr>
        <w:pStyle w:val="GesAbsatz"/>
        <w:ind w:left="426" w:hanging="426"/>
      </w:pPr>
      <w:r>
        <w:lastRenderedPageBreak/>
        <w:t>–</w:t>
      </w:r>
      <w:r>
        <w:tab/>
        <w:t>für die Analyse von Schwefeldioxid, Stickstoffdioxid und Stickstoffoxiden sowie für die Probenahme und Analyse von Blei in Anlage 5 Abschnitte I bis III,</w:t>
      </w:r>
    </w:p>
    <w:p>
      <w:pPr>
        <w:pStyle w:val="GesAbsatz"/>
        <w:ind w:left="426" w:hanging="426"/>
      </w:pPr>
      <w:r>
        <w:t>-</w:t>
      </w:r>
      <w:r>
        <w:tab/>
        <w:t>für die Probenahme und Messung der PM</w:t>
      </w:r>
      <w:r>
        <w:rPr>
          <w:sz w:val="12"/>
          <w:szCs w:val="12"/>
        </w:rPr>
        <w:t>10</w:t>
      </w:r>
      <w:r>
        <w:t>-Konzentration in Anlage 5 Abschnitt IV,</w:t>
      </w:r>
    </w:p>
    <w:p>
      <w:pPr>
        <w:pStyle w:val="GesAbsatz"/>
        <w:ind w:left="426" w:hanging="426"/>
      </w:pPr>
      <w:r>
        <w:t>-</w:t>
      </w:r>
      <w:r>
        <w:tab/>
        <w:t>für die Analyse und Probenahme von Benzol und Kohlenmonoxid in Anlage 5 Abschnitte VI und VII</w:t>
      </w:r>
    </w:p>
    <w:p>
      <w:pPr>
        <w:pStyle w:val="GesAbsatz"/>
      </w:pPr>
      <w:r>
        <w:t>festgelegt. Andere Probenahme- und Analysemethoden sind zulässig, wenn die Gleichwertigkeit der Erge</w:t>
      </w:r>
      <w:r>
        <w:t>b</w:t>
      </w:r>
      <w:r>
        <w:t>nisse mit der Referenzmethode gewährleistet ist.</w:t>
      </w:r>
    </w:p>
    <w:p>
      <w:pPr>
        <w:pStyle w:val="GesAbsatz"/>
      </w:pPr>
      <w:r>
        <w:t>(9) Die zuständigen Behörden stellen sicher, dass insgesamt ausreichend Probenahmestellen zur Bereitste</w:t>
      </w:r>
      <w:r>
        <w:t>l</w:t>
      </w:r>
      <w:r>
        <w:t>lung von Daten über die PM</w:t>
      </w:r>
      <w:r>
        <w:rPr>
          <w:szCs w:val="12"/>
          <w:vertAlign w:val="subscript"/>
        </w:rPr>
        <w:t>2,5</w:t>
      </w:r>
      <w:r>
        <w:t>-Konzentration eingerichtet und betrieben werden. Anzahl und Lage dieser Probenahmestellen sind so zu bestimmen, dass die PM</w:t>
      </w:r>
      <w:r>
        <w:rPr>
          <w:szCs w:val="12"/>
          <w:vertAlign w:val="subscript"/>
        </w:rPr>
        <w:t>2,5</w:t>
      </w:r>
      <w:r>
        <w:t>-Konzentrationen m Bundesgebiet repräsentativ erfasst werden. Soweit möglich sollen diese Probenahmestellen mit den Probenahmestellen für die PM</w:t>
      </w:r>
      <w:r>
        <w:rPr>
          <w:szCs w:val="12"/>
          <w:vertAlign w:val="subscript"/>
        </w:rPr>
        <w:t>10</w:t>
      </w:r>
      <w:r>
        <w:t>-Konzentration zusammengelegt werden. Über die Einzelheiten stimmen sich die Länder untereinander ab.</w:t>
      </w:r>
    </w:p>
    <w:p>
      <w:pPr>
        <w:pStyle w:val="GesAbsatz"/>
      </w:pPr>
      <w:r>
        <w:t>(10) Die zuständigen Behörden stellen hinsichtlich der PM</w:t>
      </w:r>
      <w:r>
        <w:rPr>
          <w:vertAlign w:val="subscript"/>
        </w:rPr>
        <w:t>2,5</w:t>
      </w:r>
      <w:r>
        <w:t>-Konzentrationen jährlich Angaben zum arithm</w:t>
      </w:r>
      <w:r>
        <w:t>e</w:t>
      </w:r>
      <w:r>
        <w:t>tischen Mittel, zum Median, zum 98-Perzentil und zur Höchstkonzentration, die anhand der 24-Stunden-Messwerte in dem betreffenden Jahr berechnet wurden, zusammen; das 98-Perzentil ist entsprechend A</w:t>
      </w:r>
      <w:r>
        <w:t>n</w:t>
      </w:r>
      <w:r>
        <w:t>hang III der Richtlinie 92/72/EWG des Rates vom 21. September 1992 über die Luftverschmutzung durch Ozon (ABl. EG Nr. L 297 S. 1) in der jeweils geltenden Fassung zu berechnen.</w:t>
      </w:r>
    </w:p>
    <w:p>
      <w:pPr>
        <w:pStyle w:val="berschrift3"/>
      </w:pPr>
      <w:bookmarkStart w:id="16" w:name="_Toc174110504"/>
      <w:r>
        <w:t>§ 11</w:t>
      </w:r>
      <w:r>
        <w:br/>
        <w:t>Luftreinhaltepläne, Aktionspläne, Listen von Gebieten und Ballungsräumen</w:t>
      </w:r>
      <w:bookmarkEnd w:id="16"/>
    </w:p>
    <w:p>
      <w:pPr>
        <w:pStyle w:val="GesAbsatz"/>
        <w:rPr>
          <w:rFonts w:cs="Arial"/>
        </w:rPr>
      </w:pPr>
      <w:r>
        <w:t>(1) Immissionsgrenzwerte und Toleranzmargen im Sinne der nachfolgenden Absätze sind die in § 2 Abs. 1 bis 3, § 3 Abs. 2 bis 5, § 4, § 5 Abs. 1 bis 3, § 6 Abs. 1 bis 3 und § 7 Abs. 1 genannten Werte.</w:t>
      </w:r>
      <w:r>
        <w:rPr>
          <w:rFonts w:cs="Arial"/>
        </w:rPr>
        <w:t xml:space="preserve"> Die zuständ</w:t>
      </w:r>
      <w:r>
        <w:rPr>
          <w:rFonts w:cs="Arial"/>
        </w:rPr>
        <w:t>i</w:t>
      </w:r>
      <w:r>
        <w:rPr>
          <w:rFonts w:cs="Arial"/>
        </w:rPr>
        <w:t>gen Behö</w:t>
      </w:r>
      <w:r>
        <w:rPr>
          <w:rFonts w:cs="Arial"/>
        </w:rPr>
        <w:t>r</w:t>
      </w:r>
      <w:r>
        <w:rPr>
          <w:rFonts w:cs="Arial"/>
        </w:rPr>
        <w:t>den stellen die Liste der Gebiete und Ballungsräume auf, in denen die Werte eines oder mehrerer Schadstoffe die Summe von Immissionsgrenzwert und Toleranzmarge überschreiten. Gibt es für einen b</w:t>
      </w:r>
      <w:r>
        <w:rPr>
          <w:rFonts w:cs="Arial"/>
        </w:rPr>
        <w:t>e</w:t>
      </w:r>
      <w:r>
        <w:rPr>
          <w:rFonts w:cs="Arial"/>
        </w:rPr>
        <w:t>stimmten Schadstoff keine Toleranzmarge, so werden die Gebiete und Ballungsräume, in denen der Wert dieses Schadstoffes den Immissionsgrenzwert überschreitet, wie Gebiete und Ballungsräume des Satzes 1 beha</w:t>
      </w:r>
      <w:r>
        <w:rPr>
          <w:rFonts w:cs="Arial"/>
        </w:rPr>
        <w:t>n</w:t>
      </w:r>
      <w:r>
        <w:rPr>
          <w:rFonts w:cs="Arial"/>
        </w:rPr>
        <w:t>delt.</w:t>
      </w:r>
    </w:p>
    <w:p>
      <w:pPr>
        <w:pStyle w:val="GesAbsatz"/>
        <w:rPr>
          <w:rFonts w:cs="Arial"/>
        </w:rPr>
      </w:pPr>
      <w:r>
        <w:rPr>
          <w:rFonts w:cs="Arial"/>
        </w:rPr>
        <w:t>(2) Die zuständigen Behörden erstellen eine Liste der Gebiete und Ballungsräume, in denen die Werte eines oder mehrerer Schadstoffe zwischen dem Immissionsgrenzwert und der Summe von Immissionsgrenzwert und Toleranzmarge liegen.</w:t>
      </w:r>
    </w:p>
    <w:p>
      <w:pPr>
        <w:pStyle w:val="GesAbsatz"/>
        <w:rPr>
          <w:rFonts w:cs="Arial"/>
        </w:rPr>
      </w:pPr>
      <w:r>
        <w:rPr>
          <w:rFonts w:cs="Arial"/>
        </w:rPr>
        <w:t>(3) Luftreinhaltepläne zur Einhaltung der in Absatz 1 genannten Immissionsgrenzwerte umfassen minde</w:t>
      </w:r>
      <w:r>
        <w:rPr>
          <w:rFonts w:cs="Arial"/>
        </w:rPr>
        <w:t>s</w:t>
      </w:r>
      <w:r>
        <w:rPr>
          <w:rFonts w:cs="Arial"/>
        </w:rPr>
        <w:t>tens die in Anlage 6 aufgeführten Angaben. Luftreinhaltepläne zur Verringerung der Konzentration von PM</w:t>
      </w:r>
      <w:r>
        <w:rPr>
          <w:rFonts w:cs="Arial"/>
          <w:szCs w:val="12"/>
          <w:vertAlign w:val="subscript"/>
        </w:rPr>
        <w:t>10</w:t>
      </w:r>
      <w:r>
        <w:rPr>
          <w:rFonts w:cs="Arial"/>
          <w:szCs w:val="12"/>
        </w:rPr>
        <w:t xml:space="preserve"> </w:t>
      </w:r>
      <w:r>
        <w:rPr>
          <w:rFonts w:cs="Arial"/>
        </w:rPr>
        <w:t>mü</w:t>
      </w:r>
      <w:r>
        <w:rPr>
          <w:rFonts w:cs="Arial"/>
        </w:rPr>
        <w:t>s</w:t>
      </w:r>
      <w:r>
        <w:rPr>
          <w:rFonts w:cs="Arial"/>
        </w:rPr>
        <w:t>sen auch auf die Verringerung der Konzentration von PM</w:t>
      </w:r>
      <w:r>
        <w:rPr>
          <w:rFonts w:cs="Arial"/>
          <w:szCs w:val="12"/>
          <w:vertAlign w:val="subscript"/>
        </w:rPr>
        <w:t xml:space="preserve">2,5 </w:t>
      </w:r>
      <w:r>
        <w:rPr>
          <w:rFonts w:cs="Arial"/>
        </w:rPr>
        <w:t>abzielen.</w:t>
      </w:r>
    </w:p>
    <w:p>
      <w:pPr>
        <w:pStyle w:val="GesAbsatz"/>
        <w:rPr>
          <w:rFonts w:cs="Arial"/>
        </w:rPr>
      </w:pPr>
      <w:r>
        <w:rPr>
          <w:rFonts w:cs="Arial"/>
        </w:rPr>
        <w:t>(4) Aktionspläne, die bei der Gefahr der Überschreitung der in Absatz 1 genannten Immissionsgrenzwerte und Alarmschwellen dieser Verordnung zu erstellen sind, können je nach Fall Maßnahmen zur Beschrä</w:t>
      </w:r>
      <w:r>
        <w:rPr>
          <w:rFonts w:cs="Arial"/>
        </w:rPr>
        <w:t>n</w:t>
      </w:r>
      <w:r>
        <w:rPr>
          <w:rFonts w:cs="Arial"/>
        </w:rPr>
        <w:t>kung und soweit erforderlich zur Aussetzung der Tätigkeiten, einschließlich des Kraftfahrzeugverkehrs, vo</w:t>
      </w:r>
      <w:r>
        <w:rPr>
          <w:rFonts w:cs="Arial"/>
        </w:rPr>
        <w:t>r</w:t>
      </w:r>
      <w:r>
        <w:rPr>
          <w:rFonts w:cs="Arial"/>
        </w:rPr>
        <w:t>sehen, die zu der Gefahr einer Überschreitung der Immissionsgrenzwerte und/oder Alarmschwellen beitr</w:t>
      </w:r>
      <w:r>
        <w:rPr>
          <w:rFonts w:cs="Arial"/>
        </w:rPr>
        <w:t>a</w:t>
      </w:r>
      <w:r>
        <w:rPr>
          <w:rFonts w:cs="Arial"/>
        </w:rPr>
        <w:t>gen. Im Falle der Gefahr der Überschreitung von Immissionsgrenzwerten sind Aktionspläne jedoch erst ab den für die Einhaltung dieser Immissionsgrenzwerte festgesetzten Zeitpunkten durchzuführen.</w:t>
      </w:r>
    </w:p>
    <w:p>
      <w:pPr>
        <w:pStyle w:val="GesAbsatz"/>
        <w:rPr>
          <w:rFonts w:cs="Arial"/>
        </w:rPr>
      </w:pPr>
      <w:r>
        <w:rPr>
          <w:rFonts w:cs="Arial"/>
        </w:rPr>
        <w:t>(5) Die zuständigen Behörden können dem Bundesministerium für Umwelt, Naturschutz und Reaktorsiche</w:t>
      </w:r>
      <w:r>
        <w:rPr>
          <w:rFonts w:cs="Arial"/>
        </w:rPr>
        <w:t>r</w:t>
      </w:r>
      <w:r>
        <w:rPr>
          <w:rFonts w:cs="Arial"/>
        </w:rPr>
        <w:t>heit über die nach Landesrecht zuständige Behörde Gebiete oder Ballungsräume benennen, in denen die Konzentration von PM</w:t>
      </w:r>
      <w:r>
        <w:rPr>
          <w:rFonts w:cs="Arial"/>
          <w:szCs w:val="12"/>
          <w:vertAlign w:val="subscript"/>
        </w:rPr>
        <w:t>10</w:t>
      </w:r>
      <w:r>
        <w:rPr>
          <w:rFonts w:cs="Arial"/>
          <w:szCs w:val="12"/>
        </w:rPr>
        <w:t xml:space="preserve"> </w:t>
      </w:r>
      <w:r>
        <w:rPr>
          <w:rFonts w:cs="Arial"/>
        </w:rPr>
        <w:t>die Immissionsgrenzwerte deshalb überschreitet, weil Partikel nach einer Streuung der Straßen mit Sand im Winter aufgewirbelt werden. In diesem Fall muss der Nachweis darüber erbracht werden, dass die Überschreitungen auf derartige Aufwirbelungen zurückzuführen sind und dass angemess</w:t>
      </w:r>
      <w:r>
        <w:rPr>
          <w:rFonts w:cs="Arial"/>
        </w:rPr>
        <w:t>e</w:t>
      </w:r>
      <w:r>
        <w:rPr>
          <w:rFonts w:cs="Arial"/>
        </w:rPr>
        <w:t>ne Maßnahmen getroffen worden sind, diese Belastungen so weit wie möglich zu verringern. In diesen G</w:t>
      </w:r>
      <w:r>
        <w:rPr>
          <w:rFonts w:cs="Arial"/>
        </w:rPr>
        <w:t>e</w:t>
      </w:r>
      <w:r>
        <w:rPr>
          <w:rFonts w:cs="Arial"/>
        </w:rPr>
        <w:t>bieten und Ballungsräumen sind Maßnahmen nur dann durchzuführen, wenn die Überschreitung der Immi</w:t>
      </w:r>
      <w:r>
        <w:rPr>
          <w:rFonts w:cs="Arial"/>
        </w:rPr>
        <w:t>s</w:t>
      </w:r>
      <w:r>
        <w:rPr>
          <w:rFonts w:cs="Arial"/>
        </w:rPr>
        <w:t>sionsgrenzwerte für PM</w:t>
      </w:r>
      <w:r>
        <w:rPr>
          <w:rFonts w:cs="Arial"/>
          <w:szCs w:val="12"/>
          <w:vertAlign w:val="subscript"/>
        </w:rPr>
        <w:t xml:space="preserve">10 </w:t>
      </w:r>
      <w:r>
        <w:rPr>
          <w:rFonts w:cs="Arial"/>
        </w:rPr>
        <w:t>auf anderen Ursachen als dem Streuen im Winter beruht.</w:t>
      </w:r>
    </w:p>
    <w:p>
      <w:pPr>
        <w:pStyle w:val="GesAbsatz"/>
        <w:rPr>
          <w:rFonts w:cs="Arial"/>
        </w:rPr>
      </w:pPr>
      <w:r>
        <w:rPr>
          <w:rFonts w:cs="Arial"/>
        </w:rPr>
        <w:t>(6) Die zuständigen Behörden können dem Bundesministerium für Umwelt, Naturschutz und Reaktorsiche</w:t>
      </w:r>
      <w:r>
        <w:rPr>
          <w:rFonts w:cs="Arial"/>
        </w:rPr>
        <w:t>r</w:t>
      </w:r>
      <w:r>
        <w:rPr>
          <w:rFonts w:cs="Arial"/>
        </w:rPr>
        <w:t>heit über die nach Landesrecht zuständige Behörde Gebiete oder Ballungsräume benennen, in denen die Immissionsgrenzwerte für PM</w:t>
      </w:r>
      <w:r>
        <w:rPr>
          <w:rFonts w:cs="Arial"/>
          <w:szCs w:val="12"/>
          <w:vertAlign w:val="subscript"/>
        </w:rPr>
        <w:t>10</w:t>
      </w:r>
      <w:r>
        <w:rPr>
          <w:rFonts w:cs="Arial"/>
          <w:szCs w:val="12"/>
        </w:rPr>
        <w:t xml:space="preserve"> </w:t>
      </w:r>
      <w:r>
        <w:rPr>
          <w:rFonts w:cs="Arial"/>
        </w:rPr>
        <w:t>infolge von Naturereignissen überschritten werden, die gegenüber dem no</w:t>
      </w:r>
      <w:r>
        <w:rPr>
          <w:rFonts w:cs="Arial"/>
        </w:rPr>
        <w:t>r</w:t>
      </w:r>
      <w:r>
        <w:rPr>
          <w:rFonts w:cs="Arial"/>
        </w:rPr>
        <w:t>malen, durch natürliche Quellen bedingten Hintergrundwert zu signifikant höheren Konzentrationen fü</w:t>
      </w:r>
      <w:r>
        <w:rPr>
          <w:rFonts w:cs="Arial"/>
        </w:rPr>
        <w:t>h</w:t>
      </w:r>
      <w:r>
        <w:rPr>
          <w:rFonts w:cs="Arial"/>
        </w:rPr>
        <w:t>ren. Im Falle des Satzes 1 sind die zuständigen Behörden zur Durchführung von Maßnahmen nach Absatz 3 nur dann verpflichtet, wenn die Überschreitung der Immissionsgrenzwerte auf andere Ursachen als Naturere</w:t>
      </w:r>
      <w:r>
        <w:rPr>
          <w:rFonts w:cs="Arial"/>
        </w:rPr>
        <w:t>i</w:t>
      </w:r>
      <w:r>
        <w:rPr>
          <w:rFonts w:cs="Arial"/>
        </w:rPr>
        <w:t>gnisse zurückzuführen ist. Die Erhöhung ist durch die zuständigen Behörden nachzuweisen. Die Erge</w:t>
      </w:r>
      <w:r>
        <w:rPr>
          <w:rFonts w:cs="Arial"/>
        </w:rPr>
        <w:t>b</w:t>
      </w:r>
      <w:r>
        <w:rPr>
          <w:rFonts w:cs="Arial"/>
        </w:rPr>
        <w:t>nisse der Untersuchungen sind der Öffentlichkeit im Rahmen der Unterrichtung nach § 12 bekannt zu g</w:t>
      </w:r>
      <w:r>
        <w:rPr>
          <w:rFonts w:cs="Arial"/>
        </w:rPr>
        <w:t>e</w:t>
      </w:r>
      <w:r>
        <w:rPr>
          <w:rFonts w:cs="Arial"/>
        </w:rPr>
        <w:t>ben.</w:t>
      </w:r>
    </w:p>
    <w:p>
      <w:pPr>
        <w:pStyle w:val="GesAbsatz"/>
        <w:rPr>
          <w:rFonts w:cs="Arial"/>
        </w:rPr>
      </w:pPr>
      <w:r>
        <w:rPr>
          <w:rFonts w:cs="Arial"/>
        </w:rPr>
        <w:lastRenderedPageBreak/>
        <w:t>(7) Die zuständigen Behörden können dem Bundesministerium für Umwelt, Naturschutz und Reaktorsiche</w:t>
      </w:r>
      <w:r>
        <w:rPr>
          <w:rFonts w:cs="Arial"/>
        </w:rPr>
        <w:t>r</w:t>
      </w:r>
      <w:r>
        <w:rPr>
          <w:rFonts w:cs="Arial"/>
        </w:rPr>
        <w:t>heit über die nach Landesrecht zuständige Behörde Gebiete oder Ballungsräume benennen, in denen die Immissionsgrenzwerte für Schwefeldioxid aufgrund der Konzentrationen von Schwefeldioxid in der Luft, die aus natürlichen Quellen stammen, überschritten werden. In diesem Fall ist der Nachweis zu erbringen, dass die Überschreitungen auf erhöhte Schadstoffanteile aus natürlichen Quellen zurückzuführen sind. Die Erge</w:t>
      </w:r>
      <w:r>
        <w:rPr>
          <w:rFonts w:cs="Arial"/>
        </w:rPr>
        <w:t>b</w:t>
      </w:r>
      <w:r>
        <w:rPr>
          <w:rFonts w:cs="Arial"/>
        </w:rPr>
        <w:t>nisse der Untersuchungen sind der Öffentlichkeit im Rahmen der Unterrichtung nach § 12 bekannt zu geben. In diesem Fall sind die zuständigen Behörden zur Durchführung von Maßnahmen nach Absatz 3 nur dann verpflichtet, wenn die Überschreitung der Immissionsgrenzwerte auf andere Ursachen als erhöhte Scha</w:t>
      </w:r>
      <w:r>
        <w:rPr>
          <w:rFonts w:cs="Arial"/>
        </w:rPr>
        <w:t>d</w:t>
      </w:r>
      <w:r>
        <w:rPr>
          <w:rFonts w:cs="Arial"/>
        </w:rPr>
        <w:t>stoffanteile aus natürlichen Quellen zurückzuführen ist.</w:t>
      </w:r>
    </w:p>
    <w:p>
      <w:pPr>
        <w:pStyle w:val="GesAbsatz"/>
        <w:rPr>
          <w:rFonts w:cs="Arial"/>
        </w:rPr>
      </w:pPr>
      <w:r>
        <w:rPr>
          <w:rFonts w:cs="Arial"/>
        </w:rPr>
        <w:t>(8) Die zuständigen Behörden benennen die Gebiete und Ballungsräume, in denen die Immissionsgrenzwe</w:t>
      </w:r>
      <w:r>
        <w:rPr>
          <w:rFonts w:cs="Arial"/>
        </w:rPr>
        <w:t>r</w:t>
      </w:r>
      <w:r>
        <w:rPr>
          <w:rFonts w:cs="Arial"/>
        </w:rPr>
        <w:t>te eingehalten oder unterschritten werden. Die zuständigen Behörden bemühen sich, dass in diesen Gebi</w:t>
      </w:r>
      <w:r>
        <w:rPr>
          <w:rFonts w:cs="Arial"/>
        </w:rPr>
        <w:t>e</w:t>
      </w:r>
      <w:r>
        <w:rPr>
          <w:rFonts w:cs="Arial"/>
        </w:rPr>
        <w:t>ten und Ballungsräumen die bestmögliche Luftqualität im Einklang mit der Strategie einer dauerhaften und umweltgerechten Entwicklung unterhalb der Immissionsgrenzwerte erhalten bleibt und berücksichtigen dies bei allen relevanten Planungen.</w:t>
      </w:r>
    </w:p>
    <w:p>
      <w:pPr>
        <w:pStyle w:val="berschrift3"/>
      </w:pPr>
      <w:bookmarkStart w:id="17" w:name="_Toc174110505"/>
      <w:r>
        <w:t>§ 12</w:t>
      </w:r>
      <w:r>
        <w:br/>
        <w:t>Unterrichtung der Öffentlichkeit</w:t>
      </w:r>
      <w:bookmarkEnd w:id="17"/>
    </w:p>
    <w:p>
      <w:pPr>
        <w:pStyle w:val="GesAbsatz"/>
        <w:rPr>
          <w:rFonts w:cs="Arial"/>
        </w:rPr>
      </w:pPr>
      <w:r>
        <w:rPr>
          <w:rFonts w:cs="Arial"/>
        </w:rPr>
        <w:t>(1) Die zuständigen Behörden stellen der Öffentlichkeit und mit dem Gesundheitsschutz befassten releva</w:t>
      </w:r>
      <w:r>
        <w:rPr>
          <w:rFonts w:cs="Arial"/>
        </w:rPr>
        <w:t>n</w:t>
      </w:r>
      <w:r>
        <w:rPr>
          <w:rFonts w:cs="Arial"/>
        </w:rPr>
        <w:t>ten Stellen in leicht zugänglicher Form aktuelle Informationen über die Immissionskonzentration der in den §§ 2 bis 7 genannten Schadstoffe zur Verfügung.</w:t>
      </w:r>
    </w:p>
    <w:p>
      <w:pPr>
        <w:pStyle w:val="GesAbsatz"/>
        <w:rPr>
          <w:rFonts w:cs="Arial"/>
        </w:rPr>
      </w:pPr>
      <w:r>
        <w:rPr>
          <w:rFonts w:cs="Arial"/>
        </w:rPr>
        <w:t>(2) Die zuständigen Behörden aktualisieren täglich die Informationen über die Konzentrationen von Schw</w:t>
      </w:r>
      <w:r>
        <w:rPr>
          <w:rFonts w:cs="Arial"/>
        </w:rPr>
        <w:t>e</w:t>
      </w:r>
      <w:r>
        <w:rPr>
          <w:rFonts w:cs="Arial"/>
        </w:rPr>
        <w:t>feldioxid, Stickstoffdioxid und Partikeln in der Luft. Bei stündlich gemittelten Werten für Schwefeldioxid und Stickstoffdioxid aktualisieren sie die Informationen stündlich; die stündliche Aktualisierung kann unterble</w:t>
      </w:r>
      <w:r>
        <w:rPr>
          <w:rFonts w:cs="Arial"/>
        </w:rPr>
        <w:t>i</w:t>
      </w:r>
      <w:r>
        <w:rPr>
          <w:rFonts w:cs="Arial"/>
        </w:rPr>
        <w:t>ben, wenn die zuständigen Behörden zwingende Gründe haben, nach denen diese Aktualisierung nicht möglich ist. Informationen über die Konzentrationen von Blei in der Luft aktualisieren sie auf der Grundlage von Me</w:t>
      </w:r>
      <w:r>
        <w:rPr>
          <w:rFonts w:cs="Arial"/>
        </w:rPr>
        <w:t>s</w:t>
      </w:r>
      <w:r>
        <w:rPr>
          <w:rFonts w:cs="Arial"/>
        </w:rPr>
        <w:t>sungen der letzten drei Monate.</w:t>
      </w:r>
    </w:p>
    <w:p>
      <w:pPr>
        <w:pStyle w:val="GesAbsatz"/>
        <w:rPr>
          <w:rFonts w:cs="Arial"/>
        </w:rPr>
      </w:pPr>
      <w:r>
        <w:rPr>
          <w:rFonts w:cs="Arial"/>
        </w:rPr>
        <w:t>(3) Die zuständigen Behörden aktualisieren die Informationen über die Konzentration von Benzol in der Luft, ausgedrückt als Mittelwert der letzten zwölf Monate mindestens alle drei Monate und, soweit dies möglich ist, monatlich.</w:t>
      </w:r>
    </w:p>
    <w:p>
      <w:pPr>
        <w:pStyle w:val="GesAbsatz"/>
        <w:rPr>
          <w:rFonts w:cs="Arial"/>
        </w:rPr>
      </w:pPr>
      <w:r>
        <w:rPr>
          <w:rFonts w:cs="Arial"/>
        </w:rPr>
        <w:t>(4) Die zuständigen Behörden aktualisieren die Informationen über die Konzentration von Kohlenmonoxid in der Luft, ausgedrückt als höchster gleitender Achtstundenmittelwert, täglich und, soweit dies möglich ist, stündlich.</w:t>
      </w:r>
    </w:p>
    <w:p>
      <w:pPr>
        <w:pStyle w:val="GesAbsatz"/>
        <w:rPr>
          <w:rFonts w:cs="Arial"/>
          <w:szCs w:val="18"/>
        </w:rPr>
      </w:pPr>
      <w:r>
        <w:t>(5) Im Rahmen dieser Informationen sind für eine angemessene Unterrichtung der Öffentlichkeit mindestens alle Überschreitungen der Konzentrationen von Immissionsgrenzwerten und Alarmschwellen, die sich über die in § 2 Abs. 1 bis 4, § 3 Abs. 2 bis 7, § 4 Abs. 1 und 2, § 5 Abs. 1 bis 3, § 6 Abs. 1 bis 3 und § 7 Abs. 1 angegebenen Mittelungszeiträume ergeben haben, anzugeben und zu bewerten.</w:t>
      </w:r>
    </w:p>
    <w:p>
      <w:pPr>
        <w:pStyle w:val="GesAbsatz"/>
        <w:rPr>
          <w:rFonts w:cs="Arial"/>
          <w:szCs w:val="18"/>
        </w:rPr>
      </w:pPr>
      <w:r>
        <w:rPr>
          <w:rFonts w:cs="Arial"/>
          <w:szCs w:val="18"/>
        </w:rPr>
        <w:t>(6) Wird eine der in den §§ 2 und 3 genannten Alarmschwellen überschritten, informieren die zuständigen Behörden die Öffentlichkeit darüber. Diese Informationen müssen mindestens die in der Anlage 7 genan</w:t>
      </w:r>
      <w:r>
        <w:rPr>
          <w:rFonts w:cs="Arial"/>
          <w:szCs w:val="18"/>
        </w:rPr>
        <w:t>n</w:t>
      </w:r>
      <w:r>
        <w:rPr>
          <w:rFonts w:cs="Arial"/>
          <w:szCs w:val="18"/>
        </w:rPr>
        <w:t>ten Angaben enthalten.</w:t>
      </w:r>
    </w:p>
    <w:p>
      <w:pPr>
        <w:pStyle w:val="GesAbsatz"/>
        <w:rPr>
          <w:rFonts w:cs="Arial"/>
          <w:szCs w:val="18"/>
        </w:rPr>
      </w:pPr>
      <w:r>
        <w:rPr>
          <w:rFonts w:cs="Arial"/>
          <w:szCs w:val="18"/>
        </w:rPr>
        <w:t>(7) Luftreinhaltepläne und Aktionspläne nach § 11 werden der Öffentlichkeit und den in Absatz 1 genannten Organisationen zugänglich gemacht.</w:t>
      </w:r>
    </w:p>
    <w:p>
      <w:pPr>
        <w:pStyle w:val="berschrift3"/>
      </w:pPr>
      <w:bookmarkStart w:id="18" w:name="_Toc174110506"/>
      <w:r>
        <w:t>§ 13</w:t>
      </w:r>
      <w:r>
        <w:br/>
        <w:t>Berichtspflichten</w:t>
      </w:r>
      <w:bookmarkEnd w:id="18"/>
    </w:p>
    <w:p>
      <w:pPr>
        <w:pStyle w:val="GesAbsatz"/>
        <w:rPr>
          <w:rFonts w:cs="Arial"/>
          <w:szCs w:val="18"/>
        </w:rPr>
      </w:pPr>
      <w:r>
        <w:rPr>
          <w:rFonts w:cs="Arial"/>
          <w:szCs w:val="18"/>
        </w:rPr>
        <w:t>(1) Für die Berichterstattung an die Kommission der Europäischen Gemeinschaften übermitteln die zuständ</w:t>
      </w:r>
      <w:r>
        <w:rPr>
          <w:rFonts w:cs="Arial"/>
          <w:szCs w:val="18"/>
        </w:rPr>
        <w:t>i</w:t>
      </w:r>
      <w:r>
        <w:rPr>
          <w:rFonts w:cs="Arial"/>
          <w:szCs w:val="18"/>
        </w:rPr>
        <w:t>gen Behörden über die nach Landesrecht zuständige Behörde dem Bundesministerium für Umwelt, Natu</w:t>
      </w:r>
      <w:r>
        <w:rPr>
          <w:rFonts w:cs="Arial"/>
          <w:szCs w:val="18"/>
        </w:rPr>
        <w:t>r</w:t>
      </w:r>
      <w:r>
        <w:rPr>
          <w:rFonts w:cs="Arial"/>
          <w:szCs w:val="18"/>
        </w:rPr>
        <w:t>schutz und Reaktorsicherheit oder der von ihm beauftragten Stelle:</w:t>
      </w:r>
    </w:p>
    <w:p>
      <w:pPr>
        <w:pStyle w:val="GesAbsatz"/>
        <w:ind w:left="426" w:hanging="426"/>
        <w:rPr>
          <w:rFonts w:cs="Arial"/>
          <w:szCs w:val="18"/>
        </w:rPr>
      </w:pPr>
      <w:r>
        <w:rPr>
          <w:rFonts w:cs="Arial"/>
          <w:szCs w:val="18"/>
        </w:rPr>
        <w:t>1.</w:t>
      </w:r>
      <w:r>
        <w:rPr>
          <w:rFonts w:cs="Arial"/>
          <w:szCs w:val="18"/>
        </w:rPr>
        <w:tab/>
        <w:t>die für die Durchführung dieser Verordnung zuständigen Stellen;</w:t>
      </w:r>
    </w:p>
    <w:p>
      <w:pPr>
        <w:pStyle w:val="GesAbsatz"/>
        <w:ind w:left="426" w:hanging="426"/>
        <w:rPr>
          <w:rFonts w:cs="Arial"/>
          <w:szCs w:val="18"/>
        </w:rPr>
      </w:pPr>
      <w:r>
        <w:rPr>
          <w:rFonts w:cs="Arial"/>
          <w:szCs w:val="18"/>
        </w:rPr>
        <w:t>2.</w:t>
      </w:r>
      <w:r>
        <w:rPr>
          <w:rFonts w:cs="Arial"/>
          <w:szCs w:val="18"/>
        </w:rPr>
        <w:tab/>
        <w:t>jährlich, spätestens sieben Monate nach Jahresende, die Liste der nach den §§ 9 und 11 festgelegten G</w:t>
      </w:r>
      <w:r>
        <w:rPr>
          <w:rFonts w:cs="Arial"/>
          <w:szCs w:val="18"/>
        </w:rPr>
        <w:t>e</w:t>
      </w:r>
      <w:r>
        <w:rPr>
          <w:rFonts w:cs="Arial"/>
          <w:szCs w:val="18"/>
        </w:rPr>
        <w:t>biete und Ballungsräume;</w:t>
      </w:r>
    </w:p>
    <w:p>
      <w:pPr>
        <w:pStyle w:val="GesAbsatz"/>
        <w:ind w:left="426" w:hanging="426"/>
        <w:rPr>
          <w:rFonts w:cs="Arial"/>
          <w:szCs w:val="18"/>
        </w:rPr>
      </w:pPr>
      <w:r>
        <w:rPr>
          <w:rFonts w:cs="Arial"/>
          <w:szCs w:val="18"/>
        </w:rPr>
        <w:t>3.</w:t>
      </w:r>
      <w:r>
        <w:rPr>
          <w:rFonts w:cs="Arial"/>
          <w:szCs w:val="18"/>
        </w:rPr>
        <w:tab/>
        <w:t>soweit Alarmschwellen überschritten wurden, spätestens zwei Monate danach Informationen über die fes</w:t>
      </w:r>
      <w:r>
        <w:rPr>
          <w:rFonts w:cs="Arial"/>
          <w:szCs w:val="18"/>
        </w:rPr>
        <w:t>t</w:t>
      </w:r>
      <w:r>
        <w:rPr>
          <w:rFonts w:cs="Arial"/>
          <w:szCs w:val="18"/>
        </w:rPr>
        <w:t>gestellten Werte und über die Dauer der Überschreitungen;</w:t>
      </w:r>
    </w:p>
    <w:p>
      <w:pPr>
        <w:pStyle w:val="GesAbsatz"/>
        <w:ind w:left="426" w:hanging="426"/>
        <w:rPr>
          <w:rFonts w:cs="Arial"/>
          <w:szCs w:val="18"/>
        </w:rPr>
      </w:pPr>
      <w:r>
        <w:rPr>
          <w:rFonts w:cs="Arial"/>
          <w:szCs w:val="18"/>
        </w:rPr>
        <w:t>4.</w:t>
      </w:r>
      <w:r>
        <w:rPr>
          <w:rFonts w:cs="Arial"/>
          <w:szCs w:val="18"/>
        </w:rPr>
        <w:tab/>
        <w:t>soweit die Summen von Immissionsgrenzwerten und Toleranzmargen überschritten wurden,</w:t>
      </w:r>
    </w:p>
    <w:p>
      <w:pPr>
        <w:pStyle w:val="GesAbsatz"/>
        <w:tabs>
          <w:tab w:val="clear" w:pos="425"/>
          <w:tab w:val="left" w:pos="426"/>
        </w:tabs>
        <w:ind w:left="851" w:hanging="425"/>
        <w:rPr>
          <w:rFonts w:cs="Arial"/>
          <w:szCs w:val="18"/>
        </w:rPr>
      </w:pPr>
      <w:r>
        <w:rPr>
          <w:rFonts w:cs="Arial"/>
          <w:szCs w:val="18"/>
        </w:rPr>
        <w:lastRenderedPageBreak/>
        <w:t>-</w:t>
      </w:r>
      <w:r>
        <w:rPr>
          <w:rFonts w:cs="Arial"/>
          <w:szCs w:val="18"/>
        </w:rPr>
        <w:tab/>
        <w:t>spätestens sieben Monate nach Jahresende die festgestellten Werte und die Zeitpunkte oder Zei</w:t>
      </w:r>
      <w:r>
        <w:rPr>
          <w:rFonts w:cs="Arial"/>
          <w:szCs w:val="18"/>
        </w:rPr>
        <w:t>t</w:t>
      </w:r>
      <w:r>
        <w:rPr>
          <w:rFonts w:cs="Arial"/>
          <w:szCs w:val="18"/>
        </w:rPr>
        <w:t>räume ihres Auftretens sowie die Ursachen für jeden einzelnen festgestellten Fall,</w:t>
      </w:r>
    </w:p>
    <w:p>
      <w:pPr>
        <w:pStyle w:val="GesAbsatz"/>
        <w:tabs>
          <w:tab w:val="clear" w:pos="425"/>
          <w:tab w:val="left" w:pos="426"/>
        </w:tabs>
        <w:ind w:left="851" w:hanging="425"/>
        <w:rPr>
          <w:rFonts w:cs="Arial"/>
          <w:szCs w:val="18"/>
        </w:rPr>
      </w:pPr>
      <w:r>
        <w:rPr>
          <w:rFonts w:cs="Arial"/>
          <w:szCs w:val="18"/>
        </w:rPr>
        <w:t>-</w:t>
      </w:r>
      <w:r>
        <w:rPr>
          <w:rFonts w:cs="Arial"/>
          <w:szCs w:val="18"/>
        </w:rPr>
        <w:tab/>
        <w:t>spätestens 22 Monate nach Ablauf des Jahres, in dem die Werte festgestellt wurden, die Luftrei</w:t>
      </w:r>
      <w:r>
        <w:rPr>
          <w:rFonts w:cs="Arial"/>
          <w:szCs w:val="18"/>
        </w:rPr>
        <w:t>n</w:t>
      </w:r>
      <w:r>
        <w:rPr>
          <w:rFonts w:cs="Arial"/>
          <w:szCs w:val="18"/>
        </w:rPr>
        <w:t>haltepläne nach § 11 Abs. 3 zur Einhaltung der Immissionsgrenzwerte ab den vorgesehenen Zei</w:t>
      </w:r>
      <w:r>
        <w:rPr>
          <w:rFonts w:cs="Arial"/>
          <w:szCs w:val="18"/>
        </w:rPr>
        <w:t>t</w:t>
      </w:r>
      <w:r>
        <w:rPr>
          <w:rFonts w:cs="Arial"/>
          <w:szCs w:val="18"/>
        </w:rPr>
        <w:t>punkten und</w:t>
      </w:r>
    </w:p>
    <w:p>
      <w:pPr>
        <w:pStyle w:val="GesAbsatz"/>
        <w:tabs>
          <w:tab w:val="clear" w:pos="425"/>
          <w:tab w:val="left" w:pos="426"/>
        </w:tabs>
        <w:ind w:left="851" w:hanging="425"/>
        <w:rPr>
          <w:rFonts w:cs="Arial"/>
          <w:szCs w:val="18"/>
        </w:rPr>
      </w:pPr>
      <w:r>
        <w:rPr>
          <w:rFonts w:cs="Arial"/>
          <w:szCs w:val="18"/>
        </w:rPr>
        <w:t>-</w:t>
      </w:r>
      <w:r>
        <w:rPr>
          <w:rFonts w:cs="Arial"/>
          <w:szCs w:val="18"/>
        </w:rPr>
        <w:tab/>
        <w:t>alle drei Jahre zum 30. September den Stand der Durchführung der mitgeteilten Luftreinhaltepl</w:t>
      </w:r>
      <w:r>
        <w:rPr>
          <w:rFonts w:cs="Arial"/>
          <w:szCs w:val="18"/>
        </w:rPr>
        <w:t>ä</w:t>
      </w:r>
      <w:r>
        <w:rPr>
          <w:rFonts w:cs="Arial"/>
          <w:szCs w:val="18"/>
        </w:rPr>
        <w:t xml:space="preserve">ne; </w:t>
      </w:r>
    </w:p>
    <w:p>
      <w:pPr>
        <w:pStyle w:val="GesAbsatz"/>
        <w:ind w:left="426" w:hanging="426"/>
        <w:rPr>
          <w:rFonts w:cs="Arial"/>
          <w:szCs w:val="18"/>
        </w:rPr>
      </w:pPr>
      <w:r>
        <w:rPr>
          <w:rFonts w:cs="Arial"/>
          <w:szCs w:val="18"/>
        </w:rPr>
        <w:t>5.</w:t>
      </w:r>
      <w:r>
        <w:rPr>
          <w:rFonts w:cs="Arial"/>
          <w:szCs w:val="18"/>
        </w:rPr>
        <w:tab/>
        <w:t>jährlich, spätestens sieben Monate nach Jahresende, die Daten nach § 10 Abs. 11 zweiter und dritter Spiegelstrich.</w:t>
      </w:r>
    </w:p>
    <w:p>
      <w:pPr>
        <w:pStyle w:val="GesAbsatz"/>
        <w:rPr>
          <w:rFonts w:cs="Arial"/>
          <w:szCs w:val="18"/>
        </w:rPr>
      </w:pPr>
      <w:r>
        <w:rPr>
          <w:rFonts w:cs="Arial"/>
          <w:szCs w:val="18"/>
        </w:rPr>
        <w:t>Gibt es für einen bestimmten Stoff keine Toleranzmarge, tritt an die Stelle der Überschreitung der Summe von Immissionsgrenzwert und Toleranzmarge die Überschreitung des Immissionsgrenzwertes.</w:t>
      </w:r>
    </w:p>
    <w:p>
      <w:pPr>
        <w:pStyle w:val="GesAbsatz"/>
        <w:rPr>
          <w:rFonts w:cs="Arial"/>
          <w:szCs w:val="18"/>
        </w:rPr>
      </w:pPr>
      <w:r>
        <w:rPr>
          <w:rFonts w:cs="Arial"/>
          <w:szCs w:val="18"/>
        </w:rPr>
        <w:t>(2) Sind Gebiete oder Ballungsräume nach § 11 Abs. 5 benannt worden, übermitteln die zuständigen Behö</w:t>
      </w:r>
      <w:r>
        <w:rPr>
          <w:rFonts w:cs="Arial"/>
          <w:szCs w:val="18"/>
        </w:rPr>
        <w:t>r</w:t>
      </w:r>
      <w:r>
        <w:rPr>
          <w:rFonts w:cs="Arial"/>
          <w:szCs w:val="18"/>
        </w:rPr>
        <w:t>den dem Bundesministerium für Umwelt, Naturschutz und Reaktorsicherheit oder der von ihm beauftra</w:t>
      </w:r>
      <w:r>
        <w:rPr>
          <w:rFonts w:cs="Arial"/>
          <w:szCs w:val="18"/>
        </w:rPr>
        <w:t>g</w:t>
      </w:r>
      <w:r>
        <w:rPr>
          <w:rFonts w:cs="Arial"/>
          <w:szCs w:val="18"/>
        </w:rPr>
        <w:t>ten Stelle über die nach Landesrecht zuständige Behörde jährlich und spätestens sieben Monate nach Jahre</w:t>
      </w:r>
      <w:r>
        <w:rPr>
          <w:rFonts w:cs="Arial"/>
          <w:szCs w:val="18"/>
        </w:rPr>
        <w:t>s</w:t>
      </w:r>
      <w:r>
        <w:rPr>
          <w:rFonts w:cs="Arial"/>
          <w:szCs w:val="18"/>
        </w:rPr>
        <w:t>ende eine Liste dieser Gebiete und Ballungsräume zusammen mit Informationen über die dortigen Konze</w:t>
      </w:r>
      <w:r>
        <w:rPr>
          <w:rFonts w:cs="Arial"/>
          <w:szCs w:val="18"/>
        </w:rPr>
        <w:t>n</w:t>
      </w:r>
      <w:r>
        <w:rPr>
          <w:rFonts w:cs="Arial"/>
          <w:szCs w:val="18"/>
        </w:rPr>
        <w:t>trationen und Quellen von PM</w:t>
      </w:r>
      <w:r>
        <w:rPr>
          <w:rFonts w:cs="Arial"/>
          <w:szCs w:val="12"/>
          <w:vertAlign w:val="subscript"/>
        </w:rPr>
        <w:t>10</w:t>
      </w:r>
      <w:r>
        <w:rPr>
          <w:rFonts w:cs="Arial"/>
          <w:szCs w:val="12"/>
        </w:rPr>
        <w:t xml:space="preserve"> </w:t>
      </w:r>
      <w:r>
        <w:rPr>
          <w:rFonts w:cs="Arial"/>
          <w:szCs w:val="18"/>
        </w:rPr>
        <w:t>und dem Nachweis, dass die Überschreitungen auf die dort genannten au</w:t>
      </w:r>
      <w:r>
        <w:rPr>
          <w:rFonts w:cs="Arial"/>
          <w:szCs w:val="18"/>
        </w:rPr>
        <w:t>f</w:t>
      </w:r>
      <w:r>
        <w:rPr>
          <w:rFonts w:cs="Arial"/>
          <w:szCs w:val="18"/>
        </w:rPr>
        <w:t>gewirbelten Partikel zurückzuführen sind und angemessene Maßnahmen zur Verringerung der Konzentrati</w:t>
      </w:r>
      <w:r>
        <w:rPr>
          <w:rFonts w:cs="Arial"/>
          <w:szCs w:val="18"/>
        </w:rPr>
        <w:t>o</w:t>
      </w:r>
      <w:r>
        <w:rPr>
          <w:rFonts w:cs="Arial"/>
          <w:szCs w:val="18"/>
        </w:rPr>
        <w:t>nen getroffen worden sind.</w:t>
      </w:r>
    </w:p>
    <w:p>
      <w:pPr>
        <w:pStyle w:val="GesAbsatz"/>
        <w:rPr>
          <w:rFonts w:cs="Arial"/>
          <w:szCs w:val="18"/>
        </w:rPr>
      </w:pPr>
      <w:r>
        <w:rPr>
          <w:rFonts w:cs="Arial"/>
          <w:szCs w:val="18"/>
        </w:rPr>
        <w:t>(3) Soweit Immissionsgrenzwerte für Partikel PM</w:t>
      </w:r>
      <w:r>
        <w:rPr>
          <w:rFonts w:cs="Arial"/>
          <w:szCs w:val="12"/>
          <w:vertAlign w:val="subscript"/>
        </w:rPr>
        <w:t>10</w:t>
      </w:r>
      <w:r>
        <w:rPr>
          <w:rFonts w:cs="Arial"/>
          <w:szCs w:val="12"/>
        </w:rPr>
        <w:t xml:space="preserve"> </w:t>
      </w:r>
      <w:r>
        <w:rPr>
          <w:rFonts w:cs="Arial"/>
          <w:szCs w:val="18"/>
        </w:rPr>
        <w:t>aufgrund erhöhter Konzentrationen infolge von Nature</w:t>
      </w:r>
      <w:r>
        <w:rPr>
          <w:rFonts w:cs="Arial"/>
          <w:szCs w:val="18"/>
        </w:rPr>
        <w:t>r</w:t>
      </w:r>
      <w:r>
        <w:rPr>
          <w:rFonts w:cs="Arial"/>
          <w:szCs w:val="18"/>
        </w:rPr>
        <w:t>eignissen überschritten waren, weisen die zuständigen Behörden dies dem Bundesministerium für Umwelt, Naturschutz und Reaktorsicherheit über die nach Landesrecht zuständige Behörde nach.</w:t>
      </w:r>
    </w:p>
    <w:p>
      <w:pPr>
        <w:pStyle w:val="GesAbsatz"/>
        <w:rPr>
          <w:rFonts w:cs="Arial"/>
          <w:szCs w:val="18"/>
        </w:rPr>
      </w:pPr>
      <w:r>
        <w:rPr>
          <w:rFonts w:cs="Arial"/>
          <w:szCs w:val="18"/>
        </w:rPr>
        <w:t>(4) Soweit Gebiete oder Ballungsräume nach § 11 Abs. 7 benannt wurden, übermitteln die zuständigen B</w:t>
      </w:r>
      <w:r>
        <w:rPr>
          <w:rFonts w:cs="Arial"/>
          <w:szCs w:val="18"/>
        </w:rPr>
        <w:t>e</w:t>
      </w:r>
      <w:r>
        <w:rPr>
          <w:rFonts w:cs="Arial"/>
          <w:szCs w:val="18"/>
        </w:rPr>
        <w:t>hörden dem Bundesministerium für Umwelt, Naturschutz und Reaktorsicherheit über die nach Landesrecht zuständige Behörde jährlich und spätestens sieben Monate nach Jahresende eine Liste dieser Gebiete und Ballungsräume zusammen mit Informationen über die dortigen Konzentrationen und Quellen von Schwefeld</w:t>
      </w:r>
      <w:r>
        <w:rPr>
          <w:rFonts w:cs="Arial"/>
          <w:szCs w:val="18"/>
        </w:rPr>
        <w:t>i</w:t>
      </w:r>
      <w:r>
        <w:rPr>
          <w:rFonts w:cs="Arial"/>
          <w:szCs w:val="18"/>
        </w:rPr>
        <w:t>oxid sowie dem Nachweis, dass die Überschreitungen auf erhöhte Konzentrationen aus natürlichen Que</w:t>
      </w:r>
      <w:r>
        <w:rPr>
          <w:rFonts w:cs="Arial"/>
          <w:szCs w:val="18"/>
        </w:rPr>
        <w:t>l</w:t>
      </w:r>
      <w:r>
        <w:rPr>
          <w:rFonts w:cs="Arial"/>
          <w:szCs w:val="18"/>
        </w:rPr>
        <w:t>len zurückzuführen sind.</w:t>
      </w:r>
    </w:p>
    <w:p>
      <w:pPr>
        <w:pStyle w:val="GesAbsatz"/>
        <w:rPr>
          <w:rFonts w:cs="Arial"/>
          <w:szCs w:val="18"/>
        </w:rPr>
      </w:pPr>
      <w:r>
        <w:rPr>
          <w:rFonts w:cs="Arial"/>
          <w:szCs w:val="18"/>
        </w:rPr>
        <w:t>(5)</w:t>
      </w:r>
      <w:r>
        <w:t xml:space="preserve"> </w:t>
      </w:r>
      <w:r>
        <w:rPr>
          <w:rFonts w:cs="Arial"/>
          <w:szCs w:val="18"/>
        </w:rPr>
        <w:t>Solange der Immissionsgrenzwert des § 3 Abs. 1 gilt, ermitteln die zuständigen Behörden alle Überschre</w:t>
      </w:r>
      <w:r>
        <w:rPr>
          <w:rFonts w:cs="Arial"/>
          <w:szCs w:val="18"/>
        </w:rPr>
        <w:t>i</w:t>
      </w:r>
      <w:r>
        <w:rPr>
          <w:rFonts w:cs="Arial"/>
          <w:szCs w:val="18"/>
        </w:rPr>
        <w:t>tungen dieses Immissionsgrenzwertes und übermitteln dem Bundesministerium für Umwelt, Natu</w:t>
      </w:r>
      <w:r>
        <w:rPr>
          <w:rFonts w:cs="Arial"/>
          <w:szCs w:val="18"/>
        </w:rPr>
        <w:t>r</w:t>
      </w:r>
      <w:r>
        <w:rPr>
          <w:rFonts w:cs="Arial"/>
          <w:szCs w:val="18"/>
        </w:rPr>
        <w:t>schutz und Reaktorsicherheit über die nach Landesrecht zuständige Behörde bis zum 31. Juli jedes Jahres für das abg</w:t>
      </w:r>
      <w:r>
        <w:rPr>
          <w:rFonts w:cs="Arial"/>
          <w:szCs w:val="18"/>
        </w:rPr>
        <w:t>e</w:t>
      </w:r>
      <w:r>
        <w:rPr>
          <w:rFonts w:cs="Arial"/>
          <w:szCs w:val="18"/>
        </w:rPr>
        <w:t>laufene Vorjahr die aufgezeichneten Werte, die Gründe für alle Fälle von Überschreitungen und die zur Ve</w:t>
      </w:r>
      <w:r>
        <w:rPr>
          <w:rFonts w:cs="Arial"/>
          <w:szCs w:val="18"/>
        </w:rPr>
        <w:t>r</w:t>
      </w:r>
      <w:r>
        <w:rPr>
          <w:rFonts w:cs="Arial"/>
          <w:szCs w:val="18"/>
        </w:rPr>
        <w:t>meidung von erneuten Überschreitungen ergriffenen Maßnahmen.</w:t>
      </w:r>
    </w:p>
    <w:p>
      <w:pPr>
        <w:pStyle w:val="berschrift3"/>
      </w:pPr>
      <w:bookmarkStart w:id="19" w:name="_Toc174110507"/>
      <w:r>
        <w:t>§ 14</w:t>
      </w:r>
      <w:r>
        <w:br/>
        <w:t>Prüfpflicht</w:t>
      </w:r>
      <w:bookmarkEnd w:id="19"/>
    </w:p>
    <w:p>
      <w:pPr>
        <w:pStyle w:val="GesAbsatz"/>
        <w:rPr>
          <w:rFonts w:cs="Arial"/>
          <w:szCs w:val="18"/>
        </w:rPr>
      </w:pPr>
      <w:r>
        <w:rPr>
          <w:rFonts w:cs="Arial"/>
          <w:szCs w:val="18"/>
        </w:rPr>
        <w:t>Wenn in bestimmten Gebieten oder Ballungsräumen die Konzentration eines oder mehrerer Schadstoffe einen Immissionsgrenzwert des § 3 Abs. 2 bis 5, § 5 Abs. 2 und 3 oder des § 6 Abs. 1 bis 3 im Zeitraum zw</w:t>
      </w:r>
      <w:r>
        <w:rPr>
          <w:rFonts w:cs="Arial"/>
          <w:szCs w:val="18"/>
        </w:rPr>
        <w:t>i</w:t>
      </w:r>
      <w:r>
        <w:rPr>
          <w:rFonts w:cs="Arial"/>
          <w:szCs w:val="18"/>
        </w:rPr>
        <w:t>schen dem Inkrafttreten dieser Verordnung und den dort genannten Kalenderdaten für das Wirksamwe</w:t>
      </w:r>
      <w:r>
        <w:rPr>
          <w:rFonts w:cs="Arial"/>
          <w:szCs w:val="18"/>
        </w:rPr>
        <w:t>r</w:t>
      </w:r>
      <w:r>
        <w:rPr>
          <w:rFonts w:cs="Arial"/>
          <w:szCs w:val="18"/>
        </w:rPr>
        <w:t>den dieser Immissionsgrenzwerte überschreitet, hat die zuständige Behörde zu prüfen, ob Maßnahmen zur fris</w:t>
      </w:r>
      <w:r>
        <w:rPr>
          <w:rFonts w:cs="Arial"/>
          <w:szCs w:val="18"/>
        </w:rPr>
        <w:t>t</w:t>
      </w:r>
      <w:r>
        <w:rPr>
          <w:rFonts w:cs="Arial"/>
          <w:szCs w:val="18"/>
        </w:rPr>
        <w:t>gerechten Einhaltung der Immissionsgrenzwerte e</w:t>
      </w:r>
      <w:r>
        <w:rPr>
          <w:rFonts w:cs="Arial"/>
          <w:szCs w:val="18"/>
        </w:rPr>
        <w:t>r</w:t>
      </w:r>
      <w:r>
        <w:rPr>
          <w:rFonts w:cs="Arial"/>
          <w:szCs w:val="18"/>
        </w:rPr>
        <w:t>forderlich sind.</w:t>
      </w:r>
    </w:p>
    <w:p>
      <w:pPr>
        <w:pStyle w:val="berschrift2"/>
        <w:rPr>
          <w:b w:val="0"/>
          <w:bCs/>
        </w:rPr>
      </w:pPr>
      <w:bookmarkStart w:id="20" w:name="_Toc174110508"/>
      <w:r>
        <w:t>Zweiter Teil</w:t>
      </w:r>
      <w:r>
        <w:br/>
        <w:t>Regelungen für Arsen, Kadmium, Quecksilber, Nickel und Be</w:t>
      </w:r>
      <w:r>
        <w:t>n</w:t>
      </w:r>
      <w:r>
        <w:t>zo(a)pyren</w:t>
      </w:r>
      <w:bookmarkEnd w:id="20"/>
    </w:p>
    <w:p>
      <w:pPr>
        <w:pStyle w:val="berschrift3"/>
      </w:pPr>
      <w:bookmarkStart w:id="21" w:name="_Toc174110509"/>
      <w:r>
        <w:t>§ 15</w:t>
      </w:r>
      <w:r>
        <w:br/>
        <w:t>Zielwerte</w:t>
      </w:r>
      <w:bookmarkEnd w:id="21"/>
    </w:p>
    <w:p>
      <w:pPr>
        <w:pStyle w:val="GesAbsatz"/>
      </w:pPr>
      <w:r>
        <w:t>Für Arsen, Kadmium, Nickel und Benzo(a)pyren (Marker für polyzyklische aromatische Kohlenwasserstoffe) in der Luft werden folgende Zielwerte als Gesamtgehalt in der PM</w:t>
      </w:r>
      <w:r>
        <w:rPr>
          <w:vertAlign w:val="subscript"/>
        </w:rPr>
        <w:t>10</w:t>
      </w:r>
      <w:r>
        <w:t>-Fraktion über ein Kalenderjahr gemittelt festgesetzt:</w:t>
      </w:r>
    </w:p>
    <w:p>
      <w:pPr>
        <w:pStyle w:val="GesAbsatz"/>
        <w:tabs>
          <w:tab w:val="clear" w:pos="425"/>
          <w:tab w:val="left" w:pos="2835"/>
        </w:tabs>
      </w:pPr>
      <w:r>
        <w:t>Arsen</w:t>
      </w:r>
      <w:r>
        <w:tab/>
        <w:t>6 Nanogramm pro Kubikmeter</w:t>
      </w:r>
    </w:p>
    <w:p>
      <w:pPr>
        <w:pStyle w:val="GesAbsatz"/>
        <w:tabs>
          <w:tab w:val="clear" w:pos="425"/>
          <w:tab w:val="left" w:pos="2835"/>
        </w:tabs>
      </w:pPr>
      <w:r>
        <w:t>Kadmium</w:t>
      </w:r>
      <w:r>
        <w:tab/>
        <w:t>5 Nanogramm pro Kubikmeter</w:t>
      </w:r>
    </w:p>
    <w:p>
      <w:pPr>
        <w:pStyle w:val="GesAbsatz"/>
        <w:tabs>
          <w:tab w:val="clear" w:pos="425"/>
          <w:tab w:val="left" w:pos="2835"/>
        </w:tabs>
      </w:pPr>
      <w:r>
        <w:t>Nickel</w:t>
      </w:r>
      <w:r>
        <w:tab/>
        <w:t>20 Nanogramm pro Kubikmeter</w:t>
      </w:r>
    </w:p>
    <w:p>
      <w:pPr>
        <w:pStyle w:val="GesAbsatz"/>
        <w:tabs>
          <w:tab w:val="clear" w:pos="425"/>
          <w:tab w:val="left" w:pos="2835"/>
        </w:tabs>
      </w:pPr>
      <w:r>
        <w:t>Benzo(a)pyren</w:t>
      </w:r>
      <w:r>
        <w:tab/>
        <w:t>1 Nanogramm pro Kubikmeter.</w:t>
      </w:r>
    </w:p>
    <w:p>
      <w:pPr>
        <w:pStyle w:val="berschrift3"/>
      </w:pPr>
      <w:bookmarkStart w:id="22" w:name="_Toc174110510"/>
      <w:r>
        <w:lastRenderedPageBreak/>
        <w:t>§ 16</w:t>
      </w:r>
      <w:r>
        <w:br/>
        <w:t>Maßnahmen, Listen von Gebieten und Ballungsräumen</w:t>
      </w:r>
      <w:bookmarkEnd w:id="22"/>
    </w:p>
    <w:p>
      <w:pPr>
        <w:pStyle w:val="GesAbsatz"/>
      </w:pPr>
      <w:r>
        <w:t>(1) Die zuständigen Behörden ergreifen alle erforderlichen und ohne unverhältnismäßige Kosten durchfüh</w:t>
      </w:r>
      <w:r>
        <w:t>r</w:t>
      </w:r>
      <w:r>
        <w:t>baren Maßnahmen, um sicherzustellen, dass die gemäß § 17 ermittelten Immissionskonzentrationen von Arsen, Kadmium, Nickel und Benzo(a)pyren ab dem 31. Dezember 2012 die Zielwerte des § 15 nicht übe</w:t>
      </w:r>
      <w:r>
        <w:t>r</w:t>
      </w:r>
      <w:r>
        <w:t>schreiten.</w:t>
      </w:r>
    </w:p>
    <w:p>
      <w:pPr>
        <w:pStyle w:val="GesAbsatz"/>
      </w:pPr>
      <w:r>
        <w:t>(2) Die zuständigen Behörden erstellen für Arsen, Kadmium, Nickel und Benzo(a)pyren jeweils eine Liste von Gebieten und Ballungsräumen, in denen der Wert unter dem jeweiligen Zielwert liegt. Die zuständigen B</w:t>
      </w:r>
      <w:r>
        <w:t>e</w:t>
      </w:r>
      <w:r>
        <w:t>hörden ergreifen die erforderlichen Maßnahmen, um zu verhindern, dass in diesen Gebieten und Ballung</w:t>
      </w:r>
      <w:r>
        <w:t>s</w:t>
      </w:r>
      <w:r>
        <w:t>räumen die Immissionskonzentrationen die jeweiligen Zielwerte überschreiten und bemühen sich, die bes</w:t>
      </w:r>
      <w:r>
        <w:t>t</w:t>
      </w:r>
      <w:r>
        <w:t>mögliche Luftqualität zu erhalten.</w:t>
      </w:r>
    </w:p>
    <w:p>
      <w:pPr>
        <w:pStyle w:val="GesAbsatz"/>
      </w:pPr>
      <w:r>
        <w:t>(3) Die zuständigen Behörden erstellen eine Liste von Gebieten und Ballungsräumen, in denen ein in § 15 angegebener Zielwert überschritten wird. Sie geben für diese Gebiete und Ballungsräume an, in welchen Teilgebieten Werte überschritten werden und welche Quellen hierzu beitragen und weisen für die betreffe</w:t>
      </w:r>
      <w:r>
        <w:t>n</w:t>
      </w:r>
      <w:r>
        <w:t>den Teilgebiete nach, dass, insbesondere abzielend auf die vorherrschenden Emissionsquellen, alle erforde</w:t>
      </w:r>
      <w:r>
        <w:t>r</w:t>
      </w:r>
      <w:r>
        <w:t>lichen und ohne unverhältnismäßige Kosten durchführbaren Maßnahmen ergriffen wurden, um die Zie</w:t>
      </w:r>
      <w:r>
        <w:t>l</w:t>
      </w:r>
      <w:r>
        <w:t>werte zu erreichen.</w:t>
      </w:r>
    </w:p>
    <w:p>
      <w:pPr>
        <w:pStyle w:val="berschrift3"/>
      </w:pPr>
      <w:bookmarkStart w:id="23" w:name="_Toc174110511"/>
      <w:r>
        <w:t>§ 17</w:t>
      </w:r>
      <w:r>
        <w:br/>
        <w:t>Beurteilung der Immissionskonzentrationen und der Ablagerungsraten</w:t>
      </w:r>
      <w:bookmarkEnd w:id="23"/>
    </w:p>
    <w:p>
      <w:pPr>
        <w:pStyle w:val="GesAbsatz"/>
      </w:pPr>
      <w:r>
        <w:t>(1) Die zuständigen Behörden informieren das Bundesministerium für Umwelt, Naturschutz und Reaktors</w:t>
      </w:r>
      <w:r>
        <w:t>i</w:t>
      </w:r>
      <w:r>
        <w:t>cherheit oder die von ihm beauftragte Stelle über die nach Landesrecht zuständige Behörde bis zum 1. D</w:t>
      </w:r>
      <w:r>
        <w:t>e</w:t>
      </w:r>
      <w:r>
        <w:t>zember 2006 über die Methoden für die Ausgangsbeurteilung der Luftqualität nach Artikel 5 der Richtl</w:t>
      </w:r>
      <w:r>
        <w:t>i</w:t>
      </w:r>
      <w:r>
        <w:t>nie 96/62/EG.</w:t>
      </w:r>
    </w:p>
    <w:p>
      <w:pPr>
        <w:pStyle w:val="GesAbsatz"/>
      </w:pPr>
      <w:r>
        <w:t>(2) Die zuständigen Behörden haben die Luftqualität für die gesamte Fläche ihres Landes in Bezug auf A</w:t>
      </w:r>
      <w:r>
        <w:t>r</w:t>
      </w:r>
      <w:r>
        <w:t>sen, Kadmium, Nickel und Benzo(a)pyren gemäß den Bestimmungen der folgenden Absätze zu beurteilen.</w:t>
      </w:r>
    </w:p>
    <w:p>
      <w:pPr>
        <w:pStyle w:val="GesAbsatz"/>
      </w:pPr>
      <w:r>
        <w:t>(3) Messungen nach den Anforderungen der Anlage 9 Abschnitte I und II sind in folgenden Gebieten erfo</w:t>
      </w:r>
      <w:r>
        <w:t>r</w:t>
      </w:r>
      <w:r>
        <w:t>derlich:</w:t>
      </w:r>
    </w:p>
    <w:p>
      <w:pPr>
        <w:pStyle w:val="GesAbsatz"/>
        <w:ind w:left="426" w:hanging="426"/>
      </w:pPr>
      <w:r>
        <w:t>a)</w:t>
      </w:r>
      <w:r>
        <w:tab/>
        <w:t>Gebiete und Ballungsräume, in denen die Werte zwischen der oberen und der unteren Beurteilung</w:t>
      </w:r>
      <w:r>
        <w:t>s</w:t>
      </w:r>
      <w:r>
        <w:t>schwelle gemäß Anlage 8 liegen, sowie</w:t>
      </w:r>
    </w:p>
    <w:p>
      <w:pPr>
        <w:pStyle w:val="GesAbsatz"/>
      </w:pPr>
      <w:r>
        <w:t>b)</w:t>
      </w:r>
      <w:r>
        <w:tab/>
        <w:t>Gebiete und Ballungsräume, in denen die Werte über der oberen Beurteilungsschwelle liegen.</w:t>
      </w:r>
    </w:p>
    <w:p>
      <w:pPr>
        <w:pStyle w:val="GesAbsatz"/>
      </w:pPr>
      <w:r>
        <w:t>Die Messungen können durch Modellrechnungen ergänzt werden, damit in angemessenem Umfang Inform</w:t>
      </w:r>
      <w:r>
        <w:t>a</w:t>
      </w:r>
      <w:r>
        <w:t>tionen über die Luftqualität gewonnen werden.</w:t>
      </w:r>
    </w:p>
    <w:p>
      <w:pPr>
        <w:pStyle w:val="GesAbsatz"/>
      </w:pPr>
      <w:r>
        <w:t>(4) Eine Kombination von Messungen, einschließlich orientierender Messungen nach Anlage 10 Abschnitt I, und Modellrechnungen kann herangezogen werden, um die Luftqualität in Gebieten und Ballungsräumen zu beurteilen, in denen die Werte während eines repräsentativen Zeitraums zwischen der oberen und der unt</w:t>
      </w:r>
      <w:r>
        <w:t>e</w:t>
      </w:r>
      <w:r>
        <w:t>ren Beurteilungsschwelle gemäß Anlage 8 Abschnitt II liegen.</w:t>
      </w:r>
    </w:p>
    <w:p>
      <w:pPr>
        <w:pStyle w:val="GesAbsatz"/>
      </w:pPr>
      <w:r>
        <w:t>(5) In Gebieten und Ballungsräumen, in denen die Werte unter der unteren Beurteilungsschwelle gemäß A</w:t>
      </w:r>
      <w:r>
        <w:t>n</w:t>
      </w:r>
      <w:r>
        <w:t>lage 8 Abschnitt I liegen, brauchen nur Modellrechnungen oder Methoden der objektiven Schätzung für die Beurteilung der Werte angewandt zu werden.</w:t>
      </w:r>
    </w:p>
    <w:p>
      <w:pPr>
        <w:pStyle w:val="GesAbsatz"/>
      </w:pPr>
      <w:r>
        <w:t>(6) Die oberen und unteren Beurteilungsschwellen für Arsen, Kadmium, Nickel und Benzo(a)pyren in der Luft werden in Anlage 8 Abschnitt I festgelegt. Die Einstufung jedes Gebiets oder Ballungsraums ist späte</w:t>
      </w:r>
      <w:r>
        <w:t>s</w:t>
      </w:r>
      <w:r>
        <w:t>tens alle fünf Jahre nach dem Verfahren der Anlage 8 Abschnitt II zu überprüfen. Die Einstufung ist bei signifika</w:t>
      </w:r>
      <w:r>
        <w:t>n</w:t>
      </w:r>
      <w:r>
        <w:t>ten Änderungen der Aktivitäten, die Auswirkungen auf die Immissionskonzentrationen von Arsen, Ka</w:t>
      </w:r>
      <w:r>
        <w:t>d</w:t>
      </w:r>
      <w:r>
        <w:t>mium, Nickel oder Benzo(a)pyren haben, früher zu überprüfen.</w:t>
      </w:r>
    </w:p>
    <w:p>
      <w:pPr>
        <w:pStyle w:val="GesAbsatz"/>
      </w:pPr>
      <w:r>
        <w:t>(7) Soweit Schadstoffe gemessen werden müssen, sind die Messungen kontinuierlich oder stichprobenart</w:t>
      </w:r>
      <w:r>
        <w:t>i</w:t>
      </w:r>
      <w:r>
        <w:t>g an festen Orten durchzuführen. Die Messungen werden hinreichend häufig durchgeführt, damit die entspr</w:t>
      </w:r>
      <w:r>
        <w:t>e</w:t>
      </w:r>
      <w:r>
        <w:t>chenden Werte bestimmt werden können.</w:t>
      </w:r>
    </w:p>
    <w:p>
      <w:pPr>
        <w:pStyle w:val="GesAbsatz"/>
      </w:pPr>
      <w:r>
        <w:t>(8) Um den Beitrag von Benzo(a)pyren-Immissionen beurteilen zu können, werden andere relevante polyz</w:t>
      </w:r>
      <w:r>
        <w:t>y</w:t>
      </w:r>
      <w:r>
        <w:t>klische aromatische Kohlenwasserstoffe an ausgewählten Probenahmestellen des Umweltbundesamtes überwacht. Diese Verbindungen umfassen mindestens: Benzo(a)anthracen, Benzo(b)fluoranthen, Be</w:t>
      </w:r>
      <w:r>
        <w:t>n</w:t>
      </w:r>
      <w:r>
        <w:t>zo(j)fluoranthen, Benzo(k)fluoranthen, Indeno(1,2,3-cd)pyren und Dibenz(a,h)anthracen. Die Überwachung</w:t>
      </w:r>
      <w:r>
        <w:t>s</w:t>
      </w:r>
      <w:r>
        <w:t>stellen für diese polyzyklischen aromatischen Kohlenwasserstoffe werden mit Probenahmestellen für Be</w:t>
      </w:r>
      <w:r>
        <w:t>n</w:t>
      </w:r>
      <w:r>
        <w:t>zo(a)pyren zusammengelegt und so gewählt, dass geografische Unterschiede und langfristige Trends b</w:t>
      </w:r>
      <w:r>
        <w:t>e</w:t>
      </w:r>
      <w:r>
        <w:t>stimmt werden können. Es gelten die Bestimmungen der Anlage 9 Abschnitte I, II und III. Sofern die Lände</w:t>
      </w:r>
      <w:r>
        <w:t>r</w:t>
      </w:r>
      <w:r>
        <w:t xml:space="preserve"> diese Stoffe </w:t>
      </w:r>
      <w:r>
        <w:lastRenderedPageBreak/>
        <w:t>messen, stimmen sie sich mit dem Bundesministerium für Umweltschutz, Naturschutz und R</w:t>
      </w:r>
      <w:r>
        <w:t>e</w:t>
      </w:r>
      <w:r>
        <w:t>aktorsicherheit oder der von ihm beauftragten Stelle ab.</w:t>
      </w:r>
    </w:p>
    <w:p>
      <w:pPr>
        <w:pStyle w:val="GesAbsatz"/>
      </w:pPr>
      <w:r>
        <w:t>(9) Ungeachtet der Konzentrationswerte wird für eine Fläche von je 100 000 Quadratkilometer jeweils eine Hintergrundprobenahmestelle installiert, die zur orientierenden Messung von Arsen, Kadmium, Nickel, dem gesamten gasförmigen Quecksilber, Benzo(a)pyren und den übrigen in Absatz 8 genannten polyzyklischen aromatischen Kohlenwasserstoffen in der Luft sowie der Ablagerung von Arsen, Kadmium, Quecksilber, Ni</w:t>
      </w:r>
      <w:r>
        <w:t>c</w:t>
      </w:r>
      <w:r>
        <w:t>kel, Benzo(a)pyren und den übrigen in Absatz 8 genannten polyzyklischen aromatischen Kohlenwassersto</w:t>
      </w:r>
      <w:r>
        <w:t>f</w:t>
      </w:r>
      <w:r>
        <w:t>fen dient. Das Bundesministerium für Umwelt, Naturschutz und Reaktorsicherheit oder die von ihm beau</w:t>
      </w:r>
      <w:r>
        <w:t>f</w:t>
      </w:r>
      <w:r>
        <w:t>tragte Stelle errichtet und betreibt im Bundesgebiet mindestens drei Messstationen, um die notwendige räu</w:t>
      </w:r>
      <w:r>
        <w:t>m</w:t>
      </w:r>
      <w:r>
        <w:t>liche Auflösung zu erreichen. An einer der Hintergrundprobenahmestellen erfolgt zusätzlich die Me</w:t>
      </w:r>
      <w:r>
        <w:t>s</w:t>
      </w:r>
      <w:r>
        <w:t>sung von partikel- und gasförmigem zweiwertigem Quecksilber. Die Überwachung ist mit der des Mess- und Bewe</w:t>
      </w:r>
      <w:r>
        <w:t>r</w:t>
      </w:r>
      <w:r>
        <w:t>tungsprogramms der Messung und Bewertung der weiträumigen Verfrachtung von Luftschadstoffen in Eur</w:t>
      </w:r>
      <w:r>
        <w:t>o</w:t>
      </w:r>
      <w:r>
        <w:t>pa (EMEP) abzustimmen. Die Probenahmestellen für diese Schadstoffe werden so gewählt, dass geograf</w:t>
      </w:r>
      <w:r>
        <w:t>i</w:t>
      </w:r>
      <w:r>
        <w:t>sche Unterschiede und langfristige Trends bestimmt werden können. Es gelten die Bestimmungen der Anl</w:t>
      </w:r>
      <w:r>
        <w:t>a</w:t>
      </w:r>
      <w:r>
        <w:t>ge 9 Abschnitte I, II und III.</w:t>
      </w:r>
    </w:p>
    <w:p>
      <w:pPr>
        <w:pStyle w:val="GesAbsatz"/>
      </w:pPr>
      <w:r>
        <w:t>(10) Die Verwendung von Bioindikatoren kann erwogen werden, wenn regionale Muster der Auswirkungen auf Ökosysteme beurteilt werden sollen.</w:t>
      </w:r>
    </w:p>
    <w:p>
      <w:pPr>
        <w:pStyle w:val="GesAbsatz"/>
      </w:pPr>
      <w:r>
        <w:t>(11) In Gebieten und Ballungsräumen, in denen Informationen von ortsfesten Messstationen durch Inform</w:t>
      </w:r>
      <w:r>
        <w:t>a</w:t>
      </w:r>
      <w:r>
        <w:t>tionen aus anderen Quellen, zum Beispiel Emissionskataster, orientierende Messmethoden oder Modelli</w:t>
      </w:r>
      <w:r>
        <w:t>e</w:t>
      </w:r>
      <w:r>
        <w:t>rung der Luftqualität ergänzt werden, muss die Zahl einzurichtender ortsfester Messstationen und die räuml</w:t>
      </w:r>
      <w:r>
        <w:t>i</w:t>
      </w:r>
      <w:r>
        <w:t>che Auflösung anderer Techniken ausreichen, um die Konzentrationen von Luftschadstoffen gemäß Anl</w:t>
      </w:r>
      <w:r>
        <w:t>a</w:t>
      </w:r>
      <w:r>
        <w:t>ge 9 Abschnitt I und Anlage 10 Abschnitt I zu ermitteln.</w:t>
      </w:r>
    </w:p>
    <w:p>
      <w:pPr>
        <w:pStyle w:val="GesAbsatz"/>
      </w:pPr>
      <w:r>
        <w:t>(12) Für die Datenqualität sind die Anforderungen in Anlage 10 Abschnitt I maßgebend. Werden Modelle zur Beurteilung der Luftqualität verwendet, so gilt Anlage 10 Abschnitt II.</w:t>
      </w:r>
    </w:p>
    <w:p>
      <w:pPr>
        <w:pStyle w:val="GesAbsatz"/>
      </w:pPr>
      <w:r>
        <w:t>(13) Für die Referenzmethoden für die Probenahmen und die Analyse von Arsen, Kadmium, Quecksilber, Nickel und polyzyklischen aromatischen Kohlenwasserstoffen in der Luft sind die Anforderungen in Anlage 11 Abschnitte I, II und III maßgebend; für Referenzmethoden zur Messung der Ablagerung von Arsen, Kadm</w:t>
      </w:r>
      <w:r>
        <w:t>i</w:t>
      </w:r>
      <w:r>
        <w:t>um, Quecksilber, Nickel und polyzyklischen aromatischen Kohlenwasserstoffen ist Anlage 11 A</w:t>
      </w:r>
      <w:r>
        <w:t>b</w:t>
      </w:r>
      <w:r>
        <w:t>schnitt IV maßgebend. Anlage 11 Abschnitt V betrifft Referenzmethoden zur Erstellung von Luftqualitätsmodellen, s</w:t>
      </w:r>
      <w:r>
        <w:t>o</w:t>
      </w:r>
      <w:r>
        <w:t>weit solche Methoden verfügbar sind.</w:t>
      </w:r>
    </w:p>
    <w:p>
      <w:pPr>
        <w:pStyle w:val="berschrift3"/>
      </w:pPr>
      <w:bookmarkStart w:id="24" w:name="_Toc174110512"/>
      <w:r>
        <w:t>§ 18</w:t>
      </w:r>
      <w:r>
        <w:br/>
        <w:t>Berichterstattung über Daten, Zielwertüberschreitungen und Maßnahmen</w:t>
      </w:r>
      <w:bookmarkEnd w:id="24"/>
    </w:p>
    <w:p>
      <w:pPr>
        <w:pStyle w:val="GesAbsatz"/>
      </w:pPr>
      <w:r>
        <w:t>(1) Die zuständigen Behörden übermitteln dem Bundesministerium für Umwelt, Naturschutz und Reaktors</w:t>
      </w:r>
      <w:r>
        <w:t>i</w:t>
      </w:r>
      <w:r>
        <w:t>cherheit oder der von ihm beauftragte Stelle über die nach Landesrecht zuständigen Behörden in Bezug auf Gebiete und Ballungsräume, in denen einer der in § 15 festgelegten Zielwerte überschritten wird, folgende Informationen:</w:t>
      </w:r>
    </w:p>
    <w:p>
      <w:pPr>
        <w:pStyle w:val="GesAbsatz"/>
      </w:pPr>
      <w:r>
        <w:t>a)</w:t>
      </w:r>
      <w:r>
        <w:tab/>
        <w:t>die Listen der betreffenden Gebiete und Ballungsräume,</w:t>
      </w:r>
    </w:p>
    <w:p>
      <w:pPr>
        <w:pStyle w:val="GesAbsatz"/>
      </w:pPr>
      <w:r>
        <w:t>b)</w:t>
      </w:r>
      <w:r>
        <w:tab/>
        <w:t>die Teilgebiete, in denen die Werte überschritten werden,</w:t>
      </w:r>
    </w:p>
    <w:p>
      <w:pPr>
        <w:pStyle w:val="GesAbsatz"/>
      </w:pPr>
      <w:r>
        <w:t>c)</w:t>
      </w:r>
      <w:r>
        <w:tab/>
        <w:t>die beurteilten Konzentrationswerte,</w:t>
      </w:r>
    </w:p>
    <w:p>
      <w:pPr>
        <w:pStyle w:val="GesAbsatz"/>
      </w:pPr>
      <w:r>
        <w:t>d)</w:t>
      </w:r>
      <w:r>
        <w:tab/>
        <w:t>die Gründe für die Überschreitung der Werte und insbesondere die Quellen, die dazu beitragen,</w:t>
      </w:r>
    </w:p>
    <w:p>
      <w:pPr>
        <w:pStyle w:val="GesAbsatz"/>
      </w:pPr>
      <w:r>
        <w:t>e)</w:t>
      </w:r>
      <w:r>
        <w:tab/>
        <w:t>die Teile der Bevölkerung, die diesen überhöhten Werten ausgesetzt sind.</w:t>
      </w:r>
    </w:p>
    <w:p>
      <w:pPr>
        <w:pStyle w:val="GesAbsatz"/>
      </w:pPr>
      <w:r>
        <w:t>Die zuständigen Behörden übermitteln dem Bundesministerium für Umwelt, Naturschutz und Reaktorsiche</w:t>
      </w:r>
      <w:r>
        <w:t>r</w:t>
      </w:r>
      <w:r>
        <w:t>heit oder der von ihm beauftragte Stelle über die nach Landesrecht zuständigen Behörden ferner alle g</w:t>
      </w:r>
      <w:r>
        <w:t>e</w:t>
      </w:r>
      <w:r>
        <w:t>mäß § 17 beurteilten Daten, sofern diese nicht bereits aufgrund der Entscheidung 97/101/EG des Rates vom 27. Januar 1997 zur Schaffung eines Austausches von Informationen und Daten aus den Netzen und Einze</w:t>
      </w:r>
      <w:r>
        <w:t>l</w:t>
      </w:r>
      <w:r>
        <w:t>stationen zur Messung der Luftverschmutzung in den Mitgliedstaaten (ABl. EG Nr. L 35 S. 14) gemeldet wo</w:t>
      </w:r>
      <w:r>
        <w:t>r</w:t>
      </w:r>
      <w:r>
        <w:t>den sind. Diese Informationen werden für jedes Kalenderjahr bis spätestens zum 31. Juli des darauf folge</w:t>
      </w:r>
      <w:r>
        <w:t>n</w:t>
      </w:r>
      <w:r>
        <w:t>den Jahres und zum ersten Mal für das Jahr 2008 übermittelt.</w:t>
      </w:r>
    </w:p>
    <w:p>
      <w:pPr>
        <w:pStyle w:val="GesAbsatz"/>
      </w:pPr>
      <w:r>
        <w:t>(2) Zusätzlich zu den in Absatz 1 geforderten Angaben melden sie alle gemäß § 16 ergriffenen Maßna</w:t>
      </w:r>
      <w:r>
        <w:t>h</w:t>
      </w:r>
      <w:r>
        <w:t>men.</w:t>
      </w:r>
    </w:p>
    <w:p>
      <w:pPr>
        <w:pStyle w:val="berschrift3"/>
      </w:pPr>
      <w:bookmarkStart w:id="25" w:name="_Toc174110513"/>
      <w:r>
        <w:lastRenderedPageBreak/>
        <w:t>§ 19</w:t>
      </w:r>
      <w:r>
        <w:br/>
        <w:t>Unterrichtung der Öffentlichkeit über Immissionskonzentrationen,</w:t>
      </w:r>
      <w:r>
        <w:br/>
        <w:t>Ablagerungen und Maßnahmen</w:t>
      </w:r>
      <w:bookmarkEnd w:id="25"/>
    </w:p>
    <w:p>
      <w:pPr>
        <w:pStyle w:val="GesAbsatz"/>
      </w:pPr>
      <w:r>
        <w:t>(1) Die zuständigen Behörden stellen der Öffentlichkeit und mit dem Gesundheitsschutz befassten Stellen in leicht zugänglicher Form routinemäßig anfallende Informationen über die Immissionskonzentrationen von Arsen, Kadmium, Quecksilber, Nickel und Benzo(a)pyren und den übrigen in § 17 Abs. 8 genannten polyz</w:t>
      </w:r>
      <w:r>
        <w:t>y</w:t>
      </w:r>
      <w:r>
        <w:t>klischen aromatischen Kohlenwasserstoffen sowie über die Ablagerungsraten von Arsen, Kadmium, Quec</w:t>
      </w:r>
      <w:r>
        <w:t>k</w:t>
      </w:r>
      <w:r>
        <w:t>silber, Nickel und Benzo(a)pyren und den übrigen in § 17 Abs. 8 genannten polyzyklischen aromat</w:t>
      </w:r>
      <w:r>
        <w:t>i</w:t>
      </w:r>
      <w:r>
        <w:t>schen Kohlenwasserstoffen zur Verfügung. Darüber hinaus werden Informationen über gemäß § 16 ergriffene Maßnahmen zur Verfügung gestellt.</w:t>
      </w:r>
    </w:p>
    <w:p>
      <w:pPr>
        <w:pStyle w:val="GesAbsatz"/>
      </w:pPr>
      <w:r>
        <w:t>(2) Die Informationen nach Absatz 1 Satz 1 müssen auch Angaben zu jeder jährlichen Überschreitung der in § 15 festgelegten Zielwerte für Arsen, Kadmium, Nickel und Benzo(a)pyren enthalten. Dabei werden die Gründe für die Überschreitung und das Gebiet angegeben, in dem die Überschreitung festgestellt wurde. Hinzu kommen ferner eine kurze Beurteilung anhand des Zielwerts sowie einschlägige Angaben über g</w:t>
      </w:r>
      <w:r>
        <w:t>e</w:t>
      </w:r>
      <w:r>
        <w:t>sundheitliche Auswirkungen und Umweltfolgen.</w:t>
      </w:r>
    </w:p>
    <w:p>
      <w:pPr>
        <w:pStyle w:val="berschrift2"/>
      </w:pPr>
      <w:bookmarkStart w:id="26" w:name="_Toc174110514"/>
      <w:r>
        <w:t>Dritter Teil</w:t>
      </w:r>
      <w:r>
        <w:rPr>
          <w:b w:val="0"/>
        </w:rPr>
        <w:br/>
      </w:r>
      <w:r>
        <w:t>Schlussvorschriften</w:t>
      </w:r>
      <w:bookmarkEnd w:id="26"/>
    </w:p>
    <w:p>
      <w:pPr>
        <w:pStyle w:val="berschrift3"/>
      </w:pPr>
      <w:bookmarkStart w:id="27" w:name="_Toc174110515"/>
      <w:r>
        <w:t>§ 20</w:t>
      </w:r>
      <w:r>
        <w:br/>
        <w:t>Inkrafttreten, Außerkrafttreten</w:t>
      </w:r>
      <w:bookmarkEnd w:id="27"/>
    </w:p>
    <w:p>
      <w:pPr>
        <w:pStyle w:val="GesAbsatz"/>
      </w:pPr>
      <w:r>
        <w:t>Diese Verordnung tritt am Tage nach der Verkündung in Kraft. Gleichzeitig tritt die Zweiundzwanzigste Ve</w:t>
      </w:r>
      <w:r>
        <w:t>r</w:t>
      </w:r>
      <w:r>
        <w:t>ordnung zur Durchführung des Bundes-Immissionsschutzgesetzes (Verordnung über Immissionswerte) vom 26. Oktober 1993 (BGBl. I S. 1819), geändert durch die Verordnung vom 27. Mai 1994 (BGBl. I S. 1095), außer Kraft.</w:t>
      </w:r>
    </w:p>
    <w:p>
      <w:pPr>
        <w:pStyle w:val="berschrift2"/>
        <w:jc w:val="left"/>
      </w:pPr>
      <w:r>
        <w:br w:type="page"/>
      </w:r>
      <w:bookmarkStart w:id="28" w:name="_Toc174110516"/>
      <w:r>
        <w:lastRenderedPageBreak/>
        <w:t>Anlage 1</w:t>
      </w:r>
      <w:r>
        <w:br/>
        <w:t>Ermittlung der Anforderungen für die Beurteilung der Konzentration von Schwefe</w:t>
      </w:r>
      <w:r>
        <w:t>l</w:t>
      </w:r>
      <w:r>
        <w:t>dioxid, Stickstoffdioxid (NO</w:t>
      </w:r>
      <w:r>
        <w:rPr>
          <w:szCs w:val="14"/>
          <w:vertAlign w:val="subscript"/>
        </w:rPr>
        <w:t>2</w:t>
      </w:r>
      <w:r>
        <w:t>) und Stickstoffoxiden (NO</w:t>
      </w:r>
      <w:r>
        <w:rPr>
          <w:szCs w:val="14"/>
          <w:vertAlign w:val="subscript"/>
        </w:rPr>
        <w:t>x</w:t>
      </w:r>
      <w:r>
        <w:t>), Partikeln (PM</w:t>
      </w:r>
      <w:r>
        <w:rPr>
          <w:szCs w:val="14"/>
          <w:vertAlign w:val="subscript"/>
        </w:rPr>
        <w:t>10</w:t>
      </w:r>
      <w:r>
        <w:t>), Blei, Be</w:t>
      </w:r>
      <w:r>
        <w:t>n</w:t>
      </w:r>
      <w:r>
        <w:t>zol und Kohlenmonoxid in der Luft innerhalb eines Gebiets oder Ballungsraums</w:t>
      </w:r>
      <w:bookmarkEnd w:id="28"/>
    </w:p>
    <w:p>
      <w:pPr>
        <w:pStyle w:val="GesAbsatz"/>
        <w:rPr>
          <w:b/>
          <w:bCs/>
        </w:rPr>
      </w:pPr>
      <w:r>
        <w:rPr>
          <w:b/>
          <w:bCs/>
        </w:rPr>
        <w:t>I.</w:t>
      </w:r>
      <w:r>
        <w:rPr>
          <w:b/>
          <w:bCs/>
        </w:rPr>
        <w:tab/>
        <w:t>Obere und untere Beurteilungsschwellen</w:t>
      </w:r>
    </w:p>
    <w:p>
      <w:pPr>
        <w:pStyle w:val="GesAbsatz"/>
      </w:pPr>
      <w:r>
        <w:t>Es gelten die folgenden oberen und unteren Beurteilungsschwellen:</w:t>
      </w:r>
    </w:p>
    <w:p>
      <w:pPr>
        <w:pStyle w:val="GesAbsatz"/>
        <w:rPr>
          <w:rFonts w:ascii="HelveticaNeue-Bold" w:hAnsi="HelveticaNeue-Bold"/>
          <w:b/>
          <w:bCs/>
          <w:sz w:val="18"/>
          <w:szCs w:val="18"/>
        </w:rPr>
      </w:pPr>
      <w:r>
        <w:rPr>
          <w:b/>
          <w:bCs/>
        </w:rPr>
        <w:t>a)</w:t>
      </w:r>
      <w:r>
        <w:rPr>
          <w:b/>
          <w:bCs/>
        </w:rPr>
        <w:tab/>
        <w:t>Schwefeldioxid</w:t>
      </w: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985"/>
        <w:gridCol w:w="4675"/>
        <w:gridCol w:w="2838"/>
      </w:tblGrid>
      <w:tr>
        <w:tblPrEx>
          <w:tblCellMar>
            <w:top w:w="0" w:type="dxa"/>
            <w:bottom w:w="0" w:type="dxa"/>
          </w:tblCellMar>
        </w:tblPrEx>
        <w:tc>
          <w:tcPr>
            <w:tcW w:w="1985" w:type="dxa"/>
          </w:tcPr>
          <w:p>
            <w:pPr>
              <w:pStyle w:val="GesAbsatz"/>
              <w:jc w:val="center"/>
              <w:rPr>
                <w:rFonts w:cs="Arial"/>
              </w:rPr>
            </w:pPr>
          </w:p>
        </w:tc>
        <w:tc>
          <w:tcPr>
            <w:tcW w:w="4675" w:type="dxa"/>
          </w:tcPr>
          <w:p>
            <w:pPr>
              <w:pStyle w:val="GesAbsatz"/>
              <w:jc w:val="center"/>
              <w:rPr>
                <w:rFonts w:cs="Arial"/>
                <w:szCs w:val="48"/>
                <w:vertAlign w:val="superscript"/>
              </w:rPr>
            </w:pPr>
            <w:r>
              <w:rPr>
                <w:rFonts w:cs="Arial"/>
                <w:szCs w:val="48"/>
              </w:rPr>
              <w:t>Gesundheitsschutz</w:t>
            </w:r>
          </w:p>
        </w:tc>
        <w:tc>
          <w:tcPr>
            <w:tcW w:w="2838" w:type="dxa"/>
          </w:tcPr>
          <w:p>
            <w:pPr>
              <w:pStyle w:val="GesAbsatz"/>
              <w:jc w:val="center"/>
              <w:rPr>
                <w:rFonts w:cs="Arial"/>
                <w:szCs w:val="48"/>
                <w:vertAlign w:val="superscript"/>
              </w:rPr>
            </w:pPr>
            <w:r>
              <w:rPr>
                <w:rFonts w:cs="Arial"/>
              </w:rPr>
              <w:t>Ökosystemschutz</w:t>
            </w:r>
          </w:p>
        </w:tc>
      </w:tr>
      <w:tr>
        <w:tblPrEx>
          <w:tblCellMar>
            <w:top w:w="0" w:type="dxa"/>
            <w:bottom w:w="0" w:type="dxa"/>
          </w:tblCellMar>
        </w:tblPrEx>
        <w:trPr>
          <w:trHeight w:val="711"/>
        </w:trPr>
        <w:tc>
          <w:tcPr>
            <w:tcW w:w="1985" w:type="dxa"/>
          </w:tcPr>
          <w:p>
            <w:pPr>
              <w:pStyle w:val="GesAbsatz"/>
              <w:rPr>
                <w:rFonts w:cs="Arial"/>
              </w:rPr>
            </w:pPr>
            <w:r>
              <w:rPr>
                <w:rFonts w:cs="Arial"/>
              </w:rPr>
              <w:t>Obere Beurteilung</w:t>
            </w:r>
            <w:r>
              <w:rPr>
                <w:rFonts w:cs="Arial"/>
              </w:rPr>
              <w:t>s</w:t>
            </w:r>
            <w:r>
              <w:rPr>
                <w:rFonts w:cs="Arial"/>
              </w:rPr>
              <w:t>schwelle</w:t>
            </w:r>
          </w:p>
        </w:tc>
        <w:tc>
          <w:tcPr>
            <w:tcW w:w="4675" w:type="dxa"/>
          </w:tcPr>
          <w:p>
            <w:pPr>
              <w:pStyle w:val="GesAbsatz"/>
              <w:rPr>
                <w:rFonts w:cs="Arial"/>
                <w:szCs w:val="48"/>
                <w:vertAlign w:val="superscript"/>
              </w:rPr>
            </w:pPr>
            <w:r>
              <w:rPr>
                <w:rFonts w:cs="Arial"/>
              </w:rPr>
              <w:t>60 % des 24-Stunden-Immissions-Grenzwertes (75 µg/m</w:t>
            </w:r>
            <w:r>
              <w:rPr>
                <w:rFonts w:cs="Arial"/>
                <w:szCs w:val="12"/>
                <w:vertAlign w:val="superscript"/>
              </w:rPr>
              <w:t>3</w:t>
            </w:r>
            <w:r>
              <w:rPr>
                <w:rFonts w:cs="Arial"/>
                <w:szCs w:val="12"/>
              </w:rPr>
              <w:t xml:space="preserve"> </w:t>
            </w:r>
            <w:r>
              <w:rPr>
                <w:rFonts w:cs="Arial"/>
              </w:rPr>
              <w:t>dürfen nicht öfter als 3-mal im Kalende</w:t>
            </w:r>
            <w:r>
              <w:rPr>
                <w:rFonts w:cs="Arial"/>
              </w:rPr>
              <w:t>r</w:t>
            </w:r>
            <w:r>
              <w:rPr>
                <w:rFonts w:cs="Arial"/>
              </w:rPr>
              <w:t>jahr</w:t>
            </w:r>
            <w:r>
              <w:rPr>
                <w:rFonts w:cs="Arial"/>
                <w:szCs w:val="48"/>
              </w:rPr>
              <w:t xml:space="preserve"> </w:t>
            </w:r>
            <w:r>
              <w:rPr>
                <w:rFonts w:cs="Arial"/>
              </w:rPr>
              <w:t xml:space="preserve">überschritten werden) </w:t>
            </w:r>
          </w:p>
        </w:tc>
        <w:tc>
          <w:tcPr>
            <w:tcW w:w="2838" w:type="dxa"/>
          </w:tcPr>
          <w:p>
            <w:pPr>
              <w:pStyle w:val="GesAbsatz"/>
              <w:rPr>
                <w:rFonts w:cs="Arial"/>
                <w:szCs w:val="48"/>
                <w:vertAlign w:val="superscript"/>
              </w:rPr>
            </w:pPr>
            <w:r>
              <w:rPr>
                <w:rFonts w:cs="Arial"/>
                <w:szCs w:val="18"/>
              </w:rPr>
              <w:t>60 % des Winter-Immissions-Grenzwertes (12 µg/m</w:t>
            </w:r>
            <w:r>
              <w:rPr>
                <w:rFonts w:cs="Arial"/>
                <w:szCs w:val="12"/>
                <w:vertAlign w:val="superscript"/>
              </w:rPr>
              <w:t>3</w:t>
            </w:r>
            <w:r>
              <w:rPr>
                <w:rFonts w:cs="Arial"/>
                <w:szCs w:val="18"/>
              </w:rPr>
              <w:t>)</w:t>
            </w:r>
          </w:p>
        </w:tc>
      </w:tr>
      <w:tr>
        <w:tblPrEx>
          <w:tblCellMar>
            <w:top w:w="0" w:type="dxa"/>
            <w:bottom w:w="0" w:type="dxa"/>
          </w:tblCellMar>
        </w:tblPrEx>
        <w:trPr>
          <w:trHeight w:val="722"/>
        </w:trPr>
        <w:tc>
          <w:tcPr>
            <w:tcW w:w="1985" w:type="dxa"/>
          </w:tcPr>
          <w:p>
            <w:pPr>
              <w:pStyle w:val="GesAbsatz"/>
              <w:rPr>
                <w:rFonts w:cs="Arial"/>
              </w:rPr>
            </w:pPr>
            <w:r>
              <w:rPr>
                <w:rFonts w:cs="Arial"/>
              </w:rPr>
              <w:t>Untere Beurteilung</w:t>
            </w:r>
            <w:r>
              <w:rPr>
                <w:rFonts w:cs="Arial"/>
              </w:rPr>
              <w:t>s</w:t>
            </w:r>
            <w:r>
              <w:rPr>
                <w:rFonts w:cs="Arial"/>
              </w:rPr>
              <w:t>schwelle</w:t>
            </w:r>
          </w:p>
        </w:tc>
        <w:tc>
          <w:tcPr>
            <w:tcW w:w="4675" w:type="dxa"/>
          </w:tcPr>
          <w:p>
            <w:pPr>
              <w:pStyle w:val="GesAbsatz"/>
              <w:rPr>
                <w:rFonts w:cs="Arial"/>
                <w:szCs w:val="48"/>
                <w:vertAlign w:val="superscript"/>
              </w:rPr>
            </w:pPr>
            <w:r>
              <w:rPr>
                <w:rFonts w:cs="Arial"/>
                <w:szCs w:val="18"/>
              </w:rPr>
              <w:t>40 % des 24-Stunden-Immissions-Grenzwertes (50 µg/m</w:t>
            </w:r>
            <w:r>
              <w:rPr>
                <w:rFonts w:cs="Arial"/>
                <w:szCs w:val="12"/>
                <w:vertAlign w:val="superscript"/>
              </w:rPr>
              <w:t>3</w:t>
            </w:r>
            <w:r>
              <w:rPr>
                <w:rFonts w:cs="Arial"/>
                <w:szCs w:val="12"/>
              </w:rPr>
              <w:t xml:space="preserve"> </w:t>
            </w:r>
            <w:r>
              <w:rPr>
                <w:rFonts w:cs="Arial"/>
                <w:szCs w:val="18"/>
              </w:rPr>
              <w:t>dürfen nicht öfter als 3-mal im Kalende</w:t>
            </w:r>
            <w:r>
              <w:rPr>
                <w:rFonts w:cs="Arial"/>
                <w:szCs w:val="18"/>
              </w:rPr>
              <w:t>r</w:t>
            </w:r>
            <w:r>
              <w:rPr>
                <w:rFonts w:cs="Arial"/>
                <w:szCs w:val="18"/>
              </w:rPr>
              <w:t>jahr ü</w:t>
            </w:r>
            <w:r>
              <w:rPr>
                <w:rFonts w:cs="Arial"/>
              </w:rPr>
              <w:t>berschritten werden)</w:t>
            </w:r>
          </w:p>
        </w:tc>
        <w:tc>
          <w:tcPr>
            <w:tcW w:w="2838" w:type="dxa"/>
          </w:tcPr>
          <w:p>
            <w:pPr>
              <w:pStyle w:val="GesAbsatz"/>
              <w:rPr>
                <w:rFonts w:cs="Arial"/>
                <w:szCs w:val="48"/>
                <w:vertAlign w:val="superscript"/>
              </w:rPr>
            </w:pPr>
            <w:r>
              <w:rPr>
                <w:rFonts w:cs="Arial"/>
                <w:szCs w:val="18"/>
              </w:rPr>
              <w:t>40 % des Winter-Immissions-Grenzwertes (µg/m</w:t>
            </w:r>
            <w:r>
              <w:rPr>
                <w:rFonts w:cs="Arial"/>
                <w:szCs w:val="12"/>
                <w:vertAlign w:val="superscript"/>
              </w:rPr>
              <w:t>3</w:t>
            </w:r>
            <w:r>
              <w:rPr>
                <w:rFonts w:cs="Arial"/>
                <w:szCs w:val="18"/>
              </w:rPr>
              <w:t>)</w:t>
            </w:r>
          </w:p>
        </w:tc>
      </w:tr>
    </w:tbl>
    <w:p>
      <w:pPr>
        <w:pStyle w:val="GesAbsatz"/>
        <w:rPr>
          <w:b/>
          <w:bCs/>
        </w:rPr>
      </w:pPr>
    </w:p>
    <w:p>
      <w:pPr>
        <w:pStyle w:val="GesAbsatz"/>
        <w:rPr>
          <w:b/>
          <w:bCs/>
        </w:rPr>
      </w:pPr>
      <w:r>
        <w:rPr>
          <w:b/>
          <w:bCs/>
        </w:rPr>
        <w:t>b)</w:t>
      </w:r>
      <w:r>
        <w:rPr>
          <w:b/>
          <w:bCs/>
        </w:rPr>
        <w:tab/>
        <w:t>Stickstoffdioxid und Stickstoffoxide</w:t>
      </w: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985"/>
        <w:gridCol w:w="2551"/>
        <w:gridCol w:w="2977"/>
        <w:gridCol w:w="1985"/>
      </w:tblGrid>
      <w:tr>
        <w:tblPrEx>
          <w:tblCellMar>
            <w:top w:w="0" w:type="dxa"/>
            <w:bottom w:w="0" w:type="dxa"/>
          </w:tblCellMar>
        </w:tblPrEx>
        <w:trPr>
          <w:cantSplit/>
          <w:trHeight w:val="543"/>
        </w:trPr>
        <w:tc>
          <w:tcPr>
            <w:tcW w:w="1985" w:type="dxa"/>
          </w:tcPr>
          <w:p>
            <w:pPr>
              <w:pStyle w:val="GesAbsatz"/>
              <w:jc w:val="center"/>
              <w:rPr>
                <w:rFonts w:cs="Arial"/>
              </w:rPr>
            </w:pPr>
          </w:p>
        </w:tc>
        <w:tc>
          <w:tcPr>
            <w:tcW w:w="2551" w:type="dxa"/>
          </w:tcPr>
          <w:p>
            <w:pPr>
              <w:pStyle w:val="GesAbsatz"/>
              <w:jc w:val="center"/>
              <w:rPr>
                <w:rFonts w:cs="Arial"/>
                <w:color w:val="auto"/>
                <w:szCs w:val="18"/>
              </w:rPr>
            </w:pPr>
            <w:r>
              <w:rPr>
                <w:rFonts w:cs="Arial"/>
                <w:color w:val="auto"/>
                <w:szCs w:val="18"/>
              </w:rPr>
              <w:t>Gesundheitsschutz</w:t>
            </w:r>
            <w:r>
              <w:rPr>
                <w:rFonts w:cs="Arial"/>
                <w:color w:val="auto"/>
                <w:szCs w:val="18"/>
              </w:rPr>
              <w:br/>
              <w:t>(NO</w:t>
            </w:r>
            <w:r>
              <w:rPr>
                <w:rFonts w:cs="Arial"/>
                <w:color w:val="auto"/>
                <w:szCs w:val="18"/>
                <w:vertAlign w:val="subscript"/>
              </w:rPr>
              <w:t>2</w:t>
            </w:r>
            <w:r>
              <w:rPr>
                <w:rFonts w:cs="Arial"/>
                <w:color w:val="auto"/>
                <w:szCs w:val="18"/>
              </w:rPr>
              <w:t>)</w:t>
            </w:r>
          </w:p>
        </w:tc>
        <w:tc>
          <w:tcPr>
            <w:tcW w:w="2977" w:type="dxa"/>
          </w:tcPr>
          <w:p>
            <w:pPr>
              <w:pStyle w:val="GesAbsatz"/>
              <w:jc w:val="center"/>
              <w:rPr>
                <w:rFonts w:cs="Arial"/>
                <w:color w:val="auto"/>
                <w:szCs w:val="18"/>
              </w:rPr>
            </w:pPr>
            <w:r>
              <w:rPr>
                <w:rFonts w:cs="Arial"/>
                <w:color w:val="auto"/>
                <w:szCs w:val="18"/>
              </w:rPr>
              <w:t>Gesundheitsschutz</w:t>
            </w:r>
            <w:r>
              <w:rPr>
                <w:rFonts w:cs="Arial"/>
                <w:color w:val="auto"/>
                <w:szCs w:val="18"/>
              </w:rPr>
              <w:br/>
              <w:t>(NO</w:t>
            </w:r>
            <w:r>
              <w:rPr>
                <w:rFonts w:cs="Arial"/>
                <w:color w:val="auto"/>
                <w:szCs w:val="18"/>
                <w:vertAlign w:val="subscript"/>
              </w:rPr>
              <w:t>2</w:t>
            </w:r>
            <w:r>
              <w:rPr>
                <w:rFonts w:cs="Arial"/>
                <w:color w:val="auto"/>
                <w:szCs w:val="18"/>
              </w:rPr>
              <w:t>)</w:t>
            </w:r>
          </w:p>
        </w:tc>
        <w:tc>
          <w:tcPr>
            <w:tcW w:w="1985" w:type="dxa"/>
          </w:tcPr>
          <w:p>
            <w:pPr>
              <w:pStyle w:val="GesAbsatz"/>
              <w:jc w:val="center"/>
              <w:rPr>
                <w:rFonts w:cs="Arial"/>
                <w:color w:val="auto"/>
                <w:szCs w:val="18"/>
              </w:rPr>
            </w:pPr>
            <w:r>
              <w:rPr>
                <w:rFonts w:cs="Arial"/>
                <w:color w:val="auto"/>
                <w:szCs w:val="18"/>
              </w:rPr>
              <w:t>Vegetation</w:t>
            </w:r>
            <w:r>
              <w:rPr>
                <w:rFonts w:cs="Arial"/>
                <w:color w:val="auto"/>
                <w:szCs w:val="18"/>
              </w:rPr>
              <w:t>s</w:t>
            </w:r>
            <w:r>
              <w:rPr>
                <w:rFonts w:cs="Arial"/>
                <w:color w:val="auto"/>
                <w:szCs w:val="18"/>
              </w:rPr>
              <w:t>schutz</w:t>
            </w:r>
            <w:r>
              <w:rPr>
                <w:rFonts w:cs="Arial"/>
                <w:color w:val="auto"/>
                <w:szCs w:val="18"/>
              </w:rPr>
              <w:br/>
              <w:t>(NO</w:t>
            </w:r>
            <w:r>
              <w:rPr>
                <w:rFonts w:cs="Arial"/>
                <w:color w:val="auto"/>
                <w:szCs w:val="18"/>
                <w:vertAlign w:val="subscript"/>
              </w:rPr>
              <w:t>x</w:t>
            </w:r>
            <w:r>
              <w:rPr>
                <w:rFonts w:cs="Arial"/>
                <w:color w:val="auto"/>
                <w:szCs w:val="18"/>
              </w:rPr>
              <w:t>)</w:t>
            </w:r>
          </w:p>
        </w:tc>
      </w:tr>
      <w:tr>
        <w:tblPrEx>
          <w:tblCellMar>
            <w:top w:w="0" w:type="dxa"/>
            <w:bottom w:w="0" w:type="dxa"/>
          </w:tblCellMar>
        </w:tblPrEx>
        <w:trPr>
          <w:cantSplit/>
          <w:trHeight w:val="1573"/>
        </w:trPr>
        <w:tc>
          <w:tcPr>
            <w:tcW w:w="1985" w:type="dxa"/>
          </w:tcPr>
          <w:p>
            <w:pPr>
              <w:pStyle w:val="GesAbsatz"/>
              <w:rPr>
                <w:rFonts w:cs="Arial"/>
                <w:color w:val="auto"/>
                <w:szCs w:val="18"/>
              </w:rPr>
            </w:pPr>
            <w:r>
              <w:rPr>
                <w:rFonts w:cs="Arial"/>
                <w:color w:val="auto"/>
                <w:szCs w:val="18"/>
              </w:rPr>
              <w:t>Obere Beurteilung</w:t>
            </w:r>
            <w:r>
              <w:rPr>
                <w:rFonts w:cs="Arial"/>
                <w:color w:val="auto"/>
                <w:szCs w:val="18"/>
              </w:rPr>
              <w:t>s</w:t>
            </w:r>
            <w:r>
              <w:rPr>
                <w:rFonts w:cs="Arial"/>
                <w:color w:val="auto"/>
                <w:szCs w:val="18"/>
              </w:rPr>
              <w:t>schwelle</w:t>
            </w:r>
          </w:p>
        </w:tc>
        <w:tc>
          <w:tcPr>
            <w:tcW w:w="2551" w:type="dxa"/>
          </w:tcPr>
          <w:p>
            <w:pPr>
              <w:pStyle w:val="GesAbsatz"/>
              <w:rPr>
                <w:rFonts w:cs="Arial"/>
                <w:color w:val="auto"/>
                <w:szCs w:val="18"/>
              </w:rPr>
            </w:pPr>
            <w:r>
              <w:rPr>
                <w:rFonts w:cs="Arial"/>
                <w:color w:val="auto"/>
                <w:szCs w:val="18"/>
              </w:rPr>
              <w:t>70 % des 1-Stunden-Immissionsgrenzwertes (140 µg/m</w:t>
            </w:r>
            <w:r>
              <w:rPr>
                <w:rFonts w:cs="Arial"/>
                <w:color w:val="auto"/>
                <w:szCs w:val="18"/>
                <w:vertAlign w:val="superscript"/>
              </w:rPr>
              <w:t xml:space="preserve">3 </w:t>
            </w:r>
            <w:r>
              <w:rPr>
                <w:rFonts w:cs="Arial"/>
                <w:color w:val="auto"/>
                <w:szCs w:val="18"/>
              </w:rPr>
              <w:t>dürfen nicht öfter als 18-mal im Kale</w:t>
            </w:r>
            <w:r>
              <w:rPr>
                <w:rFonts w:cs="Arial"/>
                <w:color w:val="auto"/>
                <w:szCs w:val="18"/>
              </w:rPr>
              <w:t>n</w:t>
            </w:r>
            <w:r>
              <w:rPr>
                <w:rFonts w:cs="Arial"/>
                <w:color w:val="auto"/>
                <w:szCs w:val="18"/>
              </w:rPr>
              <w:t>derjahr überschritten we</w:t>
            </w:r>
            <w:r>
              <w:rPr>
                <w:rFonts w:cs="Arial"/>
                <w:color w:val="auto"/>
                <w:szCs w:val="18"/>
              </w:rPr>
              <w:t>r</w:t>
            </w:r>
            <w:r>
              <w:rPr>
                <w:rFonts w:cs="Arial"/>
                <w:color w:val="auto"/>
                <w:szCs w:val="18"/>
              </w:rPr>
              <w:t>den)</w:t>
            </w:r>
          </w:p>
        </w:tc>
        <w:tc>
          <w:tcPr>
            <w:tcW w:w="2977" w:type="dxa"/>
          </w:tcPr>
          <w:p>
            <w:pPr>
              <w:pStyle w:val="GesAbsatz"/>
              <w:rPr>
                <w:rFonts w:cs="Arial"/>
                <w:szCs w:val="48"/>
                <w:vertAlign w:val="superscript"/>
              </w:rPr>
            </w:pPr>
            <w:r>
              <w:rPr>
                <w:rFonts w:cs="Arial"/>
                <w:color w:val="auto"/>
                <w:szCs w:val="18"/>
              </w:rPr>
              <w:t>80 % des Jahres-Immissionsgrenzwertes (32 µg/m</w:t>
            </w:r>
            <w:r>
              <w:rPr>
                <w:rFonts w:cs="Arial"/>
                <w:color w:val="auto"/>
                <w:szCs w:val="18"/>
                <w:vertAlign w:val="superscript"/>
              </w:rPr>
              <w:t>3</w:t>
            </w:r>
            <w:r>
              <w:rPr>
                <w:rFonts w:cs="Arial"/>
                <w:color w:val="auto"/>
                <w:szCs w:val="18"/>
              </w:rPr>
              <w:t>)</w:t>
            </w:r>
          </w:p>
        </w:tc>
        <w:tc>
          <w:tcPr>
            <w:tcW w:w="1985" w:type="dxa"/>
          </w:tcPr>
          <w:p>
            <w:pPr>
              <w:pStyle w:val="GesAbsatz"/>
              <w:rPr>
                <w:rFonts w:cs="Arial"/>
                <w:szCs w:val="48"/>
                <w:vertAlign w:val="superscript"/>
              </w:rPr>
            </w:pPr>
            <w:r>
              <w:rPr>
                <w:rFonts w:cs="Arial"/>
                <w:color w:val="auto"/>
                <w:szCs w:val="18"/>
              </w:rPr>
              <w:t>80 % des Jahres-Immissionsgren</w:t>
            </w:r>
            <w:r>
              <w:rPr>
                <w:rFonts w:cs="Arial"/>
                <w:color w:val="auto"/>
                <w:szCs w:val="18"/>
              </w:rPr>
              <w:t>z</w:t>
            </w:r>
            <w:r>
              <w:rPr>
                <w:rFonts w:cs="Arial"/>
                <w:color w:val="auto"/>
                <w:szCs w:val="18"/>
              </w:rPr>
              <w:t>wertes (24 µg/m</w:t>
            </w:r>
            <w:r>
              <w:rPr>
                <w:rFonts w:cs="Arial"/>
                <w:color w:val="auto"/>
                <w:szCs w:val="18"/>
                <w:vertAlign w:val="superscript"/>
              </w:rPr>
              <w:t>3</w:t>
            </w:r>
            <w:r>
              <w:rPr>
                <w:rFonts w:cs="Arial"/>
                <w:color w:val="auto"/>
                <w:szCs w:val="18"/>
              </w:rPr>
              <w:t>)</w:t>
            </w:r>
          </w:p>
        </w:tc>
      </w:tr>
      <w:tr>
        <w:tblPrEx>
          <w:tblCellMar>
            <w:top w:w="0" w:type="dxa"/>
            <w:bottom w:w="0" w:type="dxa"/>
          </w:tblCellMar>
        </w:tblPrEx>
        <w:trPr>
          <w:cantSplit/>
          <w:trHeight w:val="1197"/>
        </w:trPr>
        <w:tc>
          <w:tcPr>
            <w:tcW w:w="1985" w:type="dxa"/>
          </w:tcPr>
          <w:p>
            <w:pPr>
              <w:pStyle w:val="GesAbsatz"/>
              <w:rPr>
                <w:rFonts w:cs="Arial"/>
                <w:szCs w:val="18"/>
              </w:rPr>
            </w:pPr>
            <w:r>
              <w:rPr>
                <w:rFonts w:cs="Arial"/>
                <w:szCs w:val="18"/>
              </w:rPr>
              <w:t>Untere Beurteilung</w:t>
            </w:r>
            <w:r>
              <w:rPr>
                <w:rFonts w:cs="Arial"/>
                <w:szCs w:val="18"/>
              </w:rPr>
              <w:t>s</w:t>
            </w:r>
            <w:r>
              <w:rPr>
                <w:rFonts w:cs="Arial"/>
                <w:szCs w:val="18"/>
              </w:rPr>
              <w:t>schwe</w:t>
            </w:r>
            <w:r>
              <w:rPr>
                <w:rFonts w:cs="Arial"/>
                <w:szCs w:val="18"/>
              </w:rPr>
              <w:t>l</w:t>
            </w:r>
            <w:r>
              <w:rPr>
                <w:rFonts w:cs="Arial"/>
                <w:szCs w:val="18"/>
              </w:rPr>
              <w:t>le</w:t>
            </w:r>
          </w:p>
        </w:tc>
        <w:tc>
          <w:tcPr>
            <w:tcW w:w="2551" w:type="dxa"/>
          </w:tcPr>
          <w:p>
            <w:pPr>
              <w:pStyle w:val="GesAbsatz"/>
              <w:rPr>
                <w:rFonts w:cs="Arial"/>
                <w:color w:val="auto"/>
                <w:szCs w:val="18"/>
              </w:rPr>
            </w:pPr>
            <w:r>
              <w:rPr>
                <w:rFonts w:cs="Arial"/>
                <w:color w:val="auto"/>
                <w:szCs w:val="18"/>
              </w:rPr>
              <w:t>50 % des 1-Stunden-Im-missionsgrenzwertes (100 µg/m</w:t>
            </w:r>
            <w:r>
              <w:rPr>
                <w:rFonts w:cs="Arial"/>
                <w:color w:val="auto"/>
                <w:szCs w:val="18"/>
                <w:vertAlign w:val="superscript"/>
              </w:rPr>
              <w:t>3</w:t>
            </w:r>
            <w:r>
              <w:rPr>
                <w:rFonts w:cs="Arial"/>
                <w:color w:val="auto"/>
                <w:szCs w:val="18"/>
              </w:rPr>
              <w:t>dürfen nicht öfter als 18-mal im Kalenderjahr überschritten werden)</w:t>
            </w:r>
          </w:p>
        </w:tc>
        <w:tc>
          <w:tcPr>
            <w:tcW w:w="2977" w:type="dxa"/>
          </w:tcPr>
          <w:p>
            <w:pPr>
              <w:pStyle w:val="GesAbsatz"/>
              <w:rPr>
                <w:rFonts w:cs="Arial"/>
                <w:color w:val="auto"/>
                <w:szCs w:val="18"/>
              </w:rPr>
            </w:pPr>
            <w:r>
              <w:rPr>
                <w:rFonts w:cs="Arial"/>
                <w:color w:val="auto"/>
                <w:szCs w:val="18"/>
              </w:rPr>
              <w:t>65 % des Jahres-Immissions-grenzwertes (26 µg/m</w:t>
            </w:r>
            <w:r>
              <w:rPr>
                <w:rFonts w:cs="Arial"/>
                <w:color w:val="auto"/>
                <w:szCs w:val="18"/>
                <w:vertAlign w:val="superscript"/>
              </w:rPr>
              <w:t>3</w:t>
            </w:r>
            <w:r>
              <w:rPr>
                <w:rFonts w:cs="Arial"/>
                <w:color w:val="auto"/>
                <w:szCs w:val="18"/>
              </w:rPr>
              <w:t>)</w:t>
            </w:r>
          </w:p>
        </w:tc>
        <w:tc>
          <w:tcPr>
            <w:tcW w:w="1985" w:type="dxa"/>
          </w:tcPr>
          <w:p>
            <w:pPr>
              <w:pStyle w:val="GesAbsatz"/>
              <w:rPr>
                <w:rFonts w:cs="Arial"/>
                <w:szCs w:val="48"/>
                <w:vertAlign w:val="superscript"/>
              </w:rPr>
            </w:pPr>
            <w:r>
              <w:rPr>
                <w:rFonts w:cs="Arial"/>
                <w:color w:val="auto"/>
                <w:szCs w:val="18"/>
              </w:rPr>
              <w:t>65 % des Jahres-Immissionsgren</w:t>
            </w:r>
            <w:r>
              <w:rPr>
                <w:rFonts w:cs="Arial"/>
                <w:color w:val="auto"/>
                <w:szCs w:val="18"/>
              </w:rPr>
              <w:t>z</w:t>
            </w:r>
            <w:r>
              <w:rPr>
                <w:rFonts w:cs="Arial"/>
                <w:color w:val="auto"/>
                <w:szCs w:val="18"/>
              </w:rPr>
              <w:t>wertes (19,5 µg/m</w:t>
            </w:r>
            <w:r>
              <w:rPr>
                <w:rFonts w:cs="Arial"/>
                <w:color w:val="auto"/>
                <w:szCs w:val="18"/>
                <w:vertAlign w:val="superscript"/>
              </w:rPr>
              <w:t>3</w:t>
            </w:r>
            <w:r>
              <w:rPr>
                <w:rFonts w:cs="Arial"/>
                <w:color w:val="auto"/>
                <w:szCs w:val="18"/>
              </w:rPr>
              <w:t>)</w:t>
            </w:r>
          </w:p>
        </w:tc>
      </w:tr>
    </w:tbl>
    <w:p>
      <w:pPr>
        <w:pStyle w:val="GesAbsatz"/>
        <w:tabs>
          <w:tab w:val="clear" w:pos="425"/>
          <w:tab w:val="left" w:pos="426"/>
        </w:tabs>
        <w:rPr>
          <w:rFonts w:cs="Arial"/>
          <w:b/>
          <w:bCs/>
        </w:rPr>
      </w:pPr>
    </w:p>
    <w:p>
      <w:pPr>
        <w:pStyle w:val="GesAbsatz"/>
        <w:tabs>
          <w:tab w:val="clear" w:pos="425"/>
          <w:tab w:val="left" w:pos="426"/>
        </w:tabs>
        <w:rPr>
          <w:rFonts w:cs="Arial"/>
          <w:b/>
          <w:bCs/>
        </w:rPr>
      </w:pPr>
      <w:r>
        <w:rPr>
          <w:rFonts w:cs="Arial"/>
          <w:b/>
          <w:bCs/>
        </w:rPr>
        <w:t>c)</w:t>
      </w:r>
      <w:r>
        <w:rPr>
          <w:rFonts w:cs="Arial"/>
          <w:b/>
          <w:bCs/>
        </w:rPr>
        <w:tab/>
        <w:t>Partikel</w:t>
      </w: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127"/>
        <w:gridCol w:w="4677"/>
        <w:gridCol w:w="2694"/>
      </w:tblGrid>
      <w:tr>
        <w:tblPrEx>
          <w:tblCellMar>
            <w:top w:w="0" w:type="dxa"/>
            <w:bottom w:w="0" w:type="dxa"/>
          </w:tblCellMar>
        </w:tblPrEx>
        <w:tc>
          <w:tcPr>
            <w:tcW w:w="2127" w:type="dxa"/>
          </w:tcPr>
          <w:p>
            <w:pPr>
              <w:pStyle w:val="GesAbsatz"/>
              <w:jc w:val="center"/>
              <w:rPr>
                <w:rFonts w:cs="Arial"/>
              </w:rPr>
            </w:pPr>
          </w:p>
        </w:tc>
        <w:tc>
          <w:tcPr>
            <w:tcW w:w="4677" w:type="dxa"/>
          </w:tcPr>
          <w:p>
            <w:pPr>
              <w:pStyle w:val="GesAbsatz"/>
              <w:jc w:val="center"/>
              <w:rPr>
                <w:rFonts w:cs="Arial"/>
              </w:rPr>
            </w:pPr>
            <w:r>
              <w:rPr>
                <w:rFonts w:cs="Arial"/>
              </w:rPr>
              <w:t>Gesundheitsschutz</w:t>
            </w:r>
          </w:p>
        </w:tc>
        <w:tc>
          <w:tcPr>
            <w:tcW w:w="2694" w:type="dxa"/>
          </w:tcPr>
          <w:p>
            <w:pPr>
              <w:pStyle w:val="GesAbsatz"/>
              <w:jc w:val="center"/>
              <w:rPr>
                <w:rFonts w:cs="Arial"/>
              </w:rPr>
            </w:pPr>
            <w:r>
              <w:rPr>
                <w:rFonts w:cs="Arial"/>
              </w:rPr>
              <w:t>Gesundheitsschutz</w:t>
            </w:r>
          </w:p>
        </w:tc>
      </w:tr>
      <w:tr>
        <w:tblPrEx>
          <w:tblCellMar>
            <w:top w:w="0" w:type="dxa"/>
            <w:bottom w:w="0" w:type="dxa"/>
          </w:tblCellMar>
        </w:tblPrEx>
        <w:trPr>
          <w:trHeight w:val="794"/>
        </w:trPr>
        <w:tc>
          <w:tcPr>
            <w:tcW w:w="2127" w:type="dxa"/>
          </w:tcPr>
          <w:p>
            <w:pPr>
              <w:pStyle w:val="GesAbsatz"/>
              <w:rPr>
                <w:rFonts w:cs="Arial"/>
              </w:rPr>
            </w:pPr>
            <w:r>
              <w:rPr>
                <w:rFonts w:cs="Arial"/>
              </w:rPr>
              <w:t>Obere Beurteilung</w:t>
            </w:r>
            <w:r>
              <w:rPr>
                <w:rFonts w:cs="Arial"/>
              </w:rPr>
              <w:t>s</w:t>
            </w:r>
            <w:r>
              <w:rPr>
                <w:rFonts w:cs="Arial"/>
              </w:rPr>
              <w:t>schwelle</w:t>
            </w:r>
          </w:p>
        </w:tc>
        <w:tc>
          <w:tcPr>
            <w:tcW w:w="4677" w:type="dxa"/>
          </w:tcPr>
          <w:p>
            <w:pPr>
              <w:pStyle w:val="GesAbsatz"/>
              <w:rPr>
                <w:rFonts w:cs="Arial"/>
              </w:rPr>
            </w:pPr>
            <w:r>
              <w:rPr>
                <w:rFonts w:cs="Arial"/>
              </w:rPr>
              <w:t>60 % des 24-Stundenwertes (30 µg/m</w:t>
            </w:r>
            <w:r>
              <w:rPr>
                <w:rFonts w:cs="Arial"/>
                <w:vertAlign w:val="superscript"/>
              </w:rPr>
              <w:t>3</w:t>
            </w:r>
            <w:r>
              <w:rPr>
                <w:rFonts w:cs="Arial"/>
              </w:rPr>
              <w:t>dürfen nicht öfter als 7-mal im Kalenderjahr überschritten we</w:t>
            </w:r>
            <w:r>
              <w:rPr>
                <w:rFonts w:cs="Arial"/>
              </w:rPr>
              <w:t>r</w:t>
            </w:r>
            <w:r>
              <w:rPr>
                <w:rFonts w:cs="Arial"/>
              </w:rPr>
              <w:t>den)</w:t>
            </w:r>
          </w:p>
        </w:tc>
        <w:tc>
          <w:tcPr>
            <w:tcW w:w="2694" w:type="dxa"/>
          </w:tcPr>
          <w:p>
            <w:pPr>
              <w:pStyle w:val="GesAbsatz"/>
              <w:rPr>
                <w:rFonts w:cs="Arial"/>
              </w:rPr>
            </w:pPr>
            <w:r>
              <w:rPr>
                <w:rFonts w:cs="Arial"/>
              </w:rPr>
              <w:t>14 µg/m</w:t>
            </w:r>
            <w:r>
              <w:rPr>
                <w:rFonts w:cs="Arial"/>
                <w:vertAlign w:val="superscript"/>
              </w:rPr>
              <w:t>3</w:t>
            </w:r>
            <w:r>
              <w:rPr>
                <w:rFonts w:cs="Arial"/>
              </w:rPr>
              <w:t>als Jahresmittelwert</w:t>
            </w:r>
          </w:p>
        </w:tc>
      </w:tr>
      <w:tr>
        <w:tblPrEx>
          <w:tblCellMar>
            <w:top w:w="0" w:type="dxa"/>
            <w:bottom w:w="0" w:type="dxa"/>
          </w:tblCellMar>
        </w:tblPrEx>
        <w:trPr>
          <w:trHeight w:val="835"/>
        </w:trPr>
        <w:tc>
          <w:tcPr>
            <w:tcW w:w="2127" w:type="dxa"/>
          </w:tcPr>
          <w:p>
            <w:pPr>
              <w:pStyle w:val="GesAbsatz"/>
              <w:rPr>
                <w:rFonts w:cs="Arial"/>
              </w:rPr>
            </w:pPr>
            <w:r>
              <w:rPr>
                <w:rFonts w:cs="Arial"/>
              </w:rPr>
              <w:t>Untere Beurteilung</w:t>
            </w:r>
            <w:r>
              <w:rPr>
                <w:rFonts w:cs="Arial"/>
              </w:rPr>
              <w:t>s</w:t>
            </w:r>
            <w:r>
              <w:rPr>
                <w:rFonts w:cs="Arial"/>
              </w:rPr>
              <w:t>schwelle</w:t>
            </w:r>
          </w:p>
        </w:tc>
        <w:tc>
          <w:tcPr>
            <w:tcW w:w="4677" w:type="dxa"/>
          </w:tcPr>
          <w:p>
            <w:pPr>
              <w:pStyle w:val="GesAbsatz"/>
              <w:rPr>
                <w:rFonts w:cs="Arial"/>
              </w:rPr>
            </w:pPr>
            <w:r>
              <w:rPr>
                <w:rFonts w:cs="Arial"/>
              </w:rPr>
              <w:t>40 % des 24-Stundenwertes (20 µg/m</w:t>
            </w:r>
            <w:r>
              <w:rPr>
                <w:rFonts w:cs="Arial"/>
                <w:vertAlign w:val="superscript"/>
              </w:rPr>
              <w:t>3</w:t>
            </w:r>
            <w:r>
              <w:rPr>
                <w:rFonts w:cs="Arial"/>
              </w:rPr>
              <w:t>dürfen nicht öfter als 7-mal im Kalenderjahr überschritten we</w:t>
            </w:r>
            <w:r>
              <w:rPr>
                <w:rFonts w:cs="Arial"/>
              </w:rPr>
              <w:t>r</w:t>
            </w:r>
            <w:r>
              <w:rPr>
                <w:rFonts w:cs="Arial"/>
              </w:rPr>
              <w:t>den)</w:t>
            </w:r>
          </w:p>
        </w:tc>
        <w:tc>
          <w:tcPr>
            <w:tcW w:w="2694" w:type="dxa"/>
          </w:tcPr>
          <w:p>
            <w:pPr>
              <w:pStyle w:val="GesAbsatz"/>
              <w:rPr>
                <w:rFonts w:cs="Arial"/>
              </w:rPr>
            </w:pPr>
            <w:r>
              <w:rPr>
                <w:rFonts w:cs="Arial"/>
              </w:rPr>
              <w:t>10 µg/m</w:t>
            </w:r>
            <w:r>
              <w:rPr>
                <w:rFonts w:cs="Arial"/>
                <w:vertAlign w:val="superscript"/>
              </w:rPr>
              <w:t>3</w:t>
            </w:r>
            <w:r>
              <w:rPr>
                <w:rFonts w:cs="Arial"/>
              </w:rPr>
              <w:t>als Jahresmittelwert</w:t>
            </w:r>
          </w:p>
        </w:tc>
      </w:tr>
    </w:tbl>
    <w:p>
      <w:pPr>
        <w:pStyle w:val="GesAbsatz"/>
        <w:tabs>
          <w:tab w:val="clear" w:pos="425"/>
          <w:tab w:val="left" w:pos="426"/>
        </w:tabs>
        <w:rPr>
          <w:rFonts w:cs="Arial"/>
          <w:b/>
          <w:bCs/>
        </w:rPr>
      </w:pPr>
    </w:p>
    <w:p>
      <w:pPr>
        <w:pStyle w:val="GesAbsatz"/>
        <w:tabs>
          <w:tab w:val="clear" w:pos="425"/>
          <w:tab w:val="left" w:pos="426"/>
        </w:tabs>
        <w:rPr>
          <w:rFonts w:cs="Arial"/>
          <w:b/>
          <w:bCs/>
        </w:rPr>
      </w:pPr>
      <w:r>
        <w:rPr>
          <w:rFonts w:cs="Arial"/>
          <w:b/>
          <w:bCs/>
        </w:rPr>
        <w:t>d)</w:t>
      </w:r>
      <w:r>
        <w:rPr>
          <w:rFonts w:cs="Arial"/>
          <w:b/>
          <w:bCs/>
        </w:rPr>
        <w:tab/>
        <w:t>Blei</w:t>
      </w: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3459"/>
        <w:gridCol w:w="6039"/>
      </w:tblGrid>
      <w:tr>
        <w:tblPrEx>
          <w:tblCellMar>
            <w:top w:w="0" w:type="dxa"/>
            <w:bottom w:w="0" w:type="dxa"/>
          </w:tblCellMar>
        </w:tblPrEx>
        <w:tc>
          <w:tcPr>
            <w:tcW w:w="3459" w:type="dxa"/>
          </w:tcPr>
          <w:p>
            <w:pPr>
              <w:pStyle w:val="GesAbsatz"/>
              <w:jc w:val="center"/>
              <w:rPr>
                <w:rFonts w:cs="Arial"/>
              </w:rPr>
            </w:pPr>
          </w:p>
        </w:tc>
        <w:tc>
          <w:tcPr>
            <w:tcW w:w="6039" w:type="dxa"/>
          </w:tcPr>
          <w:p>
            <w:pPr>
              <w:pStyle w:val="GesAbsatz"/>
              <w:jc w:val="center"/>
              <w:rPr>
                <w:rFonts w:cs="Arial"/>
              </w:rPr>
            </w:pPr>
            <w:r>
              <w:rPr>
                <w:rFonts w:cs="Arial"/>
              </w:rPr>
              <w:t>Gesundheitsschutz</w:t>
            </w:r>
          </w:p>
        </w:tc>
      </w:tr>
      <w:tr>
        <w:tblPrEx>
          <w:tblCellMar>
            <w:top w:w="0" w:type="dxa"/>
            <w:bottom w:w="0" w:type="dxa"/>
          </w:tblCellMar>
        </w:tblPrEx>
        <w:tc>
          <w:tcPr>
            <w:tcW w:w="3459" w:type="dxa"/>
          </w:tcPr>
          <w:p>
            <w:pPr>
              <w:pStyle w:val="GesAbsatz"/>
              <w:rPr>
                <w:rFonts w:cs="Arial"/>
              </w:rPr>
            </w:pPr>
            <w:r>
              <w:rPr>
                <w:rFonts w:cs="Arial"/>
              </w:rPr>
              <w:t>Obere Beurteilungsschwelle</w:t>
            </w:r>
          </w:p>
        </w:tc>
        <w:tc>
          <w:tcPr>
            <w:tcW w:w="6039" w:type="dxa"/>
          </w:tcPr>
          <w:p>
            <w:pPr>
              <w:pStyle w:val="GesAbsatz"/>
              <w:rPr>
                <w:rFonts w:ascii="Helvetica Neue" w:hAnsi="Helvetica Neue"/>
                <w:sz w:val="48"/>
                <w:szCs w:val="48"/>
                <w:vertAlign w:val="superscript"/>
              </w:rPr>
            </w:pPr>
            <w:r>
              <w:rPr>
                <w:rFonts w:cs="Arial"/>
              </w:rPr>
              <w:t>70 % des Jahres-Immissionsgrenzwertes (0,35 µg/m</w:t>
            </w:r>
            <w:r>
              <w:rPr>
                <w:rFonts w:cs="Arial"/>
                <w:vertAlign w:val="superscript"/>
              </w:rPr>
              <w:t>3</w:t>
            </w:r>
            <w:r>
              <w:rPr>
                <w:rFonts w:cs="Arial"/>
              </w:rPr>
              <w:t>)</w:t>
            </w:r>
          </w:p>
        </w:tc>
      </w:tr>
      <w:tr>
        <w:tblPrEx>
          <w:tblCellMar>
            <w:top w:w="0" w:type="dxa"/>
            <w:bottom w:w="0" w:type="dxa"/>
          </w:tblCellMar>
        </w:tblPrEx>
        <w:tc>
          <w:tcPr>
            <w:tcW w:w="3459" w:type="dxa"/>
          </w:tcPr>
          <w:p>
            <w:pPr>
              <w:pStyle w:val="GesAbsatz"/>
              <w:rPr>
                <w:rFonts w:cs="Arial"/>
              </w:rPr>
            </w:pPr>
            <w:r>
              <w:rPr>
                <w:rFonts w:cs="Arial"/>
              </w:rPr>
              <w:t>Untere Beurteilungsschwelle</w:t>
            </w:r>
          </w:p>
        </w:tc>
        <w:tc>
          <w:tcPr>
            <w:tcW w:w="6039" w:type="dxa"/>
          </w:tcPr>
          <w:p>
            <w:pPr>
              <w:pStyle w:val="GesAbsatz"/>
              <w:rPr>
                <w:rFonts w:cs="Arial"/>
              </w:rPr>
            </w:pPr>
            <w:r>
              <w:rPr>
                <w:rFonts w:cs="Arial"/>
              </w:rPr>
              <w:t>50 % des Jahres-Immissionsgrenzwertes (0,25 µg/m</w:t>
            </w:r>
            <w:r>
              <w:rPr>
                <w:rFonts w:cs="Arial"/>
                <w:vertAlign w:val="superscript"/>
              </w:rPr>
              <w:t>3</w:t>
            </w:r>
            <w:r>
              <w:rPr>
                <w:rFonts w:cs="Arial"/>
              </w:rPr>
              <w:t>)</w:t>
            </w:r>
          </w:p>
        </w:tc>
      </w:tr>
    </w:tbl>
    <w:p>
      <w:pPr>
        <w:pStyle w:val="GesAbsatz"/>
        <w:tabs>
          <w:tab w:val="clear" w:pos="425"/>
          <w:tab w:val="left" w:pos="426"/>
        </w:tabs>
        <w:rPr>
          <w:rFonts w:cs="Arial"/>
          <w:b/>
          <w:bCs/>
        </w:rPr>
      </w:pPr>
    </w:p>
    <w:p>
      <w:pPr>
        <w:pStyle w:val="GesAbsatz"/>
        <w:tabs>
          <w:tab w:val="clear" w:pos="425"/>
          <w:tab w:val="left" w:pos="426"/>
        </w:tabs>
        <w:rPr>
          <w:rFonts w:cs="Arial"/>
          <w:b/>
          <w:bCs/>
        </w:rPr>
      </w:pPr>
      <w:r>
        <w:rPr>
          <w:rFonts w:cs="Arial"/>
          <w:b/>
          <w:bCs/>
        </w:rPr>
        <w:br w:type="page"/>
      </w:r>
      <w:r>
        <w:rPr>
          <w:rFonts w:cs="Arial"/>
          <w:b/>
          <w:bCs/>
        </w:rPr>
        <w:lastRenderedPageBreak/>
        <w:t>e)</w:t>
      </w:r>
      <w:r>
        <w:rPr>
          <w:rFonts w:cs="Arial"/>
          <w:b/>
          <w:bCs/>
        </w:rPr>
        <w:tab/>
        <w:t>Benzol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3459"/>
        <w:gridCol w:w="6096"/>
      </w:tblGrid>
      <w:tr>
        <w:tblPrEx>
          <w:tblCellMar>
            <w:top w:w="0" w:type="dxa"/>
            <w:bottom w:w="0" w:type="dxa"/>
          </w:tblCellMar>
        </w:tblPrEx>
        <w:tc>
          <w:tcPr>
            <w:tcW w:w="3459" w:type="dxa"/>
          </w:tcPr>
          <w:p>
            <w:pPr>
              <w:pStyle w:val="GesAbsatz"/>
              <w:jc w:val="center"/>
              <w:rPr>
                <w:rFonts w:cs="Arial"/>
              </w:rPr>
            </w:pPr>
          </w:p>
        </w:tc>
        <w:tc>
          <w:tcPr>
            <w:tcW w:w="6096" w:type="dxa"/>
          </w:tcPr>
          <w:p>
            <w:pPr>
              <w:pStyle w:val="GesAbsatz"/>
              <w:jc w:val="center"/>
              <w:rPr>
                <w:rFonts w:cs="Arial"/>
              </w:rPr>
            </w:pPr>
            <w:r>
              <w:rPr>
                <w:rFonts w:cs="Arial"/>
              </w:rPr>
              <w:t>Gesundheitsschutz</w:t>
            </w:r>
          </w:p>
        </w:tc>
      </w:tr>
      <w:tr>
        <w:tblPrEx>
          <w:tblCellMar>
            <w:top w:w="0" w:type="dxa"/>
            <w:bottom w:w="0" w:type="dxa"/>
          </w:tblCellMar>
        </w:tblPrEx>
        <w:tc>
          <w:tcPr>
            <w:tcW w:w="3459" w:type="dxa"/>
          </w:tcPr>
          <w:p>
            <w:pPr>
              <w:pStyle w:val="GesAbsatz"/>
              <w:rPr>
                <w:rFonts w:cs="Arial"/>
              </w:rPr>
            </w:pPr>
            <w:r>
              <w:rPr>
                <w:rFonts w:cs="Arial"/>
              </w:rPr>
              <w:t>Obere Beurteilungsschwelle</w:t>
            </w:r>
          </w:p>
        </w:tc>
        <w:tc>
          <w:tcPr>
            <w:tcW w:w="6096" w:type="dxa"/>
          </w:tcPr>
          <w:p>
            <w:pPr>
              <w:pStyle w:val="GesAbsatz"/>
              <w:rPr>
                <w:rFonts w:cs="Arial"/>
              </w:rPr>
            </w:pPr>
            <w:r>
              <w:rPr>
                <w:rFonts w:cs="Arial"/>
              </w:rPr>
              <w:t>70 % des Immissionsgrenzwertes (3,5 µg/m</w:t>
            </w:r>
            <w:r>
              <w:rPr>
                <w:rFonts w:cs="Arial"/>
                <w:vertAlign w:val="superscript"/>
              </w:rPr>
              <w:t>3</w:t>
            </w:r>
            <w:r>
              <w:rPr>
                <w:rFonts w:cs="Arial"/>
              </w:rPr>
              <w:t>)</w:t>
            </w:r>
          </w:p>
        </w:tc>
      </w:tr>
      <w:tr>
        <w:tblPrEx>
          <w:tblCellMar>
            <w:top w:w="0" w:type="dxa"/>
            <w:bottom w:w="0" w:type="dxa"/>
          </w:tblCellMar>
        </w:tblPrEx>
        <w:tc>
          <w:tcPr>
            <w:tcW w:w="3459" w:type="dxa"/>
          </w:tcPr>
          <w:p>
            <w:pPr>
              <w:pStyle w:val="GesAbsatz"/>
              <w:rPr>
                <w:rFonts w:cs="Arial"/>
              </w:rPr>
            </w:pPr>
            <w:r>
              <w:rPr>
                <w:rFonts w:cs="Arial"/>
              </w:rPr>
              <w:t>Untere Beurteilungsschwelle</w:t>
            </w:r>
          </w:p>
        </w:tc>
        <w:tc>
          <w:tcPr>
            <w:tcW w:w="6096" w:type="dxa"/>
          </w:tcPr>
          <w:p>
            <w:pPr>
              <w:pStyle w:val="GesAbsatz"/>
              <w:rPr>
                <w:rFonts w:cs="Arial"/>
              </w:rPr>
            </w:pPr>
            <w:r>
              <w:rPr>
                <w:rFonts w:cs="Arial"/>
              </w:rPr>
              <w:t>40 % des Immissionsgrenzwertes (2 µg/m</w:t>
            </w:r>
            <w:r>
              <w:rPr>
                <w:rFonts w:cs="Arial"/>
                <w:vertAlign w:val="superscript"/>
              </w:rPr>
              <w:t>3</w:t>
            </w:r>
            <w:r>
              <w:rPr>
                <w:rFonts w:cs="Arial"/>
              </w:rPr>
              <w:t>)</w:t>
            </w:r>
          </w:p>
        </w:tc>
      </w:tr>
    </w:tbl>
    <w:p>
      <w:pPr>
        <w:pStyle w:val="GesAbsatz"/>
        <w:tabs>
          <w:tab w:val="clear" w:pos="425"/>
          <w:tab w:val="left" w:pos="426"/>
        </w:tabs>
        <w:rPr>
          <w:rFonts w:cs="Arial"/>
          <w:b/>
          <w:bCs/>
        </w:rPr>
      </w:pPr>
    </w:p>
    <w:p>
      <w:pPr>
        <w:pStyle w:val="GesAbsatz"/>
        <w:tabs>
          <w:tab w:val="clear" w:pos="425"/>
          <w:tab w:val="left" w:pos="426"/>
        </w:tabs>
        <w:rPr>
          <w:rFonts w:cs="Arial"/>
          <w:b/>
          <w:bCs/>
        </w:rPr>
      </w:pPr>
      <w:r>
        <w:rPr>
          <w:rFonts w:cs="Arial"/>
          <w:b/>
          <w:bCs/>
        </w:rPr>
        <w:t>f)</w:t>
      </w:r>
      <w:r>
        <w:rPr>
          <w:rFonts w:cs="Arial"/>
          <w:b/>
          <w:bCs/>
        </w:rPr>
        <w:tab/>
        <w:t>Kohlenmonoxid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3459"/>
        <w:gridCol w:w="6096"/>
      </w:tblGrid>
      <w:tr>
        <w:tblPrEx>
          <w:tblCellMar>
            <w:top w:w="0" w:type="dxa"/>
            <w:bottom w:w="0" w:type="dxa"/>
          </w:tblCellMar>
        </w:tblPrEx>
        <w:tc>
          <w:tcPr>
            <w:tcW w:w="3459" w:type="dxa"/>
          </w:tcPr>
          <w:p>
            <w:pPr>
              <w:pStyle w:val="GesAbsatz"/>
              <w:jc w:val="center"/>
            </w:pPr>
          </w:p>
        </w:tc>
        <w:tc>
          <w:tcPr>
            <w:tcW w:w="6096" w:type="dxa"/>
          </w:tcPr>
          <w:p>
            <w:pPr>
              <w:pStyle w:val="GesAbsatz"/>
              <w:jc w:val="center"/>
              <w:rPr>
                <w:rFonts w:cs="Arial"/>
              </w:rPr>
            </w:pPr>
            <w:r>
              <w:rPr>
                <w:rFonts w:cs="Arial"/>
              </w:rPr>
              <w:t>Gesundheitsschutz</w:t>
            </w:r>
          </w:p>
        </w:tc>
      </w:tr>
      <w:tr>
        <w:tblPrEx>
          <w:tblCellMar>
            <w:top w:w="0" w:type="dxa"/>
            <w:bottom w:w="0" w:type="dxa"/>
          </w:tblCellMar>
        </w:tblPrEx>
        <w:tc>
          <w:tcPr>
            <w:tcW w:w="3459" w:type="dxa"/>
          </w:tcPr>
          <w:p>
            <w:pPr>
              <w:pStyle w:val="GesAbsatz"/>
              <w:rPr>
                <w:rFonts w:cs="Arial"/>
              </w:rPr>
            </w:pPr>
            <w:r>
              <w:rPr>
                <w:rFonts w:cs="Arial"/>
              </w:rPr>
              <w:t>Obere Beurteilungsschwelle</w:t>
            </w:r>
          </w:p>
        </w:tc>
        <w:tc>
          <w:tcPr>
            <w:tcW w:w="6096" w:type="dxa"/>
          </w:tcPr>
          <w:p>
            <w:pPr>
              <w:pStyle w:val="GesAbsatz"/>
              <w:rPr>
                <w:rFonts w:cs="Arial"/>
              </w:rPr>
            </w:pPr>
            <w:r>
              <w:rPr>
                <w:rFonts w:cs="Arial"/>
              </w:rPr>
              <w:t>70 % des Immissionsgrenzwertes (7 mg/m</w:t>
            </w:r>
            <w:r>
              <w:rPr>
                <w:rFonts w:cs="Arial"/>
                <w:vertAlign w:val="superscript"/>
              </w:rPr>
              <w:t>3</w:t>
            </w:r>
            <w:r>
              <w:rPr>
                <w:rFonts w:cs="Arial"/>
              </w:rPr>
              <w:t>)</w:t>
            </w:r>
          </w:p>
        </w:tc>
      </w:tr>
      <w:tr>
        <w:tblPrEx>
          <w:tblCellMar>
            <w:top w:w="0" w:type="dxa"/>
            <w:bottom w:w="0" w:type="dxa"/>
          </w:tblCellMar>
        </w:tblPrEx>
        <w:tc>
          <w:tcPr>
            <w:tcW w:w="3459" w:type="dxa"/>
          </w:tcPr>
          <w:p>
            <w:pPr>
              <w:pStyle w:val="GesAbsatz"/>
              <w:rPr>
                <w:rFonts w:cs="Arial"/>
              </w:rPr>
            </w:pPr>
            <w:r>
              <w:rPr>
                <w:rFonts w:cs="Arial"/>
              </w:rPr>
              <w:t>Untere Beurteilungsschwelle</w:t>
            </w:r>
          </w:p>
        </w:tc>
        <w:tc>
          <w:tcPr>
            <w:tcW w:w="6096" w:type="dxa"/>
          </w:tcPr>
          <w:p>
            <w:pPr>
              <w:pStyle w:val="GesAbsatz"/>
              <w:rPr>
                <w:rFonts w:cs="Arial"/>
              </w:rPr>
            </w:pPr>
            <w:r>
              <w:rPr>
                <w:rFonts w:cs="Arial"/>
              </w:rPr>
              <w:t>50 % des Immissionsgrenzwertes (5 mg/m</w:t>
            </w:r>
            <w:r>
              <w:rPr>
                <w:rFonts w:cs="Arial"/>
                <w:vertAlign w:val="superscript"/>
              </w:rPr>
              <w:t>3</w:t>
            </w:r>
            <w:r>
              <w:rPr>
                <w:rFonts w:cs="Arial"/>
              </w:rPr>
              <w:t>)</w:t>
            </w:r>
          </w:p>
        </w:tc>
      </w:tr>
    </w:tbl>
    <w:p>
      <w:pPr>
        <w:pStyle w:val="GesAbsatz"/>
        <w:rPr>
          <w:b/>
          <w:bCs/>
        </w:rPr>
      </w:pPr>
    </w:p>
    <w:p>
      <w:pPr>
        <w:pStyle w:val="GesAbsatz"/>
        <w:rPr>
          <w:b/>
          <w:bCs/>
        </w:rPr>
      </w:pPr>
      <w:r>
        <w:rPr>
          <w:b/>
          <w:bCs/>
        </w:rPr>
        <w:t>II.</w:t>
      </w:r>
      <w:r>
        <w:rPr>
          <w:b/>
          <w:bCs/>
        </w:rPr>
        <w:tab/>
        <w:t>Ermittlung der Überschreitung der oberen und unteren Beurteilungsschwellen</w:t>
      </w:r>
    </w:p>
    <w:p>
      <w:pPr>
        <w:pStyle w:val="GesAbsatz"/>
      </w:pPr>
      <w:r>
        <w:t>Die Überschreitung der oberen und unteren Beurteilungsschwellen ist aufgrund der Konzentration wä</w:t>
      </w:r>
      <w:r>
        <w:t>h</w:t>
      </w:r>
      <w:r>
        <w:t>rend der vorhergehenden fünf Jahre zu ermitteln, sofern entsprechende Daten vorliegen. Eine Beurteilung</w:t>
      </w:r>
      <w:r>
        <w:t>s</w:t>
      </w:r>
      <w:r>
        <w:t>schwelle gilt als überschritten, falls sie in mindestens drei dieser fünf vorhergehenden Jahre übe</w:t>
      </w:r>
      <w:r>
        <w:t>r</w:t>
      </w:r>
      <w:r>
        <w:t>schritten wurde. Führt dies im Vergleich zu den gemäß Abschnitt I ermittelten Überschreitungen zu unterschiedlichen Ergebnissen, so gilt die strengere Regelung.</w:t>
      </w:r>
    </w:p>
    <w:p>
      <w:pPr>
        <w:pStyle w:val="GesAbsatz"/>
      </w:pPr>
      <w:r>
        <w:t>Liegen Daten für weniger als fünf vorhergehende Jahre vor, können die Ergebnisse von kurzzeitigen Mes</w:t>
      </w:r>
      <w:r>
        <w:t>s</w:t>
      </w:r>
      <w:r>
        <w:t>kampagnen während derjenigen Jahreszeit und an denjenigen Stellen, die für die höchsten Scha</w:t>
      </w:r>
      <w:r>
        <w:t>d</w:t>
      </w:r>
      <w:r>
        <w:t>stoffwerte typisch sein dürften, mit Informationen aus Emissionskatastern und Modellen verbunden werden, um die Überschreitungen der oberen und unteren Beurteilungsschwellen zu ermitteln.</w:t>
      </w:r>
    </w:p>
    <w:p>
      <w:pPr>
        <w:pStyle w:val="berschrift2"/>
        <w:jc w:val="left"/>
      </w:pPr>
      <w:bookmarkStart w:id="29" w:name="_Toc174110517"/>
      <w:r>
        <w:rPr>
          <w:bCs/>
        </w:rPr>
        <w:t>Anlage 2</w:t>
      </w:r>
      <w:r>
        <w:t xml:space="preserve"> </w:t>
      </w:r>
      <w:r>
        <w:br/>
        <w:t>Lage der Probenahmestellen für Messungen von Schwefeldioxid, Stickstoffdioxid und Stickstoffox</w:t>
      </w:r>
      <w:r>
        <w:t>i</w:t>
      </w:r>
      <w:r>
        <w:t>den, Partikeln, Blei, Benzol und Kohlenmonoxid in der Luft</w:t>
      </w:r>
      <w:bookmarkEnd w:id="29"/>
    </w:p>
    <w:p>
      <w:pPr>
        <w:pStyle w:val="GesAbsatz"/>
        <w:rPr>
          <w:rFonts w:ascii="HelveticaNeue-Roman" w:hAnsi="HelveticaNeue-Roman"/>
        </w:rPr>
      </w:pPr>
      <w:r>
        <w:rPr>
          <w:rFonts w:ascii="HelveticaNeue-Roman" w:hAnsi="HelveticaNeue-Roman"/>
        </w:rPr>
        <w:t>Die folgenden Kriterien gelten für ortsfeste Messungen.</w:t>
      </w:r>
    </w:p>
    <w:p>
      <w:pPr>
        <w:pStyle w:val="GesAbsatz"/>
        <w:rPr>
          <w:b/>
          <w:bCs/>
        </w:rPr>
      </w:pPr>
      <w:r>
        <w:rPr>
          <w:b/>
          <w:bCs/>
        </w:rPr>
        <w:t>I.</w:t>
      </w:r>
      <w:r>
        <w:rPr>
          <w:b/>
          <w:bCs/>
        </w:rPr>
        <w:tab/>
        <w:t>Großräumige Standortkriterien</w:t>
      </w:r>
    </w:p>
    <w:p>
      <w:pPr>
        <w:pStyle w:val="GesAbsatz"/>
        <w:rPr>
          <w:b/>
          <w:bCs/>
        </w:rPr>
      </w:pPr>
      <w:r>
        <w:rPr>
          <w:b/>
          <w:bCs/>
        </w:rPr>
        <w:t>a)</w:t>
      </w:r>
      <w:r>
        <w:rPr>
          <w:b/>
          <w:bCs/>
        </w:rPr>
        <w:tab/>
        <w:t>Schutz der menschlichen Gesundheit</w:t>
      </w:r>
    </w:p>
    <w:p>
      <w:pPr>
        <w:pStyle w:val="GesAbsatz"/>
        <w:tabs>
          <w:tab w:val="clear" w:pos="425"/>
        </w:tabs>
        <w:rPr>
          <w:rFonts w:ascii="HelveticaNeue-Roman" w:hAnsi="HelveticaNeue-Roman"/>
        </w:rPr>
      </w:pPr>
      <w:r>
        <w:rPr>
          <w:rFonts w:ascii="HelveticaNeue-Roman" w:hAnsi="HelveticaNeue-Roman"/>
        </w:rPr>
        <w:t>Die Probenahmestellen, an denen Messungen zum Schutz der menschlichen Gesundheit vorgeno</w:t>
      </w:r>
      <w:r>
        <w:rPr>
          <w:rFonts w:ascii="HelveticaNeue-Roman" w:hAnsi="HelveticaNeue-Roman"/>
        </w:rPr>
        <w:t>m</w:t>
      </w:r>
      <w:r>
        <w:rPr>
          <w:rFonts w:ascii="HelveticaNeue-Roman" w:hAnsi="HelveticaNeue-Roman"/>
        </w:rPr>
        <w:t>men werden, sollten so gelegt werden, dass</w:t>
      </w:r>
    </w:p>
    <w:p>
      <w:pPr>
        <w:pStyle w:val="GesAbsatz"/>
        <w:tabs>
          <w:tab w:val="clear" w:pos="425"/>
        </w:tabs>
        <w:ind w:left="426" w:hanging="399"/>
        <w:rPr>
          <w:rFonts w:cs="Arial"/>
        </w:rPr>
      </w:pPr>
      <w:r>
        <w:rPr>
          <w:rFonts w:cs="Arial"/>
          <w:color w:val="auto"/>
        </w:rPr>
        <w:t>I.</w:t>
      </w:r>
      <w:r>
        <w:rPr>
          <w:rFonts w:cs="Arial"/>
          <w:color w:val="auto"/>
        </w:rPr>
        <w:tab/>
        <w:t>Daten</w:t>
      </w:r>
      <w:r>
        <w:rPr>
          <w:rFonts w:cs="Arial"/>
        </w:rPr>
        <w:t xml:space="preserve"> zu den Bereichen innerhalb von Gebieten und Ballungsräumen gewonnen werden, in denen die höchsten Konzentrationen auftreten, denen die Bevölkerung wahrscheinlich direkt oder indirekt über e</w:t>
      </w:r>
      <w:r>
        <w:rPr>
          <w:rFonts w:cs="Arial"/>
        </w:rPr>
        <w:t>i</w:t>
      </w:r>
      <w:r>
        <w:rPr>
          <w:rFonts w:cs="Arial"/>
        </w:rPr>
        <w:t>nen Zeitraum ausgesetzt sein wird, der der Mittelungszeit des betreffenden Immissionsgrenzwertes Rechnung trägt;</w:t>
      </w:r>
    </w:p>
    <w:p>
      <w:pPr>
        <w:pStyle w:val="GesAbsatz"/>
        <w:tabs>
          <w:tab w:val="clear" w:pos="425"/>
        </w:tabs>
        <w:ind w:left="426" w:hanging="426"/>
        <w:rPr>
          <w:rFonts w:cs="Arial"/>
        </w:rPr>
      </w:pPr>
      <w:r>
        <w:rPr>
          <w:rFonts w:cs="Arial"/>
          <w:color w:val="auto"/>
        </w:rPr>
        <w:t>II.</w:t>
      </w:r>
      <w:r>
        <w:rPr>
          <w:rFonts w:cs="Arial"/>
          <w:color w:val="auto"/>
        </w:rPr>
        <w:tab/>
      </w:r>
      <w:r>
        <w:rPr>
          <w:rFonts w:cs="Arial"/>
        </w:rPr>
        <w:t>Daten zu den Bereichen innerhalb von Gebieten und Ballungsräumen gewonnen werden, in denen die höchsten Konzentrationen von Benzol und Kohlenmonoxid auftreten, denen die Bevölkerung wah</w:t>
      </w:r>
      <w:r>
        <w:rPr>
          <w:rFonts w:cs="Arial"/>
        </w:rPr>
        <w:t>r</w:t>
      </w:r>
      <w:r>
        <w:rPr>
          <w:rFonts w:cs="Arial"/>
        </w:rPr>
        <w:t>scheinlich direkt oder indirekt über einen Zeitraum ausgesetzt sein wird, die für die Exposition der B</w:t>
      </w:r>
      <w:r>
        <w:rPr>
          <w:rFonts w:cs="Arial"/>
        </w:rPr>
        <w:t>e</w:t>
      </w:r>
      <w:r>
        <w:rPr>
          <w:rFonts w:cs="Arial"/>
        </w:rPr>
        <w:t>völkerung allgemein repräsentativ sind;</w:t>
      </w:r>
    </w:p>
    <w:p>
      <w:pPr>
        <w:pStyle w:val="GesAbsatz"/>
        <w:tabs>
          <w:tab w:val="clear" w:pos="425"/>
        </w:tabs>
        <w:ind w:left="426" w:hanging="399"/>
        <w:rPr>
          <w:rFonts w:cs="Arial"/>
        </w:rPr>
      </w:pPr>
      <w:r>
        <w:rPr>
          <w:rFonts w:cs="Arial"/>
        </w:rPr>
        <w:t>III.</w:t>
      </w:r>
      <w:r>
        <w:rPr>
          <w:rFonts w:cs="Arial"/>
        </w:rPr>
        <w:tab/>
        <w:t>Daten zu Konzentrationen in anderen Bereichen innerhalb von Gebieten und Ballungsräumen gewo</w:t>
      </w:r>
      <w:r>
        <w:rPr>
          <w:rFonts w:cs="Arial"/>
        </w:rPr>
        <w:t>n</w:t>
      </w:r>
      <w:r>
        <w:rPr>
          <w:rFonts w:cs="Arial"/>
        </w:rPr>
        <w:t>nen werden, die für die Exposition der Bevölkerung im Allgemeinen repräsentativ sind.</w:t>
      </w:r>
    </w:p>
    <w:p>
      <w:pPr>
        <w:pStyle w:val="GesAbsatz"/>
        <w:tabs>
          <w:tab w:val="clear" w:pos="425"/>
        </w:tabs>
        <w:rPr>
          <w:rFonts w:cs="Arial"/>
        </w:rPr>
      </w:pPr>
      <w:r>
        <w:rPr>
          <w:rFonts w:cs="Arial"/>
        </w:rPr>
        <w:t>Die Probenahmestellen sollten im Allgemeinen so gelegt werden, dass die Messung sehr begrenzter und kleinräumiger Umweltbedingungen in ihrer unmittelbaren Nähe vermieden wird. Als Anhaltspunkt gilt, dass eine Probenahmestelle so gelegen sein sollte, dass sie für die Luftqualität in einem umg</w:t>
      </w:r>
      <w:r>
        <w:rPr>
          <w:rFonts w:cs="Arial"/>
        </w:rPr>
        <w:t>e</w:t>
      </w:r>
      <w:r>
        <w:rPr>
          <w:rFonts w:cs="Arial"/>
        </w:rPr>
        <w:t>benden Bereich von mindestens 200 m</w:t>
      </w:r>
      <w:r>
        <w:rPr>
          <w:rFonts w:cs="Arial"/>
          <w:szCs w:val="12"/>
          <w:vertAlign w:val="superscript"/>
        </w:rPr>
        <w:t>2</w:t>
      </w:r>
      <w:r>
        <w:rPr>
          <w:rFonts w:cs="Arial"/>
          <w:sz w:val="12"/>
          <w:szCs w:val="12"/>
        </w:rPr>
        <w:t xml:space="preserve"> </w:t>
      </w:r>
      <w:r>
        <w:rPr>
          <w:rFonts w:cs="Arial"/>
        </w:rPr>
        <w:t>bei Probenahmestellen für den Verkehr und mehreren Quadratkilometern bei Probena</w:t>
      </w:r>
      <w:r>
        <w:rPr>
          <w:rFonts w:cs="Arial"/>
        </w:rPr>
        <w:t>h</w:t>
      </w:r>
      <w:r>
        <w:rPr>
          <w:rFonts w:cs="Arial"/>
        </w:rPr>
        <w:t>mestellen für städtische Hintergrundquellen repräsentativ ist.</w:t>
      </w:r>
    </w:p>
    <w:p>
      <w:pPr>
        <w:pStyle w:val="GesAbsatz"/>
        <w:tabs>
          <w:tab w:val="clear" w:pos="425"/>
        </w:tabs>
        <w:rPr>
          <w:rFonts w:cs="Arial"/>
        </w:rPr>
      </w:pPr>
      <w:r>
        <w:rPr>
          <w:rFonts w:cs="Arial"/>
        </w:rPr>
        <w:t>Die Probenahmestellen sollten so weit wie möglich auch für ähnliche Standorte repräsentativ sein, die nicht in ihrer unmittelbaren Nähe gelegen sind.</w:t>
      </w:r>
    </w:p>
    <w:p>
      <w:pPr>
        <w:pStyle w:val="GesAbsatz"/>
        <w:tabs>
          <w:tab w:val="clear" w:pos="425"/>
        </w:tabs>
        <w:rPr>
          <w:rFonts w:cs="Arial"/>
        </w:rPr>
      </w:pPr>
      <w:r>
        <w:rPr>
          <w:rFonts w:cs="Arial"/>
        </w:rPr>
        <w:t>Es ist zu berücksichtigen, dass Probenahmestellen gegebenenfalls auf Inseln angelegt werden müssen, falls dies für den Schutz der menschlichen Gesundheit erforderlich ist.</w:t>
      </w:r>
    </w:p>
    <w:p>
      <w:pPr>
        <w:pStyle w:val="GesAbsatz"/>
        <w:rPr>
          <w:rFonts w:cs="Arial"/>
          <w:b/>
          <w:bCs/>
        </w:rPr>
      </w:pPr>
      <w:r>
        <w:rPr>
          <w:rFonts w:cs="Arial"/>
          <w:b/>
          <w:bCs/>
        </w:rPr>
        <w:t>b)</w:t>
      </w:r>
      <w:r>
        <w:rPr>
          <w:rFonts w:cs="Arial"/>
          <w:b/>
          <w:bCs/>
        </w:rPr>
        <w:tab/>
        <w:t>Schutz von Ökosystemen und Schutz der Vegetation</w:t>
      </w:r>
    </w:p>
    <w:p>
      <w:pPr>
        <w:pStyle w:val="GesAbsatz"/>
        <w:tabs>
          <w:tab w:val="clear" w:pos="425"/>
        </w:tabs>
        <w:rPr>
          <w:rFonts w:cs="Arial"/>
        </w:rPr>
      </w:pPr>
      <w:r>
        <w:rPr>
          <w:rFonts w:cs="Arial"/>
        </w:rPr>
        <w:lastRenderedPageBreak/>
        <w:t>Die Probenahmestellen, an denen Messungen zum Schutz von Ökosystemen oder zum Schutz der Vegetat</w:t>
      </w:r>
      <w:r>
        <w:rPr>
          <w:rFonts w:cs="Arial"/>
        </w:rPr>
        <w:t>i</w:t>
      </w:r>
      <w:r>
        <w:rPr>
          <w:rFonts w:cs="Arial"/>
        </w:rPr>
        <w:t>on vorgenommen werden, sollten so gelegt werden, dass sie mehr als 20 km von Ballung</w:t>
      </w:r>
      <w:r>
        <w:rPr>
          <w:rFonts w:cs="Arial"/>
        </w:rPr>
        <w:t>s</w:t>
      </w:r>
      <w:r>
        <w:rPr>
          <w:rFonts w:cs="Arial"/>
        </w:rPr>
        <w:t>räumen oder 5 km von anderen bebauten Gebieten, Industrieanlagen oder Bundesautobahnen oder mindestens viersp</w:t>
      </w:r>
      <w:r>
        <w:rPr>
          <w:rFonts w:cs="Arial"/>
        </w:rPr>
        <w:t>u</w:t>
      </w:r>
      <w:r>
        <w:rPr>
          <w:rFonts w:cs="Arial"/>
        </w:rPr>
        <w:t>rige Bundesfernstraßen entfernt sind. Als Anhalt</w:t>
      </w:r>
      <w:r>
        <w:rPr>
          <w:rFonts w:cs="Arial"/>
        </w:rPr>
        <w:t>s</w:t>
      </w:r>
      <w:r>
        <w:rPr>
          <w:rFonts w:cs="Arial"/>
        </w:rPr>
        <w:t>punkt gilt, dass eine Probenahmestelle so gelegen sein sollte, dass sie für die Luftqualität in einem umgebenden Bereich von mindestens 1000 km²</w:t>
      </w:r>
      <w:r>
        <w:rPr>
          <w:rFonts w:cs="Arial"/>
          <w:sz w:val="12"/>
          <w:szCs w:val="12"/>
        </w:rPr>
        <w:t xml:space="preserve"> </w:t>
      </w:r>
      <w:r>
        <w:rPr>
          <w:rFonts w:cs="Arial"/>
        </w:rPr>
        <w:t>repräsent</w:t>
      </w:r>
      <w:r>
        <w:rPr>
          <w:rFonts w:cs="Arial"/>
        </w:rPr>
        <w:t>a</w:t>
      </w:r>
      <w:r>
        <w:rPr>
          <w:rFonts w:cs="Arial"/>
        </w:rPr>
        <w:t>tiv ist. Unter Berücksichtigung der geographischen Gegebenheiten kann vorgesehen werden, dass eine Probenahmeste</w:t>
      </w:r>
      <w:r>
        <w:rPr>
          <w:rFonts w:cs="Arial"/>
        </w:rPr>
        <w:t>l</w:t>
      </w:r>
      <w:r>
        <w:rPr>
          <w:rFonts w:cs="Arial"/>
        </w:rPr>
        <w:t>le in geringerer Entfernung gelegen oder für die Luftqualität in einem kleineren umgebenden Bereich repr</w:t>
      </w:r>
      <w:r>
        <w:rPr>
          <w:rFonts w:cs="Arial"/>
        </w:rPr>
        <w:t>ä</w:t>
      </w:r>
      <w:r>
        <w:rPr>
          <w:rFonts w:cs="Arial"/>
        </w:rPr>
        <w:t>sentativ ist.</w:t>
      </w:r>
    </w:p>
    <w:p>
      <w:pPr>
        <w:pStyle w:val="GesAbsatz"/>
        <w:tabs>
          <w:tab w:val="clear" w:pos="425"/>
        </w:tabs>
        <w:rPr>
          <w:rFonts w:cs="Arial"/>
        </w:rPr>
      </w:pPr>
      <w:r>
        <w:rPr>
          <w:rFonts w:cs="Arial"/>
        </w:rPr>
        <w:t>Es ist zu berücksichtigen, dass die Luftqualität auf Inseln bewertet werden muss.</w:t>
      </w:r>
    </w:p>
    <w:p>
      <w:pPr>
        <w:pStyle w:val="GesAbsatz"/>
        <w:rPr>
          <w:rFonts w:cs="Arial"/>
          <w:b/>
          <w:bCs/>
        </w:rPr>
      </w:pPr>
      <w:r>
        <w:rPr>
          <w:rFonts w:cs="Arial"/>
          <w:b/>
          <w:bCs/>
        </w:rPr>
        <w:t>II.</w:t>
      </w:r>
      <w:r>
        <w:rPr>
          <w:rFonts w:cs="Arial"/>
          <w:b/>
          <w:bCs/>
        </w:rPr>
        <w:tab/>
        <w:t>Lokale Standortkriterien</w:t>
      </w:r>
    </w:p>
    <w:p>
      <w:pPr>
        <w:pStyle w:val="GesAbsatz"/>
        <w:rPr>
          <w:rFonts w:cs="Arial"/>
        </w:rPr>
      </w:pPr>
      <w:r>
        <w:rPr>
          <w:rFonts w:cs="Arial"/>
        </w:rPr>
        <w:t>Die folgenden Leitlinien sollten berücksichtigt werden, soweit dies praktisch möglich ist:</w:t>
      </w:r>
    </w:p>
    <w:p>
      <w:pPr>
        <w:pStyle w:val="GesAbsatz"/>
        <w:ind w:left="426" w:hanging="426"/>
        <w:rPr>
          <w:rFonts w:cs="Arial"/>
        </w:rPr>
      </w:pPr>
      <w:r>
        <w:rPr>
          <w:rFonts w:cs="Arial"/>
        </w:rPr>
        <w:t>-</w:t>
      </w:r>
      <w:r>
        <w:rPr>
          <w:rFonts w:cs="Arial"/>
        </w:rPr>
        <w:tab/>
        <w:t>Der Luftstrom um den Messeinlass darf nicht beeinträchtigt werden und es dürfen keine den Luftstrom beeinflussenden Hindernisse in der Nähe des Messeinlasses vorhanden sein (die Messsonde muss in der Regel einige Meter von Gebäuden, Balkonen, Bäumen und anderen Hindernissen sowie im Fall von Probenahmestellen für die Luftqualität an der Baufluchtlinie mindestens 0,5 m vom nächsten Gebäude entfernt sein).</w:t>
      </w:r>
    </w:p>
    <w:p>
      <w:pPr>
        <w:pStyle w:val="GesAbsatz"/>
        <w:tabs>
          <w:tab w:val="clear" w:pos="425"/>
        </w:tabs>
        <w:ind w:left="426" w:hanging="426"/>
        <w:rPr>
          <w:rFonts w:cs="Arial"/>
        </w:rPr>
      </w:pPr>
      <w:r>
        <w:rPr>
          <w:rFonts w:cs="Arial"/>
        </w:rPr>
        <w:t>-</w:t>
      </w:r>
      <w:r>
        <w:rPr>
          <w:rFonts w:cs="Arial"/>
        </w:rPr>
        <w:tab/>
        <w:t>Im Allgemeinen sollte der Messeinlass in einer Höhe zwischen 1,5 m (Atemzone) und 4 m über dem Boden angeordnet sein. Eine höhere Lage des Einlasses (bis zu 8 m) kann unter Umständen angezeigt sein. Ein höher gelegener Einlass kann auch angezeigt sein, wenn die Messstation für ein größeres G</w:t>
      </w:r>
      <w:r>
        <w:rPr>
          <w:rFonts w:cs="Arial"/>
        </w:rPr>
        <w:t>e</w:t>
      </w:r>
      <w:r>
        <w:rPr>
          <w:rFonts w:cs="Arial"/>
        </w:rPr>
        <w:t>biet repräsentativ ist.</w:t>
      </w:r>
    </w:p>
    <w:p>
      <w:pPr>
        <w:pStyle w:val="GesAbsatz"/>
        <w:tabs>
          <w:tab w:val="clear" w:pos="425"/>
        </w:tabs>
        <w:ind w:left="426" w:hanging="426"/>
        <w:rPr>
          <w:rFonts w:ascii="HelveticaNeue-Roman" w:hAnsi="HelveticaNeue-Roman"/>
        </w:rPr>
      </w:pPr>
      <w:r>
        <w:rPr>
          <w:rFonts w:cs="Arial"/>
        </w:rPr>
        <w:t>-</w:t>
      </w:r>
      <w:r>
        <w:rPr>
          <w:rFonts w:cs="Arial"/>
        </w:rPr>
        <w:tab/>
        <w:t>Der Messeinlass darf nicht in nächster Nähe von Quellen platziert werden, um die unmittelbare Einle</w:t>
      </w:r>
      <w:r>
        <w:rPr>
          <w:rFonts w:cs="Arial"/>
        </w:rPr>
        <w:t>i</w:t>
      </w:r>
      <w:r>
        <w:rPr>
          <w:rFonts w:cs="Arial"/>
        </w:rPr>
        <w:t>tung von Emissionen, die nicht mit der Umgebungsluft vermischt sind, zu vermeiden.</w:t>
      </w:r>
    </w:p>
    <w:p>
      <w:pPr>
        <w:pStyle w:val="GesAbsatz"/>
        <w:tabs>
          <w:tab w:val="clear" w:pos="425"/>
          <w:tab w:val="left" w:pos="426"/>
        </w:tabs>
        <w:ind w:left="426" w:hanging="426"/>
        <w:rPr>
          <w:rFonts w:cs="Arial"/>
        </w:rPr>
      </w:pPr>
      <w:r>
        <w:rPr>
          <w:rFonts w:cs="Arial"/>
        </w:rPr>
        <w:t>-</w:t>
      </w:r>
      <w:r>
        <w:rPr>
          <w:rFonts w:cs="Arial"/>
        </w:rPr>
        <w:tab/>
        <w:t>Die Abluftleitung der Messstation ist so zu legen, dass ein Wiedereintritt der Abluft in den Messeinlass vermieden wird.</w:t>
      </w:r>
    </w:p>
    <w:p>
      <w:pPr>
        <w:pStyle w:val="GesAbsatz"/>
        <w:tabs>
          <w:tab w:val="clear" w:pos="425"/>
          <w:tab w:val="left" w:pos="426"/>
        </w:tabs>
        <w:rPr>
          <w:rFonts w:cs="Arial"/>
        </w:rPr>
      </w:pPr>
      <w:r>
        <w:rPr>
          <w:rFonts w:cs="Arial"/>
        </w:rPr>
        <w:t>-</w:t>
      </w:r>
      <w:r>
        <w:rPr>
          <w:rFonts w:cs="Arial"/>
        </w:rPr>
        <w:tab/>
        <w:t>Probenahmestellen für den Verkehr sollten</w:t>
      </w:r>
    </w:p>
    <w:p>
      <w:pPr>
        <w:pStyle w:val="GesAbsatz"/>
        <w:tabs>
          <w:tab w:val="clear" w:pos="425"/>
          <w:tab w:val="left" w:pos="426"/>
        </w:tabs>
        <w:ind w:left="851" w:hanging="851"/>
        <w:rPr>
          <w:rFonts w:cs="Arial"/>
        </w:rPr>
      </w:pPr>
      <w:r>
        <w:rPr>
          <w:rFonts w:cs="Arial"/>
        </w:rPr>
        <w:tab/>
        <w:t>-</w:t>
      </w:r>
      <w:r>
        <w:rPr>
          <w:rFonts w:cs="Arial"/>
        </w:rPr>
        <w:tab/>
        <w:t>in Bezug auf alle Schadstoffe mindestens 25 m von großen Kreuzungen und mindestens 4 m von der Mitte des nächstgelegenen Fahrstreifens entfernt sein;</w:t>
      </w:r>
    </w:p>
    <w:p>
      <w:pPr>
        <w:pStyle w:val="GesAbsatz"/>
        <w:tabs>
          <w:tab w:val="clear" w:pos="425"/>
          <w:tab w:val="left" w:pos="426"/>
        </w:tabs>
        <w:ind w:left="851" w:hanging="851"/>
        <w:rPr>
          <w:rFonts w:cs="Arial"/>
        </w:rPr>
      </w:pPr>
      <w:r>
        <w:rPr>
          <w:rFonts w:cs="Arial"/>
        </w:rPr>
        <w:tab/>
        <w:t>-</w:t>
      </w:r>
      <w:r>
        <w:rPr>
          <w:rFonts w:cs="Arial"/>
        </w:rPr>
        <w:tab/>
        <w:t>für Stickstoffdioxid- und Kohlenmonoxid-Messungen höchstens 5 m vom Fahrbahnrand entfernt sein;</w:t>
      </w:r>
    </w:p>
    <w:p>
      <w:pPr>
        <w:pStyle w:val="GesAbsatz"/>
        <w:tabs>
          <w:tab w:val="clear" w:pos="425"/>
          <w:tab w:val="left" w:pos="426"/>
        </w:tabs>
        <w:ind w:left="851" w:hanging="851"/>
        <w:rPr>
          <w:rFonts w:cs="Arial"/>
        </w:rPr>
      </w:pPr>
      <w:r>
        <w:rPr>
          <w:rFonts w:cs="Arial"/>
        </w:rPr>
        <w:tab/>
        <w:t>-</w:t>
      </w:r>
      <w:r>
        <w:rPr>
          <w:rFonts w:cs="Arial"/>
        </w:rPr>
        <w:tab/>
        <w:t xml:space="preserve">zur Messung von Partikeln, Blei und Benzol so gelegen sein, dass sie für die Luftqualität nahe der Baufluchtlinie repräsentativ sind. </w:t>
      </w:r>
    </w:p>
    <w:p>
      <w:pPr>
        <w:pStyle w:val="GesAbsatz"/>
        <w:tabs>
          <w:tab w:val="clear" w:pos="425"/>
        </w:tabs>
        <w:rPr>
          <w:rFonts w:cs="Arial"/>
        </w:rPr>
      </w:pPr>
      <w:r>
        <w:rPr>
          <w:rFonts w:cs="Arial"/>
        </w:rPr>
        <w:t>Die folgenden Faktoren sind unter Umständen ebenfalls zu berücksichtigen:</w:t>
      </w:r>
    </w:p>
    <w:p>
      <w:pPr>
        <w:pStyle w:val="GesAbsatz"/>
        <w:rPr>
          <w:rFonts w:cs="Arial"/>
        </w:rPr>
      </w:pPr>
      <w:r>
        <w:rPr>
          <w:rFonts w:cs="Arial"/>
        </w:rPr>
        <w:t>-</w:t>
      </w:r>
      <w:r>
        <w:rPr>
          <w:rFonts w:cs="Arial"/>
        </w:rPr>
        <w:tab/>
        <w:t>Störquellen;</w:t>
      </w:r>
    </w:p>
    <w:p>
      <w:pPr>
        <w:pStyle w:val="GesAbsatz"/>
        <w:rPr>
          <w:rFonts w:cs="Arial"/>
        </w:rPr>
      </w:pPr>
      <w:r>
        <w:rPr>
          <w:rFonts w:cs="Arial"/>
        </w:rPr>
        <w:t>-</w:t>
      </w:r>
      <w:r>
        <w:rPr>
          <w:rFonts w:cs="Arial"/>
        </w:rPr>
        <w:tab/>
        <w:t>Sicherheit gegen äußeren Eingriff;</w:t>
      </w:r>
    </w:p>
    <w:p>
      <w:pPr>
        <w:pStyle w:val="GesAbsatz"/>
        <w:rPr>
          <w:rFonts w:cs="Arial"/>
        </w:rPr>
      </w:pPr>
      <w:r>
        <w:rPr>
          <w:rFonts w:cs="Arial"/>
        </w:rPr>
        <w:t>-</w:t>
      </w:r>
      <w:r>
        <w:rPr>
          <w:rFonts w:cs="Arial"/>
        </w:rPr>
        <w:tab/>
        <w:t>Zugänglichkeit;</w:t>
      </w:r>
    </w:p>
    <w:p>
      <w:pPr>
        <w:pStyle w:val="GesAbsatz"/>
        <w:rPr>
          <w:rFonts w:cs="Arial"/>
        </w:rPr>
      </w:pPr>
      <w:r>
        <w:rPr>
          <w:rFonts w:cs="Arial"/>
        </w:rPr>
        <w:t>-</w:t>
      </w:r>
      <w:r>
        <w:rPr>
          <w:rFonts w:cs="Arial"/>
        </w:rPr>
        <w:tab/>
        <w:t>vorhandene elektrische Versorgung und Telekommunikationsleitungen;</w:t>
      </w:r>
    </w:p>
    <w:p>
      <w:pPr>
        <w:pStyle w:val="GesAbsatz"/>
        <w:rPr>
          <w:rFonts w:cs="Arial"/>
        </w:rPr>
      </w:pPr>
      <w:r>
        <w:rPr>
          <w:rFonts w:cs="Arial"/>
        </w:rPr>
        <w:t>-</w:t>
      </w:r>
      <w:r>
        <w:rPr>
          <w:rFonts w:cs="Arial"/>
        </w:rPr>
        <w:tab/>
        <w:t>Sichtbarkeit der Messstation in der Umgebung;</w:t>
      </w:r>
    </w:p>
    <w:p>
      <w:pPr>
        <w:pStyle w:val="GesAbsatz"/>
        <w:rPr>
          <w:rFonts w:cs="Arial"/>
        </w:rPr>
      </w:pPr>
      <w:r>
        <w:rPr>
          <w:rFonts w:cs="Arial"/>
        </w:rPr>
        <w:t>-</w:t>
      </w:r>
      <w:r>
        <w:rPr>
          <w:rFonts w:cs="Arial"/>
        </w:rPr>
        <w:tab/>
        <w:t>Sicherheit der Öffentlichkeit und des Betriebspersonals;</w:t>
      </w:r>
    </w:p>
    <w:p>
      <w:pPr>
        <w:pStyle w:val="GesAbsatz"/>
        <w:rPr>
          <w:rFonts w:cs="Arial"/>
        </w:rPr>
      </w:pPr>
      <w:r>
        <w:rPr>
          <w:rFonts w:cs="Arial"/>
        </w:rPr>
        <w:t>-</w:t>
      </w:r>
      <w:r>
        <w:rPr>
          <w:rFonts w:cs="Arial"/>
        </w:rPr>
        <w:tab/>
        <w:t>Zusammenlegung der Probenahmestellen für verschiedene Schadstoffe;</w:t>
      </w:r>
    </w:p>
    <w:p>
      <w:pPr>
        <w:pStyle w:val="GesAbsatz"/>
        <w:rPr>
          <w:rFonts w:cs="Arial"/>
        </w:rPr>
      </w:pPr>
      <w:r>
        <w:rPr>
          <w:rFonts w:cs="Arial"/>
        </w:rPr>
        <w:t>-</w:t>
      </w:r>
      <w:r>
        <w:rPr>
          <w:rFonts w:cs="Arial"/>
        </w:rPr>
        <w:tab/>
        <w:t>bebauungsplanerische Anforderungen.</w:t>
      </w:r>
    </w:p>
    <w:p>
      <w:pPr>
        <w:pStyle w:val="GesAbsatz"/>
        <w:rPr>
          <w:b/>
          <w:bCs/>
        </w:rPr>
      </w:pPr>
      <w:r>
        <w:rPr>
          <w:b/>
          <w:bCs/>
        </w:rPr>
        <w:t>III.</w:t>
      </w:r>
      <w:r>
        <w:rPr>
          <w:b/>
          <w:bCs/>
        </w:rPr>
        <w:tab/>
        <w:t>Dokumentation und Überprüfung der Standortwahl</w:t>
      </w:r>
    </w:p>
    <w:p>
      <w:pPr>
        <w:pStyle w:val="GesAbsatz"/>
        <w:rPr>
          <w:rFonts w:cs="Arial"/>
        </w:rPr>
      </w:pPr>
      <w:r>
        <w:rPr>
          <w:rFonts w:cs="Arial"/>
        </w:rPr>
        <w:t>Die Verfahren für die Standortwahl sind in der Einstufungsphase vollständig zu dokumentieren, z. B. mit F</w:t>
      </w:r>
      <w:r>
        <w:rPr>
          <w:rFonts w:cs="Arial"/>
        </w:rPr>
        <w:t>o</w:t>
      </w:r>
      <w:r>
        <w:rPr>
          <w:rFonts w:cs="Arial"/>
        </w:rPr>
        <w:t>tografien der Umgebung in den Haupthimmelsrichtungen und einer detaillierten Karte. Die Standorte sol</w:t>
      </w:r>
      <w:r>
        <w:rPr>
          <w:rFonts w:cs="Arial"/>
        </w:rPr>
        <w:t>l</w:t>
      </w:r>
      <w:r>
        <w:rPr>
          <w:rFonts w:cs="Arial"/>
        </w:rPr>
        <w:t>ten regelmäßig überprüft und wiederholt dokumentiert werden, damit sichergestellt ist, dass die Kriterien für die Standortwahl weiterhin erfüllt sind.</w:t>
      </w:r>
    </w:p>
    <w:p>
      <w:pPr>
        <w:pStyle w:val="berschrift2"/>
        <w:jc w:val="left"/>
      </w:pPr>
      <w:bookmarkStart w:id="30" w:name="_Toc174110518"/>
      <w:r>
        <w:rPr>
          <w:rFonts w:cs="Arial"/>
          <w:szCs w:val="18"/>
        </w:rPr>
        <w:t>Anlage 3</w:t>
      </w:r>
      <w:r>
        <w:rPr>
          <w:rFonts w:ascii="HelveticaNeue-Bold" w:hAnsi="HelveticaNeue-Bold"/>
          <w:bCs/>
          <w:sz w:val="18"/>
          <w:szCs w:val="18"/>
        </w:rPr>
        <w:br/>
      </w:r>
      <w:r>
        <w:t xml:space="preserve">Kriterien für die Festlegung der Mindestzahl der Probenahmestellen für ortsfeste </w:t>
      </w:r>
      <w:r>
        <w:lastRenderedPageBreak/>
        <w:t>Messungen von Schwefeldioxid (SO</w:t>
      </w:r>
      <w:r>
        <w:rPr>
          <w:szCs w:val="14"/>
          <w:vertAlign w:val="subscript"/>
        </w:rPr>
        <w:t>2</w:t>
      </w:r>
      <w:r>
        <w:t>), Stickstoffdioxid (NO</w:t>
      </w:r>
      <w:r>
        <w:rPr>
          <w:szCs w:val="14"/>
          <w:vertAlign w:val="subscript"/>
        </w:rPr>
        <w:t>2</w:t>
      </w:r>
      <w:r>
        <w:t>) und Stickstoffoxiden (NO</w:t>
      </w:r>
      <w:r>
        <w:rPr>
          <w:szCs w:val="14"/>
          <w:vertAlign w:val="subscript"/>
        </w:rPr>
        <w:t>x</w:t>
      </w:r>
      <w:r>
        <w:t>), Partikeln, Blei, Benzol und Kohlenmonoxid in der Luft</w:t>
      </w:r>
      <w:bookmarkEnd w:id="30"/>
    </w:p>
    <w:p>
      <w:pPr>
        <w:pStyle w:val="GesAbsatz"/>
        <w:tabs>
          <w:tab w:val="clear" w:pos="425"/>
          <w:tab w:val="left" w:pos="426"/>
        </w:tabs>
        <w:ind w:left="426" w:hanging="426"/>
        <w:rPr>
          <w:b/>
          <w:bCs/>
        </w:rPr>
      </w:pPr>
      <w:r>
        <w:rPr>
          <w:b/>
          <w:bCs/>
        </w:rPr>
        <w:t>I.</w:t>
      </w:r>
      <w:r>
        <w:rPr>
          <w:b/>
          <w:bCs/>
        </w:rPr>
        <w:tab/>
        <w:t>Mindestzahl der Probenahmestellen für ortsfeste Messungen zur Beurteilung der Einhaltung von Immissionsgrenzwerten für den Schutz der menschlichen Gesundheit und von Alarmschwellen in Gebieten und Ballungsräumen, in denen ortsfeste Messungen die einzige Informationsquelle da</w:t>
      </w:r>
      <w:r>
        <w:rPr>
          <w:b/>
          <w:bCs/>
        </w:rPr>
        <w:t>r</w:t>
      </w:r>
      <w:r>
        <w:rPr>
          <w:b/>
          <w:bCs/>
        </w:rPr>
        <w:t>stellen</w:t>
      </w:r>
    </w:p>
    <w:p>
      <w:pPr>
        <w:pStyle w:val="GesAbsatz"/>
        <w:rPr>
          <w:b/>
          <w:bCs/>
        </w:rPr>
      </w:pPr>
      <w:r>
        <w:rPr>
          <w:b/>
          <w:bCs/>
        </w:rPr>
        <w:t>a)</w:t>
      </w:r>
      <w:r>
        <w:rPr>
          <w:b/>
          <w:bCs/>
        </w:rPr>
        <w:tab/>
        <w:t>Diffuse Quellen (Messung der urbanen Belastung einschließlich Verkehr)</w:t>
      </w: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843"/>
        <w:gridCol w:w="2020"/>
        <w:gridCol w:w="2091"/>
        <w:gridCol w:w="3544"/>
      </w:tblGrid>
      <w:tr>
        <w:tblPrEx>
          <w:tblCellMar>
            <w:top w:w="0" w:type="dxa"/>
            <w:bottom w:w="0" w:type="dxa"/>
          </w:tblCellMar>
        </w:tblPrEx>
        <w:trPr>
          <w:trHeight w:val="1136"/>
        </w:trPr>
        <w:tc>
          <w:tcPr>
            <w:tcW w:w="1843" w:type="dxa"/>
          </w:tcPr>
          <w:p>
            <w:pPr>
              <w:pStyle w:val="GesAbsatz"/>
              <w:jc w:val="center"/>
              <w:rPr>
                <w:rFonts w:cs="Arial"/>
              </w:rPr>
            </w:pPr>
            <w:r>
              <w:rPr>
                <w:rFonts w:cs="Arial"/>
              </w:rPr>
              <w:t>Bevölkerung des Ballungsraums oder Gebiets (Ta</w:t>
            </w:r>
            <w:r>
              <w:rPr>
                <w:rFonts w:cs="Arial"/>
              </w:rPr>
              <w:t>u</w:t>
            </w:r>
            <w:r>
              <w:rPr>
                <w:rFonts w:cs="Arial"/>
              </w:rPr>
              <w:t>send)</w:t>
            </w:r>
          </w:p>
        </w:tc>
        <w:tc>
          <w:tcPr>
            <w:tcW w:w="2020" w:type="dxa"/>
          </w:tcPr>
          <w:p>
            <w:pPr>
              <w:pStyle w:val="GesAbsatz"/>
              <w:jc w:val="center"/>
              <w:rPr>
                <w:rFonts w:cs="Arial"/>
              </w:rPr>
            </w:pPr>
            <w:r>
              <w:rPr>
                <w:rFonts w:cs="Arial"/>
              </w:rPr>
              <w:t>Falls die maximale Konzentration die obere Beurteilung</w:t>
            </w:r>
            <w:r>
              <w:rPr>
                <w:rFonts w:cs="Arial"/>
              </w:rPr>
              <w:t>s</w:t>
            </w:r>
            <w:r>
              <w:rPr>
                <w:rFonts w:cs="Arial"/>
              </w:rPr>
              <w:t>schwelle überschre</w:t>
            </w:r>
            <w:r>
              <w:rPr>
                <w:rFonts w:cs="Arial"/>
              </w:rPr>
              <w:t>i</w:t>
            </w:r>
            <w:r>
              <w:rPr>
                <w:rFonts w:cs="Arial"/>
              </w:rPr>
              <w:t>tet</w:t>
            </w:r>
          </w:p>
        </w:tc>
        <w:tc>
          <w:tcPr>
            <w:tcW w:w="2091" w:type="dxa"/>
          </w:tcPr>
          <w:p>
            <w:pPr>
              <w:pStyle w:val="GesAbsatz"/>
              <w:jc w:val="center"/>
              <w:rPr>
                <w:rFonts w:cs="Arial"/>
              </w:rPr>
            </w:pPr>
            <w:r>
              <w:rPr>
                <w:rFonts w:cs="Arial"/>
              </w:rPr>
              <w:t>Falls die maximale Konzentration zw</w:t>
            </w:r>
            <w:r>
              <w:rPr>
                <w:rFonts w:cs="Arial"/>
              </w:rPr>
              <w:t>i</w:t>
            </w:r>
            <w:r>
              <w:rPr>
                <w:rFonts w:cs="Arial"/>
              </w:rPr>
              <w:t>schen der oberen und der unteren Beurte</w:t>
            </w:r>
            <w:r>
              <w:rPr>
                <w:rFonts w:cs="Arial"/>
              </w:rPr>
              <w:t>i</w:t>
            </w:r>
            <w:r>
              <w:rPr>
                <w:rFonts w:cs="Arial"/>
              </w:rPr>
              <w:t>lungsschwelle liegt</w:t>
            </w:r>
          </w:p>
        </w:tc>
        <w:tc>
          <w:tcPr>
            <w:tcW w:w="3544" w:type="dxa"/>
          </w:tcPr>
          <w:p>
            <w:pPr>
              <w:pStyle w:val="GesAbsatz"/>
              <w:jc w:val="center"/>
              <w:rPr>
                <w:rFonts w:cs="Arial"/>
              </w:rPr>
            </w:pPr>
            <w:r>
              <w:rPr>
                <w:rFonts w:cs="Arial"/>
              </w:rPr>
              <w:t>Für SO</w:t>
            </w:r>
            <w:r>
              <w:rPr>
                <w:rFonts w:cs="Arial"/>
                <w:vertAlign w:val="subscript"/>
              </w:rPr>
              <w:t>2</w:t>
            </w:r>
            <w:r>
              <w:rPr>
                <w:rFonts w:cs="Arial"/>
              </w:rPr>
              <w:t xml:space="preserve"> und NO</w:t>
            </w:r>
            <w:r>
              <w:rPr>
                <w:rFonts w:cs="Arial"/>
                <w:vertAlign w:val="subscript"/>
              </w:rPr>
              <w:t>2</w:t>
            </w:r>
            <w:r>
              <w:rPr>
                <w:rFonts w:cs="Arial"/>
              </w:rPr>
              <w:t xml:space="preserve"> in Ballungsräumen, in denen die maximale Konzentration unter der unteren Beurteilungsschwe</w:t>
            </w:r>
            <w:r>
              <w:rPr>
                <w:rFonts w:cs="Arial"/>
              </w:rPr>
              <w:t>l</w:t>
            </w:r>
            <w:r>
              <w:rPr>
                <w:rFonts w:cs="Arial"/>
              </w:rPr>
              <w:t>le liegt</w:t>
            </w:r>
          </w:p>
        </w:tc>
      </w:tr>
      <w:tr>
        <w:tblPrEx>
          <w:tblCellMar>
            <w:top w:w="0" w:type="dxa"/>
            <w:bottom w:w="0" w:type="dxa"/>
          </w:tblCellMar>
        </w:tblPrEx>
        <w:trPr>
          <w:trHeight w:val="280"/>
        </w:trPr>
        <w:tc>
          <w:tcPr>
            <w:tcW w:w="1701" w:type="dxa"/>
          </w:tcPr>
          <w:p>
            <w:pPr>
              <w:pStyle w:val="GesAbsatz"/>
              <w:tabs>
                <w:tab w:val="clear" w:pos="425"/>
                <w:tab w:val="right" w:pos="426"/>
                <w:tab w:val="left" w:pos="709"/>
                <w:tab w:val="right" w:pos="1418"/>
              </w:tabs>
              <w:rPr>
                <w:rFonts w:cs="Arial"/>
              </w:rPr>
            </w:pPr>
            <w:r>
              <w:rPr>
                <w:rFonts w:cs="Arial"/>
              </w:rPr>
              <w:tab/>
              <w:t>0</w:t>
            </w:r>
            <w:r>
              <w:rPr>
                <w:rFonts w:cs="Arial"/>
              </w:rPr>
              <w:tab/>
              <w:t>-</w:t>
            </w:r>
            <w:r>
              <w:rPr>
                <w:rFonts w:cs="Arial"/>
              </w:rPr>
              <w:tab/>
              <w:t>250</w:t>
            </w:r>
          </w:p>
        </w:tc>
        <w:tc>
          <w:tcPr>
            <w:tcW w:w="1701" w:type="dxa"/>
          </w:tcPr>
          <w:p>
            <w:pPr>
              <w:pStyle w:val="GesAbsatz"/>
              <w:jc w:val="center"/>
              <w:rPr>
                <w:rFonts w:cs="Arial"/>
              </w:rPr>
            </w:pPr>
            <w:r>
              <w:rPr>
                <w:rFonts w:cs="Arial"/>
              </w:rPr>
              <w:t>1</w:t>
            </w:r>
          </w:p>
        </w:tc>
        <w:tc>
          <w:tcPr>
            <w:tcW w:w="1701" w:type="dxa"/>
          </w:tcPr>
          <w:p>
            <w:pPr>
              <w:pStyle w:val="GesAbsatz"/>
              <w:jc w:val="center"/>
              <w:rPr>
                <w:rFonts w:cs="Arial"/>
              </w:rPr>
            </w:pPr>
            <w:r>
              <w:rPr>
                <w:rFonts w:cs="Arial"/>
              </w:rPr>
              <w:t>1</w:t>
            </w:r>
          </w:p>
        </w:tc>
        <w:tc>
          <w:tcPr>
            <w:tcW w:w="1701" w:type="dxa"/>
          </w:tcPr>
          <w:p>
            <w:pPr>
              <w:pStyle w:val="GesAbsatz"/>
              <w:jc w:val="center"/>
              <w:rPr>
                <w:rFonts w:cs="Arial"/>
              </w:rPr>
            </w:pPr>
            <w:r>
              <w:rPr>
                <w:rFonts w:cs="Arial"/>
              </w:rPr>
              <w:t>nicht anwendbar</w:t>
            </w:r>
          </w:p>
        </w:tc>
      </w:tr>
      <w:tr>
        <w:tblPrEx>
          <w:tblCellMar>
            <w:top w:w="0" w:type="dxa"/>
            <w:bottom w:w="0" w:type="dxa"/>
          </w:tblCellMar>
        </w:tblPrEx>
        <w:tc>
          <w:tcPr>
            <w:tcW w:w="1843" w:type="dxa"/>
          </w:tcPr>
          <w:p>
            <w:pPr>
              <w:pStyle w:val="GesAbsatz"/>
              <w:tabs>
                <w:tab w:val="clear" w:pos="425"/>
                <w:tab w:val="right" w:pos="426"/>
                <w:tab w:val="left" w:pos="709"/>
                <w:tab w:val="right" w:pos="1418"/>
              </w:tabs>
              <w:rPr>
                <w:rFonts w:cs="Arial"/>
              </w:rPr>
            </w:pPr>
            <w:r>
              <w:rPr>
                <w:rFonts w:cs="Arial"/>
              </w:rPr>
              <w:tab/>
              <w:t>250</w:t>
            </w:r>
            <w:r>
              <w:rPr>
                <w:rFonts w:cs="Arial"/>
              </w:rPr>
              <w:tab/>
              <w:t>-</w:t>
            </w:r>
            <w:r>
              <w:rPr>
                <w:rFonts w:cs="Arial"/>
              </w:rPr>
              <w:tab/>
              <w:t>499</w:t>
            </w:r>
          </w:p>
        </w:tc>
        <w:tc>
          <w:tcPr>
            <w:tcW w:w="2020" w:type="dxa"/>
          </w:tcPr>
          <w:p>
            <w:pPr>
              <w:pStyle w:val="GesAbsatz"/>
              <w:jc w:val="center"/>
              <w:rPr>
                <w:rFonts w:cs="Arial"/>
              </w:rPr>
            </w:pPr>
            <w:r>
              <w:rPr>
                <w:rFonts w:cs="Arial"/>
              </w:rPr>
              <w:t>2</w:t>
            </w:r>
          </w:p>
        </w:tc>
        <w:tc>
          <w:tcPr>
            <w:tcW w:w="2091" w:type="dxa"/>
          </w:tcPr>
          <w:p>
            <w:pPr>
              <w:pStyle w:val="GesAbsatz"/>
              <w:jc w:val="center"/>
              <w:rPr>
                <w:rFonts w:cs="Arial"/>
              </w:rPr>
            </w:pPr>
            <w:r>
              <w:rPr>
                <w:rFonts w:cs="Arial"/>
              </w:rPr>
              <w:t>1</w:t>
            </w:r>
          </w:p>
        </w:tc>
        <w:tc>
          <w:tcPr>
            <w:tcW w:w="3544" w:type="dxa"/>
          </w:tcPr>
          <w:p>
            <w:pPr>
              <w:pStyle w:val="GesAbsatz"/>
              <w:jc w:val="center"/>
              <w:rPr>
                <w:rFonts w:cs="Arial"/>
              </w:rPr>
            </w:pPr>
            <w:r>
              <w:rPr>
                <w:rFonts w:cs="Arial"/>
              </w:rPr>
              <w:t>1</w:t>
            </w:r>
          </w:p>
        </w:tc>
      </w:tr>
      <w:tr>
        <w:tblPrEx>
          <w:tblCellMar>
            <w:top w:w="0" w:type="dxa"/>
            <w:bottom w:w="0" w:type="dxa"/>
          </w:tblCellMar>
        </w:tblPrEx>
        <w:tc>
          <w:tcPr>
            <w:tcW w:w="1843" w:type="dxa"/>
          </w:tcPr>
          <w:p>
            <w:pPr>
              <w:pStyle w:val="GesAbsatz"/>
              <w:tabs>
                <w:tab w:val="clear" w:pos="425"/>
                <w:tab w:val="right" w:pos="426"/>
                <w:tab w:val="left" w:pos="709"/>
                <w:tab w:val="right" w:pos="1418"/>
              </w:tabs>
              <w:rPr>
                <w:rFonts w:cs="Arial"/>
              </w:rPr>
            </w:pPr>
            <w:r>
              <w:rPr>
                <w:rFonts w:cs="Arial"/>
              </w:rPr>
              <w:tab/>
              <w:t>500</w:t>
            </w:r>
            <w:r>
              <w:rPr>
                <w:rFonts w:cs="Arial"/>
              </w:rPr>
              <w:tab/>
              <w:t>-</w:t>
            </w:r>
            <w:r>
              <w:rPr>
                <w:rFonts w:cs="Arial"/>
              </w:rPr>
              <w:tab/>
              <w:t>749</w:t>
            </w:r>
          </w:p>
        </w:tc>
        <w:tc>
          <w:tcPr>
            <w:tcW w:w="2020" w:type="dxa"/>
          </w:tcPr>
          <w:p>
            <w:pPr>
              <w:pStyle w:val="GesAbsatz"/>
              <w:jc w:val="center"/>
              <w:rPr>
                <w:rFonts w:cs="Arial"/>
              </w:rPr>
            </w:pPr>
            <w:r>
              <w:rPr>
                <w:rFonts w:cs="Arial"/>
              </w:rPr>
              <w:t>2</w:t>
            </w:r>
          </w:p>
        </w:tc>
        <w:tc>
          <w:tcPr>
            <w:tcW w:w="2091" w:type="dxa"/>
          </w:tcPr>
          <w:p>
            <w:pPr>
              <w:pStyle w:val="GesAbsatz"/>
              <w:jc w:val="center"/>
              <w:rPr>
                <w:rFonts w:cs="Arial"/>
              </w:rPr>
            </w:pPr>
            <w:r>
              <w:rPr>
                <w:rFonts w:cs="Arial"/>
              </w:rPr>
              <w:t>1</w:t>
            </w:r>
          </w:p>
        </w:tc>
        <w:tc>
          <w:tcPr>
            <w:tcW w:w="3544" w:type="dxa"/>
          </w:tcPr>
          <w:p>
            <w:pPr>
              <w:pStyle w:val="GesAbsatz"/>
              <w:jc w:val="center"/>
              <w:rPr>
                <w:rFonts w:cs="Arial"/>
              </w:rPr>
            </w:pPr>
            <w:r>
              <w:rPr>
                <w:rFonts w:cs="Arial"/>
              </w:rPr>
              <w:t>1</w:t>
            </w:r>
          </w:p>
        </w:tc>
      </w:tr>
      <w:tr>
        <w:tblPrEx>
          <w:tblCellMar>
            <w:top w:w="0" w:type="dxa"/>
            <w:bottom w:w="0" w:type="dxa"/>
          </w:tblCellMar>
        </w:tblPrEx>
        <w:tc>
          <w:tcPr>
            <w:tcW w:w="1843" w:type="dxa"/>
          </w:tcPr>
          <w:p>
            <w:pPr>
              <w:pStyle w:val="GesAbsatz"/>
              <w:tabs>
                <w:tab w:val="clear" w:pos="425"/>
                <w:tab w:val="right" w:pos="426"/>
                <w:tab w:val="left" w:pos="709"/>
                <w:tab w:val="right" w:pos="1418"/>
              </w:tabs>
              <w:rPr>
                <w:rFonts w:cs="Arial"/>
              </w:rPr>
            </w:pPr>
            <w:r>
              <w:rPr>
                <w:rFonts w:cs="Arial"/>
              </w:rPr>
              <w:tab/>
              <w:t>750</w:t>
            </w:r>
            <w:r>
              <w:rPr>
                <w:rFonts w:cs="Arial"/>
              </w:rPr>
              <w:tab/>
              <w:t>-</w:t>
            </w:r>
            <w:r>
              <w:rPr>
                <w:rFonts w:cs="Arial"/>
              </w:rPr>
              <w:tab/>
              <w:t>999</w:t>
            </w:r>
          </w:p>
        </w:tc>
        <w:tc>
          <w:tcPr>
            <w:tcW w:w="2020" w:type="dxa"/>
          </w:tcPr>
          <w:p>
            <w:pPr>
              <w:pStyle w:val="GesAbsatz"/>
              <w:jc w:val="center"/>
              <w:rPr>
                <w:rFonts w:cs="Arial"/>
              </w:rPr>
            </w:pPr>
            <w:r>
              <w:rPr>
                <w:rFonts w:cs="Arial"/>
              </w:rPr>
              <w:t>3</w:t>
            </w:r>
          </w:p>
        </w:tc>
        <w:tc>
          <w:tcPr>
            <w:tcW w:w="2091" w:type="dxa"/>
          </w:tcPr>
          <w:p>
            <w:pPr>
              <w:pStyle w:val="GesAbsatz"/>
              <w:jc w:val="center"/>
              <w:rPr>
                <w:rFonts w:cs="Arial"/>
              </w:rPr>
            </w:pPr>
            <w:r>
              <w:rPr>
                <w:rFonts w:cs="Arial"/>
              </w:rPr>
              <w:t>1</w:t>
            </w:r>
          </w:p>
        </w:tc>
        <w:tc>
          <w:tcPr>
            <w:tcW w:w="3544" w:type="dxa"/>
          </w:tcPr>
          <w:p>
            <w:pPr>
              <w:pStyle w:val="GesAbsatz"/>
              <w:jc w:val="center"/>
              <w:rPr>
                <w:rFonts w:cs="Arial"/>
              </w:rPr>
            </w:pPr>
            <w:r>
              <w:rPr>
                <w:rFonts w:cs="Arial"/>
              </w:rPr>
              <w:t>1</w:t>
            </w:r>
          </w:p>
        </w:tc>
      </w:tr>
      <w:tr>
        <w:tblPrEx>
          <w:tblCellMar>
            <w:top w:w="0" w:type="dxa"/>
            <w:bottom w:w="0" w:type="dxa"/>
          </w:tblCellMar>
        </w:tblPrEx>
        <w:tc>
          <w:tcPr>
            <w:tcW w:w="1843" w:type="dxa"/>
          </w:tcPr>
          <w:p>
            <w:pPr>
              <w:pStyle w:val="GesAbsatz"/>
              <w:tabs>
                <w:tab w:val="clear" w:pos="425"/>
                <w:tab w:val="right" w:pos="426"/>
                <w:tab w:val="left" w:pos="709"/>
                <w:tab w:val="right" w:pos="1418"/>
              </w:tabs>
              <w:rPr>
                <w:rFonts w:cs="Arial"/>
              </w:rPr>
            </w:pPr>
            <w:r>
              <w:rPr>
                <w:rFonts w:cs="Arial"/>
              </w:rPr>
              <w:tab/>
              <w:t>1000</w:t>
            </w:r>
            <w:r>
              <w:rPr>
                <w:rFonts w:cs="Arial"/>
              </w:rPr>
              <w:tab/>
              <w:t>-</w:t>
            </w:r>
            <w:r>
              <w:rPr>
                <w:rFonts w:cs="Arial"/>
              </w:rPr>
              <w:tab/>
              <w:t>1499</w:t>
            </w:r>
          </w:p>
        </w:tc>
        <w:tc>
          <w:tcPr>
            <w:tcW w:w="2020" w:type="dxa"/>
          </w:tcPr>
          <w:p>
            <w:pPr>
              <w:pStyle w:val="GesAbsatz"/>
              <w:jc w:val="center"/>
              <w:rPr>
                <w:rFonts w:cs="Arial"/>
              </w:rPr>
            </w:pPr>
            <w:r>
              <w:rPr>
                <w:rFonts w:cs="Arial"/>
              </w:rPr>
              <w:t>4</w:t>
            </w:r>
          </w:p>
        </w:tc>
        <w:tc>
          <w:tcPr>
            <w:tcW w:w="2091" w:type="dxa"/>
          </w:tcPr>
          <w:p>
            <w:pPr>
              <w:pStyle w:val="GesAbsatz"/>
              <w:jc w:val="center"/>
              <w:rPr>
                <w:rFonts w:cs="Arial"/>
              </w:rPr>
            </w:pPr>
            <w:r>
              <w:rPr>
                <w:rFonts w:cs="Arial"/>
              </w:rPr>
              <w:t>2</w:t>
            </w:r>
          </w:p>
        </w:tc>
        <w:tc>
          <w:tcPr>
            <w:tcW w:w="3544" w:type="dxa"/>
          </w:tcPr>
          <w:p>
            <w:pPr>
              <w:pStyle w:val="GesAbsatz"/>
              <w:jc w:val="center"/>
              <w:rPr>
                <w:rFonts w:cs="Arial"/>
              </w:rPr>
            </w:pPr>
            <w:r>
              <w:rPr>
                <w:rFonts w:cs="Arial"/>
              </w:rPr>
              <w:t>1</w:t>
            </w:r>
          </w:p>
        </w:tc>
      </w:tr>
      <w:tr>
        <w:tblPrEx>
          <w:tblCellMar>
            <w:top w:w="0" w:type="dxa"/>
            <w:bottom w:w="0" w:type="dxa"/>
          </w:tblCellMar>
        </w:tblPrEx>
        <w:tc>
          <w:tcPr>
            <w:tcW w:w="1843" w:type="dxa"/>
          </w:tcPr>
          <w:p>
            <w:pPr>
              <w:pStyle w:val="GesAbsatz"/>
              <w:tabs>
                <w:tab w:val="clear" w:pos="425"/>
                <w:tab w:val="right" w:pos="426"/>
                <w:tab w:val="left" w:pos="709"/>
                <w:tab w:val="right" w:pos="1418"/>
              </w:tabs>
              <w:rPr>
                <w:rFonts w:cs="Arial"/>
              </w:rPr>
            </w:pPr>
            <w:r>
              <w:rPr>
                <w:rFonts w:cs="Arial"/>
              </w:rPr>
              <w:t>1500</w:t>
            </w:r>
            <w:r>
              <w:rPr>
                <w:rFonts w:cs="Arial"/>
              </w:rPr>
              <w:tab/>
              <w:t>-</w:t>
            </w:r>
            <w:r>
              <w:rPr>
                <w:rFonts w:cs="Arial"/>
              </w:rPr>
              <w:tab/>
              <w:t>1999</w:t>
            </w:r>
          </w:p>
        </w:tc>
        <w:tc>
          <w:tcPr>
            <w:tcW w:w="2020" w:type="dxa"/>
          </w:tcPr>
          <w:p>
            <w:pPr>
              <w:pStyle w:val="GesAbsatz"/>
              <w:jc w:val="center"/>
              <w:rPr>
                <w:rFonts w:cs="Arial"/>
              </w:rPr>
            </w:pPr>
            <w:r>
              <w:rPr>
                <w:rFonts w:cs="Arial"/>
              </w:rPr>
              <w:t>5</w:t>
            </w:r>
          </w:p>
        </w:tc>
        <w:tc>
          <w:tcPr>
            <w:tcW w:w="2091" w:type="dxa"/>
          </w:tcPr>
          <w:p>
            <w:pPr>
              <w:pStyle w:val="GesAbsatz"/>
              <w:jc w:val="center"/>
              <w:rPr>
                <w:rFonts w:cs="Arial"/>
              </w:rPr>
            </w:pPr>
            <w:r>
              <w:rPr>
                <w:rFonts w:cs="Arial"/>
              </w:rPr>
              <w:t>2</w:t>
            </w:r>
          </w:p>
        </w:tc>
        <w:tc>
          <w:tcPr>
            <w:tcW w:w="3544" w:type="dxa"/>
          </w:tcPr>
          <w:p>
            <w:pPr>
              <w:pStyle w:val="GesAbsatz"/>
              <w:jc w:val="center"/>
              <w:rPr>
                <w:rFonts w:cs="Arial"/>
              </w:rPr>
            </w:pPr>
            <w:r>
              <w:rPr>
                <w:rFonts w:cs="Arial"/>
              </w:rPr>
              <w:t>1</w:t>
            </w:r>
          </w:p>
        </w:tc>
      </w:tr>
      <w:tr>
        <w:tblPrEx>
          <w:tblCellMar>
            <w:top w:w="0" w:type="dxa"/>
            <w:bottom w:w="0" w:type="dxa"/>
          </w:tblCellMar>
        </w:tblPrEx>
        <w:tc>
          <w:tcPr>
            <w:tcW w:w="1843" w:type="dxa"/>
          </w:tcPr>
          <w:p>
            <w:pPr>
              <w:pStyle w:val="GesAbsatz"/>
              <w:tabs>
                <w:tab w:val="clear" w:pos="425"/>
                <w:tab w:val="right" w:pos="426"/>
                <w:tab w:val="left" w:pos="709"/>
                <w:tab w:val="right" w:pos="1418"/>
              </w:tabs>
              <w:rPr>
                <w:rFonts w:cs="Arial"/>
              </w:rPr>
            </w:pPr>
            <w:r>
              <w:rPr>
                <w:rFonts w:cs="Arial"/>
              </w:rPr>
              <w:t>2000</w:t>
            </w:r>
            <w:r>
              <w:rPr>
                <w:rFonts w:cs="Arial"/>
              </w:rPr>
              <w:tab/>
              <w:t>-</w:t>
            </w:r>
            <w:r>
              <w:rPr>
                <w:rFonts w:cs="Arial"/>
              </w:rPr>
              <w:tab/>
              <w:t>2749</w:t>
            </w:r>
          </w:p>
        </w:tc>
        <w:tc>
          <w:tcPr>
            <w:tcW w:w="2020" w:type="dxa"/>
          </w:tcPr>
          <w:p>
            <w:pPr>
              <w:pStyle w:val="GesAbsatz"/>
              <w:jc w:val="center"/>
              <w:rPr>
                <w:rFonts w:cs="Arial"/>
              </w:rPr>
            </w:pPr>
            <w:r>
              <w:rPr>
                <w:rFonts w:cs="Arial"/>
              </w:rPr>
              <w:t>6</w:t>
            </w:r>
          </w:p>
        </w:tc>
        <w:tc>
          <w:tcPr>
            <w:tcW w:w="2091" w:type="dxa"/>
          </w:tcPr>
          <w:p>
            <w:pPr>
              <w:pStyle w:val="GesAbsatz"/>
              <w:jc w:val="center"/>
              <w:rPr>
                <w:rFonts w:cs="Arial"/>
              </w:rPr>
            </w:pPr>
            <w:r>
              <w:rPr>
                <w:rFonts w:cs="Arial"/>
              </w:rPr>
              <w:t>3</w:t>
            </w:r>
          </w:p>
        </w:tc>
        <w:tc>
          <w:tcPr>
            <w:tcW w:w="3544" w:type="dxa"/>
          </w:tcPr>
          <w:p>
            <w:pPr>
              <w:pStyle w:val="GesAbsatz"/>
              <w:jc w:val="center"/>
              <w:rPr>
                <w:rFonts w:cs="Arial"/>
              </w:rPr>
            </w:pPr>
            <w:r>
              <w:rPr>
                <w:rFonts w:cs="Arial"/>
              </w:rPr>
              <w:t>2</w:t>
            </w:r>
          </w:p>
        </w:tc>
      </w:tr>
      <w:tr>
        <w:tblPrEx>
          <w:tblCellMar>
            <w:top w:w="0" w:type="dxa"/>
            <w:bottom w:w="0" w:type="dxa"/>
          </w:tblCellMar>
        </w:tblPrEx>
        <w:tc>
          <w:tcPr>
            <w:tcW w:w="1843" w:type="dxa"/>
          </w:tcPr>
          <w:p>
            <w:pPr>
              <w:pStyle w:val="GesAbsatz"/>
              <w:tabs>
                <w:tab w:val="clear" w:pos="425"/>
                <w:tab w:val="right" w:pos="426"/>
                <w:tab w:val="left" w:pos="709"/>
                <w:tab w:val="right" w:pos="1418"/>
              </w:tabs>
              <w:rPr>
                <w:rFonts w:cs="Arial"/>
              </w:rPr>
            </w:pPr>
            <w:r>
              <w:rPr>
                <w:rFonts w:cs="Arial"/>
              </w:rPr>
              <w:t>2750</w:t>
            </w:r>
            <w:r>
              <w:rPr>
                <w:rFonts w:cs="Arial"/>
              </w:rPr>
              <w:tab/>
              <w:t>-</w:t>
            </w:r>
            <w:r>
              <w:rPr>
                <w:rFonts w:cs="Arial"/>
              </w:rPr>
              <w:tab/>
              <w:t>3749</w:t>
            </w:r>
          </w:p>
        </w:tc>
        <w:tc>
          <w:tcPr>
            <w:tcW w:w="2020" w:type="dxa"/>
          </w:tcPr>
          <w:p>
            <w:pPr>
              <w:pStyle w:val="GesAbsatz"/>
              <w:jc w:val="center"/>
              <w:rPr>
                <w:rFonts w:cs="Arial"/>
              </w:rPr>
            </w:pPr>
            <w:r>
              <w:rPr>
                <w:rFonts w:cs="Arial"/>
              </w:rPr>
              <w:t>7</w:t>
            </w:r>
          </w:p>
        </w:tc>
        <w:tc>
          <w:tcPr>
            <w:tcW w:w="2091" w:type="dxa"/>
          </w:tcPr>
          <w:p>
            <w:pPr>
              <w:pStyle w:val="GesAbsatz"/>
              <w:jc w:val="center"/>
              <w:rPr>
                <w:rFonts w:cs="Arial"/>
              </w:rPr>
            </w:pPr>
            <w:r>
              <w:rPr>
                <w:rFonts w:cs="Arial"/>
              </w:rPr>
              <w:t>3</w:t>
            </w:r>
          </w:p>
        </w:tc>
        <w:tc>
          <w:tcPr>
            <w:tcW w:w="3544" w:type="dxa"/>
          </w:tcPr>
          <w:p>
            <w:pPr>
              <w:pStyle w:val="GesAbsatz"/>
              <w:jc w:val="center"/>
              <w:rPr>
                <w:rFonts w:cs="Arial"/>
              </w:rPr>
            </w:pPr>
            <w:r>
              <w:rPr>
                <w:rFonts w:cs="Arial"/>
              </w:rPr>
              <w:t>2</w:t>
            </w:r>
          </w:p>
        </w:tc>
      </w:tr>
      <w:tr>
        <w:tblPrEx>
          <w:tblCellMar>
            <w:top w:w="0" w:type="dxa"/>
            <w:bottom w:w="0" w:type="dxa"/>
          </w:tblCellMar>
        </w:tblPrEx>
        <w:tc>
          <w:tcPr>
            <w:tcW w:w="1843" w:type="dxa"/>
          </w:tcPr>
          <w:p>
            <w:pPr>
              <w:pStyle w:val="GesAbsatz"/>
              <w:tabs>
                <w:tab w:val="clear" w:pos="425"/>
                <w:tab w:val="right" w:pos="426"/>
                <w:tab w:val="left" w:pos="709"/>
                <w:tab w:val="right" w:pos="1418"/>
              </w:tabs>
              <w:rPr>
                <w:rFonts w:cs="Arial"/>
              </w:rPr>
            </w:pPr>
            <w:r>
              <w:rPr>
                <w:rFonts w:cs="Arial"/>
              </w:rPr>
              <w:t>3750</w:t>
            </w:r>
            <w:r>
              <w:rPr>
                <w:rFonts w:cs="Arial"/>
              </w:rPr>
              <w:tab/>
              <w:t>-</w:t>
            </w:r>
            <w:r>
              <w:rPr>
                <w:rFonts w:cs="Arial"/>
              </w:rPr>
              <w:tab/>
              <w:t>4749</w:t>
            </w:r>
          </w:p>
        </w:tc>
        <w:tc>
          <w:tcPr>
            <w:tcW w:w="2020" w:type="dxa"/>
          </w:tcPr>
          <w:p>
            <w:pPr>
              <w:pStyle w:val="GesAbsatz"/>
              <w:jc w:val="center"/>
              <w:rPr>
                <w:rFonts w:cs="Arial"/>
              </w:rPr>
            </w:pPr>
            <w:r>
              <w:rPr>
                <w:rFonts w:cs="Arial"/>
              </w:rPr>
              <w:t>8</w:t>
            </w:r>
          </w:p>
        </w:tc>
        <w:tc>
          <w:tcPr>
            <w:tcW w:w="2091" w:type="dxa"/>
          </w:tcPr>
          <w:p>
            <w:pPr>
              <w:pStyle w:val="GesAbsatz"/>
              <w:jc w:val="center"/>
              <w:rPr>
                <w:rFonts w:cs="Arial"/>
              </w:rPr>
            </w:pPr>
            <w:r>
              <w:rPr>
                <w:rFonts w:cs="Arial"/>
              </w:rPr>
              <w:t>4</w:t>
            </w:r>
          </w:p>
        </w:tc>
        <w:tc>
          <w:tcPr>
            <w:tcW w:w="3544" w:type="dxa"/>
          </w:tcPr>
          <w:p>
            <w:pPr>
              <w:pStyle w:val="GesAbsatz"/>
              <w:jc w:val="center"/>
              <w:rPr>
                <w:rFonts w:cs="Arial"/>
              </w:rPr>
            </w:pPr>
            <w:r>
              <w:rPr>
                <w:rFonts w:cs="Arial"/>
              </w:rPr>
              <w:t>2</w:t>
            </w:r>
          </w:p>
        </w:tc>
      </w:tr>
      <w:tr>
        <w:tblPrEx>
          <w:tblCellMar>
            <w:top w:w="0" w:type="dxa"/>
            <w:bottom w:w="0" w:type="dxa"/>
          </w:tblCellMar>
        </w:tblPrEx>
        <w:tc>
          <w:tcPr>
            <w:tcW w:w="1843" w:type="dxa"/>
          </w:tcPr>
          <w:p>
            <w:pPr>
              <w:pStyle w:val="GesAbsatz"/>
              <w:tabs>
                <w:tab w:val="clear" w:pos="425"/>
                <w:tab w:val="right" w:pos="426"/>
                <w:tab w:val="left" w:pos="709"/>
                <w:tab w:val="right" w:pos="1418"/>
              </w:tabs>
              <w:rPr>
                <w:rFonts w:cs="Arial"/>
              </w:rPr>
            </w:pPr>
            <w:r>
              <w:rPr>
                <w:rFonts w:cs="Arial"/>
              </w:rPr>
              <w:t>4750</w:t>
            </w:r>
            <w:r>
              <w:rPr>
                <w:rFonts w:cs="Arial"/>
              </w:rPr>
              <w:tab/>
              <w:t>-</w:t>
            </w:r>
            <w:r>
              <w:rPr>
                <w:rFonts w:cs="Arial"/>
              </w:rPr>
              <w:tab/>
              <w:t>5999</w:t>
            </w:r>
          </w:p>
        </w:tc>
        <w:tc>
          <w:tcPr>
            <w:tcW w:w="2020" w:type="dxa"/>
          </w:tcPr>
          <w:p>
            <w:pPr>
              <w:pStyle w:val="GesAbsatz"/>
              <w:jc w:val="center"/>
              <w:rPr>
                <w:rFonts w:cs="Arial"/>
              </w:rPr>
            </w:pPr>
            <w:r>
              <w:rPr>
                <w:rFonts w:cs="Arial"/>
              </w:rPr>
              <w:t>9</w:t>
            </w:r>
          </w:p>
        </w:tc>
        <w:tc>
          <w:tcPr>
            <w:tcW w:w="2091" w:type="dxa"/>
          </w:tcPr>
          <w:p>
            <w:pPr>
              <w:pStyle w:val="GesAbsatz"/>
              <w:jc w:val="center"/>
              <w:rPr>
                <w:rFonts w:cs="Arial"/>
              </w:rPr>
            </w:pPr>
            <w:r>
              <w:rPr>
                <w:rFonts w:cs="Arial"/>
              </w:rPr>
              <w:t>4</w:t>
            </w:r>
          </w:p>
        </w:tc>
        <w:tc>
          <w:tcPr>
            <w:tcW w:w="3544" w:type="dxa"/>
          </w:tcPr>
          <w:p>
            <w:pPr>
              <w:pStyle w:val="GesAbsatz"/>
              <w:jc w:val="center"/>
              <w:rPr>
                <w:rFonts w:cs="Arial"/>
              </w:rPr>
            </w:pPr>
            <w:r>
              <w:rPr>
                <w:rFonts w:cs="Arial"/>
              </w:rPr>
              <w:t>2</w:t>
            </w:r>
          </w:p>
        </w:tc>
      </w:tr>
      <w:tr>
        <w:tblPrEx>
          <w:tblCellMar>
            <w:top w:w="0" w:type="dxa"/>
            <w:bottom w:w="0" w:type="dxa"/>
          </w:tblCellMar>
        </w:tblPrEx>
        <w:tc>
          <w:tcPr>
            <w:tcW w:w="1843" w:type="dxa"/>
          </w:tcPr>
          <w:p>
            <w:pPr>
              <w:pStyle w:val="GesAbsatz"/>
              <w:tabs>
                <w:tab w:val="clear" w:pos="425"/>
                <w:tab w:val="right" w:pos="426"/>
                <w:tab w:val="left" w:pos="709"/>
                <w:tab w:val="right" w:pos="1418"/>
              </w:tabs>
              <w:rPr>
                <w:rFonts w:cs="Arial"/>
              </w:rPr>
            </w:pPr>
            <w:r>
              <w:rPr>
                <w:rFonts w:cs="Arial"/>
              </w:rPr>
              <w:t>&gt;6000</w:t>
            </w:r>
          </w:p>
        </w:tc>
        <w:tc>
          <w:tcPr>
            <w:tcW w:w="2020" w:type="dxa"/>
          </w:tcPr>
          <w:p>
            <w:pPr>
              <w:pStyle w:val="GesAbsatz"/>
              <w:jc w:val="center"/>
              <w:rPr>
                <w:rFonts w:cs="Arial"/>
              </w:rPr>
            </w:pPr>
            <w:r>
              <w:rPr>
                <w:rFonts w:cs="Arial"/>
              </w:rPr>
              <w:t>10</w:t>
            </w:r>
          </w:p>
        </w:tc>
        <w:tc>
          <w:tcPr>
            <w:tcW w:w="2091" w:type="dxa"/>
          </w:tcPr>
          <w:p>
            <w:pPr>
              <w:pStyle w:val="GesAbsatz"/>
              <w:jc w:val="center"/>
              <w:rPr>
                <w:rFonts w:cs="Arial"/>
              </w:rPr>
            </w:pPr>
            <w:r>
              <w:rPr>
                <w:rFonts w:cs="Arial"/>
              </w:rPr>
              <w:t>5</w:t>
            </w:r>
          </w:p>
        </w:tc>
        <w:tc>
          <w:tcPr>
            <w:tcW w:w="3544" w:type="dxa"/>
          </w:tcPr>
          <w:p>
            <w:pPr>
              <w:pStyle w:val="GesAbsatz"/>
              <w:jc w:val="center"/>
              <w:rPr>
                <w:rFonts w:cs="Arial"/>
              </w:rPr>
            </w:pPr>
            <w:r>
              <w:rPr>
                <w:rFonts w:cs="Arial"/>
              </w:rPr>
              <w:t>3</w:t>
            </w:r>
          </w:p>
        </w:tc>
      </w:tr>
      <w:tr>
        <w:tblPrEx>
          <w:tblCellMar>
            <w:top w:w="0" w:type="dxa"/>
            <w:bottom w:w="0" w:type="dxa"/>
          </w:tblCellMar>
        </w:tblPrEx>
        <w:trPr>
          <w:trHeight w:val="2192"/>
        </w:trPr>
        <w:tc>
          <w:tcPr>
            <w:tcW w:w="1843" w:type="dxa"/>
          </w:tcPr>
          <w:p>
            <w:pPr>
              <w:pStyle w:val="GesAbsatz"/>
              <w:rPr>
                <w:rFonts w:cs="Arial"/>
              </w:rPr>
            </w:pPr>
          </w:p>
        </w:tc>
        <w:tc>
          <w:tcPr>
            <w:tcW w:w="2020" w:type="dxa"/>
          </w:tcPr>
          <w:p>
            <w:pPr>
              <w:pStyle w:val="GesAbsatz"/>
              <w:rPr>
                <w:rFonts w:cs="Arial"/>
              </w:rPr>
            </w:pPr>
            <w:r>
              <w:rPr>
                <w:rFonts w:cs="Arial"/>
              </w:rPr>
              <w:t>Für Benzol, Kohle</w:t>
            </w:r>
            <w:r>
              <w:rPr>
                <w:rFonts w:cs="Arial"/>
              </w:rPr>
              <w:t>n</w:t>
            </w:r>
            <w:r>
              <w:rPr>
                <w:rFonts w:cs="Arial"/>
              </w:rPr>
              <w:t>monoxid, NO Part</w:t>
            </w:r>
            <w:r>
              <w:rPr>
                <w:rFonts w:cs="Arial"/>
              </w:rPr>
              <w:t>i</w:t>
            </w:r>
            <w:r>
              <w:rPr>
                <w:rFonts w:cs="Arial"/>
              </w:rPr>
              <w:t>kel: einschließlich 2 und mindestens e</w:t>
            </w:r>
            <w:r>
              <w:rPr>
                <w:rFonts w:cs="Arial"/>
              </w:rPr>
              <w:t>i</w:t>
            </w:r>
            <w:r>
              <w:rPr>
                <w:rFonts w:cs="Arial"/>
              </w:rPr>
              <w:t>ner Messstation für stä</w:t>
            </w:r>
            <w:r>
              <w:rPr>
                <w:rFonts w:cs="Arial"/>
              </w:rPr>
              <w:t>d</w:t>
            </w:r>
            <w:r>
              <w:rPr>
                <w:rFonts w:cs="Arial"/>
              </w:rPr>
              <w:t>tische Hintergrun</w:t>
            </w:r>
            <w:r>
              <w:rPr>
                <w:rFonts w:cs="Arial"/>
              </w:rPr>
              <w:t>d</w:t>
            </w:r>
            <w:r>
              <w:rPr>
                <w:rFonts w:cs="Arial"/>
              </w:rPr>
              <w:t>que</w:t>
            </w:r>
            <w:r>
              <w:rPr>
                <w:rFonts w:cs="Arial"/>
              </w:rPr>
              <w:t>l</w:t>
            </w:r>
            <w:r>
              <w:rPr>
                <w:rFonts w:cs="Arial"/>
              </w:rPr>
              <w:t>len und einer Mes</w:t>
            </w:r>
            <w:r>
              <w:rPr>
                <w:rFonts w:cs="Arial"/>
              </w:rPr>
              <w:t>s</w:t>
            </w:r>
            <w:r>
              <w:rPr>
                <w:rFonts w:cs="Arial"/>
              </w:rPr>
              <w:t>station für den Ve</w:t>
            </w:r>
            <w:r>
              <w:rPr>
                <w:rFonts w:cs="Arial"/>
              </w:rPr>
              <w:t>r</w:t>
            </w:r>
            <w:r>
              <w:rPr>
                <w:rFonts w:cs="Arial"/>
              </w:rPr>
              <w:t>kehr</w:t>
            </w:r>
          </w:p>
        </w:tc>
        <w:tc>
          <w:tcPr>
            <w:tcW w:w="2091" w:type="dxa"/>
          </w:tcPr>
          <w:p>
            <w:pPr>
              <w:pStyle w:val="GesAbsatz"/>
              <w:rPr>
                <w:rFonts w:cs="Arial"/>
              </w:rPr>
            </w:pPr>
          </w:p>
        </w:tc>
        <w:tc>
          <w:tcPr>
            <w:tcW w:w="3544" w:type="dxa"/>
          </w:tcPr>
          <w:p>
            <w:pPr>
              <w:pStyle w:val="GesAbsatz"/>
              <w:rPr>
                <w:rFonts w:cs="Arial"/>
              </w:rPr>
            </w:pPr>
          </w:p>
        </w:tc>
      </w:tr>
    </w:tbl>
    <w:p>
      <w:pPr>
        <w:pStyle w:val="GesAbsatz"/>
        <w:rPr>
          <w:b/>
          <w:bCs/>
        </w:rPr>
      </w:pPr>
    </w:p>
    <w:p>
      <w:pPr>
        <w:pStyle w:val="GesAbsatz"/>
        <w:rPr>
          <w:b/>
          <w:bCs/>
        </w:rPr>
      </w:pPr>
      <w:r>
        <w:rPr>
          <w:b/>
          <w:bCs/>
        </w:rPr>
        <w:t>b)</w:t>
      </w:r>
      <w:r>
        <w:rPr>
          <w:b/>
          <w:bCs/>
        </w:rPr>
        <w:tab/>
        <w:t>Punktquellen (Messung im direkten Einwirkungsbereich ortsfester Anlagen)</w:t>
      </w:r>
    </w:p>
    <w:p>
      <w:pPr>
        <w:pStyle w:val="GesAbsatz"/>
        <w:rPr>
          <w:rFonts w:ascii="HelveticaNeue-Roman" w:hAnsi="HelveticaNeue-Roman"/>
        </w:rPr>
      </w:pPr>
      <w:r>
        <w:rPr>
          <w:rFonts w:ascii="HelveticaNeue-Roman" w:hAnsi="HelveticaNeue-Roman"/>
        </w:rPr>
        <w:t>Zur Beurteilung der Luftverschmutzung in der Nähe von Punktquellen sollte die Zahl der Probena</w:t>
      </w:r>
      <w:r>
        <w:rPr>
          <w:rFonts w:ascii="HelveticaNeue-Roman" w:hAnsi="HelveticaNeue-Roman"/>
        </w:rPr>
        <w:t>h</w:t>
      </w:r>
      <w:r>
        <w:rPr>
          <w:rFonts w:ascii="HelveticaNeue-Roman" w:hAnsi="HelveticaNeue-Roman"/>
        </w:rPr>
        <w:t>mestellen für ortsfeste Messungen unter Berücksichtigung der Emissionsdichte, der wahrscheinlichen Verteilung der Luftschadstoffe und der möglichen Exposition der Bevölkerung berechnet werden.</w:t>
      </w:r>
    </w:p>
    <w:p>
      <w:pPr>
        <w:pStyle w:val="GesAbsatz"/>
        <w:ind w:left="426" w:hanging="426"/>
        <w:rPr>
          <w:b/>
          <w:bCs/>
        </w:rPr>
      </w:pPr>
      <w:r>
        <w:rPr>
          <w:b/>
          <w:bCs/>
        </w:rPr>
        <w:t>II.</w:t>
      </w:r>
      <w:r>
        <w:rPr>
          <w:b/>
          <w:bCs/>
        </w:rPr>
        <w:tab/>
        <w:t>Mindestzahl der Probenahmestellen für ortsfeste Messungen zur Beurteilung der Einhaltung von Immissionsgrenzwerten für den Schutz von Ökosystemen oder der Vegetation in anderen Gebi</w:t>
      </w:r>
      <w:r>
        <w:rPr>
          <w:b/>
          <w:bCs/>
        </w:rPr>
        <w:t>e</w:t>
      </w:r>
      <w:r>
        <w:rPr>
          <w:b/>
          <w:bCs/>
        </w:rPr>
        <w:t>ten als Ballung</w:t>
      </w:r>
      <w:r>
        <w:rPr>
          <w:b/>
          <w:bCs/>
        </w:rPr>
        <w:t>s</w:t>
      </w:r>
      <w:r>
        <w:rPr>
          <w:b/>
          <w:bCs/>
        </w:rPr>
        <w:t>räumen</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4310"/>
        <w:gridCol w:w="5329"/>
      </w:tblGrid>
      <w:tr>
        <w:tblPrEx>
          <w:tblCellMar>
            <w:top w:w="0" w:type="dxa"/>
            <w:bottom w:w="0" w:type="dxa"/>
          </w:tblCellMar>
        </w:tblPrEx>
        <w:trPr>
          <w:trHeight w:val="625"/>
        </w:trPr>
        <w:tc>
          <w:tcPr>
            <w:tcW w:w="4310" w:type="dxa"/>
          </w:tcPr>
          <w:p>
            <w:pPr>
              <w:pStyle w:val="GesAbsatz"/>
            </w:pPr>
            <w:r>
              <w:t>Falls die maximale Konzentration die obere Beurteilungsschwelle überschreitet</w:t>
            </w:r>
          </w:p>
        </w:tc>
        <w:tc>
          <w:tcPr>
            <w:tcW w:w="5329" w:type="dxa"/>
          </w:tcPr>
          <w:p>
            <w:pPr>
              <w:pStyle w:val="GesAbsatz"/>
            </w:pPr>
            <w:r>
              <w:t>Falls die maximale Konzentration zwischen der er oberen und der unteren Beurteilungsschwelle liegt</w:t>
            </w:r>
          </w:p>
        </w:tc>
      </w:tr>
      <w:tr>
        <w:tblPrEx>
          <w:tblCellMar>
            <w:top w:w="0" w:type="dxa"/>
            <w:bottom w:w="0" w:type="dxa"/>
          </w:tblCellMar>
        </w:tblPrEx>
        <w:tc>
          <w:tcPr>
            <w:tcW w:w="4310" w:type="dxa"/>
          </w:tcPr>
          <w:p>
            <w:pPr>
              <w:pStyle w:val="GesAbsatz"/>
              <w:rPr>
                <w:vertAlign w:val="superscript"/>
              </w:rPr>
            </w:pPr>
            <w:r>
              <w:t>1 Station je 20000 km</w:t>
            </w:r>
            <w:r>
              <w:rPr>
                <w:vertAlign w:val="superscript"/>
              </w:rPr>
              <w:t>2</w:t>
            </w:r>
          </w:p>
        </w:tc>
        <w:tc>
          <w:tcPr>
            <w:tcW w:w="5329" w:type="dxa"/>
          </w:tcPr>
          <w:p>
            <w:pPr>
              <w:pStyle w:val="GesAbsatz"/>
            </w:pPr>
            <w:r>
              <w:t>1 Station je 40000 km</w:t>
            </w:r>
            <w:r>
              <w:rPr>
                <w:vertAlign w:val="superscript"/>
              </w:rPr>
              <w:t>2</w:t>
            </w:r>
          </w:p>
        </w:tc>
      </w:tr>
    </w:tbl>
    <w:p>
      <w:pPr>
        <w:pStyle w:val="GesAbsatz"/>
      </w:pPr>
      <w:r>
        <w:t>Im Falle von Inselgebieten sollte die Zahl der Probenahmestellen unter Berücksichtigung der wahrscheinl</w:t>
      </w:r>
      <w:r>
        <w:t>i</w:t>
      </w:r>
      <w:r>
        <w:t>chen Verteilung der Luftschadstoffe und der möglichen Exposition der Ökosysteme oder der Vegetation b</w:t>
      </w:r>
      <w:r>
        <w:t>e</w:t>
      </w:r>
      <w:r>
        <w:t>rechnet werden.</w:t>
      </w:r>
    </w:p>
    <w:p>
      <w:pPr>
        <w:pStyle w:val="berschrift2"/>
        <w:jc w:val="left"/>
      </w:pPr>
      <w:bookmarkStart w:id="31" w:name="_Toc174110519"/>
      <w:r>
        <w:rPr>
          <w:rFonts w:cs="Arial"/>
          <w:szCs w:val="18"/>
        </w:rPr>
        <w:lastRenderedPageBreak/>
        <w:t>Anlage 4</w:t>
      </w:r>
      <w:r>
        <w:rPr>
          <w:rFonts w:ascii="HelveticaNeue-Bold" w:hAnsi="HelveticaNeue-Bold"/>
          <w:bCs/>
          <w:sz w:val="18"/>
          <w:szCs w:val="18"/>
        </w:rPr>
        <w:br/>
      </w:r>
      <w:r>
        <w:t>Datenqualitätsziele und Zusammenstellung der Ergebnisse der Luftqualitätsbeurte</w:t>
      </w:r>
      <w:r>
        <w:t>i</w:t>
      </w:r>
      <w:r>
        <w:t>lung</w:t>
      </w:r>
      <w:bookmarkEnd w:id="31"/>
    </w:p>
    <w:p>
      <w:pPr>
        <w:pStyle w:val="GesAbsatz"/>
        <w:rPr>
          <w:b/>
          <w:bCs/>
        </w:rPr>
      </w:pPr>
      <w:r>
        <w:rPr>
          <w:b/>
          <w:bCs/>
        </w:rPr>
        <w:t>I.</w:t>
      </w:r>
      <w:r>
        <w:rPr>
          <w:b/>
          <w:bCs/>
        </w:rPr>
        <w:tab/>
        <w:t>Datenqualitätsziele</w:t>
      </w:r>
    </w:p>
    <w:p>
      <w:pPr>
        <w:pStyle w:val="GesAbsatz"/>
        <w:rPr>
          <w:rFonts w:ascii="HelveticaNeue-Bold" w:hAnsi="HelveticaNeue-Bold"/>
        </w:rPr>
      </w:pPr>
      <w:r>
        <w:t>Die folgenden Ziele für die Datenqualität hinsichtlich der erforderlichen Genauigkeit der Beurteilungsmeth</w:t>
      </w:r>
      <w:r>
        <w:t>o</w:t>
      </w:r>
      <w:r>
        <w:t>den sowie der Mindestzeitdauer und der Messdatenerfassung dienen als Richtschnur für Qualitätssich</w:t>
      </w:r>
      <w:r>
        <w:t>e</w:t>
      </w:r>
      <w:r>
        <w:t>rungsprogramme.</w:t>
      </w:r>
    </w:p>
    <w:tbl>
      <w:tblPr>
        <w:tblW w:w="9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835"/>
        <w:gridCol w:w="3318"/>
        <w:gridCol w:w="3543"/>
      </w:tblGrid>
      <w:tr>
        <w:tblPrEx>
          <w:tblCellMar>
            <w:top w:w="0" w:type="dxa"/>
            <w:bottom w:w="0" w:type="dxa"/>
          </w:tblCellMar>
        </w:tblPrEx>
        <w:trPr>
          <w:cantSplit/>
          <w:trHeight w:val="565"/>
        </w:trPr>
        <w:tc>
          <w:tcPr>
            <w:tcW w:w="2835" w:type="dxa"/>
          </w:tcPr>
          <w:p>
            <w:pPr>
              <w:pStyle w:val="GesAbsatz"/>
              <w:jc w:val="center"/>
              <w:rPr>
                <w:rFonts w:cs="Arial"/>
              </w:rPr>
            </w:pPr>
          </w:p>
        </w:tc>
        <w:tc>
          <w:tcPr>
            <w:tcW w:w="3318" w:type="dxa"/>
          </w:tcPr>
          <w:p>
            <w:pPr>
              <w:pStyle w:val="GesAbsatz"/>
              <w:jc w:val="center"/>
              <w:rPr>
                <w:rFonts w:cs="Arial"/>
              </w:rPr>
            </w:pPr>
            <w:r>
              <w:rPr>
                <w:rFonts w:cs="Arial"/>
              </w:rPr>
              <w:t>Schwefeldioxid, Stickstoffd</w:t>
            </w:r>
            <w:r>
              <w:rPr>
                <w:rFonts w:cs="Arial"/>
              </w:rPr>
              <w:t>i</w:t>
            </w:r>
            <w:r>
              <w:rPr>
                <w:rFonts w:cs="Arial"/>
              </w:rPr>
              <w:t>oxid und Stickstoffoxide</w:t>
            </w:r>
          </w:p>
        </w:tc>
        <w:tc>
          <w:tcPr>
            <w:tcW w:w="3543" w:type="dxa"/>
          </w:tcPr>
          <w:p>
            <w:pPr>
              <w:pStyle w:val="GesAbsatz"/>
              <w:jc w:val="center"/>
              <w:rPr>
                <w:rFonts w:cs="Arial"/>
              </w:rPr>
            </w:pPr>
            <w:r>
              <w:rPr>
                <w:rFonts w:cs="Arial"/>
              </w:rPr>
              <w:t>Partikel und Blei</w:t>
            </w:r>
          </w:p>
        </w:tc>
      </w:tr>
      <w:tr>
        <w:tblPrEx>
          <w:tblCellMar>
            <w:top w:w="0" w:type="dxa"/>
            <w:bottom w:w="0" w:type="dxa"/>
          </w:tblCellMar>
        </w:tblPrEx>
        <w:trPr>
          <w:cantSplit/>
          <w:trHeight w:val="677"/>
        </w:trPr>
        <w:tc>
          <w:tcPr>
            <w:tcW w:w="2835" w:type="dxa"/>
            <w:tcBorders>
              <w:bottom w:val="single" w:sz="4" w:space="0" w:color="auto"/>
            </w:tcBorders>
          </w:tcPr>
          <w:p>
            <w:pPr>
              <w:pStyle w:val="GesAbsatz"/>
              <w:jc w:val="left"/>
              <w:rPr>
                <w:rFonts w:cs="Arial"/>
              </w:rPr>
            </w:pPr>
            <w:r>
              <w:rPr>
                <w:rFonts w:cs="Arial"/>
              </w:rPr>
              <w:t xml:space="preserve">Kontinuierliche Messung </w:t>
            </w:r>
            <w:r>
              <w:rPr>
                <w:rStyle w:val="Funotenzeichen"/>
                <w:rFonts w:cs="Arial"/>
              </w:rPr>
              <w:footnoteReference w:customMarkFollows="1" w:id="2"/>
              <w:t>1)</w:t>
            </w:r>
            <w:r>
              <w:rPr>
                <w:rFonts w:cs="Arial"/>
              </w:rPr>
              <w:br/>
            </w:r>
            <w:r>
              <w:rPr>
                <w:rFonts w:cs="Arial"/>
              </w:rPr>
              <w:tab/>
              <w:t>Genauigkeit</w:t>
            </w:r>
            <w:r>
              <w:rPr>
                <w:rFonts w:cs="Arial"/>
              </w:rPr>
              <w:br/>
            </w:r>
            <w:r>
              <w:rPr>
                <w:rFonts w:cs="Arial"/>
              </w:rPr>
              <w:tab/>
              <w:t>Mindestdatenerfassung</w:t>
            </w:r>
          </w:p>
        </w:tc>
        <w:tc>
          <w:tcPr>
            <w:tcW w:w="3318" w:type="dxa"/>
            <w:tcBorders>
              <w:bottom w:val="single" w:sz="4" w:space="0" w:color="auto"/>
            </w:tcBorders>
          </w:tcPr>
          <w:p>
            <w:pPr>
              <w:pStyle w:val="GesAbsatz"/>
              <w:jc w:val="left"/>
              <w:rPr>
                <w:rFonts w:cs="Arial"/>
              </w:rPr>
            </w:pPr>
            <w:r>
              <w:rPr>
                <w:rFonts w:cs="Arial"/>
              </w:rPr>
              <w:br/>
              <w:t>15 %</w:t>
            </w:r>
            <w:r>
              <w:rPr>
                <w:rFonts w:cs="Arial"/>
              </w:rPr>
              <w:br/>
              <w:t>90 %</w:t>
            </w:r>
          </w:p>
        </w:tc>
        <w:tc>
          <w:tcPr>
            <w:tcW w:w="3543" w:type="dxa"/>
            <w:tcBorders>
              <w:bottom w:val="single" w:sz="4" w:space="0" w:color="auto"/>
            </w:tcBorders>
          </w:tcPr>
          <w:p>
            <w:pPr>
              <w:pStyle w:val="GesAbsatz"/>
              <w:jc w:val="left"/>
              <w:rPr>
                <w:rFonts w:cs="Arial"/>
              </w:rPr>
            </w:pPr>
            <w:r>
              <w:rPr>
                <w:rFonts w:cs="Arial"/>
              </w:rPr>
              <w:br/>
              <w:t>25 %</w:t>
            </w:r>
            <w:r>
              <w:rPr>
                <w:rFonts w:cs="Arial"/>
              </w:rPr>
              <w:br/>
              <w:t>90 %</w:t>
            </w:r>
          </w:p>
        </w:tc>
      </w:tr>
      <w:tr>
        <w:tblPrEx>
          <w:tblCellMar>
            <w:top w:w="0" w:type="dxa"/>
            <w:bottom w:w="0" w:type="dxa"/>
          </w:tblCellMar>
        </w:tblPrEx>
        <w:trPr>
          <w:trHeight w:val="1583"/>
        </w:trPr>
        <w:tc>
          <w:tcPr>
            <w:tcW w:w="2835" w:type="dxa"/>
          </w:tcPr>
          <w:p>
            <w:pPr>
              <w:pStyle w:val="GesAbsatz"/>
              <w:jc w:val="left"/>
              <w:rPr>
                <w:rFonts w:cs="Arial"/>
              </w:rPr>
            </w:pPr>
            <w:r>
              <w:rPr>
                <w:rFonts w:cs="Arial"/>
              </w:rPr>
              <w:t>Orientierende Messung</w:t>
            </w:r>
            <w:r>
              <w:rPr>
                <w:rFonts w:cs="Arial"/>
              </w:rPr>
              <w:br/>
            </w:r>
            <w:r>
              <w:rPr>
                <w:rFonts w:cs="Arial"/>
              </w:rPr>
              <w:tab/>
              <w:t>Genauigkeit</w:t>
            </w:r>
            <w:r>
              <w:rPr>
                <w:rFonts w:cs="Arial"/>
              </w:rPr>
              <w:br/>
            </w:r>
            <w:r>
              <w:rPr>
                <w:rFonts w:cs="Arial"/>
              </w:rPr>
              <w:tab/>
              <w:t>Mindestdatenerfassung</w:t>
            </w:r>
            <w:r>
              <w:rPr>
                <w:rFonts w:cs="Arial"/>
              </w:rPr>
              <w:br/>
            </w:r>
            <w:r>
              <w:rPr>
                <w:rFonts w:cs="Arial"/>
              </w:rPr>
              <w:tab/>
              <w:t>Mi</w:t>
            </w:r>
            <w:r>
              <w:rPr>
                <w:rFonts w:cs="Arial"/>
              </w:rPr>
              <w:t>n</w:t>
            </w:r>
            <w:r>
              <w:rPr>
                <w:rFonts w:cs="Arial"/>
              </w:rPr>
              <w:t>destzeitdauer</w:t>
            </w:r>
          </w:p>
        </w:tc>
        <w:tc>
          <w:tcPr>
            <w:tcW w:w="3318" w:type="dxa"/>
          </w:tcPr>
          <w:p>
            <w:pPr>
              <w:pStyle w:val="GesAbsatz"/>
              <w:jc w:val="left"/>
              <w:rPr>
                <w:rFonts w:cs="Arial"/>
              </w:rPr>
            </w:pPr>
            <w:r>
              <w:rPr>
                <w:rFonts w:cs="Arial"/>
              </w:rPr>
              <w:br/>
              <w:t>25 %</w:t>
            </w:r>
            <w:r>
              <w:rPr>
                <w:rFonts w:cs="Arial"/>
              </w:rPr>
              <w:br/>
              <w:t>90 %</w:t>
            </w:r>
            <w:r>
              <w:rPr>
                <w:rFonts w:cs="Arial"/>
              </w:rPr>
              <w:br/>
              <w:t>14 % (eine Messung wöchen</w:t>
            </w:r>
            <w:r>
              <w:rPr>
                <w:rFonts w:cs="Arial"/>
              </w:rPr>
              <w:t>t</w:t>
            </w:r>
            <w:r>
              <w:rPr>
                <w:rFonts w:cs="Arial"/>
              </w:rPr>
              <w:t>lich nach dem Zufallsprinzip gleichm</w:t>
            </w:r>
            <w:r>
              <w:rPr>
                <w:rFonts w:cs="Arial"/>
              </w:rPr>
              <w:t>ä</w:t>
            </w:r>
            <w:r>
              <w:rPr>
                <w:rFonts w:cs="Arial"/>
              </w:rPr>
              <w:t>ßig über das Jahr ve</w:t>
            </w:r>
            <w:r>
              <w:rPr>
                <w:rFonts w:cs="Arial"/>
              </w:rPr>
              <w:t>r</w:t>
            </w:r>
            <w:r>
              <w:rPr>
                <w:rFonts w:cs="Arial"/>
              </w:rPr>
              <w:t>teilt oder acht Wochen gleic</w:t>
            </w:r>
            <w:r>
              <w:rPr>
                <w:rFonts w:cs="Arial"/>
              </w:rPr>
              <w:t>h</w:t>
            </w:r>
            <w:r>
              <w:rPr>
                <w:rFonts w:cs="Arial"/>
              </w:rPr>
              <w:t>mäßig über das Jahr verteilt)</w:t>
            </w:r>
          </w:p>
        </w:tc>
        <w:tc>
          <w:tcPr>
            <w:tcW w:w="3543" w:type="dxa"/>
          </w:tcPr>
          <w:p>
            <w:pPr>
              <w:pStyle w:val="GesAbsatz"/>
              <w:jc w:val="left"/>
              <w:rPr>
                <w:rFonts w:cs="Arial"/>
              </w:rPr>
            </w:pPr>
            <w:r>
              <w:rPr>
                <w:rFonts w:cs="Arial"/>
              </w:rPr>
              <w:br/>
              <w:t>50 %</w:t>
            </w:r>
            <w:r>
              <w:rPr>
                <w:rFonts w:cs="Arial"/>
              </w:rPr>
              <w:br/>
              <w:t>90 %</w:t>
            </w:r>
            <w:r>
              <w:rPr>
                <w:rFonts w:cs="Arial"/>
              </w:rPr>
              <w:br/>
              <w:t>14 % (eine Messung wöchentlich nach dem Zufallsprinzip gleichm</w:t>
            </w:r>
            <w:r>
              <w:rPr>
                <w:rFonts w:cs="Arial"/>
              </w:rPr>
              <w:t>ä</w:t>
            </w:r>
            <w:r>
              <w:rPr>
                <w:rFonts w:cs="Arial"/>
              </w:rPr>
              <w:t>ßig  über das Jahr verteilt oder acht  Wochen gleichmäßig über das Jahr ve</w:t>
            </w:r>
            <w:r>
              <w:rPr>
                <w:rFonts w:cs="Arial"/>
              </w:rPr>
              <w:t>r</w:t>
            </w:r>
            <w:r>
              <w:rPr>
                <w:rFonts w:cs="Arial"/>
              </w:rPr>
              <w:t>teilt)</w:t>
            </w:r>
          </w:p>
        </w:tc>
      </w:tr>
      <w:tr>
        <w:tblPrEx>
          <w:tblCellMar>
            <w:top w:w="0" w:type="dxa"/>
            <w:bottom w:w="0" w:type="dxa"/>
          </w:tblCellMar>
        </w:tblPrEx>
        <w:trPr>
          <w:cantSplit/>
          <w:trHeight w:val="1098"/>
        </w:trPr>
        <w:tc>
          <w:tcPr>
            <w:tcW w:w="2835" w:type="dxa"/>
            <w:tcBorders>
              <w:bottom w:val="single" w:sz="4" w:space="0" w:color="auto"/>
            </w:tcBorders>
          </w:tcPr>
          <w:p>
            <w:pPr>
              <w:pStyle w:val="GesAbsatz"/>
              <w:jc w:val="left"/>
              <w:rPr>
                <w:rFonts w:cs="Arial"/>
              </w:rPr>
            </w:pPr>
            <w:r>
              <w:rPr>
                <w:rFonts w:cs="Arial"/>
              </w:rPr>
              <w:t>Modellberechnung</w:t>
            </w:r>
            <w:r>
              <w:rPr>
                <w:rFonts w:cs="Arial"/>
              </w:rPr>
              <w:br/>
            </w:r>
            <w:r>
              <w:rPr>
                <w:rFonts w:cs="Arial"/>
              </w:rPr>
              <w:tab/>
              <w:t>Genauigkeit:</w:t>
            </w:r>
            <w:r>
              <w:rPr>
                <w:rFonts w:cs="Arial"/>
              </w:rPr>
              <w:br/>
            </w:r>
            <w:r>
              <w:rPr>
                <w:rFonts w:cs="Arial"/>
              </w:rPr>
              <w:tab/>
              <w:t>Stundenmittelwerte</w:t>
            </w:r>
            <w:r>
              <w:rPr>
                <w:rFonts w:cs="Arial"/>
              </w:rPr>
              <w:br/>
            </w:r>
            <w:r>
              <w:rPr>
                <w:rFonts w:cs="Arial"/>
              </w:rPr>
              <w:tab/>
              <w:t>Tagesmittelwerte</w:t>
            </w:r>
            <w:r>
              <w:rPr>
                <w:rFonts w:cs="Arial"/>
              </w:rPr>
              <w:br/>
            </w:r>
            <w:r>
              <w:rPr>
                <w:rFonts w:cs="Arial"/>
              </w:rPr>
              <w:tab/>
              <w:t>Jahresmittelwerte</w:t>
            </w:r>
          </w:p>
        </w:tc>
        <w:tc>
          <w:tcPr>
            <w:tcW w:w="3318" w:type="dxa"/>
            <w:tcBorders>
              <w:bottom w:val="single" w:sz="4" w:space="0" w:color="auto"/>
            </w:tcBorders>
          </w:tcPr>
          <w:p>
            <w:pPr>
              <w:pStyle w:val="GesAbsatz"/>
              <w:jc w:val="left"/>
              <w:rPr>
                <w:rFonts w:cs="Arial"/>
              </w:rPr>
            </w:pPr>
            <w:r>
              <w:rPr>
                <w:rFonts w:cs="Arial"/>
              </w:rPr>
              <w:br/>
            </w:r>
            <w:r>
              <w:rPr>
                <w:rFonts w:cs="Arial"/>
              </w:rPr>
              <w:br/>
              <w:t>50–60 %</w:t>
            </w:r>
            <w:r>
              <w:rPr>
                <w:rFonts w:cs="Arial"/>
              </w:rPr>
              <w:br/>
              <w:t>50 %</w:t>
            </w:r>
            <w:r>
              <w:rPr>
                <w:rFonts w:cs="Arial"/>
              </w:rPr>
              <w:br/>
              <w:t>30 %</w:t>
            </w:r>
          </w:p>
        </w:tc>
        <w:tc>
          <w:tcPr>
            <w:tcW w:w="3543" w:type="dxa"/>
            <w:tcBorders>
              <w:bottom w:val="single" w:sz="4" w:space="0" w:color="auto"/>
            </w:tcBorders>
          </w:tcPr>
          <w:p>
            <w:pPr>
              <w:pStyle w:val="GesAbsatz"/>
              <w:jc w:val="left"/>
              <w:rPr>
                <w:rFonts w:cs="Arial"/>
              </w:rPr>
            </w:pPr>
            <w:r>
              <w:rPr>
                <w:rFonts w:cs="Arial"/>
              </w:rPr>
              <w:br/>
            </w:r>
            <w:r>
              <w:rPr>
                <w:rFonts w:cs="Arial"/>
              </w:rPr>
              <w:br/>
            </w:r>
            <w:r>
              <w:rPr>
                <w:rFonts w:cs="Arial"/>
              </w:rPr>
              <w:br/>
              <w:t xml:space="preserve">noch nicht festgelegt </w:t>
            </w:r>
            <w:r>
              <w:rPr>
                <w:rStyle w:val="Funotenzeichen"/>
                <w:rFonts w:cs="Arial"/>
              </w:rPr>
              <w:footnoteReference w:customMarkFollows="1" w:id="3"/>
              <w:t>2)</w:t>
            </w:r>
            <w:r>
              <w:rPr>
                <w:rFonts w:cs="Arial"/>
              </w:rPr>
              <w:br/>
              <w:t>50 %</w:t>
            </w:r>
          </w:p>
        </w:tc>
      </w:tr>
      <w:tr>
        <w:tblPrEx>
          <w:tblCellMar>
            <w:top w:w="0" w:type="dxa"/>
            <w:bottom w:w="0" w:type="dxa"/>
          </w:tblCellMar>
        </w:tblPrEx>
        <w:trPr>
          <w:cantSplit/>
          <w:trHeight w:val="489"/>
        </w:trPr>
        <w:tc>
          <w:tcPr>
            <w:tcW w:w="2835" w:type="dxa"/>
            <w:tcBorders>
              <w:bottom w:val="single" w:sz="4" w:space="0" w:color="auto"/>
            </w:tcBorders>
          </w:tcPr>
          <w:p>
            <w:pPr>
              <w:pStyle w:val="GesAbsatz"/>
              <w:jc w:val="left"/>
              <w:rPr>
                <w:rFonts w:cs="Arial"/>
              </w:rPr>
            </w:pPr>
            <w:r>
              <w:rPr>
                <w:rFonts w:cs="Arial"/>
              </w:rPr>
              <w:t>Objektive Schätzung</w:t>
            </w:r>
            <w:r>
              <w:rPr>
                <w:rFonts w:cs="Arial"/>
              </w:rPr>
              <w:br/>
            </w:r>
            <w:r>
              <w:rPr>
                <w:rFonts w:cs="Arial"/>
              </w:rPr>
              <w:tab/>
              <w:t>Genauigkeit</w:t>
            </w:r>
          </w:p>
        </w:tc>
        <w:tc>
          <w:tcPr>
            <w:tcW w:w="3318" w:type="dxa"/>
            <w:tcBorders>
              <w:bottom w:val="single" w:sz="4" w:space="0" w:color="auto"/>
            </w:tcBorders>
          </w:tcPr>
          <w:p>
            <w:pPr>
              <w:pStyle w:val="GesAbsatz"/>
              <w:jc w:val="left"/>
              <w:rPr>
                <w:rFonts w:cs="Arial"/>
              </w:rPr>
            </w:pPr>
            <w:r>
              <w:rPr>
                <w:rFonts w:cs="Arial"/>
              </w:rPr>
              <w:br/>
              <w:t>75 %</w:t>
            </w:r>
          </w:p>
        </w:tc>
        <w:tc>
          <w:tcPr>
            <w:tcW w:w="3543" w:type="dxa"/>
            <w:tcBorders>
              <w:bottom w:val="single" w:sz="4" w:space="0" w:color="auto"/>
            </w:tcBorders>
          </w:tcPr>
          <w:p>
            <w:pPr>
              <w:pStyle w:val="GesAbsatz"/>
              <w:jc w:val="left"/>
              <w:rPr>
                <w:rFonts w:cs="Arial"/>
              </w:rPr>
            </w:pPr>
            <w:r>
              <w:rPr>
                <w:rFonts w:cs="Arial"/>
              </w:rPr>
              <w:br/>
              <w:t>100 %</w:t>
            </w:r>
          </w:p>
        </w:tc>
      </w:tr>
    </w:tbl>
    <w:p>
      <w:pPr>
        <w:pStyle w:val="GesAbsatz"/>
      </w:pPr>
    </w:p>
    <w:tbl>
      <w:tblPr>
        <w:tblW w:w="9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268"/>
        <w:gridCol w:w="4310"/>
        <w:gridCol w:w="3118"/>
      </w:tblGrid>
      <w:tr>
        <w:tblPrEx>
          <w:tblCellMar>
            <w:top w:w="0" w:type="dxa"/>
            <w:bottom w:w="0" w:type="dxa"/>
          </w:tblCellMar>
        </w:tblPrEx>
        <w:trPr>
          <w:tblHeader/>
        </w:trPr>
        <w:tc>
          <w:tcPr>
            <w:tcW w:w="2268" w:type="dxa"/>
          </w:tcPr>
          <w:p>
            <w:pPr>
              <w:pStyle w:val="GesAbsatz"/>
              <w:jc w:val="center"/>
              <w:rPr>
                <w:rFonts w:cs="Arial"/>
              </w:rPr>
            </w:pPr>
            <w:r>
              <w:br w:type="page"/>
            </w:r>
          </w:p>
        </w:tc>
        <w:tc>
          <w:tcPr>
            <w:tcW w:w="4310" w:type="dxa"/>
          </w:tcPr>
          <w:p>
            <w:pPr>
              <w:pStyle w:val="GesAbsatz"/>
              <w:jc w:val="center"/>
              <w:rPr>
                <w:rFonts w:cs="Arial"/>
              </w:rPr>
            </w:pPr>
            <w:r>
              <w:rPr>
                <w:rFonts w:cs="Arial"/>
              </w:rPr>
              <w:t>Benzol</w:t>
            </w:r>
          </w:p>
        </w:tc>
        <w:tc>
          <w:tcPr>
            <w:tcW w:w="3118" w:type="dxa"/>
          </w:tcPr>
          <w:p>
            <w:pPr>
              <w:pStyle w:val="GesAbsatz"/>
              <w:jc w:val="center"/>
              <w:rPr>
                <w:rFonts w:cs="Arial"/>
              </w:rPr>
            </w:pPr>
            <w:r>
              <w:rPr>
                <w:rFonts w:cs="Arial"/>
              </w:rPr>
              <w:t>Kohlenmonoxid</w:t>
            </w:r>
          </w:p>
        </w:tc>
      </w:tr>
      <w:tr>
        <w:tblPrEx>
          <w:tblCellMar>
            <w:top w:w="0" w:type="dxa"/>
            <w:bottom w:w="0" w:type="dxa"/>
          </w:tblCellMar>
        </w:tblPrEx>
        <w:tc>
          <w:tcPr>
            <w:tcW w:w="2268" w:type="dxa"/>
          </w:tcPr>
          <w:p>
            <w:pPr>
              <w:pStyle w:val="GesAbsatz"/>
              <w:rPr>
                <w:rFonts w:cs="Arial"/>
              </w:rPr>
            </w:pPr>
            <w:r>
              <w:rPr>
                <w:rFonts w:cs="Arial"/>
              </w:rPr>
              <w:t xml:space="preserve">Ortsfeste Messungen </w:t>
            </w:r>
            <w:r>
              <w:rPr>
                <w:rStyle w:val="Funotenzeichen"/>
                <w:rFonts w:cs="Arial"/>
              </w:rPr>
              <w:footnoteReference w:id="4"/>
            </w:r>
          </w:p>
        </w:tc>
        <w:tc>
          <w:tcPr>
            <w:tcW w:w="4310" w:type="dxa"/>
          </w:tcPr>
          <w:p>
            <w:pPr>
              <w:pStyle w:val="GesAbsatz"/>
              <w:rPr>
                <w:rFonts w:cs="Arial"/>
              </w:rPr>
            </w:pPr>
          </w:p>
        </w:tc>
        <w:tc>
          <w:tcPr>
            <w:tcW w:w="3118" w:type="dxa"/>
          </w:tcPr>
          <w:p>
            <w:pPr>
              <w:pStyle w:val="GesAbsatz"/>
              <w:rPr>
                <w:rFonts w:cs="Arial"/>
              </w:rPr>
            </w:pPr>
          </w:p>
        </w:tc>
      </w:tr>
      <w:tr>
        <w:tblPrEx>
          <w:tblCellMar>
            <w:top w:w="0" w:type="dxa"/>
            <w:bottom w:w="0" w:type="dxa"/>
          </w:tblCellMar>
        </w:tblPrEx>
        <w:tc>
          <w:tcPr>
            <w:tcW w:w="2268" w:type="dxa"/>
          </w:tcPr>
          <w:p>
            <w:pPr>
              <w:pStyle w:val="GesAbsatz"/>
              <w:rPr>
                <w:rFonts w:cs="Arial"/>
              </w:rPr>
            </w:pPr>
            <w:r>
              <w:rPr>
                <w:rFonts w:cs="Arial"/>
              </w:rPr>
              <w:t>Unsicherheit</w:t>
            </w:r>
          </w:p>
        </w:tc>
        <w:tc>
          <w:tcPr>
            <w:tcW w:w="4310" w:type="dxa"/>
          </w:tcPr>
          <w:p>
            <w:pPr>
              <w:pStyle w:val="GesAbsatz"/>
              <w:rPr>
                <w:rFonts w:cs="Arial"/>
              </w:rPr>
            </w:pPr>
            <w:r>
              <w:rPr>
                <w:rFonts w:cs="Arial"/>
              </w:rPr>
              <w:t>25 %</w:t>
            </w:r>
          </w:p>
        </w:tc>
        <w:tc>
          <w:tcPr>
            <w:tcW w:w="3118" w:type="dxa"/>
          </w:tcPr>
          <w:p>
            <w:pPr>
              <w:pStyle w:val="GesAbsatz"/>
              <w:rPr>
                <w:rFonts w:cs="Arial"/>
              </w:rPr>
            </w:pPr>
            <w:r>
              <w:rPr>
                <w:rFonts w:cs="Arial"/>
              </w:rPr>
              <w:t>15 %</w:t>
            </w:r>
          </w:p>
        </w:tc>
      </w:tr>
      <w:tr>
        <w:tblPrEx>
          <w:tblCellMar>
            <w:top w:w="0" w:type="dxa"/>
            <w:bottom w:w="0" w:type="dxa"/>
          </w:tblCellMar>
        </w:tblPrEx>
        <w:tc>
          <w:tcPr>
            <w:tcW w:w="2268" w:type="dxa"/>
          </w:tcPr>
          <w:p>
            <w:pPr>
              <w:pStyle w:val="GesAbsatz"/>
              <w:rPr>
                <w:rFonts w:cs="Arial"/>
              </w:rPr>
            </w:pPr>
            <w:r>
              <w:rPr>
                <w:rFonts w:cs="Arial"/>
              </w:rPr>
              <w:t>Mindestdatenerfassung</w:t>
            </w:r>
          </w:p>
        </w:tc>
        <w:tc>
          <w:tcPr>
            <w:tcW w:w="4310" w:type="dxa"/>
          </w:tcPr>
          <w:p>
            <w:pPr>
              <w:pStyle w:val="GesAbsatz"/>
              <w:rPr>
                <w:rFonts w:cs="Arial"/>
              </w:rPr>
            </w:pPr>
            <w:r>
              <w:rPr>
                <w:rFonts w:cs="Arial"/>
              </w:rPr>
              <w:t>90 %</w:t>
            </w:r>
          </w:p>
        </w:tc>
        <w:tc>
          <w:tcPr>
            <w:tcW w:w="3118" w:type="dxa"/>
          </w:tcPr>
          <w:p>
            <w:pPr>
              <w:pStyle w:val="GesAbsatz"/>
              <w:rPr>
                <w:rFonts w:cs="Arial"/>
              </w:rPr>
            </w:pPr>
            <w:r>
              <w:rPr>
                <w:rFonts w:cs="Arial"/>
              </w:rPr>
              <w:t>90 %</w:t>
            </w:r>
          </w:p>
        </w:tc>
      </w:tr>
      <w:tr>
        <w:tblPrEx>
          <w:tblCellMar>
            <w:top w:w="0" w:type="dxa"/>
            <w:bottom w:w="0" w:type="dxa"/>
          </w:tblCellMar>
        </w:tblPrEx>
        <w:trPr>
          <w:cantSplit/>
          <w:trHeight w:val="841"/>
        </w:trPr>
        <w:tc>
          <w:tcPr>
            <w:tcW w:w="2268" w:type="dxa"/>
          </w:tcPr>
          <w:p>
            <w:pPr>
              <w:pStyle w:val="GesAbsatz"/>
              <w:rPr>
                <w:rFonts w:cs="Arial"/>
              </w:rPr>
            </w:pPr>
            <w:r>
              <w:rPr>
                <w:rFonts w:cs="Arial"/>
              </w:rPr>
              <w:t>Mindestzeitdauer</w:t>
            </w:r>
          </w:p>
        </w:tc>
        <w:tc>
          <w:tcPr>
            <w:tcW w:w="4310" w:type="dxa"/>
          </w:tcPr>
          <w:p>
            <w:pPr>
              <w:pStyle w:val="GesAbsatz"/>
              <w:rPr>
                <w:rFonts w:cs="Arial"/>
              </w:rPr>
            </w:pPr>
            <w:r>
              <w:rPr>
                <w:rFonts w:cs="Arial"/>
              </w:rPr>
              <w:t>35 % städtische und verkehrsnahe G</w:t>
            </w:r>
            <w:r>
              <w:rPr>
                <w:rFonts w:cs="Arial"/>
              </w:rPr>
              <w:t>e</w:t>
            </w:r>
            <w:r>
              <w:rPr>
                <w:rFonts w:cs="Arial"/>
              </w:rPr>
              <w:t>biete (verteilt über das Jahr, damit die Werte repr</w:t>
            </w:r>
            <w:r>
              <w:rPr>
                <w:rFonts w:cs="Arial"/>
              </w:rPr>
              <w:t>ä</w:t>
            </w:r>
            <w:r>
              <w:rPr>
                <w:rFonts w:cs="Arial"/>
              </w:rPr>
              <w:t>sentativ für verschiedene Klima- und Verkehr</w:t>
            </w:r>
            <w:r>
              <w:rPr>
                <w:rFonts w:cs="Arial"/>
              </w:rPr>
              <w:t>s</w:t>
            </w:r>
            <w:r>
              <w:rPr>
                <w:rFonts w:cs="Arial"/>
              </w:rPr>
              <w:t>bedingungen sind) 90 % Industrieg</w:t>
            </w:r>
            <w:r>
              <w:rPr>
                <w:rFonts w:cs="Arial"/>
              </w:rPr>
              <w:t>e</w:t>
            </w:r>
            <w:r>
              <w:rPr>
                <w:rFonts w:cs="Arial"/>
              </w:rPr>
              <w:t>biete</w:t>
            </w:r>
          </w:p>
        </w:tc>
        <w:tc>
          <w:tcPr>
            <w:tcW w:w="3118" w:type="dxa"/>
          </w:tcPr>
          <w:p>
            <w:pPr>
              <w:pStyle w:val="GesAbsatz"/>
              <w:rPr>
                <w:rFonts w:cs="Arial"/>
              </w:rPr>
            </w:pPr>
          </w:p>
        </w:tc>
      </w:tr>
      <w:tr>
        <w:tblPrEx>
          <w:tblCellMar>
            <w:top w:w="0" w:type="dxa"/>
            <w:bottom w:w="0" w:type="dxa"/>
          </w:tblCellMar>
        </w:tblPrEx>
        <w:trPr>
          <w:cantSplit/>
        </w:trPr>
        <w:tc>
          <w:tcPr>
            <w:tcW w:w="2268" w:type="dxa"/>
          </w:tcPr>
          <w:p>
            <w:pPr>
              <w:pStyle w:val="GesAbsatz"/>
              <w:rPr>
                <w:rFonts w:cs="Arial"/>
              </w:rPr>
            </w:pPr>
            <w:r>
              <w:rPr>
                <w:rFonts w:cs="Arial"/>
              </w:rPr>
              <w:t>Orientierende Messung</w:t>
            </w:r>
          </w:p>
        </w:tc>
        <w:tc>
          <w:tcPr>
            <w:tcW w:w="7428" w:type="dxa"/>
            <w:gridSpan w:val="2"/>
          </w:tcPr>
          <w:p>
            <w:pPr>
              <w:pStyle w:val="GesAbsatz"/>
              <w:rPr>
                <w:rFonts w:cs="Arial"/>
              </w:rPr>
            </w:pPr>
          </w:p>
        </w:tc>
      </w:tr>
      <w:tr>
        <w:tblPrEx>
          <w:tblCellMar>
            <w:top w:w="0" w:type="dxa"/>
            <w:bottom w:w="0" w:type="dxa"/>
          </w:tblCellMar>
        </w:tblPrEx>
        <w:tc>
          <w:tcPr>
            <w:tcW w:w="2268" w:type="dxa"/>
          </w:tcPr>
          <w:p>
            <w:pPr>
              <w:pStyle w:val="GesAbsatz"/>
              <w:rPr>
                <w:rFonts w:cs="Arial"/>
              </w:rPr>
            </w:pPr>
            <w:r>
              <w:rPr>
                <w:rFonts w:cs="Arial"/>
              </w:rPr>
              <w:t>Unsicherheit</w:t>
            </w:r>
          </w:p>
        </w:tc>
        <w:tc>
          <w:tcPr>
            <w:tcW w:w="4310" w:type="dxa"/>
          </w:tcPr>
          <w:p>
            <w:pPr>
              <w:pStyle w:val="GesAbsatz"/>
              <w:rPr>
                <w:rFonts w:cs="Arial"/>
              </w:rPr>
            </w:pPr>
            <w:r>
              <w:rPr>
                <w:rFonts w:cs="Arial"/>
              </w:rPr>
              <w:t>30 %</w:t>
            </w:r>
          </w:p>
        </w:tc>
        <w:tc>
          <w:tcPr>
            <w:tcW w:w="3118" w:type="dxa"/>
          </w:tcPr>
          <w:p>
            <w:pPr>
              <w:pStyle w:val="GesAbsatz"/>
              <w:rPr>
                <w:rFonts w:cs="Arial"/>
              </w:rPr>
            </w:pPr>
            <w:r>
              <w:rPr>
                <w:rFonts w:cs="Arial"/>
              </w:rPr>
              <w:t>25 %</w:t>
            </w:r>
          </w:p>
        </w:tc>
      </w:tr>
      <w:tr>
        <w:tblPrEx>
          <w:tblCellMar>
            <w:top w:w="0" w:type="dxa"/>
            <w:bottom w:w="0" w:type="dxa"/>
          </w:tblCellMar>
        </w:tblPrEx>
        <w:tc>
          <w:tcPr>
            <w:tcW w:w="2268" w:type="dxa"/>
          </w:tcPr>
          <w:p>
            <w:pPr>
              <w:pStyle w:val="GesAbsatz"/>
              <w:rPr>
                <w:rFonts w:cs="Arial"/>
              </w:rPr>
            </w:pPr>
            <w:r>
              <w:rPr>
                <w:rFonts w:cs="Arial"/>
              </w:rPr>
              <w:t>Mindestdatenerfassung</w:t>
            </w:r>
          </w:p>
        </w:tc>
        <w:tc>
          <w:tcPr>
            <w:tcW w:w="4310" w:type="dxa"/>
          </w:tcPr>
          <w:p>
            <w:pPr>
              <w:pStyle w:val="GesAbsatz"/>
              <w:rPr>
                <w:rFonts w:cs="Arial"/>
              </w:rPr>
            </w:pPr>
            <w:r>
              <w:rPr>
                <w:rFonts w:cs="Arial"/>
              </w:rPr>
              <w:t>90 %</w:t>
            </w:r>
          </w:p>
        </w:tc>
        <w:tc>
          <w:tcPr>
            <w:tcW w:w="3118" w:type="dxa"/>
          </w:tcPr>
          <w:p>
            <w:pPr>
              <w:pStyle w:val="GesAbsatz"/>
              <w:rPr>
                <w:rFonts w:cs="Arial"/>
              </w:rPr>
            </w:pPr>
            <w:r>
              <w:rPr>
                <w:rFonts w:cs="Arial"/>
              </w:rPr>
              <w:t>90 %</w:t>
            </w:r>
          </w:p>
        </w:tc>
      </w:tr>
      <w:tr>
        <w:tblPrEx>
          <w:tblCellMar>
            <w:top w:w="0" w:type="dxa"/>
            <w:bottom w:w="0" w:type="dxa"/>
          </w:tblCellMar>
        </w:tblPrEx>
        <w:trPr>
          <w:cantSplit/>
          <w:trHeight w:val="734"/>
        </w:trPr>
        <w:tc>
          <w:tcPr>
            <w:tcW w:w="2268" w:type="dxa"/>
          </w:tcPr>
          <w:p>
            <w:pPr>
              <w:pStyle w:val="GesAbsatz"/>
              <w:rPr>
                <w:rFonts w:cs="Arial"/>
              </w:rPr>
            </w:pPr>
            <w:r>
              <w:rPr>
                <w:rFonts w:cs="Arial"/>
              </w:rPr>
              <w:lastRenderedPageBreak/>
              <w:t>Mindestzeitdauer</w:t>
            </w:r>
          </w:p>
        </w:tc>
        <w:tc>
          <w:tcPr>
            <w:tcW w:w="4310" w:type="dxa"/>
          </w:tcPr>
          <w:p>
            <w:pPr>
              <w:pStyle w:val="GesAbsatz"/>
              <w:rPr>
                <w:rFonts w:cs="Arial"/>
              </w:rPr>
            </w:pPr>
            <w:r>
              <w:rPr>
                <w:rFonts w:cs="Arial"/>
              </w:rPr>
              <w:t>14 % (eine Messung wöchentlich nach dem Zufallsprinzip gleichmäßig über das Jahr ve</w:t>
            </w:r>
            <w:r>
              <w:rPr>
                <w:rFonts w:cs="Arial"/>
              </w:rPr>
              <w:t>r</w:t>
            </w:r>
            <w:r>
              <w:rPr>
                <w:rFonts w:cs="Arial"/>
              </w:rPr>
              <w:t>teilt oder acht Wochen gleic</w:t>
            </w:r>
            <w:r>
              <w:rPr>
                <w:rFonts w:cs="Arial"/>
              </w:rPr>
              <w:t>h</w:t>
            </w:r>
            <w:r>
              <w:rPr>
                <w:rFonts w:cs="Arial"/>
              </w:rPr>
              <w:t>mäßig über das Jahr verteilt)</w:t>
            </w:r>
          </w:p>
        </w:tc>
        <w:tc>
          <w:tcPr>
            <w:tcW w:w="3118" w:type="dxa"/>
          </w:tcPr>
          <w:p>
            <w:pPr>
              <w:pStyle w:val="GesAbsatz"/>
              <w:rPr>
                <w:rFonts w:cs="Arial"/>
              </w:rPr>
            </w:pPr>
            <w:r>
              <w:rPr>
                <w:rFonts w:cs="Arial"/>
              </w:rPr>
              <w:t>14 % (eine Messung wöchen</w:t>
            </w:r>
            <w:r>
              <w:rPr>
                <w:rFonts w:cs="Arial"/>
              </w:rPr>
              <w:t>t</w:t>
            </w:r>
            <w:r>
              <w:rPr>
                <w:rFonts w:cs="Arial"/>
              </w:rPr>
              <w:t>lich nach dem Zufallsprinzip gleic</w:t>
            </w:r>
            <w:r>
              <w:rPr>
                <w:rFonts w:cs="Arial"/>
              </w:rPr>
              <w:t>h</w:t>
            </w:r>
            <w:r>
              <w:rPr>
                <w:rFonts w:cs="Arial"/>
              </w:rPr>
              <w:t>mäßig über das Jahr verteilt oder acht W</w:t>
            </w:r>
            <w:r>
              <w:rPr>
                <w:rFonts w:cs="Arial"/>
              </w:rPr>
              <w:t>o</w:t>
            </w:r>
            <w:r>
              <w:rPr>
                <w:rFonts w:cs="Arial"/>
              </w:rPr>
              <w:t>chen gleichmäßig über das Jahr verteilt)</w:t>
            </w:r>
          </w:p>
        </w:tc>
      </w:tr>
      <w:tr>
        <w:tblPrEx>
          <w:tblCellMar>
            <w:top w:w="0" w:type="dxa"/>
            <w:bottom w:w="0" w:type="dxa"/>
          </w:tblCellMar>
        </w:tblPrEx>
        <w:trPr>
          <w:cantSplit/>
        </w:trPr>
        <w:tc>
          <w:tcPr>
            <w:tcW w:w="2268" w:type="dxa"/>
          </w:tcPr>
          <w:p>
            <w:pPr>
              <w:pStyle w:val="GesAbsatz"/>
              <w:rPr>
                <w:rFonts w:cs="Arial"/>
              </w:rPr>
            </w:pPr>
            <w:r>
              <w:rPr>
                <w:rFonts w:cs="Arial"/>
              </w:rPr>
              <w:t>Modellberechnung</w:t>
            </w:r>
          </w:p>
        </w:tc>
        <w:tc>
          <w:tcPr>
            <w:tcW w:w="7428" w:type="dxa"/>
            <w:gridSpan w:val="2"/>
            <w:vMerge w:val="restart"/>
          </w:tcPr>
          <w:p>
            <w:pPr>
              <w:pStyle w:val="GesAbsatz"/>
              <w:rPr>
                <w:rFonts w:cs="Arial"/>
              </w:rPr>
            </w:pPr>
          </w:p>
        </w:tc>
      </w:tr>
      <w:tr>
        <w:tblPrEx>
          <w:tblCellMar>
            <w:top w:w="0" w:type="dxa"/>
            <w:bottom w:w="0" w:type="dxa"/>
          </w:tblCellMar>
        </w:tblPrEx>
        <w:trPr>
          <w:cantSplit/>
        </w:trPr>
        <w:tc>
          <w:tcPr>
            <w:tcW w:w="2268" w:type="dxa"/>
          </w:tcPr>
          <w:p>
            <w:pPr>
              <w:pStyle w:val="GesAbsatz"/>
              <w:rPr>
                <w:rFonts w:cs="Arial"/>
              </w:rPr>
            </w:pPr>
            <w:r>
              <w:rPr>
                <w:rFonts w:cs="Arial"/>
              </w:rPr>
              <w:t>Unsicherheit</w:t>
            </w:r>
          </w:p>
        </w:tc>
        <w:tc>
          <w:tcPr>
            <w:tcW w:w="7428" w:type="dxa"/>
            <w:gridSpan w:val="2"/>
            <w:vMerge/>
          </w:tcPr>
          <w:p>
            <w:pPr>
              <w:pStyle w:val="GesAbsatz"/>
              <w:rPr>
                <w:rFonts w:cs="Arial"/>
              </w:rPr>
            </w:pPr>
          </w:p>
        </w:tc>
      </w:tr>
      <w:tr>
        <w:tblPrEx>
          <w:tblCellMar>
            <w:top w:w="0" w:type="dxa"/>
            <w:bottom w:w="0" w:type="dxa"/>
          </w:tblCellMar>
        </w:tblPrEx>
        <w:tc>
          <w:tcPr>
            <w:tcW w:w="2268" w:type="dxa"/>
          </w:tcPr>
          <w:p>
            <w:pPr>
              <w:pStyle w:val="GesAbsatz"/>
              <w:rPr>
                <w:rFonts w:cs="Arial"/>
              </w:rPr>
            </w:pPr>
            <w:r>
              <w:rPr>
                <w:rFonts w:cs="Arial"/>
              </w:rPr>
              <w:t>8-Stundenmittelwerte</w:t>
            </w:r>
          </w:p>
        </w:tc>
        <w:tc>
          <w:tcPr>
            <w:tcW w:w="4310" w:type="dxa"/>
          </w:tcPr>
          <w:p>
            <w:pPr>
              <w:pStyle w:val="GesAbsatz"/>
              <w:rPr>
                <w:rFonts w:cs="Arial"/>
              </w:rPr>
            </w:pPr>
            <w:r>
              <w:rPr>
                <w:rFonts w:cs="Arial"/>
              </w:rPr>
              <w:t>–</w:t>
            </w:r>
          </w:p>
        </w:tc>
        <w:tc>
          <w:tcPr>
            <w:tcW w:w="3118" w:type="dxa"/>
          </w:tcPr>
          <w:p>
            <w:pPr>
              <w:pStyle w:val="GesAbsatz"/>
              <w:rPr>
                <w:rFonts w:cs="Arial"/>
              </w:rPr>
            </w:pPr>
            <w:r>
              <w:rPr>
                <w:rFonts w:cs="Arial"/>
              </w:rPr>
              <w:t>50 %</w:t>
            </w:r>
          </w:p>
        </w:tc>
      </w:tr>
      <w:tr>
        <w:tblPrEx>
          <w:tblCellMar>
            <w:top w:w="0" w:type="dxa"/>
            <w:bottom w:w="0" w:type="dxa"/>
          </w:tblCellMar>
        </w:tblPrEx>
        <w:tc>
          <w:tcPr>
            <w:tcW w:w="2268" w:type="dxa"/>
          </w:tcPr>
          <w:p>
            <w:pPr>
              <w:pStyle w:val="GesAbsatz"/>
              <w:rPr>
                <w:rFonts w:cs="Arial"/>
              </w:rPr>
            </w:pPr>
            <w:r>
              <w:rPr>
                <w:rFonts w:cs="Arial"/>
              </w:rPr>
              <w:t>Jahresmittelwerte</w:t>
            </w:r>
          </w:p>
        </w:tc>
        <w:tc>
          <w:tcPr>
            <w:tcW w:w="4310" w:type="dxa"/>
          </w:tcPr>
          <w:p>
            <w:pPr>
              <w:pStyle w:val="GesAbsatz"/>
              <w:rPr>
                <w:rFonts w:cs="Arial"/>
              </w:rPr>
            </w:pPr>
            <w:r>
              <w:rPr>
                <w:rFonts w:cs="Arial"/>
              </w:rPr>
              <w:t>50 %</w:t>
            </w:r>
          </w:p>
        </w:tc>
        <w:tc>
          <w:tcPr>
            <w:tcW w:w="3118" w:type="dxa"/>
          </w:tcPr>
          <w:p>
            <w:pPr>
              <w:pStyle w:val="GesAbsatz"/>
              <w:rPr>
                <w:rFonts w:cs="Arial"/>
              </w:rPr>
            </w:pPr>
            <w:r>
              <w:rPr>
                <w:rFonts w:cs="Arial"/>
              </w:rPr>
              <w:t>–</w:t>
            </w:r>
          </w:p>
        </w:tc>
      </w:tr>
      <w:tr>
        <w:tblPrEx>
          <w:tblCellMar>
            <w:top w:w="0" w:type="dxa"/>
            <w:bottom w:w="0" w:type="dxa"/>
          </w:tblCellMar>
        </w:tblPrEx>
        <w:tc>
          <w:tcPr>
            <w:tcW w:w="2268" w:type="dxa"/>
          </w:tcPr>
          <w:p>
            <w:pPr>
              <w:pStyle w:val="GesAbsatz"/>
              <w:rPr>
                <w:rFonts w:cs="Arial"/>
              </w:rPr>
            </w:pPr>
            <w:r>
              <w:rPr>
                <w:rFonts w:cs="Arial"/>
              </w:rPr>
              <w:t>Objektive Schätzung</w:t>
            </w:r>
          </w:p>
        </w:tc>
        <w:tc>
          <w:tcPr>
            <w:tcW w:w="4310" w:type="dxa"/>
          </w:tcPr>
          <w:p>
            <w:pPr>
              <w:pStyle w:val="GesAbsatz"/>
              <w:rPr>
                <w:rFonts w:cs="Arial"/>
              </w:rPr>
            </w:pPr>
          </w:p>
        </w:tc>
        <w:tc>
          <w:tcPr>
            <w:tcW w:w="3118" w:type="dxa"/>
          </w:tcPr>
          <w:p>
            <w:pPr>
              <w:pStyle w:val="GesAbsatz"/>
              <w:rPr>
                <w:rFonts w:cs="Arial"/>
              </w:rPr>
            </w:pPr>
          </w:p>
        </w:tc>
      </w:tr>
      <w:tr>
        <w:tblPrEx>
          <w:tblCellMar>
            <w:top w:w="0" w:type="dxa"/>
            <w:bottom w:w="0" w:type="dxa"/>
          </w:tblCellMar>
        </w:tblPrEx>
        <w:tc>
          <w:tcPr>
            <w:tcW w:w="2268" w:type="dxa"/>
          </w:tcPr>
          <w:p>
            <w:pPr>
              <w:pStyle w:val="GesAbsatz"/>
              <w:rPr>
                <w:rFonts w:cs="Arial"/>
              </w:rPr>
            </w:pPr>
            <w:r>
              <w:rPr>
                <w:rFonts w:cs="Arial"/>
              </w:rPr>
              <w:t>Unsicherheit</w:t>
            </w:r>
          </w:p>
        </w:tc>
        <w:tc>
          <w:tcPr>
            <w:tcW w:w="4310" w:type="dxa"/>
          </w:tcPr>
          <w:p>
            <w:pPr>
              <w:pStyle w:val="GesAbsatz"/>
              <w:rPr>
                <w:rFonts w:cs="Arial"/>
              </w:rPr>
            </w:pPr>
            <w:r>
              <w:rPr>
                <w:rFonts w:cs="Arial"/>
              </w:rPr>
              <w:t>100 %</w:t>
            </w:r>
          </w:p>
        </w:tc>
        <w:tc>
          <w:tcPr>
            <w:tcW w:w="3118" w:type="dxa"/>
          </w:tcPr>
          <w:p>
            <w:pPr>
              <w:pStyle w:val="GesAbsatz"/>
              <w:rPr>
                <w:rFonts w:cs="Arial"/>
              </w:rPr>
            </w:pPr>
            <w:r>
              <w:rPr>
                <w:rFonts w:cs="Arial"/>
              </w:rPr>
              <w:t>75 %</w:t>
            </w:r>
          </w:p>
        </w:tc>
      </w:tr>
    </w:tbl>
    <w:p>
      <w:pPr>
        <w:pStyle w:val="GesAbsatz"/>
      </w:pPr>
    </w:p>
    <w:p>
      <w:pPr>
        <w:pStyle w:val="GesAbsatz"/>
      </w:pPr>
      <w:r>
        <w:t>Die Messgenauigkeit ist definiert im „Leitfaden zur Angabe der Unsicherheit beim Messen“ (ISO 1993) oder in ISO 5725-1 „Genauigkeit (Richtigkeit und Präzision) von Messverfahren und Messergebnissen“ (1994). Die Prozentangaben in der Tabelle gelten für Einzelmessungen, gemittelt über den betreffenden Zeitraum in B</w:t>
      </w:r>
      <w:r>
        <w:t>e</w:t>
      </w:r>
      <w:r>
        <w:t>zug auf den Immissionsgrenzwert bei einem Vertrauensbereich von 95 % (systematische Abwe</w:t>
      </w:r>
      <w:r>
        <w:t>i</w:t>
      </w:r>
      <w:r>
        <w:t>chung + zweimalige Standardabweichung).</w:t>
      </w:r>
    </w:p>
    <w:p>
      <w:pPr>
        <w:pStyle w:val="GesAbsatz"/>
      </w:pPr>
      <w:r>
        <w:t>Die Genauigkeit von kontinuierlichen Messungen sollte so interpretiert werden, dass sie in der Nähe des jeweiligen Immissionsgrenzwertes gilt.</w:t>
      </w:r>
    </w:p>
    <w:p>
      <w:pPr>
        <w:pStyle w:val="GesAbsatz"/>
      </w:pPr>
      <w:r>
        <w:t>Die Genauigkeit von Modellberechnungen und objektiven Schätzungen ist definiert als die größte Abwe</w:t>
      </w:r>
      <w:r>
        <w:t>i</w:t>
      </w:r>
      <w:r>
        <w:t>chung der gemessenen und berechneten Konzentrationswerte über den betreffenden Zeitraum in Bezug auf den Immissionsgrenzwert, ohne dass die zeitliche Abfolge der Ereignisse berücksichtigt wird.</w:t>
      </w:r>
    </w:p>
    <w:p>
      <w:pPr>
        <w:pStyle w:val="GesAbsatz"/>
      </w:pPr>
      <w:r>
        <w:t>Die Anforderungen für die Mindestdatenerfassung und die Mindestzeitdauer erstrecken sich nicht auf Date</w:t>
      </w:r>
      <w:r>
        <w:t>n</w:t>
      </w:r>
      <w:r>
        <w:t>verlust aufgrund der regelmäßigen Kalibrierung oder der üblichen Wartung der Messgeräte.</w:t>
      </w:r>
    </w:p>
    <w:p>
      <w:pPr>
        <w:pStyle w:val="GesAbsatz"/>
        <w:rPr>
          <w:b/>
          <w:bCs/>
        </w:rPr>
      </w:pPr>
      <w:r>
        <w:rPr>
          <w:b/>
          <w:bCs/>
        </w:rPr>
        <w:t>II.</w:t>
      </w:r>
      <w:r>
        <w:rPr>
          <w:b/>
          <w:bCs/>
        </w:rPr>
        <w:tab/>
        <w:t>Ergebnisse der Luftqualitätsbeurteilung</w:t>
      </w:r>
    </w:p>
    <w:p>
      <w:pPr>
        <w:pStyle w:val="GesAbsatz"/>
      </w:pPr>
      <w:r>
        <w:t>Die folgenden Informationen sollten für Gebiete oder Ballungsräume zusammengestellt werden, in denen anstelle von Messungen andere Datenquellen als ergänzende Information zu Messdaten oder als alleiniges Mittel zur Luftqualitätsbeurteilung genutzt werden:</w:t>
      </w:r>
    </w:p>
    <w:p>
      <w:pPr>
        <w:pStyle w:val="GesAbsatz"/>
        <w:tabs>
          <w:tab w:val="clear" w:pos="425"/>
          <w:tab w:val="left" w:pos="426"/>
        </w:tabs>
        <w:ind w:left="426" w:hanging="426"/>
      </w:pPr>
      <w:r>
        <w:t>-</w:t>
      </w:r>
      <w:r>
        <w:tab/>
        <w:t>Beschreibung der durchgeführten Beurteilungstätigkeit;</w:t>
      </w:r>
    </w:p>
    <w:p>
      <w:pPr>
        <w:pStyle w:val="GesAbsatz"/>
        <w:tabs>
          <w:tab w:val="clear" w:pos="425"/>
          <w:tab w:val="left" w:pos="426"/>
        </w:tabs>
        <w:ind w:left="426" w:hanging="426"/>
      </w:pPr>
      <w:r>
        <w:t>-</w:t>
      </w:r>
      <w:r>
        <w:tab/>
        <w:t>eingesetzte spezifische Methoden, mit Verweisen auf Beschreibungen der Methode;</w:t>
      </w:r>
    </w:p>
    <w:p>
      <w:pPr>
        <w:pStyle w:val="GesAbsatz"/>
        <w:tabs>
          <w:tab w:val="clear" w:pos="425"/>
          <w:tab w:val="left" w:pos="426"/>
        </w:tabs>
        <w:ind w:left="426" w:hanging="426"/>
      </w:pPr>
      <w:r>
        <w:t>-</w:t>
      </w:r>
      <w:r>
        <w:tab/>
        <w:t>Quellen von Daten und Informationen;</w:t>
      </w:r>
    </w:p>
    <w:p>
      <w:pPr>
        <w:pStyle w:val="GesAbsatz"/>
        <w:tabs>
          <w:tab w:val="clear" w:pos="425"/>
          <w:tab w:val="left" w:pos="426"/>
        </w:tabs>
        <w:ind w:left="426" w:hanging="426"/>
      </w:pPr>
      <w:r>
        <w:t>-</w:t>
      </w:r>
      <w:r>
        <w:tab/>
        <w:t>Beschreibung der Ergebnisse, einschließlich der Unsicherheiten; insbesondere die Ausdehnung von Flächen oder gegebenenfalls die Länge von Straßen innerhalb des Gebiets oder Ballungsraums, in d</w:t>
      </w:r>
      <w:r>
        <w:t>e</w:t>
      </w:r>
      <w:r>
        <w:t>nen die Schadstoffkonzentrationen die Immissionsgrenzwerte zuzüglich etwaiger Toleranzmargen übe</w:t>
      </w:r>
      <w:r>
        <w:t>r</w:t>
      </w:r>
      <w:r>
        <w:t>steigen, sowie alle geographischen Bereiche, in denen die Konzentration die obere oder die untere B</w:t>
      </w:r>
      <w:r>
        <w:t>e</w:t>
      </w:r>
      <w:r>
        <w:t>urte</w:t>
      </w:r>
      <w:r>
        <w:t>i</w:t>
      </w:r>
      <w:r>
        <w:t>lungsschwelle überschreitet;</w:t>
      </w:r>
    </w:p>
    <w:p>
      <w:pPr>
        <w:pStyle w:val="GesAbsatz"/>
        <w:tabs>
          <w:tab w:val="clear" w:pos="425"/>
          <w:tab w:val="left" w:pos="426"/>
        </w:tabs>
        <w:ind w:left="426" w:hanging="426"/>
      </w:pPr>
      <w:r>
        <w:t>-</w:t>
      </w:r>
      <w:r>
        <w:tab/>
        <w:t>bei Immissionsgrenzwerten zum Schutz der menschlichen Gesundheit Angabe der Bevölkerung, die pote</w:t>
      </w:r>
      <w:r>
        <w:t>n</w:t>
      </w:r>
      <w:r>
        <w:t>ziell einer Konzentration oberhalb des Immissionsgrenzwertes ausgesetzt ist.</w:t>
      </w:r>
    </w:p>
    <w:p>
      <w:pPr>
        <w:pStyle w:val="GesAbsatz"/>
      </w:pPr>
      <w:r>
        <w:t>Wo dies möglich ist, sollten kartografische Darstellungen der Konzentrationsverteilung innerhalb jedes G</w:t>
      </w:r>
      <w:r>
        <w:t>e</w:t>
      </w:r>
      <w:r>
        <w:t>biets und Ballungsraums erstellt werden.</w:t>
      </w:r>
    </w:p>
    <w:p>
      <w:pPr>
        <w:pStyle w:val="berschrift2"/>
        <w:jc w:val="left"/>
      </w:pPr>
      <w:bookmarkStart w:id="32" w:name="_Toc174110520"/>
      <w:r>
        <w:rPr>
          <w:rFonts w:cs="Arial"/>
          <w:szCs w:val="18"/>
        </w:rPr>
        <w:t>Anlage 5</w:t>
      </w:r>
      <w:r>
        <w:rPr>
          <w:rFonts w:ascii="HelveticaNeue-Bold" w:hAnsi="HelveticaNeue-Bold"/>
          <w:bCs/>
          <w:sz w:val="18"/>
          <w:szCs w:val="18"/>
        </w:rPr>
        <w:br/>
      </w:r>
      <w:r>
        <w:t>Referenzmethoden für die Beurteilung der Konzentration von Schwefeldioxid, Stic</w:t>
      </w:r>
      <w:r>
        <w:t>k</w:t>
      </w:r>
      <w:r>
        <w:t>stoffdioxid und Stickstoffoxiden, Partikeln (PM</w:t>
      </w:r>
      <w:r>
        <w:rPr>
          <w:sz w:val="12"/>
          <w:szCs w:val="12"/>
        </w:rPr>
        <w:t xml:space="preserve">10 </w:t>
      </w:r>
      <w:r>
        <w:t>und PM</w:t>
      </w:r>
      <w:r>
        <w:rPr>
          <w:sz w:val="12"/>
          <w:szCs w:val="12"/>
        </w:rPr>
        <w:t>2,5</w:t>
      </w:r>
      <w:r>
        <w:t>), Blei, Benzol und Ko</w:t>
      </w:r>
      <w:r>
        <w:t>h</w:t>
      </w:r>
      <w:r>
        <w:t>lenmonoxid</w:t>
      </w:r>
      <w:bookmarkEnd w:id="32"/>
    </w:p>
    <w:p>
      <w:pPr>
        <w:pStyle w:val="GesAbsatz"/>
        <w:tabs>
          <w:tab w:val="clear" w:pos="425"/>
          <w:tab w:val="left" w:pos="426"/>
        </w:tabs>
        <w:ind w:left="426" w:hanging="426"/>
        <w:rPr>
          <w:rFonts w:cs="Arial"/>
          <w:b/>
          <w:bCs/>
        </w:rPr>
      </w:pPr>
      <w:r>
        <w:rPr>
          <w:rFonts w:cs="Arial"/>
          <w:b/>
          <w:bCs/>
        </w:rPr>
        <w:t>I.</w:t>
      </w:r>
      <w:r>
        <w:rPr>
          <w:rFonts w:cs="Arial"/>
          <w:b/>
          <w:bCs/>
        </w:rPr>
        <w:tab/>
        <w:t>Referenzmethode zur Bestimmung von Schwefeldioxid</w:t>
      </w:r>
    </w:p>
    <w:p>
      <w:pPr>
        <w:pStyle w:val="GesAbsatz"/>
        <w:tabs>
          <w:tab w:val="clear" w:pos="425"/>
        </w:tabs>
        <w:ind w:left="426"/>
        <w:rPr>
          <w:rFonts w:cs="Arial"/>
        </w:rPr>
      </w:pPr>
      <w:r>
        <w:rPr>
          <w:rFonts w:cs="Arial"/>
        </w:rPr>
        <w:t>ISO/FDIS 10498 (Normentwurf) Luft – Bestimmung von Schwefeldioxid – UV-Fluoreszenz-Verfahren.</w:t>
      </w:r>
    </w:p>
    <w:p>
      <w:pPr>
        <w:pStyle w:val="GesAbsatz"/>
        <w:tabs>
          <w:tab w:val="clear" w:pos="425"/>
        </w:tabs>
        <w:ind w:left="426"/>
        <w:rPr>
          <w:rFonts w:cs="Arial"/>
        </w:rPr>
      </w:pPr>
      <w:r>
        <w:rPr>
          <w:rFonts w:cs="Arial"/>
        </w:rPr>
        <w:lastRenderedPageBreak/>
        <w:t>Ein anderes Verfahren kann verwendet werden, wenn nachgewiesen werden kann, dass damit gleic</w:t>
      </w:r>
      <w:r>
        <w:rPr>
          <w:rFonts w:cs="Arial"/>
        </w:rPr>
        <w:t>h</w:t>
      </w:r>
      <w:r>
        <w:rPr>
          <w:rFonts w:cs="Arial"/>
        </w:rPr>
        <w:t>wertige Ergebnisse wie mit dem obigen Verfahren erzielt werden.</w:t>
      </w:r>
    </w:p>
    <w:p>
      <w:pPr>
        <w:pStyle w:val="GesAbsatz"/>
        <w:rPr>
          <w:rFonts w:cs="Arial"/>
          <w:b/>
          <w:bCs/>
        </w:rPr>
      </w:pPr>
      <w:r>
        <w:rPr>
          <w:rFonts w:cs="Arial"/>
          <w:b/>
          <w:bCs/>
        </w:rPr>
        <w:t>II.</w:t>
      </w:r>
      <w:r>
        <w:rPr>
          <w:rFonts w:cs="Arial"/>
          <w:b/>
          <w:bCs/>
        </w:rPr>
        <w:tab/>
        <w:t>Referenzmethode zur Bestimmung von Stickstoffdioxid und Stickstoffoxiden</w:t>
      </w:r>
    </w:p>
    <w:p>
      <w:pPr>
        <w:pStyle w:val="GesAbsatz"/>
        <w:ind w:left="426"/>
        <w:rPr>
          <w:rFonts w:cs="Arial"/>
        </w:rPr>
      </w:pPr>
      <w:r>
        <w:rPr>
          <w:rFonts w:cs="Arial"/>
        </w:rPr>
        <w:t>ISO 7996: 1985 Luft – Bestimmung der Massenkonzentration von Stickstoffoxiden – Chemilumine</w:t>
      </w:r>
      <w:r>
        <w:rPr>
          <w:rFonts w:cs="Arial"/>
        </w:rPr>
        <w:t>s</w:t>
      </w:r>
      <w:r>
        <w:rPr>
          <w:rFonts w:cs="Arial"/>
        </w:rPr>
        <w:t>zenzverfahren.</w:t>
      </w:r>
    </w:p>
    <w:p>
      <w:pPr>
        <w:pStyle w:val="GesAbsatz"/>
        <w:ind w:left="426"/>
        <w:rPr>
          <w:rFonts w:cs="Arial"/>
        </w:rPr>
      </w:pPr>
      <w:r>
        <w:rPr>
          <w:rFonts w:cs="Arial"/>
        </w:rPr>
        <w:t>Ein anderes Verfahren kann verwendet werden, wenn nachgewiesen werden kann, dass damit gleic</w:t>
      </w:r>
      <w:r>
        <w:rPr>
          <w:rFonts w:cs="Arial"/>
        </w:rPr>
        <w:t>h</w:t>
      </w:r>
      <w:r>
        <w:rPr>
          <w:rFonts w:cs="Arial"/>
        </w:rPr>
        <w:t>wertige Ergebnisse wie mit dem obigen Verfahren erzielt werden.</w:t>
      </w:r>
    </w:p>
    <w:p>
      <w:pPr>
        <w:pStyle w:val="GesAbsatz"/>
        <w:ind w:hanging="142"/>
        <w:rPr>
          <w:rFonts w:cs="Arial"/>
          <w:b/>
          <w:bCs/>
        </w:rPr>
      </w:pPr>
      <w:r>
        <w:rPr>
          <w:rFonts w:cs="Arial"/>
          <w:b/>
          <w:bCs/>
        </w:rPr>
        <w:t>III.A</w:t>
      </w:r>
      <w:r>
        <w:rPr>
          <w:rFonts w:cs="Arial"/>
          <w:b/>
          <w:bCs/>
        </w:rPr>
        <w:tab/>
        <w:t>Referenzmethode für die Probenahme von Blei</w:t>
      </w:r>
    </w:p>
    <w:p>
      <w:pPr>
        <w:pStyle w:val="GesAbsatz"/>
        <w:ind w:left="426"/>
        <w:rPr>
          <w:rFonts w:cs="Arial"/>
        </w:rPr>
      </w:pPr>
      <w:r>
        <w:rPr>
          <w:rFonts w:cs="Arial"/>
        </w:rPr>
        <w:t>Das im Anhang der Richtlinie 82/884/EWG des Rates vorgesehene Verfahren ist als Referenzverfa</w:t>
      </w:r>
      <w:r>
        <w:rPr>
          <w:rFonts w:cs="Arial"/>
        </w:rPr>
        <w:t>h</w:t>
      </w:r>
      <w:r>
        <w:rPr>
          <w:rFonts w:cs="Arial"/>
        </w:rPr>
        <w:t>ren für die Probenahme von Blei bis zu dem Zeitpunkt zu verwenden, zu dem der Immissionsgrenzwert nach § 5 der vorliegenden Verordnung erreicht werden muss. Danach ist das in Abschnitt IV dieser A</w:t>
      </w:r>
      <w:r>
        <w:rPr>
          <w:rFonts w:cs="Arial"/>
        </w:rPr>
        <w:t>n</w:t>
      </w:r>
      <w:r>
        <w:rPr>
          <w:rFonts w:cs="Arial"/>
        </w:rPr>
        <w:t>lage beschriebene Verfahren anzuwenden.</w:t>
      </w:r>
    </w:p>
    <w:p>
      <w:pPr>
        <w:pStyle w:val="GesAbsatz"/>
        <w:ind w:left="426"/>
        <w:rPr>
          <w:rFonts w:cs="Arial"/>
        </w:rPr>
      </w:pPr>
      <w:r>
        <w:rPr>
          <w:rFonts w:cs="Arial"/>
        </w:rPr>
        <w:t>Ein anderes Verfahren kann verwendet werden, wenn nachgewiesen werden kann, dass damit gleic</w:t>
      </w:r>
      <w:r>
        <w:rPr>
          <w:rFonts w:cs="Arial"/>
        </w:rPr>
        <w:t>h</w:t>
      </w:r>
      <w:r>
        <w:rPr>
          <w:rFonts w:cs="Arial"/>
        </w:rPr>
        <w:t xml:space="preserve">wertige Ergebnisse wie mit dem obigen Verfahren erzielt werden. </w:t>
      </w:r>
    </w:p>
    <w:p>
      <w:pPr>
        <w:pStyle w:val="GesAbsatz"/>
        <w:ind w:hanging="142"/>
        <w:rPr>
          <w:rFonts w:cs="Arial"/>
          <w:b/>
          <w:bCs/>
        </w:rPr>
      </w:pPr>
      <w:r>
        <w:rPr>
          <w:rFonts w:cs="Arial"/>
          <w:b/>
          <w:bCs/>
        </w:rPr>
        <w:t>III.B</w:t>
      </w:r>
      <w:r>
        <w:rPr>
          <w:rFonts w:cs="Arial"/>
          <w:b/>
          <w:bCs/>
        </w:rPr>
        <w:tab/>
        <w:t>Referenzmethode für die Analyse von Blei</w:t>
      </w:r>
    </w:p>
    <w:p>
      <w:pPr>
        <w:pStyle w:val="GesAbsatz"/>
        <w:ind w:left="426"/>
        <w:rPr>
          <w:rFonts w:cs="Arial"/>
        </w:rPr>
      </w:pPr>
      <w:r>
        <w:rPr>
          <w:rFonts w:cs="Arial"/>
        </w:rPr>
        <w:t>ISO 9855: 1993 Luft – Bestimmung des partikelgebundenen Bleianteils in Schwebstaub mittels Filte</w:t>
      </w:r>
      <w:r>
        <w:rPr>
          <w:rFonts w:cs="Arial"/>
        </w:rPr>
        <w:t>r</w:t>
      </w:r>
      <w:r>
        <w:rPr>
          <w:rFonts w:cs="Arial"/>
        </w:rPr>
        <w:t>probenahme – Atomabsorptionsspektrometrisches Verfahren.</w:t>
      </w:r>
    </w:p>
    <w:p>
      <w:pPr>
        <w:pStyle w:val="GesAbsatz"/>
        <w:ind w:left="426"/>
        <w:rPr>
          <w:rFonts w:cs="Arial"/>
        </w:rPr>
      </w:pPr>
      <w:r>
        <w:rPr>
          <w:rFonts w:cs="Arial"/>
        </w:rPr>
        <w:t>Ein anderes Verfahren kann verwendet werden, wenn nachgewiesen werden kann, dass damit gleic</w:t>
      </w:r>
      <w:r>
        <w:rPr>
          <w:rFonts w:cs="Arial"/>
        </w:rPr>
        <w:t>h</w:t>
      </w:r>
      <w:r>
        <w:rPr>
          <w:rFonts w:cs="Arial"/>
        </w:rPr>
        <w:t>wertige Ergebnisse wie mit dem obigen Verfahren erzielt werden.</w:t>
      </w:r>
    </w:p>
    <w:p>
      <w:pPr>
        <w:pStyle w:val="GesAbsatz"/>
        <w:ind w:hanging="142"/>
        <w:rPr>
          <w:rFonts w:cs="Arial"/>
          <w:b/>
          <w:bCs/>
        </w:rPr>
      </w:pPr>
      <w:r>
        <w:rPr>
          <w:rFonts w:cs="Arial"/>
          <w:b/>
          <w:bCs/>
        </w:rPr>
        <w:t>IV.</w:t>
      </w:r>
      <w:r>
        <w:rPr>
          <w:rFonts w:cs="Arial"/>
          <w:b/>
          <w:bCs/>
        </w:rPr>
        <w:tab/>
        <w:t>Referenzmethode für die Probenahme und Messung der PM</w:t>
      </w:r>
      <w:r>
        <w:rPr>
          <w:rFonts w:cs="Arial"/>
          <w:b/>
          <w:bCs/>
          <w:szCs w:val="12"/>
          <w:vertAlign w:val="subscript"/>
        </w:rPr>
        <w:t>10</w:t>
      </w:r>
      <w:r>
        <w:rPr>
          <w:rFonts w:cs="Arial"/>
          <w:b/>
          <w:bCs/>
        </w:rPr>
        <w:t>-Konzentration</w:t>
      </w:r>
    </w:p>
    <w:p>
      <w:pPr>
        <w:pStyle w:val="GesAbsatz"/>
        <w:ind w:left="426"/>
        <w:rPr>
          <w:rFonts w:cs="Arial"/>
        </w:rPr>
      </w:pPr>
      <w:r>
        <w:rPr>
          <w:rFonts w:cs="Arial"/>
        </w:rPr>
        <w:t>Als Referenzmethode ist die in der folgenden Norm beschriebene Methode zu verwenden:</w:t>
      </w:r>
    </w:p>
    <w:p>
      <w:pPr>
        <w:pStyle w:val="GesAbsatz"/>
        <w:ind w:left="426"/>
        <w:rPr>
          <w:rFonts w:cs="Arial"/>
        </w:rPr>
      </w:pPr>
      <w:r>
        <w:rPr>
          <w:rFonts w:cs="Arial"/>
        </w:rPr>
        <w:t>EN 12341 „Luftqualität – Felduntersuchung zum Nachweis der Gleichwertigkeit von Probenahmeverfa</w:t>
      </w:r>
      <w:r>
        <w:rPr>
          <w:rFonts w:cs="Arial"/>
        </w:rPr>
        <w:t>h</w:t>
      </w:r>
      <w:r>
        <w:rPr>
          <w:rFonts w:cs="Arial"/>
        </w:rPr>
        <w:t>ren für die PM</w:t>
      </w:r>
      <w:r>
        <w:rPr>
          <w:rFonts w:cs="Arial"/>
          <w:szCs w:val="12"/>
          <w:vertAlign w:val="subscript"/>
        </w:rPr>
        <w:t>10</w:t>
      </w:r>
      <w:r>
        <w:rPr>
          <w:rFonts w:cs="Arial"/>
        </w:rPr>
        <w:t>-Fraktion von Partikeln“. Das Messprinzip stützt sich auf die Abscheidung der PM</w:t>
      </w:r>
      <w:r>
        <w:rPr>
          <w:rFonts w:cs="Arial"/>
          <w:szCs w:val="12"/>
          <w:vertAlign w:val="subscript"/>
        </w:rPr>
        <w:t>10</w:t>
      </w:r>
      <w:r>
        <w:rPr>
          <w:rFonts w:cs="Arial"/>
        </w:rPr>
        <w:t>-Fraktion von Partikeln in der Luft auf einem Filter und die gravimetrische Massenbestimmung.</w:t>
      </w:r>
    </w:p>
    <w:p>
      <w:pPr>
        <w:pStyle w:val="GesAbsatz"/>
        <w:ind w:left="426"/>
        <w:rPr>
          <w:rFonts w:cs="Arial"/>
        </w:rPr>
      </w:pPr>
      <w:r>
        <w:rPr>
          <w:rFonts w:cs="Arial"/>
        </w:rPr>
        <w:t>Es können auch andere Verfahren verwendet werden, wenn nachgewiesen werden kann, dass damit gleichwertige Ergebnisse wie mit den obigen Verfahren erzielt werden, oder ein anderes Verfahren, wenn nachgewiesen wird, dass dieses eine feste Beziehung zur Referenzmethode aufweist. In diesem Fall müssen die mit diesem Verfahren erzielten Ergebnisse um einen geeigneten Faktor korrigiert we</w:t>
      </w:r>
      <w:r>
        <w:rPr>
          <w:rFonts w:cs="Arial"/>
        </w:rPr>
        <w:t>r</w:t>
      </w:r>
      <w:r>
        <w:rPr>
          <w:rFonts w:cs="Arial"/>
        </w:rPr>
        <w:t>den, damit gleichwertige Ergebnisse wie bei Verwendung der Referenzmethode erzielt werden.</w:t>
      </w:r>
    </w:p>
    <w:p>
      <w:pPr>
        <w:pStyle w:val="GesAbsatz"/>
        <w:ind w:hanging="142"/>
        <w:rPr>
          <w:rFonts w:cs="Arial"/>
          <w:b/>
          <w:bCs/>
        </w:rPr>
      </w:pPr>
      <w:r>
        <w:rPr>
          <w:rFonts w:cs="Arial"/>
          <w:b/>
          <w:bCs/>
        </w:rPr>
        <w:t>V.</w:t>
      </w:r>
      <w:r>
        <w:rPr>
          <w:rFonts w:cs="Arial"/>
          <w:b/>
          <w:bCs/>
        </w:rPr>
        <w:tab/>
        <w:t>Vorläufige Referenzmethode für die Probenahme und Messung der PM</w:t>
      </w:r>
      <w:r>
        <w:rPr>
          <w:rFonts w:cs="Arial"/>
          <w:b/>
          <w:bCs/>
          <w:szCs w:val="12"/>
          <w:vertAlign w:val="subscript"/>
        </w:rPr>
        <w:t>2,5</w:t>
      </w:r>
      <w:r>
        <w:rPr>
          <w:rFonts w:cs="Arial"/>
          <w:b/>
          <w:bCs/>
        </w:rPr>
        <w:t>-Konzentration</w:t>
      </w:r>
    </w:p>
    <w:p>
      <w:pPr>
        <w:pStyle w:val="GesAbsatz"/>
        <w:ind w:left="426"/>
        <w:rPr>
          <w:rFonts w:cs="Arial"/>
        </w:rPr>
      </w:pPr>
      <w:r>
        <w:rPr>
          <w:rFonts w:cs="Arial"/>
        </w:rPr>
        <w:t>Eine geeignete vorläufige Referenzmethode für die Probenahme und Messung der PM</w:t>
      </w:r>
      <w:r>
        <w:rPr>
          <w:rFonts w:cs="Arial"/>
          <w:b/>
          <w:bCs/>
          <w:szCs w:val="12"/>
          <w:vertAlign w:val="subscript"/>
        </w:rPr>
        <w:t>2,5</w:t>
      </w:r>
      <w:r>
        <w:rPr>
          <w:rFonts w:cs="Arial"/>
        </w:rPr>
        <w:t>-Konzentration wird vorbereitet.</w:t>
      </w:r>
    </w:p>
    <w:p>
      <w:pPr>
        <w:pStyle w:val="GesAbsatz"/>
        <w:ind w:left="426"/>
        <w:rPr>
          <w:rFonts w:cs="Arial"/>
        </w:rPr>
      </w:pPr>
      <w:r>
        <w:rPr>
          <w:rFonts w:cs="Arial"/>
        </w:rPr>
        <w:t>Bis dieses Verfahren vorliegt, kann das Verfahren verwendet werden, das die zuständigen Behörden für angemessen halten.</w:t>
      </w:r>
    </w:p>
    <w:p>
      <w:pPr>
        <w:pStyle w:val="GesAbsatz"/>
        <w:ind w:hanging="142"/>
        <w:rPr>
          <w:rFonts w:cs="Arial"/>
          <w:b/>
          <w:bCs/>
        </w:rPr>
      </w:pPr>
      <w:r>
        <w:rPr>
          <w:rFonts w:cs="Arial"/>
          <w:b/>
          <w:bCs/>
        </w:rPr>
        <w:t>VI.</w:t>
      </w:r>
      <w:r>
        <w:rPr>
          <w:rFonts w:cs="Arial"/>
          <w:b/>
          <w:bCs/>
        </w:rPr>
        <w:tab/>
        <w:t>Referenzmethode für die Probenahme/Analyse von Benzol</w:t>
      </w:r>
    </w:p>
    <w:p>
      <w:pPr>
        <w:pStyle w:val="GesAbsatz"/>
        <w:ind w:left="426"/>
        <w:rPr>
          <w:rFonts w:cs="Arial"/>
        </w:rPr>
      </w:pPr>
      <w:r>
        <w:rPr>
          <w:rFonts w:cs="Arial"/>
        </w:rPr>
        <w:t>Die Referenzmethode für die Messung von Benzol ist die aktive Probenahme auf eine Adsorptionskart</w:t>
      </w:r>
      <w:r>
        <w:rPr>
          <w:rFonts w:cs="Arial"/>
        </w:rPr>
        <w:t>u</w:t>
      </w:r>
      <w:r>
        <w:rPr>
          <w:rFonts w:cs="Arial"/>
        </w:rPr>
        <w:t>sche, gefolgt von einer gaschromatographischen Bestimmung. Diese Methode wird derzeit von CEN genormt. Solange keine genormte CEN-Methode vorliegt, können die zuständigen Behörden Standar</w:t>
      </w:r>
      <w:r>
        <w:rPr>
          <w:rFonts w:cs="Arial"/>
        </w:rPr>
        <w:t>d</w:t>
      </w:r>
      <w:r>
        <w:rPr>
          <w:rFonts w:cs="Arial"/>
        </w:rPr>
        <w:t>methoden auf der Grundlage der gleichen Messmethode verwenden.</w:t>
      </w:r>
    </w:p>
    <w:p>
      <w:pPr>
        <w:pStyle w:val="GesAbsatz"/>
        <w:ind w:left="426"/>
        <w:rPr>
          <w:rFonts w:cs="Arial"/>
        </w:rPr>
      </w:pPr>
      <w:r>
        <w:rPr>
          <w:rFonts w:cs="Arial"/>
        </w:rPr>
        <w:t xml:space="preserve">Es kann auch eine andere Methode verwendet werden, wenn nachgewiesen werden kann, dass diese gleichwertige Ergebnisse erbringt wie die obige Methode. </w:t>
      </w:r>
    </w:p>
    <w:p>
      <w:pPr>
        <w:pStyle w:val="GesAbsatz"/>
        <w:ind w:hanging="142"/>
        <w:rPr>
          <w:rFonts w:cs="Arial"/>
          <w:b/>
          <w:bCs/>
        </w:rPr>
      </w:pPr>
      <w:r>
        <w:rPr>
          <w:rFonts w:cs="Arial"/>
          <w:b/>
          <w:bCs/>
        </w:rPr>
        <w:t>VII.</w:t>
      </w:r>
      <w:r>
        <w:rPr>
          <w:rFonts w:cs="Arial"/>
          <w:b/>
          <w:bCs/>
        </w:rPr>
        <w:tab/>
        <w:t>Referenzmethode für die Analyse von Kohlenmonoxid</w:t>
      </w:r>
    </w:p>
    <w:p>
      <w:pPr>
        <w:pStyle w:val="GesAbsatz"/>
        <w:ind w:left="426"/>
        <w:rPr>
          <w:rFonts w:cs="Arial"/>
        </w:rPr>
      </w:pPr>
      <w:r>
        <w:rPr>
          <w:rFonts w:cs="Arial"/>
        </w:rPr>
        <w:t>Referenzmethode für die Messung von Kohlenmonoxid ist die Methode der nicht dispersiven Infraspe</w:t>
      </w:r>
      <w:r>
        <w:rPr>
          <w:rFonts w:cs="Arial"/>
        </w:rPr>
        <w:t>k</w:t>
      </w:r>
      <w:r>
        <w:rPr>
          <w:rFonts w:cs="Arial"/>
        </w:rPr>
        <w:t>tronomie (NDIR), die derzeit von CEN genormt wird. Solange keine genormte CEN-Methode vorliegt, können die zuständigen Behörden Standardmethoden auf der Grundlage der gleichen Messmethode verwenden.</w:t>
      </w:r>
    </w:p>
    <w:p>
      <w:pPr>
        <w:pStyle w:val="GesAbsatz"/>
        <w:ind w:left="426"/>
        <w:rPr>
          <w:rFonts w:cs="Arial"/>
        </w:rPr>
      </w:pPr>
      <w:r>
        <w:rPr>
          <w:rFonts w:cs="Arial"/>
        </w:rPr>
        <w:t>Es kann auch eine andere Methode verwendet werden, wenn nachgewiesen werden kann, dass diese gleichwertige Ergebnisse erbringt wie die obige Methode.</w:t>
      </w:r>
    </w:p>
    <w:p>
      <w:pPr>
        <w:pStyle w:val="GesAbsatz"/>
        <w:ind w:hanging="142"/>
        <w:rPr>
          <w:rFonts w:cs="Arial"/>
          <w:b/>
          <w:bCs/>
        </w:rPr>
      </w:pPr>
      <w:r>
        <w:rPr>
          <w:rFonts w:cs="Arial"/>
          <w:b/>
          <w:bCs/>
        </w:rPr>
        <w:t>VIII.</w:t>
      </w:r>
      <w:r>
        <w:rPr>
          <w:rFonts w:cs="Arial"/>
          <w:b/>
          <w:bCs/>
        </w:rPr>
        <w:tab/>
        <w:t>Referenz-/Modellberechnungstechniken</w:t>
      </w:r>
    </w:p>
    <w:p>
      <w:pPr>
        <w:pStyle w:val="GesAbsatz"/>
        <w:ind w:firstLine="426"/>
        <w:rPr>
          <w:rFonts w:ascii="HelveticaNeue-Roman" w:hAnsi="HelveticaNeue-Roman"/>
        </w:rPr>
      </w:pPr>
      <w:r>
        <w:rPr>
          <w:rFonts w:cs="Arial"/>
        </w:rPr>
        <w:t>Derzeit können noch keine Referenz-/Modellberechnungstechniken angegeben werden.</w:t>
      </w:r>
    </w:p>
    <w:p>
      <w:pPr>
        <w:pStyle w:val="berschrift2"/>
        <w:jc w:val="left"/>
      </w:pPr>
      <w:bookmarkStart w:id="33" w:name="_Toc174110521"/>
      <w:r>
        <w:rPr>
          <w:szCs w:val="18"/>
        </w:rPr>
        <w:lastRenderedPageBreak/>
        <w:t>Anlage 6</w:t>
      </w:r>
      <w:r>
        <w:rPr>
          <w:szCs w:val="18"/>
        </w:rPr>
        <w:br/>
      </w:r>
      <w:r>
        <w:t>In Plänen zur Verbesserung der Luftqualität zu berücksichtigende Informationen</w:t>
      </w:r>
      <w:bookmarkEnd w:id="33"/>
    </w:p>
    <w:p>
      <w:pPr>
        <w:pStyle w:val="GesAbsatz"/>
      </w:pPr>
      <w:r>
        <w:t>Nach Artikel 8 Abs. 3 der Richtlinie 96/62/EWG zu übermittelnde Informationen:</w:t>
      </w:r>
    </w:p>
    <w:p>
      <w:pPr>
        <w:pStyle w:val="GesAbsatz"/>
        <w:tabs>
          <w:tab w:val="clear" w:pos="425"/>
          <w:tab w:val="left" w:pos="426"/>
        </w:tabs>
      </w:pPr>
      <w:r>
        <w:t>1.</w:t>
      </w:r>
      <w:r>
        <w:tab/>
        <w:t>Ort des Überschreitens</w:t>
      </w:r>
    </w:p>
    <w:p>
      <w:pPr>
        <w:pStyle w:val="GesAbsatz"/>
        <w:ind w:left="851" w:hanging="425"/>
      </w:pPr>
      <w:r>
        <w:t>–</w:t>
      </w:r>
      <w:r>
        <w:tab/>
        <w:t>Region</w:t>
      </w:r>
    </w:p>
    <w:p>
      <w:pPr>
        <w:pStyle w:val="GesAbsatz"/>
        <w:ind w:left="851" w:hanging="425"/>
      </w:pPr>
      <w:r>
        <w:t>–</w:t>
      </w:r>
      <w:r>
        <w:tab/>
        <w:t>Ortschaft (Karte)</w:t>
      </w:r>
    </w:p>
    <w:p>
      <w:pPr>
        <w:pStyle w:val="GesAbsatz"/>
        <w:ind w:left="851" w:hanging="425"/>
      </w:pPr>
      <w:r>
        <w:t>–</w:t>
      </w:r>
      <w:r>
        <w:tab/>
        <w:t>Messstation (Karte, geographische Koordinaten)</w:t>
      </w:r>
    </w:p>
    <w:p>
      <w:pPr>
        <w:pStyle w:val="GesAbsatz"/>
        <w:tabs>
          <w:tab w:val="clear" w:pos="425"/>
        </w:tabs>
        <w:ind w:left="426" w:hanging="426"/>
      </w:pPr>
      <w:r>
        <w:t>2.</w:t>
      </w:r>
      <w:r>
        <w:tab/>
        <w:t>Allgemeine Informationen</w:t>
      </w:r>
    </w:p>
    <w:p>
      <w:pPr>
        <w:pStyle w:val="GesAbsatz"/>
        <w:tabs>
          <w:tab w:val="clear" w:pos="425"/>
          <w:tab w:val="left" w:pos="426"/>
          <w:tab w:val="left" w:pos="851"/>
        </w:tabs>
        <w:ind w:left="426"/>
      </w:pPr>
      <w:r>
        <w:t>–</w:t>
      </w:r>
      <w:r>
        <w:tab/>
        <w:t>Art des Gebiets (Stadt, Industrie- oder ländliches Gebiet)</w:t>
      </w:r>
    </w:p>
    <w:p>
      <w:pPr>
        <w:pStyle w:val="GesAbsatz"/>
        <w:tabs>
          <w:tab w:val="clear" w:pos="425"/>
          <w:tab w:val="left" w:pos="426"/>
          <w:tab w:val="left" w:pos="851"/>
        </w:tabs>
        <w:ind w:left="851" w:hanging="425"/>
      </w:pPr>
      <w:r>
        <w:t>–</w:t>
      </w:r>
      <w:r>
        <w:tab/>
        <w:t>Schätzung des verschmutzten Gebiets (km</w:t>
      </w:r>
      <w:r>
        <w:rPr>
          <w:szCs w:val="12"/>
          <w:vertAlign w:val="superscript"/>
        </w:rPr>
        <w:t>2</w:t>
      </w:r>
      <w:r>
        <w:t>) und der der Verschmutzung ausgesetzten Bevölk</w:t>
      </w:r>
      <w:r>
        <w:t>e</w:t>
      </w:r>
      <w:r>
        <w:t>rung</w:t>
      </w:r>
    </w:p>
    <w:p>
      <w:pPr>
        <w:pStyle w:val="GesAbsatz"/>
        <w:tabs>
          <w:tab w:val="clear" w:pos="425"/>
          <w:tab w:val="left" w:pos="426"/>
        </w:tabs>
        <w:ind w:left="851" w:hanging="425"/>
      </w:pPr>
      <w:r>
        <w:t>–</w:t>
      </w:r>
      <w:r>
        <w:tab/>
        <w:t>zweckdienliche Klimaangaben</w:t>
      </w:r>
    </w:p>
    <w:p>
      <w:pPr>
        <w:pStyle w:val="GesAbsatz"/>
        <w:tabs>
          <w:tab w:val="clear" w:pos="425"/>
          <w:tab w:val="left" w:pos="426"/>
        </w:tabs>
        <w:ind w:left="851" w:hanging="425"/>
      </w:pPr>
      <w:r>
        <w:t>–</w:t>
      </w:r>
      <w:r>
        <w:tab/>
        <w:t>zweckdienliche topographische Daten</w:t>
      </w:r>
    </w:p>
    <w:p>
      <w:pPr>
        <w:pStyle w:val="GesAbsatz"/>
        <w:tabs>
          <w:tab w:val="clear" w:pos="425"/>
          <w:tab w:val="left" w:pos="426"/>
        </w:tabs>
        <w:ind w:left="851" w:hanging="425"/>
      </w:pPr>
      <w:r>
        <w:t>–</w:t>
      </w:r>
      <w:r>
        <w:tab/>
        <w:t>ausreichende Informationen über die Art der in dem betreffenden Gebiet zu schützenden Zi</w:t>
      </w:r>
      <w:r>
        <w:t>e</w:t>
      </w:r>
      <w:r>
        <w:t>le</w:t>
      </w:r>
    </w:p>
    <w:p>
      <w:pPr>
        <w:pStyle w:val="GesAbsatz"/>
        <w:tabs>
          <w:tab w:val="clear" w:pos="425"/>
          <w:tab w:val="left" w:pos="426"/>
        </w:tabs>
      </w:pPr>
      <w:r>
        <w:t>3.</w:t>
      </w:r>
      <w:r>
        <w:tab/>
        <w:t>Zuständige Behörden</w:t>
      </w:r>
    </w:p>
    <w:p>
      <w:pPr>
        <w:pStyle w:val="GesAbsatz"/>
        <w:ind w:left="426"/>
      </w:pPr>
      <w:r>
        <w:t>Name und Anschrift der für die Ausarbeitung und Durchführung der Verbesserungspläne zuständigen Personen</w:t>
      </w:r>
    </w:p>
    <w:p>
      <w:pPr>
        <w:pStyle w:val="GesAbsatz"/>
        <w:tabs>
          <w:tab w:val="clear" w:pos="425"/>
          <w:tab w:val="left" w:pos="426"/>
        </w:tabs>
      </w:pPr>
      <w:r>
        <w:t>4.</w:t>
      </w:r>
      <w:r>
        <w:tab/>
        <w:t>Art und Beurteilung der Verschmutzung</w:t>
      </w:r>
    </w:p>
    <w:p>
      <w:pPr>
        <w:pStyle w:val="GesAbsatz"/>
        <w:tabs>
          <w:tab w:val="clear" w:pos="425"/>
          <w:tab w:val="left" w:pos="426"/>
        </w:tabs>
        <w:ind w:left="851" w:hanging="425"/>
      </w:pPr>
      <w:r>
        <w:t>–</w:t>
      </w:r>
      <w:r>
        <w:tab/>
        <w:t>in den vorangehenden Jahren (vor der Durchführung der Verbesserungsmaßnahmen) fes</w:t>
      </w:r>
      <w:r>
        <w:t>t</w:t>
      </w:r>
      <w:r>
        <w:t>gestellte Konzentrationen</w:t>
      </w:r>
    </w:p>
    <w:p>
      <w:pPr>
        <w:pStyle w:val="GesAbsatz"/>
        <w:tabs>
          <w:tab w:val="clear" w:pos="425"/>
          <w:tab w:val="left" w:pos="426"/>
        </w:tabs>
        <w:ind w:left="851" w:hanging="425"/>
      </w:pPr>
      <w:r>
        <w:t>–</w:t>
      </w:r>
      <w:r>
        <w:tab/>
        <w:t>seit dem Beginn des Vorhabens gemessene Konzentrationen</w:t>
      </w:r>
    </w:p>
    <w:p>
      <w:pPr>
        <w:pStyle w:val="GesAbsatz"/>
        <w:tabs>
          <w:tab w:val="clear" w:pos="425"/>
          <w:tab w:val="left" w:pos="426"/>
        </w:tabs>
        <w:ind w:left="851" w:hanging="425"/>
      </w:pPr>
      <w:r>
        <w:t>–</w:t>
      </w:r>
      <w:r>
        <w:tab/>
        <w:t>angewandte Beurteilung</w:t>
      </w:r>
      <w:r>
        <w:t>s</w:t>
      </w:r>
      <w:r>
        <w:t>techniken</w:t>
      </w:r>
    </w:p>
    <w:p>
      <w:pPr>
        <w:pStyle w:val="GesAbsatz"/>
        <w:tabs>
          <w:tab w:val="clear" w:pos="425"/>
          <w:tab w:val="left" w:pos="426"/>
        </w:tabs>
      </w:pPr>
      <w:r>
        <w:t>5.</w:t>
      </w:r>
      <w:r>
        <w:tab/>
        <w:t>Ursprung der Verschmutzung</w:t>
      </w:r>
    </w:p>
    <w:p>
      <w:pPr>
        <w:pStyle w:val="GesAbsatz"/>
        <w:ind w:left="851" w:hanging="425"/>
      </w:pPr>
      <w:r>
        <w:t>–</w:t>
      </w:r>
      <w:r>
        <w:tab/>
        <w:t>Liste der wichtigsten Emissionsquellen, die für die Verschmutzung verantwortlich sind (Karte)</w:t>
      </w:r>
    </w:p>
    <w:p>
      <w:pPr>
        <w:pStyle w:val="GesAbsatz"/>
        <w:ind w:left="851" w:hanging="425"/>
      </w:pPr>
      <w:r>
        <w:t>–</w:t>
      </w:r>
      <w:r>
        <w:tab/>
        <w:t>Gesamtmenge der Emissionen aus diesen Quellen (Tonnen/Jahr)</w:t>
      </w:r>
    </w:p>
    <w:p>
      <w:pPr>
        <w:pStyle w:val="GesAbsatz"/>
        <w:ind w:left="851" w:hanging="425"/>
      </w:pPr>
      <w:r>
        <w:t>–</w:t>
      </w:r>
      <w:r>
        <w:tab/>
        <w:t>Informationen über Verschmutzungen, die aus anderen Gebieten stammen</w:t>
      </w:r>
    </w:p>
    <w:p>
      <w:pPr>
        <w:pStyle w:val="GesAbsatz"/>
        <w:tabs>
          <w:tab w:val="clear" w:pos="425"/>
          <w:tab w:val="left" w:pos="426"/>
        </w:tabs>
      </w:pPr>
      <w:r>
        <w:t>6.</w:t>
      </w:r>
      <w:r>
        <w:tab/>
        <w:t>Lageanalyse</w:t>
      </w:r>
    </w:p>
    <w:p>
      <w:pPr>
        <w:pStyle w:val="GesAbsatz"/>
        <w:tabs>
          <w:tab w:val="clear" w:pos="425"/>
          <w:tab w:val="left" w:pos="426"/>
        </w:tabs>
        <w:ind w:left="851" w:hanging="425"/>
      </w:pPr>
      <w:r>
        <w:t>-</w:t>
      </w:r>
      <w:r>
        <w:tab/>
        <w:t>Einzelheiten über Faktoren, die zu den Überschreitungen geführt haben (Verfrachtung, einschlie</w:t>
      </w:r>
      <w:r>
        <w:t>ß</w:t>
      </w:r>
      <w:r>
        <w:t>lich grenzüberschreitende</w:t>
      </w:r>
    </w:p>
    <w:p>
      <w:pPr>
        <w:pStyle w:val="GesAbsatz"/>
        <w:tabs>
          <w:tab w:val="clear" w:pos="425"/>
          <w:tab w:val="left" w:pos="426"/>
        </w:tabs>
        <w:ind w:left="851" w:hanging="425"/>
      </w:pPr>
      <w:r>
        <w:t>-</w:t>
      </w:r>
      <w:r>
        <w:tab/>
        <w:t>Verfrachtung, Entstehung)</w:t>
      </w:r>
    </w:p>
    <w:p>
      <w:pPr>
        <w:pStyle w:val="GesAbsatz"/>
        <w:tabs>
          <w:tab w:val="clear" w:pos="425"/>
          <w:tab w:val="left" w:pos="426"/>
        </w:tabs>
        <w:ind w:left="851" w:hanging="425"/>
      </w:pPr>
      <w:r>
        <w:t>-</w:t>
      </w:r>
      <w:r>
        <w:tab/>
        <w:t>Einzelheiten über mögliche Maßnahmen zur Verbesserung der Luftqualität</w:t>
      </w:r>
    </w:p>
    <w:p>
      <w:pPr>
        <w:pStyle w:val="GesAbsatz"/>
        <w:tabs>
          <w:tab w:val="clear" w:pos="425"/>
          <w:tab w:val="left" w:pos="426"/>
        </w:tabs>
        <w:ind w:left="426" w:hanging="426"/>
      </w:pPr>
      <w:r>
        <w:t>7.</w:t>
      </w:r>
      <w:r>
        <w:tab/>
        <w:t>Angaben zu den bereits vor dem Inkrafttreten dieser Richtlinie durchgeführten Maßnahmen oder best</w:t>
      </w:r>
      <w:r>
        <w:t>e</w:t>
      </w:r>
      <w:r>
        <w:t>henden Verbesserungsvorhaben</w:t>
      </w:r>
    </w:p>
    <w:p>
      <w:pPr>
        <w:pStyle w:val="GesAbsatz"/>
        <w:tabs>
          <w:tab w:val="clear" w:pos="425"/>
          <w:tab w:val="left" w:pos="426"/>
        </w:tabs>
        <w:ind w:left="851" w:hanging="425"/>
      </w:pPr>
      <w:r>
        <w:t>-</w:t>
      </w:r>
      <w:r>
        <w:tab/>
        <w:t>örtliche, regionale, nationale und internationale Maßnahmen</w:t>
      </w:r>
    </w:p>
    <w:p>
      <w:pPr>
        <w:pStyle w:val="GesAbsatz"/>
        <w:tabs>
          <w:tab w:val="clear" w:pos="425"/>
          <w:tab w:val="left" w:pos="426"/>
        </w:tabs>
        <w:ind w:left="851" w:hanging="425"/>
      </w:pPr>
      <w:r>
        <w:t>-</w:t>
      </w:r>
      <w:r>
        <w:tab/>
        <w:t>festgestellte Wirkungen</w:t>
      </w:r>
    </w:p>
    <w:p>
      <w:pPr>
        <w:pStyle w:val="GesAbsatz"/>
        <w:tabs>
          <w:tab w:val="clear" w:pos="425"/>
          <w:tab w:val="left" w:pos="426"/>
        </w:tabs>
        <w:ind w:left="426" w:hanging="426"/>
      </w:pPr>
      <w:r>
        <w:t>8.</w:t>
      </w:r>
      <w:r>
        <w:tab/>
        <w:t>Angaben zu den nach dem Inkrafttreten dieser Richtlinie zur Verminderung der Verschmutzung b</w:t>
      </w:r>
      <w:r>
        <w:t>e</w:t>
      </w:r>
      <w:r>
        <w:t>schlossenen Maßnahmen oder Vorhaben</w:t>
      </w:r>
    </w:p>
    <w:p>
      <w:pPr>
        <w:pStyle w:val="GesAbsatz"/>
        <w:tabs>
          <w:tab w:val="clear" w:pos="425"/>
          <w:tab w:val="left" w:pos="426"/>
        </w:tabs>
        <w:ind w:left="851" w:hanging="425"/>
      </w:pPr>
      <w:r>
        <w:t>–</w:t>
      </w:r>
      <w:r>
        <w:tab/>
        <w:t>Auflistung und Beschreibung aller im Vorhaben genannten Maßnahmen</w:t>
      </w:r>
    </w:p>
    <w:p>
      <w:pPr>
        <w:pStyle w:val="GesAbsatz"/>
        <w:tabs>
          <w:tab w:val="clear" w:pos="425"/>
          <w:tab w:val="left" w:pos="426"/>
        </w:tabs>
        <w:ind w:left="851" w:hanging="425"/>
      </w:pPr>
      <w:r>
        <w:t>–</w:t>
      </w:r>
      <w:r>
        <w:tab/>
        <w:t>Zeitplan für die Durchführung</w:t>
      </w:r>
    </w:p>
    <w:p>
      <w:pPr>
        <w:pStyle w:val="GesAbsatz"/>
        <w:tabs>
          <w:tab w:val="clear" w:pos="425"/>
          <w:tab w:val="left" w:pos="426"/>
        </w:tabs>
        <w:ind w:left="851" w:hanging="425"/>
      </w:pPr>
      <w:r>
        <w:t>–</w:t>
      </w:r>
      <w:r>
        <w:tab/>
        <w:t>Schätzung der zu erwartenden Verbesserung der Luftqualität und der für die Verwirklichung dieser Ziele vorgesehenen Frist</w:t>
      </w:r>
    </w:p>
    <w:p>
      <w:pPr>
        <w:pStyle w:val="GesAbsatz"/>
        <w:tabs>
          <w:tab w:val="clear" w:pos="425"/>
          <w:tab w:val="left" w:pos="426"/>
        </w:tabs>
      </w:pPr>
      <w:r>
        <w:t>9.</w:t>
      </w:r>
      <w:r>
        <w:tab/>
        <w:t>Angaben zu den geplanten oder langfristig angestrebten Maßnahmen oder Vorhaben</w:t>
      </w:r>
    </w:p>
    <w:p>
      <w:pPr>
        <w:pStyle w:val="GesAbsatz"/>
        <w:ind w:left="426" w:hanging="426"/>
      </w:pPr>
      <w:r>
        <w:t>10.</w:t>
      </w:r>
      <w:r>
        <w:tab/>
        <w:t>Liste der Veröffentlichungen, Dokumente, Arbeiten usw., die die in dieser Anlage vorgeschriebenen I</w:t>
      </w:r>
      <w:r>
        <w:t>n</w:t>
      </w:r>
      <w:r>
        <w:t>formationen ergänzen</w:t>
      </w:r>
    </w:p>
    <w:p>
      <w:pPr>
        <w:pStyle w:val="berschrift2"/>
        <w:jc w:val="left"/>
      </w:pPr>
      <w:bookmarkStart w:id="34" w:name="_Toc174110522"/>
      <w:r>
        <w:lastRenderedPageBreak/>
        <w:t>Anlage 7</w:t>
      </w:r>
      <w:r>
        <w:br/>
        <w:t>Mindestinformation der Öffentlichkeit bei Überschreiten der Alarmschwellen für Schwefeldioxid und Stic</w:t>
      </w:r>
      <w:r>
        <w:t>k</w:t>
      </w:r>
      <w:r>
        <w:t>stoffdioxid</w:t>
      </w:r>
      <w:bookmarkEnd w:id="34"/>
    </w:p>
    <w:p>
      <w:pPr>
        <w:pStyle w:val="GesAbsatz"/>
        <w:rPr>
          <w:rFonts w:cs="Arial"/>
        </w:rPr>
      </w:pPr>
      <w:r>
        <w:rPr>
          <w:rFonts w:cs="Arial"/>
        </w:rPr>
        <w:t>Die Informationen, die der Öffentlichkeit zugänglich zu machen sind, sollten mindestens folgende Punkte umfassen:</w:t>
      </w:r>
    </w:p>
    <w:p>
      <w:pPr>
        <w:pStyle w:val="GesAbsatz"/>
        <w:tabs>
          <w:tab w:val="clear" w:pos="425"/>
          <w:tab w:val="left" w:pos="426"/>
        </w:tabs>
        <w:ind w:left="426" w:hanging="426"/>
        <w:rPr>
          <w:rFonts w:cs="Arial"/>
        </w:rPr>
      </w:pPr>
      <w:r>
        <w:rPr>
          <w:rFonts w:cs="Arial"/>
        </w:rPr>
        <w:t>-</w:t>
      </w:r>
      <w:r>
        <w:rPr>
          <w:rFonts w:cs="Arial"/>
        </w:rPr>
        <w:tab/>
        <w:t>Datum, Uhrzeit und Ort der Überschreitung sowie die Gründe für diese Überschreitungen, sofern b</w:t>
      </w:r>
      <w:r>
        <w:rPr>
          <w:rFonts w:cs="Arial"/>
        </w:rPr>
        <w:t>e</w:t>
      </w:r>
      <w:r>
        <w:rPr>
          <w:rFonts w:cs="Arial"/>
        </w:rPr>
        <w:t>kannt;</w:t>
      </w:r>
    </w:p>
    <w:p>
      <w:pPr>
        <w:pStyle w:val="GesAbsatz"/>
        <w:tabs>
          <w:tab w:val="clear" w:pos="425"/>
          <w:tab w:val="left" w:pos="426"/>
        </w:tabs>
        <w:rPr>
          <w:rFonts w:cs="Arial"/>
        </w:rPr>
      </w:pPr>
      <w:r>
        <w:rPr>
          <w:rFonts w:cs="Arial"/>
        </w:rPr>
        <w:t>-</w:t>
      </w:r>
      <w:r>
        <w:rPr>
          <w:rFonts w:cs="Arial"/>
        </w:rPr>
        <w:tab/>
        <w:t>Vorhersagen:</w:t>
      </w:r>
    </w:p>
    <w:p>
      <w:pPr>
        <w:pStyle w:val="GesAbsatz"/>
        <w:tabs>
          <w:tab w:val="clear" w:pos="425"/>
          <w:tab w:val="left" w:pos="426"/>
        </w:tabs>
        <w:ind w:left="851" w:hanging="425"/>
        <w:rPr>
          <w:rFonts w:cs="Arial"/>
        </w:rPr>
      </w:pPr>
      <w:r>
        <w:rPr>
          <w:rFonts w:cs="Arial"/>
        </w:rPr>
        <w:t>-</w:t>
      </w:r>
      <w:r>
        <w:rPr>
          <w:rFonts w:cs="Arial"/>
        </w:rPr>
        <w:tab/>
        <w:t>Änderungen der Konzentration (Verbesserung, Stabilisierung oder Verschlechterung) sowie die Gründe für diese Änderungen;</w:t>
      </w:r>
    </w:p>
    <w:p>
      <w:pPr>
        <w:pStyle w:val="GesAbsatz"/>
        <w:tabs>
          <w:tab w:val="clear" w:pos="425"/>
          <w:tab w:val="left" w:pos="426"/>
        </w:tabs>
        <w:ind w:left="851" w:hanging="425"/>
        <w:rPr>
          <w:rFonts w:cs="Arial"/>
        </w:rPr>
      </w:pPr>
      <w:r>
        <w:rPr>
          <w:rFonts w:cs="Arial"/>
        </w:rPr>
        <w:t>-</w:t>
      </w:r>
      <w:r>
        <w:rPr>
          <w:rFonts w:cs="Arial"/>
        </w:rPr>
        <w:tab/>
        <w:t>betroffenen geographischen Bereich;</w:t>
      </w:r>
    </w:p>
    <w:p>
      <w:pPr>
        <w:pStyle w:val="GesAbsatz"/>
        <w:tabs>
          <w:tab w:val="clear" w:pos="425"/>
          <w:tab w:val="left" w:pos="426"/>
        </w:tabs>
        <w:ind w:left="851" w:hanging="425"/>
        <w:rPr>
          <w:rFonts w:cs="Arial"/>
        </w:rPr>
      </w:pPr>
      <w:r>
        <w:rPr>
          <w:rFonts w:cs="Arial"/>
        </w:rPr>
        <w:t>-</w:t>
      </w:r>
      <w:r>
        <w:rPr>
          <w:rFonts w:cs="Arial"/>
        </w:rPr>
        <w:tab/>
        <w:t>Dauer der Überschreitung;</w:t>
      </w:r>
    </w:p>
    <w:p>
      <w:pPr>
        <w:pStyle w:val="GesAbsatz"/>
        <w:tabs>
          <w:tab w:val="clear" w:pos="425"/>
          <w:tab w:val="left" w:pos="426"/>
        </w:tabs>
        <w:ind w:left="851" w:hanging="425"/>
        <w:rPr>
          <w:rFonts w:cs="Arial"/>
        </w:rPr>
      </w:pPr>
      <w:r>
        <w:rPr>
          <w:rFonts w:cs="Arial"/>
        </w:rPr>
        <w:t>-</w:t>
      </w:r>
      <w:r>
        <w:rPr>
          <w:rFonts w:cs="Arial"/>
        </w:rPr>
        <w:tab/>
        <w:t>gegen die Überschreitung potenziell empfindliche Personengruppen;</w:t>
      </w:r>
    </w:p>
    <w:p>
      <w:pPr>
        <w:pStyle w:val="GesAbsatz"/>
        <w:tabs>
          <w:tab w:val="clear" w:pos="425"/>
          <w:tab w:val="left" w:pos="426"/>
        </w:tabs>
        <w:ind w:left="851" w:hanging="425"/>
        <w:rPr>
          <w:rFonts w:cs="Arial"/>
        </w:rPr>
      </w:pPr>
      <w:r>
        <w:rPr>
          <w:rFonts w:cs="Arial"/>
        </w:rPr>
        <w:t>-</w:t>
      </w:r>
      <w:r>
        <w:rPr>
          <w:rFonts w:cs="Arial"/>
        </w:rPr>
        <w:tab/>
        <w:t>von den betroffenen empfindlichen Personengruppen vorbeugend zu ergreifende Maßna</w:t>
      </w:r>
      <w:r>
        <w:rPr>
          <w:rFonts w:cs="Arial"/>
        </w:rPr>
        <w:t>h</w:t>
      </w:r>
      <w:r>
        <w:rPr>
          <w:rFonts w:cs="Arial"/>
        </w:rPr>
        <w:t>men.</w:t>
      </w:r>
    </w:p>
    <w:p>
      <w:pPr>
        <w:pStyle w:val="berschrift2"/>
        <w:jc w:val="left"/>
      </w:pPr>
      <w:bookmarkStart w:id="35" w:name="_Toc174110523"/>
      <w:r>
        <w:t>Anlage 8</w:t>
      </w:r>
      <w:r>
        <w:br/>
        <w:t>Festlegung der Anforderungen an die Beurteilung der Immissionskonzentrationen von Arsen, Kadmium, Nickel und Benzo(a)pyren innerhalb eines Gebiets oder Ba</w:t>
      </w:r>
      <w:r>
        <w:t>l</w:t>
      </w:r>
      <w:r>
        <w:t>lungsraums</w:t>
      </w:r>
      <w:bookmarkEnd w:id="35"/>
    </w:p>
    <w:p>
      <w:pPr>
        <w:pStyle w:val="GesAbsatz"/>
        <w:rPr>
          <w:b/>
        </w:rPr>
      </w:pPr>
      <w:r>
        <w:rPr>
          <w:b/>
        </w:rPr>
        <w:t>I. Obere und untere Beurteilungsschwellen</w:t>
      </w:r>
    </w:p>
    <w:p>
      <w:pPr>
        <w:pStyle w:val="GesAbsatz"/>
      </w:pPr>
      <w:r>
        <w:t>Es gelten die folgenden oberen und unteren Beurteilungsschwellen:</w:t>
      </w:r>
    </w:p>
    <w:p>
      <w:pPr>
        <w:pStyle w:val="GesAbsatz"/>
      </w:pPr>
    </w:p>
    <w:tbl>
      <w:tblPr>
        <w:tblW w:w="8505" w:type="dxa"/>
        <w:jc w:val="center"/>
        <w:tblBorders>
          <w:top w:val="nil"/>
          <w:left w:val="nil"/>
          <w:bottom w:val="nil"/>
          <w:right w:val="nil"/>
        </w:tblBorders>
        <w:tblLook w:val="0000" w:firstRow="0" w:lastRow="0" w:firstColumn="0" w:lastColumn="0" w:noHBand="0" w:noVBand="0"/>
      </w:tblPr>
      <w:tblGrid>
        <w:gridCol w:w="2859"/>
        <w:gridCol w:w="1360"/>
        <w:gridCol w:w="1428"/>
        <w:gridCol w:w="1428"/>
        <w:gridCol w:w="1430"/>
      </w:tblGrid>
      <w:tr>
        <w:tblPrEx>
          <w:tblCellMar>
            <w:top w:w="0" w:type="dxa"/>
            <w:bottom w:w="0" w:type="dxa"/>
          </w:tblCellMar>
        </w:tblPrEx>
        <w:trPr>
          <w:trHeight w:val="355"/>
          <w:jc w:val="center"/>
        </w:trPr>
        <w:tc>
          <w:tcPr>
            <w:tcW w:w="2859" w:type="dxa"/>
            <w:tcBorders>
              <w:top w:val="single" w:sz="5" w:space="0" w:color="000000"/>
              <w:left w:val="single" w:sz="6" w:space="0" w:color="000000"/>
              <w:bottom w:val="single" w:sz="5" w:space="0" w:color="000000"/>
              <w:right w:val="single" w:sz="5" w:space="0" w:color="000000"/>
            </w:tcBorders>
          </w:tcPr>
          <w:p>
            <w:pPr>
              <w:pStyle w:val="GesAbsatz"/>
            </w:pPr>
          </w:p>
        </w:tc>
        <w:tc>
          <w:tcPr>
            <w:tcW w:w="1360" w:type="dxa"/>
            <w:tcBorders>
              <w:top w:val="single" w:sz="5" w:space="0" w:color="000000"/>
              <w:left w:val="single" w:sz="5" w:space="0" w:color="000000"/>
              <w:bottom w:val="single" w:sz="5" w:space="0" w:color="000000"/>
              <w:right w:val="single" w:sz="6" w:space="0" w:color="000000"/>
            </w:tcBorders>
            <w:vAlign w:val="center"/>
          </w:tcPr>
          <w:p>
            <w:pPr>
              <w:pStyle w:val="GesAbsatz"/>
              <w:jc w:val="center"/>
            </w:pPr>
            <w:r>
              <w:t>Arsen</w:t>
            </w:r>
          </w:p>
        </w:tc>
        <w:tc>
          <w:tcPr>
            <w:tcW w:w="1428" w:type="dxa"/>
            <w:tcBorders>
              <w:top w:val="single" w:sz="5" w:space="0" w:color="000000"/>
              <w:left w:val="single" w:sz="6" w:space="0" w:color="000000"/>
              <w:bottom w:val="single" w:sz="5" w:space="0" w:color="000000"/>
              <w:right w:val="single" w:sz="5" w:space="0" w:color="000000"/>
            </w:tcBorders>
            <w:vAlign w:val="center"/>
          </w:tcPr>
          <w:p>
            <w:pPr>
              <w:pStyle w:val="GesAbsatz"/>
              <w:jc w:val="center"/>
            </w:pPr>
            <w:r>
              <w:t>Kadmium</w:t>
            </w:r>
          </w:p>
        </w:tc>
        <w:tc>
          <w:tcPr>
            <w:tcW w:w="1428" w:type="dxa"/>
            <w:tcBorders>
              <w:top w:val="single" w:sz="5" w:space="0" w:color="000000"/>
              <w:left w:val="single" w:sz="5" w:space="0" w:color="000000"/>
              <w:bottom w:val="single" w:sz="5" w:space="0" w:color="000000"/>
              <w:right w:val="single" w:sz="5" w:space="0" w:color="000000"/>
            </w:tcBorders>
            <w:vAlign w:val="center"/>
          </w:tcPr>
          <w:p>
            <w:pPr>
              <w:pStyle w:val="GesAbsatz"/>
              <w:jc w:val="center"/>
            </w:pPr>
            <w:r>
              <w:t>Nickel</w:t>
            </w:r>
          </w:p>
        </w:tc>
        <w:tc>
          <w:tcPr>
            <w:tcW w:w="1430" w:type="dxa"/>
            <w:tcBorders>
              <w:top w:val="single" w:sz="5" w:space="0" w:color="000000"/>
              <w:left w:val="single" w:sz="5" w:space="0" w:color="000000"/>
              <w:bottom w:val="single" w:sz="5" w:space="0" w:color="000000"/>
              <w:right w:val="single" w:sz="6" w:space="0" w:color="000000"/>
            </w:tcBorders>
            <w:vAlign w:val="center"/>
          </w:tcPr>
          <w:p>
            <w:pPr>
              <w:pStyle w:val="GesAbsatz"/>
              <w:jc w:val="center"/>
            </w:pPr>
            <w:r>
              <w:t>B(a)P</w:t>
            </w:r>
          </w:p>
        </w:tc>
      </w:tr>
      <w:tr>
        <w:tblPrEx>
          <w:tblCellMar>
            <w:top w:w="0" w:type="dxa"/>
            <w:bottom w:w="0" w:type="dxa"/>
          </w:tblCellMar>
        </w:tblPrEx>
        <w:trPr>
          <w:trHeight w:val="523"/>
          <w:jc w:val="center"/>
        </w:trPr>
        <w:tc>
          <w:tcPr>
            <w:tcW w:w="2859" w:type="dxa"/>
            <w:tcBorders>
              <w:top w:val="single" w:sz="5" w:space="0" w:color="000000"/>
              <w:left w:val="single" w:sz="6" w:space="0" w:color="000000"/>
              <w:bottom w:val="single" w:sz="6" w:space="0" w:color="000000"/>
              <w:right w:val="single" w:sz="5" w:space="0" w:color="000000"/>
            </w:tcBorders>
            <w:vAlign w:val="center"/>
          </w:tcPr>
          <w:p>
            <w:pPr>
              <w:pStyle w:val="GesAbsatz"/>
            </w:pPr>
            <w:r>
              <w:t xml:space="preserve">Obere Beurteilungsschwelle in Prozent des Zielwertes </w:t>
            </w:r>
          </w:p>
        </w:tc>
        <w:tc>
          <w:tcPr>
            <w:tcW w:w="1360" w:type="dxa"/>
            <w:tcBorders>
              <w:top w:val="single" w:sz="5" w:space="0" w:color="000000"/>
              <w:left w:val="single" w:sz="5" w:space="0" w:color="000000"/>
              <w:bottom w:val="single" w:sz="6" w:space="0" w:color="000000"/>
              <w:right w:val="single" w:sz="6" w:space="0" w:color="000000"/>
            </w:tcBorders>
            <w:vAlign w:val="center"/>
          </w:tcPr>
          <w:p>
            <w:pPr>
              <w:pStyle w:val="GesAbsatz"/>
              <w:jc w:val="center"/>
            </w:pPr>
            <w:r>
              <w:t>60 %</w:t>
            </w:r>
            <w:r>
              <w:br/>
              <w:t>(3,6 ng/m³)</w:t>
            </w:r>
          </w:p>
        </w:tc>
        <w:tc>
          <w:tcPr>
            <w:tcW w:w="1428" w:type="dxa"/>
            <w:tcBorders>
              <w:top w:val="single" w:sz="5" w:space="0" w:color="000000"/>
              <w:left w:val="single" w:sz="6" w:space="0" w:color="000000"/>
              <w:bottom w:val="single" w:sz="6" w:space="0" w:color="000000"/>
              <w:right w:val="single" w:sz="5" w:space="0" w:color="000000"/>
            </w:tcBorders>
            <w:vAlign w:val="center"/>
          </w:tcPr>
          <w:p>
            <w:pPr>
              <w:pStyle w:val="GesAbsatz"/>
              <w:jc w:val="center"/>
            </w:pPr>
            <w:r>
              <w:t>60 %</w:t>
            </w:r>
            <w:r>
              <w:br/>
              <w:t>(3 ng/m³)</w:t>
            </w:r>
          </w:p>
        </w:tc>
        <w:tc>
          <w:tcPr>
            <w:tcW w:w="1428" w:type="dxa"/>
            <w:tcBorders>
              <w:top w:val="single" w:sz="5" w:space="0" w:color="000000"/>
              <w:left w:val="single" w:sz="5" w:space="0" w:color="000000"/>
              <w:bottom w:val="single" w:sz="6" w:space="0" w:color="000000"/>
              <w:right w:val="single" w:sz="5" w:space="0" w:color="000000"/>
            </w:tcBorders>
            <w:vAlign w:val="center"/>
          </w:tcPr>
          <w:p>
            <w:pPr>
              <w:pStyle w:val="GesAbsatz"/>
              <w:jc w:val="center"/>
            </w:pPr>
            <w:r>
              <w:t>70 %</w:t>
            </w:r>
            <w:r>
              <w:br/>
              <w:t>(14 ng/m³)</w:t>
            </w:r>
          </w:p>
        </w:tc>
        <w:tc>
          <w:tcPr>
            <w:tcW w:w="1430" w:type="dxa"/>
            <w:tcBorders>
              <w:top w:val="single" w:sz="5" w:space="0" w:color="000000"/>
              <w:left w:val="single" w:sz="5" w:space="0" w:color="000000"/>
              <w:bottom w:val="single" w:sz="6" w:space="0" w:color="000000"/>
              <w:right w:val="single" w:sz="6" w:space="0" w:color="000000"/>
            </w:tcBorders>
            <w:vAlign w:val="center"/>
          </w:tcPr>
          <w:p>
            <w:pPr>
              <w:pStyle w:val="GesAbsatz"/>
              <w:jc w:val="center"/>
            </w:pPr>
            <w:r>
              <w:t>60 %</w:t>
            </w:r>
            <w:r>
              <w:br/>
              <w:t>(0,6 ng/m³)</w:t>
            </w:r>
          </w:p>
        </w:tc>
      </w:tr>
      <w:tr>
        <w:tblPrEx>
          <w:tblCellMar>
            <w:top w:w="0" w:type="dxa"/>
            <w:bottom w:w="0" w:type="dxa"/>
          </w:tblCellMar>
        </w:tblPrEx>
        <w:trPr>
          <w:trHeight w:val="520"/>
          <w:jc w:val="center"/>
        </w:trPr>
        <w:tc>
          <w:tcPr>
            <w:tcW w:w="2859" w:type="dxa"/>
            <w:tcBorders>
              <w:top w:val="single" w:sz="6" w:space="0" w:color="000000"/>
              <w:left w:val="single" w:sz="6" w:space="0" w:color="000000"/>
              <w:bottom w:val="single" w:sz="5" w:space="0" w:color="000000"/>
              <w:right w:val="single" w:sz="5" w:space="0" w:color="000000"/>
            </w:tcBorders>
            <w:vAlign w:val="center"/>
          </w:tcPr>
          <w:p>
            <w:pPr>
              <w:pStyle w:val="GesAbsatz"/>
            </w:pPr>
            <w:r>
              <w:t xml:space="preserve">Untere Beurteilungsschwelle in Prozent des Zielwertes </w:t>
            </w:r>
          </w:p>
        </w:tc>
        <w:tc>
          <w:tcPr>
            <w:tcW w:w="1360" w:type="dxa"/>
            <w:tcBorders>
              <w:top w:val="single" w:sz="6" w:space="0" w:color="000000"/>
              <w:left w:val="single" w:sz="5" w:space="0" w:color="000000"/>
              <w:bottom w:val="single" w:sz="5" w:space="0" w:color="000000"/>
              <w:right w:val="single" w:sz="6" w:space="0" w:color="000000"/>
            </w:tcBorders>
            <w:vAlign w:val="center"/>
          </w:tcPr>
          <w:p>
            <w:pPr>
              <w:pStyle w:val="GesAbsatz"/>
              <w:jc w:val="center"/>
            </w:pPr>
            <w:r>
              <w:t>40 %</w:t>
            </w:r>
            <w:r>
              <w:br/>
              <w:t>(2,4 ng/m³)</w:t>
            </w:r>
          </w:p>
        </w:tc>
        <w:tc>
          <w:tcPr>
            <w:tcW w:w="1428" w:type="dxa"/>
            <w:tcBorders>
              <w:top w:val="single" w:sz="6" w:space="0" w:color="000000"/>
              <w:left w:val="single" w:sz="6" w:space="0" w:color="000000"/>
              <w:bottom w:val="single" w:sz="5" w:space="0" w:color="000000"/>
              <w:right w:val="single" w:sz="5" w:space="0" w:color="000000"/>
            </w:tcBorders>
            <w:vAlign w:val="center"/>
          </w:tcPr>
          <w:p>
            <w:pPr>
              <w:pStyle w:val="GesAbsatz"/>
              <w:jc w:val="center"/>
            </w:pPr>
            <w:r>
              <w:t>40 %</w:t>
            </w:r>
            <w:r>
              <w:br/>
              <w:t>(2 ng/m³)</w:t>
            </w:r>
          </w:p>
        </w:tc>
        <w:tc>
          <w:tcPr>
            <w:tcW w:w="1428" w:type="dxa"/>
            <w:tcBorders>
              <w:top w:val="single" w:sz="6" w:space="0" w:color="000000"/>
              <w:left w:val="single" w:sz="5" w:space="0" w:color="000000"/>
              <w:bottom w:val="single" w:sz="5" w:space="0" w:color="000000"/>
              <w:right w:val="single" w:sz="5" w:space="0" w:color="000000"/>
            </w:tcBorders>
            <w:vAlign w:val="center"/>
          </w:tcPr>
          <w:p>
            <w:pPr>
              <w:pStyle w:val="GesAbsatz"/>
              <w:jc w:val="center"/>
            </w:pPr>
            <w:r>
              <w:t>50 %</w:t>
            </w:r>
            <w:r>
              <w:br/>
              <w:t>(10 ng/m³)</w:t>
            </w:r>
          </w:p>
        </w:tc>
        <w:tc>
          <w:tcPr>
            <w:tcW w:w="1430" w:type="dxa"/>
            <w:tcBorders>
              <w:top w:val="single" w:sz="6" w:space="0" w:color="000000"/>
              <w:left w:val="single" w:sz="5" w:space="0" w:color="000000"/>
              <w:bottom w:val="single" w:sz="5" w:space="0" w:color="000000"/>
              <w:right w:val="single" w:sz="6" w:space="0" w:color="000000"/>
            </w:tcBorders>
            <w:vAlign w:val="center"/>
          </w:tcPr>
          <w:p>
            <w:pPr>
              <w:pStyle w:val="GesAbsatz"/>
              <w:jc w:val="center"/>
            </w:pPr>
            <w:r>
              <w:t>40 %</w:t>
            </w:r>
            <w:r>
              <w:br/>
              <w:t>(0,4 ng/m³)</w:t>
            </w:r>
          </w:p>
        </w:tc>
      </w:tr>
    </w:tbl>
    <w:p>
      <w:pPr>
        <w:pStyle w:val="GesAbsatz"/>
      </w:pPr>
    </w:p>
    <w:p>
      <w:pPr>
        <w:pStyle w:val="GesAbsatz"/>
        <w:rPr>
          <w:b/>
        </w:rPr>
      </w:pPr>
      <w:r>
        <w:rPr>
          <w:b/>
        </w:rPr>
        <w:t>II. Ermittlung der Überschreitung der obere n und unteren Beurteilungsschwellen</w:t>
      </w:r>
    </w:p>
    <w:p>
      <w:pPr>
        <w:pStyle w:val="GesAbsatz"/>
      </w:pPr>
      <w:r>
        <w:t>Die Überschreitung der oberen und unteren Beurteilungsschwellen ist auf der Grundlage der Konzentrati</w:t>
      </w:r>
      <w:r>
        <w:t>o</w:t>
      </w:r>
      <w:r>
        <w:t>nen während der vorangegangenen fünf Jahre zu ermitteln, sofern entsprechende Daten vorliegen. Eine Beurte</w:t>
      </w:r>
      <w:r>
        <w:t>i</w:t>
      </w:r>
      <w:r>
        <w:t>lungsschwelle gilt als überschritten, wenn sie in den vorangegangenen fünf Jahren während minde</w:t>
      </w:r>
      <w:r>
        <w:t>s</w:t>
      </w:r>
      <w:r>
        <w:t>tens drei Kalenderjahren überschritten worden ist.</w:t>
      </w:r>
    </w:p>
    <w:p>
      <w:pPr>
        <w:pStyle w:val="GesAbsatz"/>
      </w:pPr>
      <w:r>
        <w:t>Wenn weniger Daten als für die letzten fünf Jahre vorliegen, können die Mitgliedstaaten eine Überschre</w:t>
      </w:r>
      <w:r>
        <w:t>i</w:t>
      </w:r>
      <w:r>
        <w:t>tung der oberen und unteren Beurteilungsschwellen ermitteln, indem sie in der Jahreszeit und an den Standorten, während der bzw. an denen typischerweise die stärkste Verschmutzung auftritt, Messkampa</w:t>
      </w:r>
      <w:r>
        <w:t>g</w:t>
      </w:r>
      <w:r>
        <w:t>nen kurzer Dauer durch Erkenntnisse ergänzen, die aus Daten von Emissionskatastern und aus Modellen abgeleitet werden.</w:t>
      </w:r>
    </w:p>
    <w:p>
      <w:pPr>
        <w:pStyle w:val="berschrift2"/>
        <w:jc w:val="left"/>
      </w:pPr>
      <w:bookmarkStart w:id="36" w:name="_Toc174110524"/>
      <w:r>
        <w:t>Anlage 9</w:t>
      </w:r>
      <w:r>
        <w:br/>
        <w:t>Standort und Mindestanzahl der Probenahmestellen für die Messung der Immiss</w:t>
      </w:r>
      <w:r>
        <w:t>i</w:t>
      </w:r>
      <w:r>
        <w:t>onskonzentrationen und der Ablagerungsraten von Arsen, Kadmium, Nickel und Benzo(a)pyren</w:t>
      </w:r>
      <w:bookmarkEnd w:id="36"/>
    </w:p>
    <w:p>
      <w:pPr>
        <w:pStyle w:val="GesAbsatz"/>
        <w:rPr>
          <w:b/>
        </w:rPr>
      </w:pPr>
      <w:r>
        <w:rPr>
          <w:b/>
        </w:rPr>
        <w:t>I. Großräumige Standortkriterien</w:t>
      </w:r>
    </w:p>
    <w:p>
      <w:pPr>
        <w:pStyle w:val="GesAbsatz"/>
      </w:pPr>
      <w:r>
        <w:t>Die Standorte der Probenahmestellen sollten so gewählt werden, dass</w:t>
      </w:r>
    </w:p>
    <w:p>
      <w:pPr>
        <w:pStyle w:val="GesAbsatz"/>
        <w:ind w:left="426" w:hanging="426"/>
      </w:pPr>
      <w:r>
        <w:t>-</w:t>
      </w:r>
      <w:r>
        <w:tab/>
        <w:t>Daten über die Teile von Gebieten und Ballungsräumen erfasst werden können, in denen die Bevölk</w:t>
      </w:r>
      <w:r>
        <w:t>e</w:t>
      </w:r>
      <w:r>
        <w:t>rung während eines Kalenderjahres auf direktem oder indirektem Wege im Durchschnitt wahrscheinlich den höchsten Konzentrationen ausgesetzt ist;</w:t>
      </w:r>
    </w:p>
    <w:p>
      <w:pPr>
        <w:pStyle w:val="GesAbsatz"/>
        <w:ind w:left="426" w:hanging="426"/>
      </w:pPr>
      <w:r>
        <w:lastRenderedPageBreak/>
        <w:t>-</w:t>
      </w:r>
      <w:r>
        <w:tab/>
        <w:t>Daten über Werte in anderen Teilen von Gebieten und Ballungsräumen erfasst werden können, di</w:t>
      </w:r>
      <w:r>
        <w:t>e</w:t>
      </w:r>
      <w:r>
        <w:t xml:space="preserve"> repräsentative Aussagen über die Exposition der Bevölkerung ermöglichen;</w:t>
      </w:r>
    </w:p>
    <w:p>
      <w:pPr>
        <w:pStyle w:val="GesAbsatz"/>
        <w:ind w:left="426" w:hanging="426"/>
      </w:pPr>
      <w:r>
        <w:t>-</w:t>
      </w:r>
      <w:r>
        <w:tab/>
        <w:t>Daten über die Ablagerungsraten erfasst werden können, die der indirekten Exposition der Bevölkeru</w:t>
      </w:r>
      <w:r>
        <w:t>n</w:t>
      </w:r>
      <w:r>
        <w:t>g über die Nahrungskette entsprechen.</w:t>
      </w:r>
    </w:p>
    <w:p>
      <w:pPr>
        <w:pStyle w:val="GesAbsatz"/>
      </w:pPr>
      <w:r>
        <w:t>Der Standort der Probenahmestellen sollte im Allgemeinen so gewählt werden, dass die Messung sehr klei</w:t>
      </w:r>
      <w:r>
        <w:t>n</w:t>
      </w:r>
      <w:r>
        <w:t>räumiger Umweltbedingungen in unmittelbarer Nähe vermieden wird. In der Regel sollte eine Probenahm</w:t>
      </w:r>
      <w:r>
        <w:t>e</w:t>
      </w:r>
      <w:r>
        <w:t>stelle in verkehrsnahen Zonen für die Luftqualität einer Fläche von nicht weniger als 200 Quadratm</w:t>
      </w:r>
      <w:r>
        <w:t>e</w:t>
      </w:r>
      <w:r>
        <w:t>ter, an Industriestandorten für die Luftqualität einer Fläche von mindestens 250 Meter x 250 Meter, sofern mö</w:t>
      </w:r>
      <w:r>
        <w:t>g</w:t>
      </w:r>
      <w:r>
        <w:t>lich, und in Gebieten mit typischen städtischen Hintergrundwerten für die Luftqualität einer Fläche von me</w:t>
      </w:r>
      <w:r>
        <w:t>h</w:t>
      </w:r>
      <w:r>
        <w:t>reren Quadratkilometern repräsentativ sein.</w:t>
      </w:r>
    </w:p>
    <w:p>
      <w:pPr>
        <w:pStyle w:val="GesAbsatz"/>
      </w:pPr>
      <w:r>
        <w:t>Besteht das Ziel in der Beurteilung von Hintergrundwerten, so sollten sich in der Nähe der Probenahmeste</w:t>
      </w:r>
      <w:r>
        <w:t>l</w:t>
      </w:r>
      <w:r>
        <w:t>le befindliche Ballungsräume oder Industriestandorte, d. h. Standorte in einer Entfernung von weniger als ein</w:t>
      </w:r>
      <w:r>
        <w:t>i</w:t>
      </w:r>
      <w:r>
        <w:t>gen Kilometern, nicht auf die Messergebnisse auswirken.</w:t>
      </w:r>
    </w:p>
    <w:p>
      <w:pPr>
        <w:pStyle w:val="GesAbsatz"/>
      </w:pPr>
      <w:r>
        <w:t>Soll der Beitrag industrieller Quellen beurteilt werden, ist zumindest eine Probenahmestelle im Lee der Hauptwindrichtung von der Quelle im nächstgelegenen Wohngebiet aufzustellen. Ist die Hintergrundkonze</w:t>
      </w:r>
      <w:r>
        <w:t>n</w:t>
      </w:r>
      <w:r>
        <w:t>tration nicht bekannt, so wird eine weitere Probenahmestelle im Luv der Hauptwindrichtung aufgestellt. Kommt § 16 Abs. 3 zur Anwendung, so sollten die Probenahmestellen so aufgestellt werden, dass die A</w:t>
      </w:r>
      <w:r>
        <w:t>n</w:t>
      </w:r>
      <w:r>
        <w:t>wendung der besten verfügbaren Techniken überwacht werden kann.</w:t>
      </w:r>
    </w:p>
    <w:p>
      <w:pPr>
        <w:pStyle w:val="GesAbsatz"/>
      </w:pPr>
      <w:r>
        <w:t>Probenahmestellen sollten möglichst auch für ähnliche Standorte repräsentativ sein, die nicht in ihrer unmi</w:t>
      </w:r>
      <w:r>
        <w:t>t</w:t>
      </w:r>
      <w:r>
        <w:t>telbaren Nähe gelegen sind. Sofern sinnvoll, sollten sie mit Probenahmestellen für die PM</w:t>
      </w:r>
      <w:r>
        <w:rPr>
          <w:vertAlign w:val="subscript"/>
        </w:rPr>
        <w:t>10</w:t>
      </w:r>
      <w:r>
        <w:t>-Fraktion z</w:t>
      </w:r>
      <w:r>
        <w:t>u</w:t>
      </w:r>
      <w:r>
        <w:t>sammengelegt werden.</w:t>
      </w:r>
    </w:p>
    <w:p>
      <w:pPr>
        <w:pStyle w:val="GesAbsatz"/>
        <w:rPr>
          <w:b/>
        </w:rPr>
      </w:pPr>
      <w:r>
        <w:rPr>
          <w:b/>
        </w:rPr>
        <w:t>II. Kleinräumige Standortkriterien</w:t>
      </w:r>
    </w:p>
    <w:p>
      <w:pPr>
        <w:pStyle w:val="GesAbsatz"/>
      </w:pPr>
      <w:r>
        <w:t>Folgende Leitlinien sollten so weit wie praktisch möglich eingehalten werden:</w:t>
      </w:r>
    </w:p>
    <w:p>
      <w:pPr>
        <w:pStyle w:val="GesAbsatz"/>
        <w:ind w:left="426" w:hanging="426"/>
      </w:pPr>
      <w:r>
        <w:t>a)</w:t>
      </w:r>
      <w:r>
        <w:tab/>
        <w:t>Der Luftstrom um den Messeinlass sollte nicht beeinträchtigt werden, und es sollten keine den Luf</w:t>
      </w:r>
      <w:r>
        <w:t>t</w:t>
      </w:r>
      <w:r>
        <w:t>strom beeinflussenden Hindernisse in der Nähe des Probensammlers vorhanden sein (die Messsonde sollte in der Regel einige Meter von Gebäuden, Balkonen, Bäumen und anderen Hindernissen sowie im Fall von Probenahmestellen für die Luftqualität an der Baufluchtlinie mindestens 0,5 Meter vom nächsten G</w:t>
      </w:r>
      <w:r>
        <w:t>e</w:t>
      </w:r>
      <w:r>
        <w:t>bäude entfernt sein);</w:t>
      </w:r>
    </w:p>
    <w:p>
      <w:pPr>
        <w:pStyle w:val="GesAbsatz"/>
        <w:ind w:left="426" w:hanging="426"/>
      </w:pPr>
      <w:r>
        <w:t>b)</w:t>
      </w:r>
      <w:r>
        <w:tab/>
        <w:t xml:space="preserve">im Allgemeinen sollte sich der Messeinlass in einer Höhe zwischen 1,5 Meter (Atemzone) und 4 Meter </w:t>
      </w:r>
      <w:r>
        <w:t>ü</w:t>
      </w:r>
      <w:r>
        <w:t>ber dem Boden befinden. Unter bestimmten Umständen kann eine höhere Lage des Einlasses (bis zu 8 Meter) erforderlich sein. Ein höher gelegener Einlass kann auch angezeigt sein, wenn die Messstat</w:t>
      </w:r>
      <w:r>
        <w:t>i</w:t>
      </w:r>
      <w:r>
        <w:t>on für ein größeres Gebiet repräsentativ ist;</w:t>
      </w:r>
    </w:p>
    <w:p>
      <w:pPr>
        <w:pStyle w:val="GesAbsatz"/>
        <w:ind w:left="426" w:hanging="426"/>
      </w:pPr>
      <w:r>
        <w:t>c)</w:t>
      </w:r>
      <w:r>
        <w:tab/>
        <w:t>der Messeinlass sollte nicht in unmittelbarer Nähe von Quellen platziert werden, um den unmittelbare</w:t>
      </w:r>
      <w:r>
        <w:t>n</w:t>
      </w:r>
      <w:r>
        <w:t xml:space="preserve"> Einlass von Emissionen, die nicht mit der Umgebungsluft vermischt sind, zu vermeiden;</w:t>
      </w:r>
    </w:p>
    <w:p>
      <w:pPr>
        <w:pStyle w:val="GesAbsatz"/>
        <w:ind w:left="426" w:hanging="426"/>
      </w:pPr>
      <w:r>
        <w:t>d)</w:t>
      </w:r>
      <w:r>
        <w:tab/>
        <w:t>die Abluftleitung des Probensammlers sollte so gelegt werden, dass ein Wiedereintritt der Abluft in de</w:t>
      </w:r>
      <w:r>
        <w:t>n</w:t>
      </w:r>
      <w:r>
        <w:t xml:space="preserve"> Messeinlass vermieden wird;</w:t>
      </w:r>
    </w:p>
    <w:p>
      <w:pPr>
        <w:pStyle w:val="GesAbsatz"/>
        <w:ind w:left="426" w:hanging="426"/>
      </w:pPr>
      <w:r>
        <w:t>e)</w:t>
      </w:r>
      <w:r>
        <w:tab/>
        <w:t>Probenahmestellen an verkehrsnahen Messorten sollten mindestens 25 Meter vom Rand verkehrsre</w:t>
      </w:r>
      <w:r>
        <w:t>i</w:t>
      </w:r>
      <w:r>
        <w:t>cher Kreuzungen und mindestens 4 Meter von der Mitte der nächstgelegenen Fahrspur entfernt sein; die Einlässe sollten so gelegen sein, dass sie für die Luftqualität in der Nähe der Baufluchtlinie repr</w:t>
      </w:r>
      <w:r>
        <w:t>ä</w:t>
      </w:r>
      <w:r>
        <w:t>sentativ sind;</w:t>
      </w:r>
    </w:p>
    <w:p>
      <w:pPr>
        <w:pStyle w:val="GesAbsatz"/>
        <w:ind w:left="426" w:hanging="426"/>
      </w:pPr>
      <w:r>
        <w:t>f)</w:t>
      </w:r>
      <w:r>
        <w:tab/>
        <w:t>bei Ablagerungsmessungen in ländlichen Hintergrundgebieten sollten, sofern durchführbar und nicht in diesen Anhängen vorgesehen, die Leitlinien und Kriterien des EMEP-Mess- und Bewertungspr</w:t>
      </w:r>
      <w:r>
        <w:t>o</w:t>
      </w:r>
      <w:r>
        <w:t>gramms a</w:t>
      </w:r>
      <w:r>
        <w:t>n</w:t>
      </w:r>
      <w:r>
        <w:t>gewandt werden.</w:t>
      </w:r>
    </w:p>
    <w:p>
      <w:pPr>
        <w:pStyle w:val="GesAbsatz"/>
      </w:pPr>
      <w:r>
        <w:t>Die folgenden Faktoren können ebenfalls berücksichtigt werden:</w:t>
      </w:r>
    </w:p>
    <w:p>
      <w:pPr>
        <w:pStyle w:val="GesAbsatz"/>
      </w:pPr>
      <w:r>
        <w:t>g)</w:t>
      </w:r>
      <w:r>
        <w:tab/>
        <w:t>Störquellen;</w:t>
      </w:r>
    </w:p>
    <w:p>
      <w:pPr>
        <w:pStyle w:val="GesAbsatz"/>
      </w:pPr>
      <w:r>
        <w:t>h)</w:t>
      </w:r>
      <w:r>
        <w:tab/>
        <w:t>Sicherheit;</w:t>
      </w:r>
    </w:p>
    <w:p>
      <w:pPr>
        <w:pStyle w:val="GesAbsatz"/>
      </w:pPr>
      <w:r>
        <w:t>i)</w:t>
      </w:r>
      <w:r>
        <w:tab/>
        <w:t>Zugänglichkeit;</w:t>
      </w:r>
    </w:p>
    <w:p>
      <w:pPr>
        <w:pStyle w:val="GesAbsatz"/>
      </w:pPr>
      <w:r>
        <w:t>j)</w:t>
      </w:r>
      <w:r>
        <w:tab/>
        <w:t>Stromversorgung und Telekommunikationsleitungen;</w:t>
      </w:r>
    </w:p>
    <w:p>
      <w:pPr>
        <w:pStyle w:val="GesAbsatz"/>
      </w:pPr>
      <w:r>
        <w:t>k)</w:t>
      </w:r>
      <w:r>
        <w:tab/>
        <w:t>Sichtbarkeit der Messstation in der Umgebung;</w:t>
      </w:r>
    </w:p>
    <w:p>
      <w:pPr>
        <w:pStyle w:val="GesAbsatz"/>
      </w:pPr>
      <w:r>
        <w:t>l)</w:t>
      </w:r>
      <w:r>
        <w:tab/>
        <w:t>Sicherheit der Öffentlichkeit und des Betriebspersonals;</w:t>
      </w:r>
    </w:p>
    <w:p>
      <w:pPr>
        <w:pStyle w:val="GesAbsatz"/>
      </w:pPr>
      <w:r>
        <w:t>m)</w:t>
      </w:r>
      <w:r>
        <w:tab/>
        <w:t>eventuelle Zusammenlegung der Probenahmestellen für verschiedene Schadstoffe;</w:t>
      </w:r>
    </w:p>
    <w:p>
      <w:pPr>
        <w:pStyle w:val="GesAbsatz"/>
      </w:pPr>
      <w:r>
        <w:lastRenderedPageBreak/>
        <w:t>n)</w:t>
      </w:r>
      <w:r>
        <w:tab/>
        <w:t>planerische Anforderungen.</w:t>
      </w:r>
    </w:p>
    <w:p>
      <w:pPr>
        <w:pStyle w:val="GesAbsatz"/>
        <w:rPr>
          <w:b/>
        </w:rPr>
      </w:pPr>
      <w:r>
        <w:rPr>
          <w:b/>
        </w:rPr>
        <w:t>III. Dokumentation und Überprüfung der Standortwahl</w:t>
      </w:r>
    </w:p>
    <w:p>
      <w:pPr>
        <w:pStyle w:val="GesAbsatz"/>
      </w:pPr>
      <w:r>
        <w:t>Die Verfahren für die Standortwahl sollten in der Einstufungsphase vollständig dokumentiert werden, z. B. mit Fotografien der Umgebung in den Haupthimmelsrichtungen und einer detaillierten Karte. Die Standorte sol</w:t>
      </w:r>
      <w:r>
        <w:t>l</w:t>
      </w:r>
      <w:r>
        <w:t>ten regelmäßig überprüft und wiederholt dokumentiert werden, um sicherzustellen, dass die Kriterien für die Standortwahl weiterhin erfüllt sind.</w:t>
      </w:r>
    </w:p>
    <w:p>
      <w:pPr>
        <w:pStyle w:val="GesAbsatz"/>
        <w:rPr>
          <w:b/>
        </w:rPr>
      </w:pPr>
      <w:r>
        <w:rPr>
          <w:b/>
        </w:rPr>
        <w:t>IV. Kriterien zur Festlegung der Zahl von Probenahmestellen für ortsfeste Messungen von Immiss</w:t>
      </w:r>
      <w:r>
        <w:rPr>
          <w:b/>
        </w:rPr>
        <w:t>i</w:t>
      </w:r>
      <w:r>
        <w:rPr>
          <w:b/>
        </w:rPr>
        <w:t>onskonzentrationen von Arsen, Kadmium, Nickel und Benzo(a)pyren</w:t>
      </w:r>
    </w:p>
    <w:p>
      <w:pPr>
        <w:pStyle w:val="GesAbsatz"/>
      </w:pPr>
      <w:r>
        <w:t>Mindestanzahl von Probenahmestellen für ortsfeste Messungen zur Beurteilung der Einhaltung von Zielwe</w:t>
      </w:r>
      <w:r>
        <w:t>r</w:t>
      </w:r>
      <w:r>
        <w:t>ten für den Schutz der menschlichen Gesundheit in Gebieten und Ballungsräumen, in denen ortsfeste Me</w:t>
      </w:r>
      <w:r>
        <w:t>s</w:t>
      </w:r>
      <w:r>
        <w:t>sungen die einzige Informationsquelle darstellen.</w:t>
      </w:r>
    </w:p>
    <w:p>
      <w:pPr>
        <w:pStyle w:val="GesAbsatz"/>
        <w:rPr>
          <w:b/>
        </w:rPr>
      </w:pPr>
      <w:r>
        <w:rPr>
          <w:b/>
        </w:rPr>
        <w:t>a) Diffuse Quellen</w:t>
      </w:r>
    </w:p>
    <w:tbl>
      <w:tblPr>
        <w:tblW w:w="9106" w:type="dxa"/>
        <w:tblBorders>
          <w:top w:val="nil"/>
          <w:left w:val="nil"/>
          <w:bottom w:val="nil"/>
          <w:right w:val="nil"/>
        </w:tblBorders>
        <w:tblLook w:val="0000" w:firstRow="0" w:lastRow="0" w:firstColumn="0" w:lastColumn="0" w:noHBand="0" w:noVBand="0"/>
      </w:tblPr>
      <w:tblGrid>
        <w:gridCol w:w="2500"/>
        <w:gridCol w:w="1577"/>
        <w:gridCol w:w="1560"/>
        <w:gridCol w:w="3469"/>
        <w:tblGridChange w:id="37">
          <w:tblGrid>
            <w:gridCol w:w="2500"/>
            <w:gridCol w:w="1577"/>
            <w:gridCol w:w="1560"/>
            <w:gridCol w:w="3469"/>
          </w:tblGrid>
        </w:tblGridChange>
      </w:tblGrid>
      <w:tr>
        <w:tblPrEx>
          <w:tblCellMar>
            <w:top w:w="0" w:type="dxa"/>
            <w:bottom w:w="0" w:type="dxa"/>
          </w:tblCellMar>
        </w:tblPrEx>
        <w:trPr>
          <w:trHeight w:val="955"/>
        </w:trPr>
        <w:tc>
          <w:tcPr>
            <w:tcW w:w="2500" w:type="dxa"/>
            <w:vMerge w:val="restart"/>
            <w:tcBorders>
              <w:top w:val="single" w:sz="6" w:space="0" w:color="000000"/>
              <w:left w:val="single" w:sz="5" w:space="0" w:color="000000"/>
              <w:bottom w:val="single" w:sz="5" w:space="0" w:color="000000"/>
              <w:right w:val="single" w:sz="4" w:space="0" w:color="000000"/>
            </w:tcBorders>
            <w:vAlign w:val="center"/>
          </w:tcPr>
          <w:p>
            <w:pPr>
              <w:pStyle w:val="GesAbsatz"/>
            </w:pPr>
            <w:r>
              <w:t>Bevölkerung des Ba</w:t>
            </w:r>
            <w:r>
              <w:t>l</w:t>
            </w:r>
            <w:r>
              <w:t xml:space="preserve">lungsraums oder Gebiets (Tausend) </w:t>
            </w:r>
          </w:p>
        </w:tc>
        <w:tc>
          <w:tcPr>
            <w:tcW w:w="3137" w:type="dxa"/>
            <w:gridSpan w:val="2"/>
            <w:tcBorders>
              <w:top w:val="single" w:sz="6" w:space="0" w:color="000000"/>
              <w:left w:val="single" w:sz="4" w:space="0" w:color="000000"/>
              <w:bottom w:val="single" w:sz="5" w:space="0" w:color="000000"/>
              <w:right w:val="single" w:sz="5" w:space="0" w:color="000000"/>
            </w:tcBorders>
          </w:tcPr>
          <w:p>
            <w:pPr>
              <w:pStyle w:val="GesAbsatz"/>
            </w:pPr>
            <w:r>
              <w:t>Wenn die maximalen Konzentr</w:t>
            </w:r>
            <w:r>
              <w:t>a</w:t>
            </w:r>
            <w:r>
              <w:t>tionen die obere Beurteilung</w:t>
            </w:r>
            <w:r>
              <w:t>s</w:t>
            </w:r>
            <w:r>
              <w:t>schwelle überschre</w:t>
            </w:r>
            <w:r>
              <w:t>i</w:t>
            </w:r>
            <w:r>
              <w:t xml:space="preserve">ten*) </w:t>
            </w:r>
          </w:p>
        </w:tc>
        <w:tc>
          <w:tcPr>
            <w:tcW w:w="3469" w:type="dxa"/>
            <w:tcBorders>
              <w:top w:val="single" w:sz="6" w:space="0" w:color="000000"/>
              <w:left w:val="single" w:sz="5" w:space="0" w:color="000000"/>
              <w:bottom w:val="single" w:sz="5" w:space="0" w:color="000000"/>
              <w:right w:val="single" w:sz="6" w:space="0" w:color="000000"/>
            </w:tcBorders>
            <w:vAlign w:val="center"/>
          </w:tcPr>
          <w:p>
            <w:pPr>
              <w:pStyle w:val="GesAbsatz"/>
            </w:pPr>
            <w:r>
              <w:t>Wenn die maximalen Konzentrati</w:t>
            </w:r>
            <w:r>
              <w:t>o</w:t>
            </w:r>
            <w:r>
              <w:t>nen zwischen der oberen und unt</w:t>
            </w:r>
            <w:r>
              <w:t>e</w:t>
            </w:r>
            <w:r>
              <w:t xml:space="preserve">ren Beurteilungsschwelle liegen </w:t>
            </w:r>
          </w:p>
        </w:tc>
      </w:tr>
      <w:tr>
        <w:tblPrEx>
          <w:tblCellMar>
            <w:top w:w="0" w:type="dxa"/>
            <w:bottom w:w="0" w:type="dxa"/>
          </w:tblCellMar>
        </w:tblPrEx>
        <w:trPr>
          <w:trHeight w:val="303"/>
        </w:trPr>
        <w:tc>
          <w:tcPr>
            <w:tcW w:w="2500" w:type="dxa"/>
            <w:vMerge/>
            <w:tcBorders>
              <w:top w:val="single" w:sz="6" w:space="0" w:color="000000"/>
              <w:left w:val="single" w:sz="5" w:space="0" w:color="000000"/>
              <w:bottom w:val="single" w:sz="5" w:space="0" w:color="000000"/>
              <w:right w:val="single" w:sz="4" w:space="0" w:color="000000"/>
            </w:tcBorders>
            <w:vAlign w:val="center"/>
          </w:tcPr>
          <w:p>
            <w:pPr>
              <w:pStyle w:val="GesAbsatz"/>
              <w:rPr>
                <w:color w:val="auto"/>
              </w:rPr>
            </w:pPr>
          </w:p>
        </w:tc>
        <w:tc>
          <w:tcPr>
            <w:tcW w:w="1577" w:type="dxa"/>
            <w:tcBorders>
              <w:top w:val="single" w:sz="5" w:space="0" w:color="000000"/>
              <w:left w:val="single" w:sz="4" w:space="0" w:color="000000"/>
              <w:bottom w:val="single" w:sz="5" w:space="0" w:color="000000"/>
              <w:right w:val="single" w:sz="5" w:space="0" w:color="000000"/>
            </w:tcBorders>
            <w:vAlign w:val="center"/>
          </w:tcPr>
          <w:p>
            <w:pPr>
              <w:pStyle w:val="GesAbsatz"/>
              <w:jc w:val="center"/>
            </w:pPr>
            <w:r>
              <w:t>As, Cd, Ni</w:t>
            </w:r>
          </w:p>
        </w:tc>
        <w:tc>
          <w:tcPr>
            <w:tcW w:w="1560" w:type="dxa"/>
            <w:tcBorders>
              <w:top w:val="single" w:sz="5" w:space="0" w:color="000000"/>
              <w:left w:val="single" w:sz="5" w:space="0" w:color="000000"/>
              <w:bottom w:val="single" w:sz="5" w:space="0" w:color="000000"/>
              <w:right w:val="single" w:sz="5" w:space="0" w:color="000000"/>
            </w:tcBorders>
            <w:vAlign w:val="center"/>
          </w:tcPr>
          <w:p>
            <w:pPr>
              <w:pStyle w:val="GesAbsatz"/>
              <w:jc w:val="center"/>
            </w:pPr>
            <w:r>
              <w:t>B(a)P</w:t>
            </w:r>
          </w:p>
        </w:tc>
        <w:tc>
          <w:tcPr>
            <w:tcW w:w="3469" w:type="dxa"/>
            <w:tcBorders>
              <w:top w:val="single" w:sz="5" w:space="0" w:color="000000"/>
              <w:left w:val="single" w:sz="5" w:space="0" w:color="000000"/>
              <w:bottom w:val="single" w:sz="5" w:space="0" w:color="000000"/>
              <w:right w:val="single" w:sz="6" w:space="0" w:color="000000"/>
            </w:tcBorders>
            <w:vAlign w:val="center"/>
          </w:tcPr>
          <w:p>
            <w:pPr>
              <w:pStyle w:val="GesAbsatz"/>
              <w:jc w:val="center"/>
            </w:pPr>
            <w:r>
              <w:t>As, Cd, Ni, B(a)P</w:t>
            </w:r>
          </w:p>
        </w:tc>
      </w:tr>
      <w:tr>
        <w:tblPrEx>
          <w:tblCellMar>
            <w:top w:w="0" w:type="dxa"/>
            <w:bottom w:w="0" w:type="dxa"/>
          </w:tblCellMar>
        </w:tblPrEx>
        <w:trPr>
          <w:trHeight w:val="325"/>
        </w:trPr>
        <w:tc>
          <w:tcPr>
            <w:tcW w:w="2500" w:type="dxa"/>
            <w:tcBorders>
              <w:top w:val="single" w:sz="5" w:space="0" w:color="000000"/>
              <w:left w:val="single" w:sz="5" w:space="0" w:color="000000"/>
              <w:bottom w:val="single" w:sz="6" w:space="0" w:color="000000"/>
              <w:right w:val="single" w:sz="4" w:space="0" w:color="000000"/>
            </w:tcBorders>
            <w:vAlign w:val="center"/>
          </w:tcPr>
          <w:p>
            <w:pPr>
              <w:pStyle w:val="GesAbsatz"/>
              <w:tabs>
                <w:tab w:val="clear" w:pos="425"/>
                <w:tab w:val="right" w:pos="720"/>
                <w:tab w:val="left" w:pos="1080"/>
                <w:tab w:val="right" w:pos="1980"/>
              </w:tabs>
            </w:pPr>
            <w:r>
              <w:tab/>
              <w:t>0</w:t>
            </w:r>
            <w:r>
              <w:tab/>
              <w:t>–</w:t>
            </w:r>
            <w:r>
              <w:tab/>
              <w:t xml:space="preserve">749 </w:t>
            </w:r>
          </w:p>
        </w:tc>
        <w:tc>
          <w:tcPr>
            <w:tcW w:w="1577" w:type="dxa"/>
            <w:tcBorders>
              <w:top w:val="single" w:sz="5" w:space="0" w:color="000000"/>
              <w:left w:val="single" w:sz="4" w:space="0" w:color="000000"/>
              <w:bottom w:val="single" w:sz="6" w:space="0" w:color="000000"/>
              <w:right w:val="single" w:sz="5" w:space="0" w:color="000000"/>
            </w:tcBorders>
            <w:vAlign w:val="center"/>
          </w:tcPr>
          <w:p>
            <w:pPr>
              <w:pStyle w:val="GesAbsatz"/>
              <w:jc w:val="center"/>
            </w:pPr>
            <w:r>
              <w:t>1</w:t>
            </w:r>
          </w:p>
        </w:tc>
        <w:tc>
          <w:tcPr>
            <w:tcW w:w="1560" w:type="dxa"/>
            <w:tcBorders>
              <w:top w:val="single" w:sz="5" w:space="0" w:color="000000"/>
              <w:left w:val="single" w:sz="5" w:space="0" w:color="000000"/>
              <w:bottom w:val="single" w:sz="6" w:space="0" w:color="000000"/>
              <w:right w:val="single" w:sz="5" w:space="0" w:color="000000"/>
            </w:tcBorders>
            <w:vAlign w:val="center"/>
          </w:tcPr>
          <w:p>
            <w:pPr>
              <w:pStyle w:val="GesAbsatz"/>
              <w:jc w:val="center"/>
            </w:pPr>
            <w:r>
              <w:t>1</w:t>
            </w:r>
          </w:p>
        </w:tc>
        <w:tc>
          <w:tcPr>
            <w:tcW w:w="3469" w:type="dxa"/>
            <w:tcBorders>
              <w:top w:val="single" w:sz="5" w:space="0" w:color="000000"/>
              <w:left w:val="single" w:sz="5" w:space="0" w:color="000000"/>
              <w:bottom w:val="single" w:sz="6" w:space="0" w:color="000000"/>
              <w:right w:val="single" w:sz="6" w:space="0" w:color="000000"/>
            </w:tcBorders>
            <w:vAlign w:val="center"/>
          </w:tcPr>
          <w:p>
            <w:pPr>
              <w:pStyle w:val="GesAbsatz"/>
              <w:jc w:val="center"/>
            </w:pPr>
            <w:r>
              <w:t>1</w:t>
            </w:r>
          </w:p>
        </w:tc>
      </w:tr>
      <w:tr>
        <w:tblPrEx>
          <w:tblCellMar>
            <w:top w:w="0" w:type="dxa"/>
            <w:bottom w:w="0" w:type="dxa"/>
          </w:tblCellMar>
        </w:tblPrEx>
        <w:trPr>
          <w:trHeight w:val="323"/>
        </w:trPr>
        <w:tc>
          <w:tcPr>
            <w:tcW w:w="2500" w:type="dxa"/>
            <w:tcBorders>
              <w:top w:val="single" w:sz="6" w:space="0" w:color="000000"/>
              <w:left w:val="single" w:sz="5" w:space="0" w:color="000000"/>
              <w:bottom w:val="single" w:sz="5" w:space="0" w:color="000000"/>
              <w:right w:val="single" w:sz="4" w:space="0" w:color="000000"/>
            </w:tcBorders>
            <w:vAlign w:val="center"/>
          </w:tcPr>
          <w:p>
            <w:pPr>
              <w:pStyle w:val="GesAbsatz"/>
              <w:tabs>
                <w:tab w:val="clear" w:pos="425"/>
                <w:tab w:val="right" w:pos="720"/>
                <w:tab w:val="left" w:pos="1080"/>
                <w:tab w:val="right" w:pos="1980"/>
              </w:tabs>
            </w:pPr>
            <w:r>
              <w:tab/>
              <w:t>750</w:t>
            </w:r>
            <w:r>
              <w:tab/>
              <w:t>-</w:t>
            </w:r>
            <w:r>
              <w:tab/>
              <w:t xml:space="preserve">1999 </w:t>
            </w:r>
          </w:p>
        </w:tc>
        <w:tc>
          <w:tcPr>
            <w:tcW w:w="1577" w:type="dxa"/>
            <w:tcBorders>
              <w:top w:val="single" w:sz="6" w:space="0" w:color="000000"/>
              <w:left w:val="single" w:sz="4" w:space="0" w:color="000000"/>
              <w:bottom w:val="single" w:sz="5" w:space="0" w:color="000000"/>
              <w:right w:val="single" w:sz="5" w:space="0" w:color="000000"/>
            </w:tcBorders>
            <w:vAlign w:val="center"/>
          </w:tcPr>
          <w:p>
            <w:pPr>
              <w:pStyle w:val="GesAbsatz"/>
              <w:jc w:val="center"/>
            </w:pPr>
            <w:r>
              <w:t>2</w:t>
            </w:r>
          </w:p>
        </w:tc>
        <w:tc>
          <w:tcPr>
            <w:tcW w:w="1560" w:type="dxa"/>
            <w:tcBorders>
              <w:top w:val="single" w:sz="6" w:space="0" w:color="000000"/>
              <w:left w:val="single" w:sz="5" w:space="0" w:color="000000"/>
              <w:bottom w:val="single" w:sz="5" w:space="0" w:color="000000"/>
              <w:right w:val="single" w:sz="5" w:space="0" w:color="000000"/>
            </w:tcBorders>
            <w:vAlign w:val="center"/>
          </w:tcPr>
          <w:p>
            <w:pPr>
              <w:pStyle w:val="GesAbsatz"/>
              <w:jc w:val="center"/>
            </w:pPr>
            <w:r>
              <w:t>2</w:t>
            </w:r>
          </w:p>
        </w:tc>
        <w:tc>
          <w:tcPr>
            <w:tcW w:w="3469" w:type="dxa"/>
            <w:tcBorders>
              <w:top w:val="single" w:sz="6" w:space="0" w:color="000000"/>
              <w:left w:val="single" w:sz="5" w:space="0" w:color="000000"/>
              <w:bottom w:val="single" w:sz="5" w:space="0" w:color="000000"/>
              <w:right w:val="single" w:sz="6" w:space="0" w:color="000000"/>
            </w:tcBorders>
            <w:vAlign w:val="center"/>
          </w:tcPr>
          <w:p>
            <w:pPr>
              <w:pStyle w:val="GesAbsatz"/>
              <w:jc w:val="center"/>
            </w:pPr>
            <w:r>
              <w:t>1</w:t>
            </w:r>
          </w:p>
        </w:tc>
      </w:tr>
      <w:tr>
        <w:tblPrEx>
          <w:tblCellMar>
            <w:top w:w="0" w:type="dxa"/>
            <w:bottom w:w="0" w:type="dxa"/>
          </w:tblCellMar>
        </w:tblPrEx>
        <w:trPr>
          <w:trHeight w:val="323"/>
        </w:trPr>
        <w:tc>
          <w:tcPr>
            <w:tcW w:w="2500" w:type="dxa"/>
            <w:tcBorders>
              <w:top w:val="single" w:sz="5" w:space="0" w:color="000000"/>
              <w:left w:val="single" w:sz="5" w:space="0" w:color="000000"/>
              <w:bottom w:val="single" w:sz="5" w:space="0" w:color="000000"/>
              <w:right w:val="single" w:sz="4" w:space="0" w:color="000000"/>
            </w:tcBorders>
            <w:vAlign w:val="center"/>
          </w:tcPr>
          <w:p>
            <w:pPr>
              <w:pStyle w:val="GesAbsatz"/>
              <w:tabs>
                <w:tab w:val="clear" w:pos="425"/>
                <w:tab w:val="right" w:pos="720"/>
                <w:tab w:val="left" w:pos="1080"/>
                <w:tab w:val="right" w:pos="1980"/>
              </w:tabs>
            </w:pPr>
            <w:r>
              <w:tab/>
              <w:t>2000</w:t>
            </w:r>
            <w:r>
              <w:tab/>
              <w:t>–</w:t>
            </w:r>
            <w:r>
              <w:tab/>
              <w:t xml:space="preserve">3749 </w:t>
            </w:r>
          </w:p>
        </w:tc>
        <w:tc>
          <w:tcPr>
            <w:tcW w:w="1577" w:type="dxa"/>
            <w:tcBorders>
              <w:top w:val="single" w:sz="5" w:space="0" w:color="000000"/>
              <w:left w:val="single" w:sz="4" w:space="0" w:color="000000"/>
              <w:bottom w:val="single" w:sz="5" w:space="0" w:color="000000"/>
              <w:right w:val="single" w:sz="5" w:space="0" w:color="000000"/>
            </w:tcBorders>
            <w:vAlign w:val="center"/>
          </w:tcPr>
          <w:p>
            <w:pPr>
              <w:pStyle w:val="GesAbsatz"/>
              <w:jc w:val="center"/>
            </w:pPr>
            <w:r>
              <w:t>2</w:t>
            </w:r>
          </w:p>
        </w:tc>
        <w:tc>
          <w:tcPr>
            <w:tcW w:w="1560" w:type="dxa"/>
            <w:tcBorders>
              <w:top w:val="single" w:sz="5" w:space="0" w:color="000000"/>
              <w:left w:val="single" w:sz="5" w:space="0" w:color="000000"/>
              <w:bottom w:val="single" w:sz="5" w:space="0" w:color="000000"/>
              <w:right w:val="single" w:sz="5" w:space="0" w:color="000000"/>
            </w:tcBorders>
            <w:vAlign w:val="center"/>
          </w:tcPr>
          <w:p>
            <w:pPr>
              <w:pStyle w:val="GesAbsatz"/>
              <w:jc w:val="center"/>
            </w:pPr>
            <w:r>
              <w:t>3</w:t>
            </w:r>
          </w:p>
        </w:tc>
        <w:tc>
          <w:tcPr>
            <w:tcW w:w="3469" w:type="dxa"/>
            <w:tcBorders>
              <w:top w:val="single" w:sz="5" w:space="0" w:color="000000"/>
              <w:left w:val="single" w:sz="5" w:space="0" w:color="000000"/>
              <w:bottom w:val="single" w:sz="5" w:space="0" w:color="000000"/>
              <w:right w:val="single" w:sz="6" w:space="0" w:color="000000"/>
            </w:tcBorders>
            <w:vAlign w:val="center"/>
          </w:tcPr>
          <w:p>
            <w:pPr>
              <w:pStyle w:val="GesAbsatz"/>
              <w:jc w:val="center"/>
            </w:pPr>
            <w:r>
              <w:t>1</w:t>
            </w:r>
          </w:p>
        </w:tc>
      </w:tr>
      <w:tr>
        <w:tblPrEx>
          <w:tblCellMar>
            <w:top w:w="0" w:type="dxa"/>
            <w:bottom w:w="0" w:type="dxa"/>
          </w:tblCellMar>
        </w:tblPrEx>
        <w:trPr>
          <w:trHeight w:val="325"/>
        </w:trPr>
        <w:tc>
          <w:tcPr>
            <w:tcW w:w="2500" w:type="dxa"/>
            <w:tcBorders>
              <w:top w:val="single" w:sz="5" w:space="0" w:color="000000"/>
              <w:left w:val="single" w:sz="5" w:space="0" w:color="000000"/>
              <w:bottom w:val="single" w:sz="5" w:space="0" w:color="000000"/>
              <w:right w:val="single" w:sz="4" w:space="0" w:color="000000"/>
            </w:tcBorders>
            <w:vAlign w:val="center"/>
          </w:tcPr>
          <w:p>
            <w:pPr>
              <w:pStyle w:val="GesAbsatz"/>
              <w:tabs>
                <w:tab w:val="clear" w:pos="425"/>
                <w:tab w:val="right" w:pos="720"/>
                <w:tab w:val="left" w:pos="1080"/>
                <w:tab w:val="right" w:pos="1980"/>
              </w:tabs>
            </w:pPr>
            <w:r>
              <w:tab/>
              <w:t>3750</w:t>
            </w:r>
            <w:r>
              <w:tab/>
              <w:t>–</w:t>
            </w:r>
            <w:r>
              <w:tab/>
              <w:t xml:space="preserve">4749 </w:t>
            </w:r>
          </w:p>
        </w:tc>
        <w:tc>
          <w:tcPr>
            <w:tcW w:w="1577" w:type="dxa"/>
            <w:tcBorders>
              <w:top w:val="single" w:sz="5" w:space="0" w:color="000000"/>
              <w:left w:val="single" w:sz="4" w:space="0" w:color="000000"/>
              <w:bottom w:val="single" w:sz="5" w:space="0" w:color="000000"/>
              <w:right w:val="single" w:sz="5" w:space="0" w:color="000000"/>
            </w:tcBorders>
            <w:vAlign w:val="center"/>
          </w:tcPr>
          <w:p>
            <w:pPr>
              <w:pStyle w:val="GesAbsatz"/>
              <w:jc w:val="center"/>
            </w:pPr>
            <w:r>
              <w:t>3</w:t>
            </w:r>
          </w:p>
        </w:tc>
        <w:tc>
          <w:tcPr>
            <w:tcW w:w="1560" w:type="dxa"/>
            <w:tcBorders>
              <w:top w:val="single" w:sz="5" w:space="0" w:color="000000"/>
              <w:left w:val="single" w:sz="5" w:space="0" w:color="000000"/>
              <w:bottom w:val="single" w:sz="5" w:space="0" w:color="000000"/>
              <w:right w:val="single" w:sz="5" w:space="0" w:color="000000"/>
            </w:tcBorders>
            <w:vAlign w:val="center"/>
          </w:tcPr>
          <w:p>
            <w:pPr>
              <w:pStyle w:val="GesAbsatz"/>
              <w:jc w:val="center"/>
            </w:pPr>
            <w:r>
              <w:t>4</w:t>
            </w:r>
          </w:p>
        </w:tc>
        <w:tc>
          <w:tcPr>
            <w:tcW w:w="3469" w:type="dxa"/>
            <w:tcBorders>
              <w:top w:val="single" w:sz="5" w:space="0" w:color="000000"/>
              <w:left w:val="single" w:sz="5" w:space="0" w:color="000000"/>
              <w:bottom w:val="single" w:sz="5" w:space="0" w:color="000000"/>
              <w:right w:val="single" w:sz="6" w:space="0" w:color="000000"/>
            </w:tcBorders>
            <w:vAlign w:val="center"/>
          </w:tcPr>
          <w:p>
            <w:pPr>
              <w:pStyle w:val="GesAbsatz"/>
              <w:jc w:val="center"/>
            </w:pPr>
            <w:r>
              <w:t>2</w:t>
            </w:r>
          </w:p>
        </w:tc>
      </w:tr>
      <w:tr>
        <w:tblPrEx>
          <w:tblCellMar>
            <w:top w:w="0" w:type="dxa"/>
            <w:bottom w:w="0" w:type="dxa"/>
          </w:tblCellMar>
        </w:tblPrEx>
        <w:trPr>
          <w:trHeight w:val="323"/>
        </w:trPr>
        <w:tc>
          <w:tcPr>
            <w:tcW w:w="2500" w:type="dxa"/>
            <w:tcBorders>
              <w:top w:val="single" w:sz="5" w:space="0" w:color="000000"/>
              <w:left w:val="single" w:sz="5" w:space="0" w:color="000000"/>
              <w:bottom w:val="single" w:sz="5" w:space="0" w:color="000000"/>
              <w:right w:val="single" w:sz="4" w:space="0" w:color="000000"/>
            </w:tcBorders>
            <w:vAlign w:val="center"/>
          </w:tcPr>
          <w:p>
            <w:pPr>
              <w:pStyle w:val="GesAbsatz"/>
              <w:tabs>
                <w:tab w:val="clear" w:pos="425"/>
                <w:tab w:val="right" w:pos="720"/>
                <w:tab w:val="left" w:pos="1080"/>
                <w:tab w:val="right" w:pos="1980"/>
              </w:tabs>
            </w:pPr>
            <w:r>
              <w:tab/>
              <w:t>4750</w:t>
            </w:r>
            <w:r>
              <w:tab/>
              <w:t>–</w:t>
            </w:r>
            <w:r>
              <w:tab/>
              <w:t xml:space="preserve">5999 </w:t>
            </w:r>
          </w:p>
        </w:tc>
        <w:tc>
          <w:tcPr>
            <w:tcW w:w="1577" w:type="dxa"/>
            <w:tcBorders>
              <w:top w:val="single" w:sz="5" w:space="0" w:color="000000"/>
              <w:left w:val="single" w:sz="4" w:space="0" w:color="000000"/>
              <w:bottom w:val="single" w:sz="5" w:space="0" w:color="000000"/>
              <w:right w:val="single" w:sz="5" w:space="0" w:color="000000"/>
            </w:tcBorders>
            <w:vAlign w:val="center"/>
          </w:tcPr>
          <w:p>
            <w:pPr>
              <w:pStyle w:val="GesAbsatz"/>
              <w:jc w:val="center"/>
            </w:pPr>
            <w:r>
              <w:t>4</w:t>
            </w:r>
          </w:p>
        </w:tc>
        <w:tc>
          <w:tcPr>
            <w:tcW w:w="1560" w:type="dxa"/>
            <w:tcBorders>
              <w:top w:val="single" w:sz="5" w:space="0" w:color="000000"/>
              <w:left w:val="single" w:sz="5" w:space="0" w:color="000000"/>
              <w:bottom w:val="single" w:sz="5" w:space="0" w:color="000000"/>
              <w:right w:val="single" w:sz="5" w:space="0" w:color="000000"/>
            </w:tcBorders>
            <w:vAlign w:val="center"/>
          </w:tcPr>
          <w:p>
            <w:pPr>
              <w:pStyle w:val="GesAbsatz"/>
              <w:jc w:val="center"/>
            </w:pPr>
            <w:r>
              <w:t>5</w:t>
            </w:r>
          </w:p>
        </w:tc>
        <w:tc>
          <w:tcPr>
            <w:tcW w:w="3469" w:type="dxa"/>
            <w:tcBorders>
              <w:top w:val="single" w:sz="5" w:space="0" w:color="000000"/>
              <w:left w:val="single" w:sz="5" w:space="0" w:color="000000"/>
              <w:bottom w:val="single" w:sz="5" w:space="0" w:color="000000"/>
              <w:right w:val="single" w:sz="6" w:space="0" w:color="000000"/>
            </w:tcBorders>
            <w:vAlign w:val="center"/>
          </w:tcPr>
          <w:p>
            <w:pPr>
              <w:pStyle w:val="GesAbsatz"/>
              <w:jc w:val="center"/>
            </w:pPr>
            <w:r>
              <w:t>2</w:t>
            </w:r>
          </w:p>
        </w:tc>
      </w:tr>
      <w:tr>
        <w:tblPrEx>
          <w:tblCellMar>
            <w:top w:w="0" w:type="dxa"/>
            <w:bottom w:w="0" w:type="dxa"/>
          </w:tblCellMar>
        </w:tblPrEx>
        <w:trPr>
          <w:trHeight w:val="325"/>
        </w:trPr>
        <w:tc>
          <w:tcPr>
            <w:tcW w:w="2500" w:type="dxa"/>
            <w:tcBorders>
              <w:top w:val="single" w:sz="5" w:space="0" w:color="000000"/>
              <w:left w:val="single" w:sz="5" w:space="0" w:color="000000"/>
              <w:bottom w:val="single" w:sz="5" w:space="0" w:color="000000"/>
              <w:right w:val="single" w:sz="4" w:space="0" w:color="000000"/>
            </w:tcBorders>
            <w:vAlign w:val="center"/>
          </w:tcPr>
          <w:p>
            <w:pPr>
              <w:pStyle w:val="GesAbsatz"/>
              <w:rPr>
                <w:color w:val="auto"/>
              </w:rPr>
            </w:pPr>
            <w:r>
              <w:tab/>
              <w:t xml:space="preserve">≥ 6000 </w:t>
            </w:r>
          </w:p>
        </w:tc>
        <w:tc>
          <w:tcPr>
            <w:tcW w:w="1577" w:type="dxa"/>
            <w:tcBorders>
              <w:top w:val="single" w:sz="5" w:space="0" w:color="000000"/>
              <w:left w:val="single" w:sz="4" w:space="0" w:color="000000"/>
              <w:bottom w:val="single" w:sz="5" w:space="0" w:color="000000"/>
              <w:right w:val="single" w:sz="5" w:space="0" w:color="000000"/>
            </w:tcBorders>
            <w:vAlign w:val="center"/>
          </w:tcPr>
          <w:p>
            <w:pPr>
              <w:pStyle w:val="GesAbsatz"/>
              <w:jc w:val="center"/>
            </w:pPr>
            <w:r>
              <w:t>5</w:t>
            </w:r>
          </w:p>
        </w:tc>
        <w:tc>
          <w:tcPr>
            <w:tcW w:w="1560" w:type="dxa"/>
            <w:tcBorders>
              <w:top w:val="single" w:sz="5" w:space="0" w:color="000000"/>
              <w:left w:val="single" w:sz="5" w:space="0" w:color="000000"/>
              <w:bottom w:val="single" w:sz="5" w:space="0" w:color="000000"/>
              <w:right w:val="single" w:sz="5" w:space="0" w:color="000000"/>
            </w:tcBorders>
            <w:vAlign w:val="center"/>
          </w:tcPr>
          <w:p>
            <w:pPr>
              <w:pStyle w:val="GesAbsatz"/>
              <w:jc w:val="center"/>
            </w:pPr>
            <w:r>
              <w:t>5</w:t>
            </w:r>
          </w:p>
        </w:tc>
        <w:tc>
          <w:tcPr>
            <w:tcW w:w="3469" w:type="dxa"/>
            <w:tcBorders>
              <w:top w:val="single" w:sz="5" w:space="0" w:color="000000"/>
              <w:left w:val="single" w:sz="5" w:space="0" w:color="000000"/>
              <w:bottom w:val="single" w:sz="5" w:space="0" w:color="000000"/>
              <w:right w:val="single" w:sz="6" w:space="0" w:color="000000"/>
            </w:tcBorders>
            <w:vAlign w:val="center"/>
          </w:tcPr>
          <w:p>
            <w:pPr>
              <w:pStyle w:val="GesAbsatz"/>
              <w:jc w:val="center"/>
            </w:pPr>
            <w:r>
              <w:t>2</w:t>
            </w:r>
          </w:p>
        </w:tc>
      </w:tr>
      <w:tr>
        <w:tblPrEx>
          <w:tblCellMar>
            <w:top w:w="0" w:type="dxa"/>
            <w:bottom w:w="0" w:type="dxa"/>
          </w:tblCellMar>
        </w:tblPrEx>
        <w:trPr>
          <w:trHeight w:val="325"/>
        </w:trPr>
        <w:tc>
          <w:tcPr>
            <w:tcW w:w="9106" w:type="dxa"/>
            <w:gridSpan w:val="4"/>
            <w:tcBorders>
              <w:top w:val="single" w:sz="5" w:space="0" w:color="000000"/>
              <w:left w:val="single" w:sz="5" w:space="0" w:color="000000"/>
              <w:bottom w:val="single" w:sz="5" w:space="0" w:color="000000"/>
              <w:right w:val="single" w:sz="6" w:space="0" w:color="000000"/>
            </w:tcBorders>
            <w:vAlign w:val="center"/>
          </w:tcPr>
          <w:p>
            <w:pPr>
              <w:pStyle w:val="GesAbsatz"/>
            </w:pPr>
            <w:r>
              <w:t>*) Es ist mindestens eine Messstation für typische städtische Hintergrundwerte und für Be</w:t>
            </w:r>
            <w:r>
              <w:t>n</w:t>
            </w:r>
            <w:r>
              <w:t>zo(a)pyren auch eine verkehrsnahe Messstation einzubeziehen, ohne dadurch die Zahl der Prob</w:t>
            </w:r>
            <w:r>
              <w:t>e</w:t>
            </w:r>
            <w:r>
              <w:t>nahmestellen zu erhöhen.</w:t>
            </w:r>
          </w:p>
        </w:tc>
      </w:tr>
    </w:tbl>
    <w:p>
      <w:pPr>
        <w:pStyle w:val="GesAbsatz"/>
      </w:pPr>
    </w:p>
    <w:p>
      <w:pPr>
        <w:pStyle w:val="GesAbsatz"/>
        <w:rPr>
          <w:b/>
        </w:rPr>
      </w:pPr>
      <w:r>
        <w:rPr>
          <w:b/>
        </w:rPr>
        <w:t>b) Punktquellen</w:t>
      </w:r>
    </w:p>
    <w:p>
      <w:pPr>
        <w:pStyle w:val="GesAbsatz"/>
      </w:pPr>
      <w:r>
        <w:t>Zur Beurteilung der Luftverschmutzung in der Nähe von Punktquellen sollte die Zahl der Probenahmestelle</w:t>
      </w:r>
      <w:r>
        <w:t>n</w:t>
      </w:r>
      <w:r>
        <w:t xml:space="preserve"> für ortsfeste Messungen unter Berücksichtigung der Emissionsdichte, der wahrscheinlichen Verteilung der Luftschadstoffe und der möglichen Exposition der Bevölkerung festgelegt werden.</w:t>
      </w:r>
    </w:p>
    <w:p>
      <w:pPr>
        <w:pStyle w:val="GesAbsatz"/>
      </w:pPr>
      <w:r>
        <w:t>Die Orte der Probenahmestellen sollten so gewählt werden, dass die Anwendung der besten verfügbare</w:t>
      </w:r>
      <w:r>
        <w:t>n</w:t>
      </w:r>
      <w:r>
        <w:t xml:space="preserve"> Techniken gemäß Artikel 2 Nr. 11 der Richtlinie 96/61/EG des Rates vom 24. September 1996 über die int</w:t>
      </w:r>
      <w:r>
        <w:t>e</w:t>
      </w:r>
      <w:r>
        <w:t>grierte Vermeidung und Verminderung der Umweltverschmutzung (ABl. EG Nr. L 257 S. 26), zuletzt geä</w:t>
      </w:r>
      <w:r>
        <w:t>n</w:t>
      </w:r>
      <w:r>
        <w:t>dert durch die Verordnung (EG) Nr. 1882/2003 des Europäischen Parlaments und des Rates vom 29. Se</w:t>
      </w:r>
      <w:r>
        <w:t>p</w:t>
      </w:r>
      <w:r>
        <w:t>tember 2003 (ABl. EU Nr. L 284 S. 1) in der jeweils geltenden Fassung kontrolliert werden kann.</w:t>
      </w:r>
    </w:p>
    <w:p>
      <w:pPr>
        <w:pStyle w:val="berschrift2"/>
        <w:jc w:val="left"/>
      </w:pPr>
      <w:r>
        <w:br w:type="page"/>
      </w:r>
      <w:bookmarkStart w:id="38" w:name="_Toc174110525"/>
      <w:r>
        <w:lastRenderedPageBreak/>
        <w:t>Anlage 10</w:t>
      </w:r>
      <w:r>
        <w:br/>
        <w:t>Datenqualitätsziele und Anforderungen an Modelle zur Bestimmung der Luftqualität von Arsen, Kadmium, Nickel und Be</w:t>
      </w:r>
      <w:r>
        <w:t>n</w:t>
      </w:r>
      <w:r>
        <w:t>zo(a)pyren</w:t>
      </w:r>
      <w:bookmarkEnd w:id="38"/>
    </w:p>
    <w:p>
      <w:pPr>
        <w:pStyle w:val="GesAbsatz"/>
        <w:rPr>
          <w:b/>
        </w:rPr>
      </w:pPr>
      <w:r>
        <w:rPr>
          <w:b/>
        </w:rPr>
        <w:t>I. Datenqualitätsziele</w:t>
      </w:r>
    </w:p>
    <w:p>
      <w:pPr>
        <w:pStyle w:val="GesAbsatz"/>
      </w:pPr>
      <w:r>
        <w:t>Folgende Datenqualitätsziele können als Leitfaden für die Qualitätssicherung dienen:</w:t>
      </w:r>
    </w:p>
    <w:p>
      <w:pPr>
        <w:pStyle w:val="GesAbsatz"/>
      </w:pPr>
    </w:p>
    <w:tbl>
      <w:tblPr>
        <w:tblW w:w="9738" w:type="dxa"/>
        <w:tblBorders>
          <w:top w:val="nil"/>
          <w:left w:val="nil"/>
          <w:bottom w:val="nil"/>
          <w:right w:val="nil"/>
        </w:tblBorders>
        <w:tblLayout w:type="fixed"/>
        <w:tblLook w:val="0000" w:firstRow="0" w:lastRow="0" w:firstColumn="0" w:lastColumn="0" w:noHBand="0" w:noVBand="0"/>
      </w:tblPr>
      <w:tblGrid>
        <w:gridCol w:w="3794"/>
        <w:gridCol w:w="1528"/>
        <w:gridCol w:w="1214"/>
        <w:gridCol w:w="1985"/>
        <w:gridCol w:w="1217"/>
        <w:tblGridChange w:id="39">
          <w:tblGrid>
            <w:gridCol w:w="3794"/>
            <w:gridCol w:w="1528"/>
            <w:gridCol w:w="1214"/>
            <w:gridCol w:w="1985"/>
            <w:gridCol w:w="1217"/>
          </w:tblGrid>
        </w:tblGridChange>
      </w:tblGrid>
      <w:tr>
        <w:tblPrEx>
          <w:tblCellMar>
            <w:top w:w="0" w:type="dxa"/>
            <w:bottom w:w="0" w:type="dxa"/>
          </w:tblCellMar>
        </w:tblPrEx>
        <w:trPr>
          <w:trHeight w:val="273"/>
        </w:trPr>
        <w:tc>
          <w:tcPr>
            <w:tcW w:w="3794" w:type="dxa"/>
            <w:tcBorders>
              <w:top w:val="single" w:sz="5" w:space="0" w:color="000000"/>
              <w:left w:val="single" w:sz="6" w:space="0" w:color="000000"/>
              <w:right w:val="single" w:sz="5" w:space="0" w:color="000000"/>
            </w:tcBorders>
            <w:vAlign w:val="center"/>
          </w:tcPr>
          <w:p>
            <w:pPr>
              <w:pStyle w:val="GesAbsatz"/>
              <w:jc w:val="center"/>
            </w:pPr>
          </w:p>
        </w:tc>
        <w:tc>
          <w:tcPr>
            <w:tcW w:w="1528" w:type="dxa"/>
            <w:tcBorders>
              <w:top w:val="single" w:sz="5" w:space="0" w:color="000000"/>
              <w:left w:val="single" w:sz="5" w:space="0" w:color="000000"/>
              <w:right w:val="single" w:sz="5" w:space="0" w:color="000000"/>
            </w:tcBorders>
            <w:vAlign w:val="center"/>
          </w:tcPr>
          <w:p>
            <w:pPr>
              <w:pStyle w:val="GesAbsatz"/>
              <w:jc w:val="center"/>
            </w:pPr>
            <w:r>
              <w:rPr>
                <w:rFonts w:cs="IILGJ N+ Adv L Te 50259"/>
              </w:rPr>
              <w:t>Be</w:t>
            </w:r>
            <w:r>
              <w:rPr>
                <w:rFonts w:cs="IILGJ N+ Adv L Te 50259"/>
              </w:rPr>
              <w:t>n</w:t>
            </w:r>
            <w:r>
              <w:rPr>
                <w:rFonts w:cs="IILGJ N+ Adv L Te 50259"/>
              </w:rPr>
              <w:t>zo(a)pyren</w:t>
            </w:r>
          </w:p>
        </w:tc>
        <w:tc>
          <w:tcPr>
            <w:tcW w:w="1214" w:type="dxa"/>
            <w:tcBorders>
              <w:top w:val="single" w:sz="5" w:space="0" w:color="000000"/>
              <w:left w:val="single" w:sz="5" w:space="0" w:color="000000"/>
              <w:right w:val="single" w:sz="4" w:space="0" w:color="000000"/>
            </w:tcBorders>
            <w:vAlign w:val="center"/>
          </w:tcPr>
          <w:p>
            <w:pPr>
              <w:pStyle w:val="GesAbsatz"/>
              <w:jc w:val="center"/>
            </w:pPr>
            <w:r>
              <w:rPr>
                <w:rFonts w:cs="IILGJ N+ Adv L Te 50259"/>
              </w:rPr>
              <w:t>Arsen, Kadmium und N</w:t>
            </w:r>
            <w:r>
              <w:rPr>
                <w:rFonts w:cs="IILGJ N+ Adv L Te 50259"/>
              </w:rPr>
              <w:t>i</w:t>
            </w:r>
            <w:r>
              <w:rPr>
                <w:rFonts w:cs="IILGJ N+ Adv L Te 50259"/>
              </w:rPr>
              <w:t>ckel</w:t>
            </w:r>
          </w:p>
        </w:tc>
        <w:tc>
          <w:tcPr>
            <w:tcW w:w="1985" w:type="dxa"/>
            <w:tcBorders>
              <w:top w:val="single" w:sz="5" w:space="0" w:color="000000"/>
              <w:left w:val="single" w:sz="4" w:space="0" w:color="000000"/>
              <w:right w:val="single" w:sz="5" w:space="0" w:color="000000"/>
            </w:tcBorders>
            <w:vAlign w:val="center"/>
          </w:tcPr>
          <w:p>
            <w:pPr>
              <w:pStyle w:val="GesAbsatz"/>
              <w:jc w:val="center"/>
              <w:rPr>
                <w:rFonts w:cs="IILGJ N+ Adv L Te 50259"/>
              </w:rPr>
            </w:pPr>
            <w:r>
              <w:rPr>
                <w:rFonts w:cs="IILGJ N+ Adv L Te 50259"/>
              </w:rPr>
              <w:t>Polyzyklische ar</w:t>
            </w:r>
            <w:r>
              <w:rPr>
                <w:rFonts w:cs="IILGJ N+ Adv L Te 50259"/>
              </w:rPr>
              <w:t>o</w:t>
            </w:r>
            <w:r>
              <w:rPr>
                <w:rFonts w:cs="IILGJ N+ Adv L Te 50259"/>
              </w:rPr>
              <w:t>matische Kohle</w:t>
            </w:r>
            <w:r>
              <w:rPr>
                <w:rFonts w:cs="IILGJ N+ Adv L Te 50259"/>
              </w:rPr>
              <w:t>n</w:t>
            </w:r>
            <w:r>
              <w:rPr>
                <w:rFonts w:cs="IILGJ N+ Adv L Te 50259"/>
              </w:rPr>
              <w:t>wasserstoffe außer Benzo(a)pyren, gasförmiges g</w:t>
            </w:r>
            <w:r>
              <w:rPr>
                <w:rFonts w:cs="IILGJ N+ Adv L Te 50259"/>
              </w:rPr>
              <w:t>e</w:t>
            </w:r>
            <w:r>
              <w:rPr>
                <w:rFonts w:cs="IILGJ N+ Adv L Te 50259"/>
              </w:rPr>
              <w:t>samtes Quecksilber</w:t>
            </w:r>
          </w:p>
        </w:tc>
        <w:tc>
          <w:tcPr>
            <w:tcW w:w="1217" w:type="dxa"/>
            <w:tcBorders>
              <w:top w:val="single" w:sz="5" w:space="0" w:color="000000"/>
              <w:left w:val="single" w:sz="5" w:space="0" w:color="000000"/>
              <w:right w:val="single" w:sz="6" w:space="0" w:color="000000"/>
            </w:tcBorders>
            <w:vAlign w:val="center"/>
          </w:tcPr>
          <w:p>
            <w:pPr>
              <w:pStyle w:val="GesAbsatz"/>
              <w:jc w:val="center"/>
            </w:pPr>
            <w:r>
              <w:rPr>
                <w:rFonts w:cs="IILGJ N+ Adv L Te 50259"/>
              </w:rPr>
              <w:t>Gesamta</w:t>
            </w:r>
            <w:r>
              <w:rPr>
                <w:rFonts w:cs="IILGJ N+ Adv L Te 50259"/>
              </w:rPr>
              <w:t>b</w:t>
            </w:r>
            <w:r>
              <w:rPr>
                <w:rFonts w:cs="IILGJ N+ Adv L Te 50259"/>
              </w:rPr>
              <w:t>lagerung</w:t>
            </w:r>
          </w:p>
        </w:tc>
      </w:tr>
      <w:tr>
        <w:tblPrEx>
          <w:tblCellMar>
            <w:top w:w="0" w:type="dxa"/>
            <w:bottom w:w="0" w:type="dxa"/>
          </w:tblCellMar>
        </w:tblPrEx>
        <w:trPr>
          <w:trHeight w:val="320"/>
        </w:trPr>
        <w:tc>
          <w:tcPr>
            <w:tcW w:w="3794" w:type="dxa"/>
            <w:tcBorders>
              <w:top w:val="single" w:sz="5" w:space="0" w:color="000000"/>
              <w:left w:val="single" w:sz="6" w:space="0" w:color="000000"/>
              <w:right w:val="single" w:sz="5" w:space="0" w:color="000000"/>
            </w:tcBorders>
            <w:vAlign w:val="center"/>
          </w:tcPr>
          <w:p>
            <w:pPr>
              <w:pStyle w:val="GesAbsatz"/>
              <w:rPr>
                <w:rFonts w:cs="IILGJ N+ Adv L Te 50259"/>
              </w:rPr>
            </w:pPr>
            <w:r>
              <w:rPr>
                <w:rFonts w:cs="IILGJ N+ Adv L Te 50259"/>
              </w:rPr>
              <w:t xml:space="preserve">Unsicherheitsgrad </w:t>
            </w:r>
          </w:p>
        </w:tc>
        <w:tc>
          <w:tcPr>
            <w:tcW w:w="1528" w:type="dxa"/>
            <w:tcBorders>
              <w:top w:val="single" w:sz="5" w:space="0" w:color="000000"/>
              <w:left w:val="single" w:sz="5" w:space="0" w:color="000000"/>
              <w:right w:val="single" w:sz="5" w:space="0" w:color="000000"/>
            </w:tcBorders>
          </w:tcPr>
          <w:p>
            <w:pPr>
              <w:pStyle w:val="GesAbsatz"/>
            </w:pPr>
          </w:p>
        </w:tc>
        <w:tc>
          <w:tcPr>
            <w:tcW w:w="1214" w:type="dxa"/>
            <w:tcBorders>
              <w:top w:val="single" w:sz="5" w:space="0" w:color="000000"/>
              <w:left w:val="single" w:sz="5" w:space="0" w:color="000000"/>
              <w:right w:val="single" w:sz="4" w:space="0" w:color="000000"/>
            </w:tcBorders>
          </w:tcPr>
          <w:p>
            <w:pPr>
              <w:pStyle w:val="GesAbsatz"/>
            </w:pPr>
          </w:p>
        </w:tc>
        <w:tc>
          <w:tcPr>
            <w:tcW w:w="1985" w:type="dxa"/>
            <w:tcBorders>
              <w:top w:val="single" w:sz="5" w:space="0" w:color="000000"/>
              <w:left w:val="single" w:sz="4" w:space="0" w:color="000000"/>
              <w:right w:val="single" w:sz="5" w:space="0" w:color="000000"/>
            </w:tcBorders>
          </w:tcPr>
          <w:p>
            <w:pPr>
              <w:pStyle w:val="GesAbsatz"/>
            </w:pPr>
          </w:p>
        </w:tc>
        <w:tc>
          <w:tcPr>
            <w:tcW w:w="1217" w:type="dxa"/>
            <w:tcBorders>
              <w:top w:val="single" w:sz="5" w:space="0" w:color="000000"/>
              <w:left w:val="single" w:sz="5" w:space="0" w:color="000000"/>
              <w:right w:val="single" w:sz="6" w:space="0" w:color="000000"/>
            </w:tcBorders>
          </w:tcPr>
          <w:p>
            <w:pPr>
              <w:pStyle w:val="GesAbsatz"/>
            </w:pPr>
          </w:p>
        </w:tc>
      </w:tr>
      <w:tr>
        <w:tblPrEx>
          <w:tblCellMar>
            <w:top w:w="0" w:type="dxa"/>
            <w:bottom w:w="0" w:type="dxa"/>
          </w:tblCellMar>
        </w:tblPrEx>
        <w:trPr>
          <w:trHeight w:val="325"/>
        </w:trPr>
        <w:tc>
          <w:tcPr>
            <w:tcW w:w="3794" w:type="dxa"/>
            <w:tcBorders>
              <w:left w:val="single" w:sz="6" w:space="0" w:color="000000"/>
              <w:right w:val="single" w:sz="5" w:space="0" w:color="000000"/>
            </w:tcBorders>
            <w:vAlign w:val="center"/>
          </w:tcPr>
          <w:p>
            <w:pPr>
              <w:pStyle w:val="GesAbsatz"/>
              <w:rPr>
                <w:rFonts w:cs="IILGJ N+ Adv L Te 50259"/>
              </w:rPr>
            </w:pPr>
            <w:r>
              <w:rPr>
                <w:rFonts w:cs="IILGJ N+ Adv L Te 50259"/>
              </w:rPr>
              <w:t>ortsfeste und orientierende Me</w:t>
            </w:r>
            <w:r>
              <w:rPr>
                <w:rFonts w:cs="IILGJ N+ Adv L Te 50259"/>
              </w:rPr>
              <w:t>s</w:t>
            </w:r>
            <w:r>
              <w:rPr>
                <w:rFonts w:cs="IILGJ N+ Adv L Te 50259"/>
              </w:rPr>
              <w:t xml:space="preserve">sungen </w:t>
            </w:r>
          </w:p>
        </w:tc>
        <w:tc>
          <w:tcPr>
            <w:tcW w:w="1528" w:type="dxa"/>
            <w:tcBorders>
              <w:left w:val="single" w:sz="5" w:space="0" w:color="000000"/>
              <w:right w:val="single" w:sz="5" w:space="0" w:color="000000"/>
            </w:tcBorders>
            <w:vAlign w:val="center"/>
          </w:tcPr>
          <w:p>
            <w:pPr>
              <w:pStyle w:val="GesAbsatz"/>
              <w:rPr>
                <w:rFonts w:cs="IILGJ N+ Adv L Te 50259"/>
              </w:rPr>
            </w:pPr>
            <w:r>
              <w:rPr>
                <w:rFonts w:cs="IILGJ N+ Adv L Te 50259"/>
              </w:rPr>
              <w:t xml:space="preserve">50 % </w:t>
            </w:r>
          </w:p>
        </w:tc>
        <w:tc>
          <w:tcPr>
            <w:tcW w:w="1214" w:type="dxa"/>
            <w:tcBorders>
              <w:left w:val="single" w:sz="5" w:space="0" w:color="000000"/>
              <w:right w:val="single" w:sz="4" w:space="0" w:color="000000"/>
            </w:tcBorders>
            <w:vAlign w:val="center"/>
          </w:tcPr>
          <w:p>
            <w:pPr>
              <w:pStyle w:val="GesAbsatz"/>
              <w:rPr>
                <w:rFonts w:cs="IILGJ N+ Adv L Te 50259"/>
              </w:rPr>
            </w:pPr>
            <w:r>
              <w:rPr>
                <w:rFonts w:cs="IILGJ N+ Adv L Te 50259"/>
              </w:rPr>
              <w:t xml:space="preserve">40 % </w:t>
            </w:r>
          </w:p>
        </w:tc>
        <w:tc>
          <w:tcPr>
            <w:tcW w:w="1985" w:type="dxa"/>
            <w:tcBorders>
              <w:left w:val="single" w:sz="4" w:space="0" w:color="000000"/>
              <w:right w:val="single" w:sz="5" w:space="0" w:color="000000"/>
            </w:tcBorders>
            <w:vAlign w:val="center"/>
          </w:tcPr>
          <w:p>
            <w:pPr>
              <w:pStyle w:val="GesAbsatz"/>
              <w:rPr>
                <w:rFonts w:cs="IILGJ N+ Adv L Te 50259"/>
              </w:rPr>
            </w:pPr>
            <w:r>
              <w:rPr>
                <w:rFonts w:cs="IILGJ N+ Adv L Te 50259"/>
              </w:rPr>
              <w:t xml:space="preserve">50 % </w:t>
            </w:r>
          </w:p>
        </w:tc>
        <w:tc>
          <w:tcPr>
            <w:tcW w:w="1217" w:type="dxa"/>
            <w:tcBorders>
              <w:left w:val="single" w:sz="5" w:space="0" w:color="000000"/>
              <w:right w:val="single" w:sz="6" w:space="0" w:color="000000"/>
            </w:tcBorders>
            <w:vAlign w:val="center"/>
          </w:tcPr>
          <w:p>
            <w:pPr>
              <w:pStyle w:val="GesAbsatz"/>
              <w:rPr>
                <w:rFonts w:cs="IILGJ N+ Adv L Te 50259"/>
              </w:rPr>
            </w:pPr>
            <w:r>
              <w:rPr>
                <w:rFonts w:cs="IILGJ N+ Adv L Te 50259"/>
              </w:rPr>
              <w:t xml:space="preserve">70 % </w:t>
            </w:r>
          </w:p>
        </w:tc>
      </w:tr>
      <w:tr>
        <w:tblPrEx>
          <w:tblCellMar>
            <w:top w:w="0" w:type="dxa"/>
            <w:bottom w:w="0" w:type="dxa"/>
          </w:tblCellMar>
        </w:tblPrEx>
        <w:trPr>
          <w:trHeight w:val="305"/>
        </w:trPr>
        <w:tc>
          <w:tcPr>
            <w:tcW w:w="3794" w:type="dxa"/>
            <w:tcBorders>
              <w:left w:val="single" w:sz="6" w:space="0" w:color="000000"/>
              <w:right w:val="single" w:sz="5" w:space="0" w:color="000000"/>
            </w:tcBorders>
            <w:vAlign w:val="center"/>
          </w:tcPr>
          <w:p>
            <w:pPr>
              <w:pStyle w:val="GesAbsatz"/>
              <w:rPr>
                <w:rFonts w:cs="IILGJ N+ Adv L Te 50259"/>
              </w:rPr>
            </w:pPr>
            <w:r>
              <w:rPr>
                <w:rFonts w:cs="IILGJ N+ Adv L Te 50259"/>
              </w:rPr>
              <w:t xml:space="preserve">Modell </w:t>
            </w:r>
          </w:p>
        </w:tc>
        <w:tc>
          <w:tcPr>
            <w:tcW w:w="1528" w:type="dxa"/>
            <w:tcBorders>
              <w:left w:val="single" w:sz="5" w:space="0" w:color="000000"/>
              <w:right w:val="single" w:sz="5" w:space="0" w:color="000000"/>
            </w:tcBorders>
            <w:vAlign w:val="center"/>
          </w:tcPr>
          <w:p>
            <w:pPr>
              <w:pStyle w:val="GesAbsatz"/>
              <w:rPr>
                <w:rFonts w:cs="IILGJ N+ Adv L Te 50259"/>
              </w:rPr>
            </w:pPr>
            <w:r>
              <w:rPr>
                <w:rFonts w:cs="IILGJ N+ Adv L Te 50259"/>
              </w:rPr>
              <w:t xml:space="preserve">60 % </w:t>
            </w:r>
          </w:p>
        </w:tc>
        <w:tc>
          <w:tcPr>
            <w:tcW w:w="1214" w:type="dxa"/>
            <w:tcBorders>
              <w:left w:val="single" w:sz="5" w:space="0" w:color="000000"/>
              <w:right w:val="single" w:sz="4" w:space="0" w:color="000000"/>
            </w:tcBorders>
            <w:vAlign w:val="center"/>
          </w:tcPr>
          <w:p>
            <w:pPr>
              <w:pStyle w:val="GesAbsatz"/>
              <w:rPr>
                <w:rFonts w:cs="IILGJ N+ Adv L Te 50259"/>
              </w:rPr>
            </w:pPr>
            <w:r>
              <w:rPr>
                <w:rFonts w:cs="IILGJ N+ Adv L Te 50259"/>
              </w:rPr>
              <w:t xml:space="preserve">60 % </w:t>
            </w:r>
          </w:p>
        </w:tc>
        <w:tc>
          <w:tcPr>
            <w:tcW w:w="1985" w:type="dxa"/>
            <w:tcBorders>
              <w:left w:val="single" w:sz="4" w:space="0" w:color="000000"/>
              <w:right w:val="single" w:sz="5" w:space="0" w:color="000000"/>
            </w:tcBorders>
            <w:vAlign w:val="center"/>
          </w:tcPr>
          <w:p>
            <w:pPr>
              <w:pStyle w:val="GesAbsatz"/>
              <w:rPr>
                <w:rFonts w:cs="IILGJ N+ Adv L Te 50259"/>
              </w:rPr>
            </w:pPr>
            <w:r>
              <w:rPr>
                <w:rFonts w:cs="IILGJ N+ Adv L Te 50259"/>
              </w:rPr>
              <w:t xml:space="preserve">60 % </w:t>
            </w:r>
          </w:p>
        </w:tc>
        <w:tc>
          <w:tcPr>
            <w:tcW w:w="1217" w:type="dxa"/>
            <w:tcBorders>
              <w:left w:val="single" w:sz="5" w:space="0" w:color="000000"/>
              <w:right w:val="single" w:sz="6" w:space="0" w:color="000000"/>
            </w:tcBorders>
            <w:vAlign w:val="center"/>
          </w:tcPr>
          <w:p>
            <w:pPr>
              <w:pStyle w:val="GesAbsatz"/>
              <w:rPr>
                <w:rFonts w:cs="IILGJ N+ Adv L Te 50259"/>
              </w:rPr>
            </w:pPr>
            <w:r>
              <w:rPr>
                <w:rFonts w:cs="IILGJ N+ Adv L Te 50259"/>
              </w:rPr>
              <w:t xml:space="preserve">60 % </w:t>
            </w:r>
          </w:p>
        </w:tc>
      </w:tr>
      <w:tr>
        <w:tblPrEx>
          <w:tblCellMar>
            <w:top w:w="0" w:type="dxa"/>
            <w:bottom w:w="0" w:type="dxa"/>
          </w:tblCellMar>
        </w:tblPrEx>
        <w:trPr>
          <w:trHeight w:val="338"/>
        </w:trPr>
        <w:tc>
          <w:tcPr>
            <w:tcW w:w="3794" w:type="dxa"/>
            <w:tcBorders>
              <w:left w:val="single" w:sz="6" w:space="0" w:color="000000"/>
              <w:right w:val="single" w:sz="5" w:space="0" w:color="000000"/>
            </w:tcBorders>
            <w:vAlign w:val="center"/>
          </w:tcPr>
          <w:p>
            <w:pPr>
              <w:pStyle w:val="GesAbsatz"/>
              <w:rPr>
                <w:rFonts w:cs="IILGJ N+ Adv L Te 50259"/>
              </w:rPr>
            </w:pPr>
            <w:r>
              <w:rPr>
                <w:rFonts w:cs="IILGJ N+ Adv L Te 50259"/>
              </w:rPr>
              <w:t xml:space="preserve">Mindestdatenerfassung </w:t>
            </w:r>
          </w:p>
        </w:tc>
        <w:tc>
          <w:tcPr>
            <w:tcW w:w="1528" w:type="dxa"/>
            <w:tcBorders>
              <w:left w:val="single" w:sz="5" w:space="0" w:color="000000"/>
              <w:right w:val="single" w:sz="5" w:space="0" w:color="000000"/>
            </w:tcBorders>
            <w:vAlign w:val="center"/>
          </w:tcPr>
          <w:p>
            <w:pPr>
              <w:pStyle w:val="GesAbsatz"/>
              <w:rPr>
                <w:rFonts w:cs="IILGJ N+ Adv L Te 50259"/>
              </w:rPr>
            </w:pPr>
            <w:r>
              <w:rPr>
                <w:rFonts w:cs="IILGJ N+ Adv L Te 50259"/>
              </w:rPr>
              <w:t xml:space="preserve">90 % </w:t>
            </w:r>
          </w:p>
        </w:tc>
        <w:tc>
          <w:tcPr>
            <w:tcW w:w="1214" w:type="dxa"/>
            <w:tcBorders>
              <w:left w:val="single" w:sz="5" w:space="0" w:color="000000"/>
              <w:right w:val="single" w:sz="4" w:space="0" w:color="000000"/>
            </w:tcBorders>
            <w:vAlign w:val="center"/>
          </w:tcPr>
          <w:p>
            <w:pPr>
              <w:pStyle w:val="GesAbsatz"/>
              <w:rPr>
                <w:rFonts w:cs="IILGJ N+ Adv L Te 50259"/>
              </w:rPr>
            </w:pPr>
            <w:r>
              <w:rPr>
                <w:rFonts w:cs="IILGJ N+ Adv L Te 50259"/>
              </w:rPr>
              <w:t xml:space="preserve">90 % </w:t>
            </w:r>
          </w:p>
        </w:tc>
        <w:tc>
          <w:tcPr>
            <w:tcW w:w="1985" w:type="dxa"/>
            <w:tcBorders>
              <w:left w:val="single" w:sz="4" w:space="0" w:color="000000"/>
              <w:right w:val="single" w:sz="5" w:space="0" w:color="000000"/>
            </w:tcBorders>
            <w:vAlign w:val="center"/>
          </w:tcPr>
          <w:p>
            <w:pPr>
              <w:pStyle w:val="GesAbsatz"/>
              <w:rPr>
                <w:rFonts w:cs="IILGJ N+ Adv L Te 50259"/>
              </w:rPr>
            </w:pPr>
            <w:r>
              <w:rPr>
                <w:rFonts w:cs="IILGJ N+ Adv L Te 50259"/>
              </w:rPr>
              <w:t xml:space="preserve">90 % </w:t>
            </w:r>
          </w:p>
        </w:tc>
        <w:tc>
          <w:tcPr>
            <w:tcW w:w="1217" w:type="dxa"/>
            <w:tcBorders>
              <w:left w:val="single" w:sz="5" w:space="0" w:color="000000"/>
              <w:right w:val="single" w:sz="6" w:space="0" w:color="000000"/>
            </w:tcBorders>
            <w:vAlign w:val="center"/>
          </w:tcPr>
          <w:p>
            <w:pPr>
              <w:pStyle w:val="GesAbsatz"/>
              <w:rPr>
                <w:rFonts w:cs="IILGJ N+ Adv L Te 50259"/>
              </w:rPr>
            </w:pPr>
            <w:r>
              <w:rPr>
                <w:rFonts w:cs="IILGJ N+ Adv L Te 50259"/>
              </w:rPr>
              <w:t xml:space="preserve">90 % </w:t>
            </w:r>
          </w:p>
        </w:tc>
      </w:tr>
      <w:tr>
        <w:tblPrEx>
          <w:tblCellMar>
            <w:top w:w="0" w:type="dxa"/>
            <w:bottom w:w="0" w:type="dxa"/>
          </w:tblCellMar>
        </w:tblPrEx>
        <w:trPr>
          <w:trHeight w:val="325"/>
        </w:trPr>
        <w:tc>
          <w:tcPr>
            <w:tcW w:w="3794" w:type="dxa"/>
            <w:tcBorders>
              <w:left w:val="single" w:sz="6" w:space="0" w:color="000000"/>
              <w:right w:val="single" w:sz="5" w:space="0" w:color="000000"/>
            </w:tcBorders>
            <w:vAlign w:val="center"/>
          </w:tcPr>
          <w:p>
            <w:pPr>
              <w:pStyle w:val="GesAbsatz"/>
              <w:rPr>
                <w:rFonts w:cs="IILGJ N+ Adv L Te 50259"/>
              </w:rPr>
            </w:pPr>
            <w:r>
              <w:rPr>
                <w:rFonts w:cs="IILGJ N+ Adv L Te 50259"/>
              </w:rPr>
              <w:t xml:space="preserve">Mindestzeiterfassung </w:t>
            </w:r>
          </w:p>
        </w:tc>
        <w:tc>
          <w:tcPr>
            <w:tcW w:w="1528" w:type="dxa"/>
            <w:tcBorders>
              <w:left w:val="single" w:sz="5" w:space="0" w:color="000000"/>
              <w:right w:val="single" w:sz="5" w:space="0" w:color="000000"/>
            </w:tcBorders>
          </w:tcPr>
          <w:p>
            <w:pPr>
              <w:pStyle w:val="GesAbsatz"/>
            </w:pPr>
          </w:p>
        </w:tc>
        <w:tc>
          <w:tcPr>
            <w:tcW w:w="1214" w:type="dxa"/>
            <w:tcBorders>
              <w:left w:val="single" w:sz="5" w:space="0" w:color="000000"/>
              <w:right w:val="single" w:sz="4" w:space="0" w:color="000000"/>
            </w:tcBorders>
          </w:tcPr>
          <w:p>
            <w:pPr>
              <w:pStyle w:val="GesAbsatz"/>
            </w:pPr>
          </w:p>
        </w:tc>
        <w:tc>
          <w:tcPr>
            <w:tcW w:w="1985" w:type="dxa"/>
            <w:tcBorders>
              <w:left w:val="single" w:sz="4" w:space="0" w:color="000000"/>
              <w:right w:val="single" w:sz="5" w:space="0" w:color="000000"/>
            </w:tcBorders>
          </w:tcPr>
          <w:p>
            <w:pPr>
              <w:pStyle w:val="GesAbsatz"/>
            </w:pPr>
          </w:p>
        </w:tc>
        <w:tc>
          <w:tcPr>
            <w:tcW w:w="1217" w:type="dxa"/>
            <w:tcBorders>
              <w:left w:val="single" w:sz="5" w:space="0" w:color="000000"/>
              <w:right w:val="single" w:sz="6" w:space="0" w:color="000000"/>
            </w:tcBorders>
          </w:tcPr>
          <w:p>
            <w:pPr>
              <w:pStyle w:val="GesAbsatz"/>
            </w:pPr>
          </w:p>
        </w:tc>
      </w:tr>
      <w:tr>
        <w:tblPrEx>
          <w:tblCellMar>
            <w:top w:w="0" w:type="dxa"/>
            <w:bottom w:w="0" w:type="dxa"/>
          </w:tblCellMar>
        </w:tblPrEx>
        <w:trPr>
          <w:trHeight w:val="323"/>
        </w:trPr>
        <w:tc>
          <w:tcPr>
            <w:tcW w:w="3794" w:type="dxa"/>
            <w:tcBorders>
              <w:left w:val="single" w:sz="6" w:space="0" w:color="000000"/>
              <w:right w:val="single" w:sz="5" w:space="0" w:color="000000"/>
            </w:tcBorders>
            <w:vAlign w:val="center"/>
          </w:tcPr>
          <w:p>
            <w:pPr>
              <w:pStyle w:val="GesAbsatz"/>
              <w:rPr>
                <w:rFonts w:cs="IILGJ N+ Adv L Te 50259"/>
              </w:rPr>
            </w:pPr>
            <w:r>
              <w:rPr>
                <w:rFonts w:cs="IILGJ N+ Adv L Te 50259"/>
              </w:rPr>
              <w:t xml:space="preserve">ortsfeste Messungen </w:t>
            </w:r>
          </w:p>
        </w:tc>
        <w:tc>
          <w:tcPr>
            <w:tcW w:w="1528" w:type="dxa"/>
            <w:tcBorders>
              <w:left w:val="single" w:sz="5" w:space="0" w:color="000000"/>
              <w:right w:val="single" w:sz="5" w:space="0" w:color="000000"/>
            </w:tcBorders>
            <w:vAlign w:val="center"/>
          </w:tcPr>
          <w:p>
            <w:pPr>
              <w:pStyle w:val="GesAbsatz"/>
              <w:rPr>
                <w:rFonts w:cs="IILGJ N+ Adv L Te 50259"/>
              </w:rPr>
            </w:pPr>
            <w:r>
              <w:rPr>
                <w:rFonts w:cs="IILGJ N+ Adv L Te 50259"/>
              </w:rPr>
              <w:t xml:space="preserve">33 % </w:t>
            </w:r>
          </w:p>
        </w:tc>
        <w:tc>
          <w:tcPr>
            <w:tcW w:w="1214" w:type="dxa"/>
            <w:tcBorders>
              <w:left w:val="single" w:sz="5" w:space="0" w:color="000000"/>
              <w:right w:val="single" w:sz="4" w:space="0" w:color="000000"/>
            </w:tcBorders>
            <w:vAlign w:val="center"/>
          </w:tcPr>
          <w:p>
            <w:pPr>
              <w:pStyle w:val="GesAbsatz"/>
              <w:rPr>
                <w:rFonts w:cs="IILGJ N+ Adv L Te 50259"/>
              </w:rPr>
            </w:pPr>
            <w:r>
              <w:rPr>
                <w:rFonts w:cs="IILGJ N+ Adv L Te 50259"/>
              </w:rPr>
              <w:t xml:space="preserve">50 % </w:t>
            </w:r>
          </w:p>
        </w:tc>
        <w:tc>
          <w:tcPr>
            <w:tcW w:w="1985" w:type="dxa"/>
            <w:tcBorders>
              <w:left w:val="single" w:sz="4" w:space="0" w:color="000000"/>
              <w:right w:val="single" w:sz="5" w:space="0" w:color="000000"/>
            </w:tcBorders>
            <w:vAlign w:val="center"/>
          </w:tcPr>
          <w:p>
            <w:pPr>
              <w:pStyle w:val="GesAbsatz"/>
              <w:rPr>
                <w:rFonts w:cs="IILGJ N+ Adv L Te 50259"/>
              </w:rPr>
            </w:pPr>
            <w:r>
              <w:rPr>
                <w:rFonts w:cs="IILGJ N+ Adv L Te 50259"/>
              </w:rPr>
              <w:t xml:space="preserve">– </w:t>
            </w:r>
          </w:p>
        </w:tc>
        <w:tc>
          <w:tcPr>
            <w:tcW w:w="1217" w:type="dxa"/>
            <w:tcBorders>
              <w:left w:val="single" w:sz="5" w:space="0" w:color="000000"/>
              <w:right w:val="single" w:sz="6" w:space="0" w:color="000000"/>
            </w:tcBorders>
          </w:tcPr>
          <w:p>
            <w:pPr>
              <w:pStyle w:val="GesAbsatz"/>
            </w:pPr>
          </w:p>
        </w:tc>
      </w:tr>
      <w:tr>
        <w:tblPrEx>
          <w:tblCellMar>
            <w:top w:w="0" w:type="dxa"/>
            <w:bottom w:w="0" w:type="dxa"/>
          </w:tblCellMar>
        </w:tblPrEx>
        <w:trPr>
          <w:trHeight w:val="328"/>
        </w:trPr>
        <w:tc>
          <w:tcPr>
            <w:tcW w:w="3794" w:type="dxa"/>
            <w:tcBorders>
              <w:left w:val="single" w:sz="6" w:space="0" w:color="000000"/>
              <w:right w:val="single" w:sz="5" w:space="0" w:color="000000"/>
            </w:tcBorders>
            <w:vAlign w:val="center"/>
          </w:tcPr>
          <w:p>
            <w:pPr>
              <w:pStyle w:val="GesAbsatz"/>
              <w:rPr>
                <w:rFonts w:cs="IILGJ N+ Adv L Te 50259"/>
              </w:rPr>
            </w:pPr>
            <w:r>
              <w:rPr>
                <w:rFonts w:cs="IILGJ N+ Adv L Te 50259"/>
              </w:rPr>
              <w:t xml:space="preserve">orientierende Messungen*) </w:t>
            </w:r>
          </w:p>
        </w:tc>
        <w:tc>
          <w:tcPr>
            <w:tcW w:w="1528" w:type="dxa"/>
            <w:tcBorders>
              <w:left w:val="single" w:sz="5" w:space="0" w:color="000000"/>
              <w:right w:val="single" w:sz="5" w:space="0" w:color="000000"/>
            </w:tcBorders>
            <w:vAlign w:val="center"/>
          </w:tcPr>
          <w:p>
            <w:pPr>
              <w:pStyle w:val="GesAbsatz"/>
              <w:rPr>
                <w:rFonts w:cs="IILGJ N+ Adv L Te 50259"/>
              </w:rPr>
            </w:pPr>
            <w:r>
              <w:rPr>
                <w:rFonts w:cs="IILGJ N+ Adv L Te 50259"/>
              </w:rPr>
              <w:t xml:space="preserve">14 % </w:t>
            </w:r>
          </w:p>
        </w:tc>
        <w:tc>
          <w:tcPr>
            <w:tcW w:w="1214" w:type="dxa"/>
            <w:tcBorders>
              <w:left w:val="single" w:sz="5" w:space="0" w:color="000000"/>
              <w:right w:val="single" w:sz="4" w:space="0" w:color="000000"/>
            </w:tcBorders>
            <w:vAlign w:val="center"/>
          </w:tcPr>
          <w:p>
            <w:pPr>
              <w:pStyle w:val="GesAbsatz"/>
              <w:rPr>
                <w:rFonts w:cs="IILGJ N+ Adv L Te 50259"/>
              </w:rPr>
            </w:pPr>
            <w:r>
              <w:rPr>
                <w:rFonts w:cs="IILGJ N+ Adv L Te 50259"/>
              </w:rPr>
              <w:t xml:space="preserve">14 % </w:t>
            </w:r>
          </w:p>
        </w:tc>
        <w:tc>
          <w:tcPr>
            <w:tcW w:w="1985" w:type="dxa"/>
            <w:tcBorders>
              <w:left w:val="single" w:sz="4" w:space="0" w:color="000000"/>
              <w:right w:val="single" w:sz="5" w:space="0" w:color="000000"/>
            </w:tcBorders>
            <w:vAlign w:val="center"/>
          </w:tcPr>
          <w:p>
            <w:pPr>
              <w:pStyle w:val="GesAbsatz"/>
              <w:rPr>
                <w:rFonts w:cs="IILGJ N+ Adv L Te 50259"/>
              </w:rPr>
            </w:pPr>
            <w:r>
              <w:rPr>
                <w:rFonts w:cs="IILGJ N+ Adv L Te 50259"/>
              </w:rPr>
              <w:t xml:space="preserve">14 % </w:t>
            </w:r>
          </w:p>
        </w:tc>
        <w:tc>
          <w:tcPr>
            <w:tcW w:w="1217" w:type="dxa"/>
            <w:tcBorders>
              <w:left w:val="single" w:sz="5" w:space="0" w:color="000000"/>
              <w:right w:val="single" w:sz="6" w:space="0" w:color="000000"/>
            </w:tcBorders>
            <w:vAlign w:val="center"/>
          </w:tcPr>
          <w:p>
            <w:pPr>
              <w:pStyle w:val="GesAbsatz"/>
              <w:rPr>
                <w:rFonts w:cs="IILGJ N+ Adv L Te 50259"/>
              </w:rPr>
            </w:pPr>
            <w:r>
              <w:rPr>
                <w:rFonts w:cs="IILGJ N+ Adv L Te 50259"/>
              </w:rPr>
              <w:t xml:space="preserve">33 % </w:t>
            </w:r>
          </w:p>
        </w:tc>
      </w:tr>
      <w:tr>
        <w:tblPrEx>
          <w:tblCellMar>
            <w:top w:w="0" w:type="dxa"/>
            <w:bottom w:w="0" w:type="dxa"/>
          </w:tblCellMar>
        </w:tblPrEx>
        <w:trPr>
          <w:trHeight w:val="328"/>
        </w:trPr>
        <w:tc>
          <w:tcPr>
            <w:tcW w:w="9738" w:type="dxa"/>
            <w:gridSpan w:val="5"/>
            <w:tcBorders>
              <w:left w:val="single" w:sz="6" w:space="0" w:color="000000"/>
              <w:bottom w:val="single" w:sz="5" w:space="0" w:color="000000"/>
              <w:right w:val="single" w:sz="6" w:space="0" w:color="000000"/>
            </w:tcBorders>
            <w:vAlign w:val="center"/>
          </w:tcPr>
          <w:p>
            <w:pPr>
              <w:pStyle w:val="GesAbsatz"/>
              <w:rPr>
                <w:rFonts w:cs="IILGJ N+ Adv L Te 50259"/>
              </w:rPr>
            </w:pPr>
            <w:r>
              <w:t>*) Orientierende Messungen sind Messungen, die weniger häufig vorgenommen werden, jedoch die and</w:t>
            </w:r>
            <w:r>
              <w:t>e</w:t>
            </w:r>
            <w:r>
              <w:t>ren Datenqualitätsziele erfüllen.</w:t>
            </w:r>
          </w:p>
        </w:tc>
      </w:tr>
    </w:tbl>
    <w:p>
      <w:pPr>
        <w:pStyle w:val="GesAbsatz"/>
      </w:pPr>
    </w:p>
    <w:p>
      <w:pPr>
        <w:pStyle w:val="GesAbsatz"/>
      </w:pPr>
      <w:r>
        <w:t>Die (auf der Grundlage eines Vertrauensbereichs von 95 Prozent ausgedrückte) Unsicherheit der bei de</w:t>
      </w:r>
      <w:r>
        <w:t>r</w:t>
      </w:r>
      <w:r>
        <w:t xml:space="preserve"> Beurteilung der Immissionskonzentrationen verwendeten Methoden wird gemäß den Prinzipien des CEN-Leitfadens für die Messunsicherheit (ENV 13005-1999 vom Juni 1999), den ISO 5725:1994 (DIN ISO Teil 1 vom November 1997)-Verfahren und den Hinweisen des CEN-Berichts über Luftqualität – Ansatz für die Ei</w:t>
      </w:r>
      <w:r>
        <w:t>n</w:t>
      </w:r>
      <w:r>
        <w:t>schätzung des Unsicherheitsgrads bei Referenzmethoden zur Messung der Luftqualität (CR 14377: 2002 E vom Januar 2002) errechnet. Die Prozentsätze für die Unsicherheit werden für einzelne Messungen ang</w:t>
      </w:r>
      <w:r>
        <w:t>e</w:t>
      </w:r>
      <w:r>
        <w:t>geben, die über typische Probenahmezeiten hinweg gemittelt werden, und zwar für einen Vertrauensbereich von 95 Prozent. Die Unsicherheit der Messungen gilt für den Bereich des entsprechenden Zielwerts. Ortsf</w:t>
      </w:r>
      <w:r>
        <w:t>e</w:t>
      </w:r>
      <w:r>
        <w:t>ste und orientierende Messungen müssen gleichmäßig über das Jahr verteilt werden, um verfälschte Erge</w:t>
      </w:r>
      <w:r>
        <w:t>b</w:t>
      </w:r>
      <w:r>
        <w:t>nisse zu vermeiden.</w:t>
      </w:r>
    </w:p>
    <w:p>
      <w:pPr>
        <w:pStyle w:val="GesAbsatz"/>
      </w:pPr>
      <w:r>
        <w:t>Die Anforderungen an Mindestdatenerfassung und Mindestzeiterfassung berücksichtigen nicht den Ve</w:t>
      </w:r>
      <w:r>
        <w:t>r</w:t>
      </w:r>
      <w:r>
        <w:t>lust von Daten aufgrund einer regelmäßigen Kalibrierung oder der normalen Wartung der Instrumente. Eine 24-stündige Probenahme ist bei der Messung von Benzo(a)pyren und anderen polyzyklischen aromatischen Kohlenwasserstoffen erforderlich. Während eines Zeitraums von bis zu einem Monat genommene Einzelpr</w:t>
      </w:r>
      <w:r>
        <w:t>o</w:t>
      </w:r>
      <w:r>
        <w:t>ben können mit der gebotenen Vorsicht als Sammelprobe zusammengefasst und analysiert werden, vorau</w:t>
      </w:r>
      <w:r>
        <w:t>s</w:t>
      </w:r>
      <w:r>
        <w:t>gesetzt, die angewandte Methode gewährleistet stabile Proben für diesen Zeitraum. Die drei verwandten Sto</w:t>
      </w:r>
      <w:r>
        <w:t>f</w:t>
      </w:r>
      <w:r>
        <w:t>fe Benzo(b)fluoranthen, Benzo(j)fluoranthen und Benzo(k)fluoranthen lassen sich nur schwer analytisch trennen. In diesen Fällen können sie als Summe gemeldet werden. Empfohlen wird eine 24-stündige Prob</w:t>
      </w:r>
      <w:r>
        <w:t>e</w:t>
      </w:r>
      <w:r>
        <w:t>nahme auch für die Messung der Arsen-, Kadmium- und Nickelkonzentrationen. Die Prob</w:t>
      </w:r>
      <w:r>
        <w:t>e</w:t>
      </w:r>
      <w:r>
        <w:t>nahmen müssen gleichmäßig über die Wochentage und das Jahr verteilt sein. Für die Messung der Ablag</w:t>
      </w:r>
      <w:r>
        <w:t>e</w:t>
      </w:r>
      <w:r>
        <w:t>rungsraten werden über das Jahr verteilte monatliche oder wöchentliche Proben empfohlen.</w:t>
      </w:r>
    </w:p>
    <w:p>
      <w:pPr>
        <w:pStyle w:val="GesAbsatz"/>
      </w:pPr>
      <w:r>
        <w:t>Anstelle einer „bulk-Probenahme“ kann eine „wet-only“-Probenahme verwendet werden, wenn nachgewi</w:t>
      </w:r>
      <w:r>
        <w:t>e</w:t>
      </w:r>
      <w:r>
        <w:t>sen wird, dass der Unterschied zwischen ihnen nicht mehr als 10 Prozent ausmacht. Die Ablagerungsraten sol</w:t>
      </w:r>
      <w:r>
        <w:t>l</w:t>
      </w:r>
      <w:r>
        <w:t>ten generell in Mikrogramm pro Quadratmeter und Tag angegeben werden.</w:t>
      </w:r>
    </w:p>
    <w:p>
      <w:pPr>
        <w:pStyle w:val="GesAbsatz"/>
      </w:pPr>
      <w:r>
        <w:t>Eine Mindestzeiterfassung, die unter dem in der Tabelle angegebenen Wert liegt, jedoch nicht weniger als 14 Prozent bei ortsfesten Messungen und 6 Prozent bei orientierenden Messungen, ist ausreichend, wenn nachgewiesen wird, dass die Unsicherheit bei einem Vertrauensbereich von 95 Prozent für den Jahresdurc</w:t>
      </w:r>
      <w:r>
        <w:t>h</w:t>
      </w:r>
      <w:r>
        <w:t>schnitt, berechnet auf der Grundlage der Datenqualitätsziele in der Tabelle gemäß ISO 11222:2002 – „Ermit</w:t>
      </w:r>
      <w:r>
        <w:t>t</w:t>
      </w:r>
      <w:r>
        <w:t>lung der Unsicherheit von zeitlichen Mittelwerten von Luftbeschaffenheitsmessungen“ vom Deze</w:t>
      </w:r>
      <w:r>
        <w:t>m</w:t>
      </w:r>
      <w:r>
        <w:t>ber 2002 eingehalten wird.</w:t>
      </w:r>
    </w:p>
    <w:p>
      <w:pPr>
        <w:pStyle w:val="GesAbsatz"/>
      </w:pPr>
      <w:r>
        <w:lastRenderedPageBreak/>
        <w:t>DIN EN- und DIN ISO-Normen, auf die in diesem Abschnitt verwiesen wird, sind im Beuth-Verlag GmbH, Berlin und Köln, erschienen und beim Deutschen Patent- und Markenamt in München archivmäßig ges</w:t>
      </w:r>
      <w:r>
        <w:t>i</w:t>
      </w:r>
      <w:r>
        <w:t>chert niedergelegt.</w:t>
      </w:r>
    </w:p>
    <w:p>
      <w:pPr>
        <w:pStyle w:val="GesAbsatz"/>
        <w:rPr>
          <w:b/>
        </w:rPr>
      </w:pPr>
      <w:r>
        <w:rPr>
          <w:b/>
        </w:rPr>
        <w:t>II. Anforderungen an Modelle zur Beurteilung der Luftqualität</w:t>
      </w:r>
    </w:p>
    <w:p>
      <w:pPr>
        <w:pStyle w:val="GesAbsatz"/>
      </w:pPr>
      <w:r>
        <w:t>Werden Modelle zur Beurteilung der Luftqualität verwendet, sind Hinweise auf Beschreibungen des Model</w:t>
      </w:r>
      <w:r>
        <w:t>l</w:t>
      </w:r>
      <w:r>
        <w:t>s und Informationen über die Unsicherheit zusammenzustellen. Die Unsicherheit von Modellen wird als die m</w:t>
      </w:r>
      <w:r>
        <w:t>a</w:t>
      </w:r>
      <w:r>
        <w:t>ximale Abweichung der gemessenen und berechneten Konzentrationen über ein ganzes Jahr definiert, wobei der genaue Zeitpunkt des Auftretens keine Berücksichtigung findet.</w:t>
      </w:r>
    </w:p>
    <w:p>
      <w:pPr>
        <w:pStyle w:val="GesAbsatz"/>
        <w:rPr>
          <w:b/>
        </w:rPr>
      </w:pPr>
      <w:r>
        <w:rPr>
          <w:b/>
        </w:rPr>
        <w:t>III. Anforderungen an objektive Schätzungstechniken</w:t>
      </w:r>
    </w:p>
    <w:p>
      <w:pPr>
        <w:pStyle w:val="GesAbsatz"/>
      </w:pPr>
      <w:r>
        <w:t>Werden objektive Schätzungstechniken verwendet, so darf die Unsicherheit 100 Prozent nicht überschre</w:t>
      </w:r>
      <w:r>
        <w:t>i</w:t>
      </w:r>
      <w:r>
        <w:t>ten.</w:t>
      </w:r>
    </w:p>
    <w:p>
      <w:pPr>
        <w:pStyle w:val="GesAbsatz"/>
        <w:rPr>
          <w:b/>
        </w:rPr>
      </w:pPr>
      <w:r>
        <w:rPr>
          <w:b/>
        </w:rPr>
        <w:t>IV. Standardbedingungen</w:t>
      </w:r>
    </w:p>
    <w:p>
      <w:pPr>
        <w:pStyle w:val="GesAbsatz"/>
      </w:pPr>
      <w:r>
        <w:t>Für Stoffe, die in der PM</w:t>
      </w:r>
      <w:r>
        <w:rPr>
          <w:vertAlign w:val="subscript"/>
        </w:rPr>
        <w:t>10</w:t>
      </w:r>
      <w:r>
        <w:t>-Fraktion zu analysieren sind, bezieht sich das Probenahmevolumen auf die U</w:t>
      </w:r>
      <w:r>
        <w:t>m</w:t>
      </w:r>
      <w:r>
        <w:t>gebungsbedingungen.</w:t>
      </w:r>
    </w:p>
    <w:p>
      <w:pPr>
        <w:pStyle w:val="berschrift2"/>
        <w:jc w:val="left"/>
      </w:pPr>
      <w:bookmarkStart w:id="40" w:name="_Toc174110526"/>
      <w:r>
        <w:t>Anlage 11</w:t>
      </w:r>
      <w:r>
        <w:br/>
        <w:t>Referenzmethoden für die Beurteilung der Immissionskonzentrationen und der A</w:t>
      </w:r>
      <w:r>
        <w:t>b</w:t>
      </w:r>
      <w:r>
        <w:t>lagerungsraten von Arsen, Kadmium, Nickel, Quecksilber und polyzyklischen ar</w:t>
      </w:r>
      <w:r>
        <w:t>o</w:t>
      </w:r>
      <w:r>
        <w:t>matischen Kohlenwassersto</w:t>
      </w:r>
      <w:r>
        <w:t>f</w:t>
      </w:r>
      <w:r>
        <w:t>fen</w:t>
      </w:r>
      <w:bookmarkEnd w:id="40"/>
    </w:p>
    <w:p>
      <w:pPr>
        <w:pStyle w:val="GesAbsatz"/>
        <w:rPr>
          <w:b/>
        </w:rPr>
      </w:pPr>
      <w:r>
        <w:rPr>
          <w:b/>
        </w:rPr>
        <w:t>I. Referenzmethode für die Probenahme und Analyse von Arsen, Kadmium und Nickel in der Luft</w:t>
      </w:r>
    </w:p>
    <w:p>
      <w:pPr>
        <w:pStyle w:val="GesAbsatz"/>
      </w:pPr>
      <w:r>
        <w:t>DIN EN 14902: Außenluftbeschaffenheit – Standardisiertes Verfahren zur Bestimmung von Pb/Cd/As/Ni als Bestandteil der PM10-Fraktion des Schwebstaubes; Ausgabe: Oktober 2005.</w:t>
      </w:r>
    </w:p>
    <w:p>
      <w:pPr>
        <w:pStyle w:val="GesAbsatz"/>
      </w:pPr>
      <w:r>
        <w:t>Ein anderes Verfahren kann verwendet werden, wenn nachgewiesen werden kann, dass damit gleichwert</w:t>
      </w:r>
      <w:r>
        <w:t>i</w:t>
      </w:r>
      <w:r>
        <w:t>ge Ergebnisse wie mit dem obigen Verfahren erzielt werden.</w:t>
      </w:r>
    </w:p>
    <w:p>
      <w:pPr>
        <w:pStyle w:val="GesAbsatz"/>
        <w:rPr>
          <w:b/>
        </w:rPr>
      </w:pPr>
      <w:r>
        <w:rPr>
          <w:b/>
        </w:rPr>
        <w:t>II. Referenzmethode für die Probenahme und Analyse polyzyklischer aromatischer Kohlenwassersto</w:t>
      </w:r>
      <w:r>
        <w:rPr>
          <w:b/>
        </w:rPr>
        <w:t>f</w:t>
      </w:r>
      <w:r>
        <w:rPr>
          <w:b/>
        </w:rPr>
        <w:t>fe in der Luft</w:t>
      </w:r>
    </w:p>
    <w:p>
      <w:pPr>
        <w:pStyle w:val="GesAbsatz"/>
        <w:ind w:left="426" w:hanging="426"/>
      </w:pPr>
      <w:r>
        <w:t>a)</w:t>
      </w:r>
      <w:r>
        <w:tab/>
        <w:t>Solange keine genormte CEN-Methode für die Messung von Benzo(a)pyren oder der anderen in § 17 Abs. 8 genannten polyzyklischen aromatischen Kohlenwasserstoffe vorliegt, können genormte nation</w:t>
      </w:r>
      <w:r>
        <w:t>a</w:t>
      </w:r>
      <w:r>
        <w:t>le Methoden oder genormte ISO-Methoden wie die DIN ISO-Norm 12884 vom Dezember 2000 angewe</w:t>
      </w:r>
      <w:r>
        <w:t>n</w:t>
      </w:r>
      <w:r>
        <w:t>det we</w:t>
      </w:r>
      <w:r>
        <w:t>r</w:t>
      </w:r>
      <w:r>
        <w:t>den.</w:t>
      </w:r>
    </w:p>
    <w:p>
      <w:pPr>
        <w:pStyle w:val="GesAbsatz"/>
        <w:ind w:left="426" w:hanging="426"/>
      </w:pPr>
      <w:r>
        <w:t>b)</w:t>
      </w:r>
      <w:r>
        <w:tab/>
        <w:t>Ein anderes Verfahren kann verwendet werden, wenn nachgewiesen werden kann, dass damit gleic</w:t>
      </w:r>
      <w:r>
        <w:t>h</w:t>
      </w:r>
      <w:r>
        <w:t>wertige Ergebnisse wie mit den obigen Verfahren erzielt werden.</w:t>
      </w:r>
    </w:p>
    <w:p>
      <w:pPr>
        <w:pStyle w:val="GesAbsatz"/>
        <w:rPr>
          <w:b/>
        </w:rPr>
      </w:pPr>
      <w:r>
        <w:rPr>
          <w:b/>
        </w:rPr>
        <w:t>III. Referenzmethode für die Probenahme und Analyse von Quecksilber in der Luft</w:t>
      </w:r>
    </w:p>
    <w:p>
      <w:pPr>
        <w:pStyle w:val="GesAbsatz"/>
        <w:ind w:left="426" w:hanging="426"/>
      </w:pPr>
      <w:r>
        <w:t>a)</w:t>
      </w:r>
      <w:r>
        <w:tab/>
        <w:t xml:space="preserve">Solange keine genormte CEN-Methode vorliegt, können genormte nationale Methoden oder genormte </w:t>
      </w:r>
      <w:r>
        <w:t>I</w:t>
      </w:r>
      <w:r>
        <w:t>SO-Methoden angewendet werden.</w:t>
      </w:r>
    </w:p>
    <w:p>
      <w:pPr>
        <w:pStyle w:val="GesAbsatz"/>
        <w:ind w:left="426" w:hanging="426"/>
      </w:pPr>
      <w:r>
        <w:t>b)</w:t>
      </w:r>
      <w:r>
        <w:tab/>
        <w:t>Ein anderes Verfahren kann verwendet werden, wenn nachgewiesen werden kann, dass damit gleic</w:t>
      </w:r>
      <w:r>
        <w:t>h</w:t>
      </w:r>
      <w:r>
        <w:t>wertige Ergebnisse wie mit den obigen Verfahren erzielt werden.</w:t>
      </w:r>
    </w:p>
    <w:p>
      <w:pPr>
        <w:pStyle w:val="GesAbsatz"/>
        <w:rPr>
          <w:b/>
        </w:rPr>
      </w:pPr>
      <w:r>
        <w:rPr>
          <w:b/>
        </w:rPr>
        <w:t>IV. Referenzmethode für die Probenahme und Analyse der Ablagerung von Arsen, Kadmium, Quec</w:t>
      </w:r>
      <w:r>
        <w:rPr>
          <w:b/>
        </w:rPr>
        <w:t>k</w:t>
      </w:r>
      <w:r>
        <w:rPr>
          <w:b/>
        </w:rPr>
        <w:t>silber, Nickel und polyzyklischen aromatischen Kohlenwasserstoffen</w:t>
      </w:r>
    </w:p>
    <w:p>
      <w:pPr>
        <w:pStyle w:val="GesAbsatz"/>
      </w:pPr>
      <w:r>
        <w:t>Solange keine genormte CEN-Methode vorliegt, können nationale Methoden angewendet werden. DIN ISO-Normen, auf die in den Abschnitten I bis IV verwiesen wird, sind im Beuth-Verlag GmbH, Berlin und Köln, erschienen und beim Deutschen Patent- und Markenamt in München archivmäßig gesichert niedergelegt.</w:t>
      </w:r>
    </w:p>
    <w:p>
      <w:pPr>
        <w:pStyle w:val="GesAbsatz"/>
        <w:rPr>
          <w:b/>
        </w:rPr>
      </w:pPr>
      <w:r>
        <w:rPr>
          <w:b/>
        </w:rPr>
        <w:t>V. Referenzmethoden zur Erstellung von Luftqualitätsmodellen</w:t>
      </w:r>
    </w:p>
    <w:p>
      <w:pPr>
        <w:pStyle w:val="GesAbsatz"/>
      </w:pPr>
      <w:r>
        <w:t>Für die Erstellung von Luftqualitätsmodellen lassen sich zurzeit keine Referenzmethoden festlegen.</w:t>
      </w:r>
    </w:p>
    <w:p>
      <w:pPr>
        <w:pStyle w:val="GesAbsatz"/>
      </w:pPr>
    </w:p>
    <w:p>
      <w:pPr>
        <w:pStyle w:val="GesAbsatz"/>
      </w:pPr>
      <w:bookmarkStart w:id="41" w:name="Gesetzeshistorie"/>
      <w:bookmarkEnd w:id="41"/>
      <w:r>
        <w:rPr>
          <w:b/>
        </w:rPr>
        <w:t>Änderungen:</w:t>
      </w:r>
    </w:p>
    <w:p>
      <w:pPr>
        <w:pStyle w:val="GesAbsatz"/>
        <w:tabs>
          <w:tab w:val="left" w:pos="2835"/>
        </w:tabs>
      </w:pPr>
      <w:r>
        <w:t>13.07.2004</w:t>
      </w:r>
      <w:r>
        <w:tab/>
      </w:r>
      <w:hyperlink r:id="rId7" w:history="1">
        <w:r>
          <w:rPr>
            <w:rStyle w:val="Hyperlink"/>
          </w:rPr>
          <w:t>BGBl. I Nr. 36 S. 16</w:t>
        </w:r>
        <w:r>
          <w:rPr>
            <w:rStyle w:val="Hyperlink"/>
          </w:rPr>
          <w:t>1</w:t>
        </w:r>
        <w:r>
          <w:rPr>
            <w:rStyle w:val="Hyperlink"/>
          </w:rPr>
          <w:t>2, 1</w:t>
        </w:r>
        <w:r>
          <w:rPr>
            <w:rStyle w:val="Hyperlink"/>
          </w:rPr>
          <w:t>6</w:t>
        </w:r>
        <w:r>
          <w:rPr>
            <w:rStyle w:val="Hyperlink"/>
          </w:rPr>
          <w:t>25</w:t>
        </w:r>
      </w:hyperlink>
      <w:r>
        <w:t xml:space="preserve"> Inkrafttreten 21.7.2004</w:t>
      </w:r>
    </w:p>
    <w:p>
      <w:pPr>
        <w:pStyle w:val="GesAbsatz"/>
        <w:tabs>
          <w:tab w:val="left" w:pos="2835"/>
        </w:tabs>
      </w:pPr>
      <w:r>
        <w:t>27.02.2007</w:t>
      </w:r>
      <w:r>
        <w:tab/>
      </w:r>
      <w:hyperlink r:id="rId8" w:history="1">
        <w:r>
          <w:rPr>
            <w:rStyle w:val="Hyperlink"/>
          </w:rPr>
          <w:t>BGBl. I N</w:t>
        </w:r>
        <w:r>
          <w:rPr>
            <w:rStyle w:val="Hyperlink"/>
          </w:rPr>
          <w:t>r</w:t>
        </w:r>
        <w:r>
          <w:rPr>
            <w:rStyle w:val="Hyperlink"/>
          </w:rPr>
          <w:t>. 7 S 241</w:t>
        </w:r>
      </w:hyperlink>
      <w:r>
        <w:t xml:space="preserve"> Inkrafttreten 06.03.2007</w:t>
      </w:r>
    </w:p>
    <w:sectPr>
      <w:headerReference w:type="default" r:id="rId9"/>
      <w:footerReference w:type="even" r:id="rId10"/>
      <w:footerReference w:type="default" r:id="rId11"/>
      <w:footnotePr>
        <w:numStart w:val="3"/>
      </w:footnotePr>
      <w:pgSz w:w="11907" w:h="16840" w:code="9"/>
      <w:pgMar w:top="1134" w:right="851" w:bottom="1134" w:left="1418"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Neue-Bold">
    <w:panose1 w:val="00000000000000000000"/>
    <w:charset w:val="00"/>
    <w:family w:val="auto"/>
    <w:notTrueType/>
    <w:pitch w:val="default"/>
    <w:sig w:usb0="00000003" w:usb1="00000000" w:usb2="00000000" w:usb3="00000000" w:csb0="00000001" w:csb1="00000000"/>
  </w:font>
  <w:font w:name="Helvetica Neue">
    <w:altName w:val="Helvetica Neue"/>
    <w:panose1 w:val="00000000000000000000"/>
    <w:charset w:val="00"/>
    <w:family w:val="roman"/>
    <w:notTrueType/>
    <w:pitch w:val="default"/>
    <w:sig w:usb0="00000003" w:usb1="00000000" w:usb2="00000000" w:usb3="00000000" w:csb0="00000001" w:csb1="00000000"/>
  </w:font>
  <w:font w:name="HelveticaNeue-Roman">
    <w:panose1 w:val="00000000000000000000"/>
    <w:charset w:val="00"/>
    <w:family w:val="swiss"/>
    <w:notTrueType/>
    <w:pitch w:val="default"/>
    <w:sig w:usb0="00000003" w:usb1="00000000" w:usb2="00000000" w:usb3="00000000" w:csb0="00000001" w:csb1="00000000"/>
  </w:font>
  <w:font w:name="IILGJ N+ Adv L Te 50259">
    <w:altName w:val="Adv LTe"/>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ind w:right="357"/>
    </w:pPr>
    <w:r>
      <w:tab/>
      <w:t>11.09.2002 (BGBl. I S. 3626)</w:t>
    </w:r>
    <w:r>
      <w:tab/>
      <w:t xml:space="preserve">Seite </w:t>
    </w:r>
    <w:r>
      <w:fldChar w:fldCharType="begin"/>
    </w:r>
    <w:r>
      <w:instrText xml:space="preserve"> PAGE  \* MERGEFORMAT </w:instrText>
    </w:r>
    <w:r>
      <w:fldChar w:fldCharType="separate"/>
    </w:r>
    <w:r>
      <w:rPr>
        <w:noProof/>
      </w:rPr>
      <w:t>1</w:t>
    </w:r>
    <w:r>
      <w:fldChar w:fldCharType="end"/>
    </w:r>
  </w:p>
  <w:p>
    <w:pPr>
      <w:pStyle w:val="Fuzeile"/>
      <w:ind w:right="357"/>
      <w:rPr>
        <w:lang w:val="en-GB"/>
      </w:rPr>
    </w:pPr>
    <w:r>
      <w:tab/>
    </w:r>
    <w:r>
      <w:rPr>
        <w:lang w:val="en-GB"/>
      </w:rPr>
      <w:t>Stand 27.02.2007 (BGBl. I. S. 241)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GesAbsatz"/>
        <w:ind w:left="284" w:hanging="284"/>
        <w:rPr>
          <w:sz w:val="16"/>
        </w:rPr>
      </w:pPr>
      <w:r>
        <w:rPr>
          <w:rStyle w:val="Funotenzeichen"/>
          <w:sz w:val="16"/>
        </w:rPr>
        <w:t>1)</w:t>
      </w:r>
      <w:r>
        <w:rPr>
          <w:sz w:val="16"/>
        </w:rPr>
        <w:t xml:space="preserve"> </w:t>
      </w:r>
      <w:r>
        <w:rPr>
          <w:sz w:val="16"/>
        </w:rPr>
        <w:tab/>
        <w:t>Diese Verordnung dient der Umsetzung der Richtlinien des Rates 80/779/EWG vom 15. Juli 1980 über Grenzwerte und Leitwerte der Luftqualität für Schwefeldioxid und Schwebstaub (ABl. EG Nr. L 229 S. 30), geändert durch Richtlinien des Rates 89/427/EWG vom 21. Juni 1989 ABl. EG Nr. L 201 S. 53), 82/884/EWG vom 3. Dezember 1982 betreffend einen Grenzwert für den Bleigehalt der Luft (ABl. EG Nr. L 378 S. 15) und 85/203/EWG vom 7. März 1985 über Luftqualitätsnormen für Stickstoffdioxid (ABl. EG Nr. L 87 S. 1) in der Fassung der Änderung durch Artikel 9 der Richtlinie 1999/30/EG (ABl. EG Nr. L 163 S. 41) sowie der Richtlinie 96/62/EG des Rates vom 27. September 1996 über die Beurteilung und die Kontrolle der Luftqualität (ABl. EG Nr. L 296 S. 55), der Richtlinie 1999/30/EG vom 22. April 1999 über Grenzwerte für Schwefeldioxid, Stickstoffdioxid und Stickstoffoxide, Partikel und Blei in der Luft ABl. EG Nr. L 163 S. 41), der Richtlinie 2000/69/EG des Europäischen Parlaments und des Rates vom 16. November 2000 über Benzol und Kohle</w:t>
      </w:r>
      <w:r>
        <w:rPr>
          <w:sz w:val="16"/>
        </w:rPr>
        <w:t>n</w:t>
      </w:r>
      <w:r>
        <w:rPr>
          <w:sz w:val="16"/>
        </w:rPr>
        <w:t>monoxid in der Luft (ABl. EG Nr. L 313 S. 12, ABl. EG Nr. L 111 S. 31) und der Richtlinie 92/72/EWG des Rates vom 21. September 1992 über die Luftverschmutzung durch Ozon (ABl. EG Nr. L 297 S. 1) in deutsches Recht.</w:t>
      </w:r>
    </w:p>
  </w:footnote>
  <w:footnote w:id="2">
    <w:p>
      <w:pPr>
        <w:pStyle w:val="GesAbsatz"/>
        <w:ind w:left="284" w:hanging="284"/>
      </w:pPr>
      <w:r>
        <w:rPr>
          <w:rStyle w:val="Funotenzeichen"/>
        </w:rPr>
        <w:t>1)</w:t>
      </w:r>
      <w:r>
        <w:tab/>
      </w:r>
      <w:r>
        <w:rPr>
          <w:sz w:val="16"/>
        </w:rPr>
        <w:t>Stichprobenmessungen anstelle von kontinuierlichen Messungen können durchgeführt werden, wenn nachgewiesen werden kann, dass die Genauigkeit mit einem Vertrauensbereich von 95 % in Bezug auf kontinuierliche Messungen bei 10 % liegt. Stichprobe</w:t>
      </w:r>
      <w:r>
        <w:rPr>
          <w:sz w:val="16"/>
        </w:rPr>
        <w:t>n</w:t>
      </w:r>
      <w:r>
        <w:rPr>
          <w:sz w:val="16"/>
        </w:rPr>
        <w:t>messungen sind gleichmäßig über das Jahr zu verteilen.</w:t>
      </w:r>
    </w:p>
  </w:footnote>
  <w:footnote w:id="3">
    <w:p>
      <w:pPr>
        <w:tabs>
          <w:tab w:val="clear" w:pos="425"/>
          <w:tab w:val="left" w:pos="284"/>
        </w:tabs>
        <w:autoSpaceDE w:val="0"/>
        <w:autoSpaceDN w:val="0"/>
        <w:adjustRightInd w:val="0"/>
        <w:spacing w:before="0" w:after="0"/>
        <w:ind w:left="284" w:hanging="284"/>
        <w:jc w:val="left"/>
      </w:pPr>
      <w:r>
        <w:rPr>
          <w:rStyle w:val="Funotenzeichen"/>
        </w:rPr>
        <w:t>2</w:t>
      </w:r>
      <w:r>
        <w:rPr>
          <w:rStyle w:val="Funotenzeichen"/>
          <w:sz w:val="16"/>
        </w:rPr>
        <w:t>)</w:t>
      </w:r>
      <w:r>
        <w:rPr>
          <w:sz w:val="16"/>
        </w:rPr>
        <w:tab/>
      </w:r>
      <w:r>
        <w:rPr>
          <w:color w:val="000000"/>
          <w:sz w:val="16"/>
        </w:rPr>
        <w:t>Änderungen zur Anpassung dieses Punktes an den wissenschaftlichen und technischen Fortschritt werden nach dem Verfahren des Artikels 12 Abs. 2 der Richtlinie 96/62/EG erlassen.</w:t>
      </w:r>
    </w:p>
  </w:footnote>
  <w:footnote w:id="4">
    <w:p>
      <w:pPr>
        <w:pStyle w:val="Funotentext"/>
      </w:pPr>
      <w:r>
        <w:rPr>
          <w:rStyle w:val="Funotenzeichen"/>
        </w:rPr>
        <w:footnoteRef/>
      </w:r>
      <w:r>
        <w:t xml:space="preserve"> Stichprobenmessungen anstelle von kontinuierlichen Messungen können durchgeführt werden, wenn der Nachweis geführt wird, dass die Unsicherheit, einschließlich der Unsicherheit aufgrund der Zufallsproben, das Qualitätsziel von 25 % erreicht. Stichprobenmessu</w:t>
      </w:r>
      <w:r>
        <w:t>n</w:t>
      </w:r>
      <w:r>
        <w:t>gen sind gleichmäßig über das Jahr zu verteilen, um Verzerrungen der Ergebnisse zu vermeiden.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rPr>
        <w:b/>
        <w:sz w:val="24"/>
      </w:rPr>
    </w:pPr>
    <w:r>
      <w:rPr>
        <w:b/>
        <w:sz w:val="24"/>
      </w:rPr>
      <w:t>Archiv6.50</w:t>
    </w:r>
  </w:p>
  <w:p>
    <w:pPr>
      <w:pStyle w:val="Kopfzeile"/>
      <w:spacing w:before="0" w:after="120"/>
    </w:pPr>
    <w:r>
      <w:t>22. BImSchV</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02E67"/>
    <w:multiLevelType w:val="hybridMultilevel"/>
    <w:tmpl w:val="A47E2178"/>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089862E5"/>
    <w:multiLevelType w:val="hybridMultilevel"/>
    <w:tmpl w:val="8ACAC80E"/>
    <w:lvl w:ilvl="0" w:tplc="CDA0151E">
      <w:start w:val="3"/>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2603D9"/>
    <w:multiLevelType w:val="hybridMultilevel"/>
    <w:tmpl w:val="A8380FB0"/>
    <w:lvl w:ilvl="0" w:tplc="27A42046">
      <w:start w:val="1"/>
      <w:numFmt w:val="bullet"/>
      <w:lvlText w:val="-"/>
      <w:lvlJc w:val="left"/>
      <w:pPr>
        <w:tabs>
          <w:tab w:val="num" w:pos="360"/>
        </w:tabs>
        <w:ind w:left="340" w:hanging="340"/>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0F0086"/>
    <w:multiLevelType w:val="hybridMultilevel"/>
    <w:tmpl w:val="967A4D82"/>
    <w:lvl w:ilvl="0" w:tplc="27A42046">
      <w:start w:val="1"/>
      <w:numFmt w:val="bullet"/>
      <w:lvlText w:val="-"/>
      <w:lvlJc w:val="left"/>
      <w:pPr>
        <w:tabs>
          <w:tab w:val="num" w:pos="360"/>
        </w:tabs>
        <w:ind w:left="340" w:hanging="340"/>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E13B8A"/>
    <w:multiLevelType w:val="hybridMultilevel"/>
    <w:tmpl w:val="C4BCD502"/>
    <w:lvl w:ilvl="0" w:tplc="0407000F">
      <w:start w:val="1"/>
      <w:numFmt w:val="decimal"/>
      <w:lvlText w:val="%1."/>
      <w:lvlJc w:val="left"/>
      <w:pPr>
        <w:tabs>
          <w:tab w:val="num" w:pos="720"/>
        </w:tabs>
        <w:ind w:left="720" w:hanging="360"/>
      </w:pPr>
    </w:lvl>
    <w:lvl w:ilvl="1" w:tplc="17AA326A">
      <w:start w:val="1"/>
      <w:numFmt w:val="bullet"/>
      <w:lvlText w:val="-"/>
      <w:lvlJc w:val="left"/>
      <w:pPr>
        <w:tabs>
          <w:tab w:val="num" w:pos="1440"/>
        </w:tabs>
        <w:ind w:left="1420" w:hanging="340"/>
      </w:pPr>
      <w:rPr>
        <w:rFonts w:hint="default"/>
        <w:sz w:val="16"/>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0F2B2206"/>
    <w:multiLevelType w:val="hybridMultilevel"/>
    <w:tmpl w:val="F8F80544"/>
    <w:lvl w:ilvl="0" w:tplc="3266F2B2">
      <w:start w:val="1"/>
      <w:numFmt w:val="upperRoman"/>
      <w:lvlText w:val="%1."/>
      <w:lvlJc w:val="right"/>
      <w:pPr>
        <w:tabs>
          <w:tab w:val="num" w:pos="34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15010290"/>
    <w:multiLevelType w:val="hybridMultilevel"/>
    <w:tmpl w:val="175227DC"/>
    <w:lvl w:ilvl="0" w:tplc="DEFE4E8E">
      <w:start w:val="1"/>
      <w:numFmt w:val="upperRoman"/>
      <w:lvlText w:val="%1."/>
      <w:lvlJc w:val="right"/>
      <w:pPr>
        <w:tabs>
          <w:tab w:val="num" w:pos="34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19B1613C"/>
    <w:multiLevelType w:val="hybridMultilevel"/>
    <w:tmpl w:val="B046E3BE"/>
    <w:lvl w:ilvl="0" w:tplc="B4F0E952">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1B2C2498"/>
    <w:multiLevelType w:val="hybridMultilevel"/>
    <w:tmpl w:val="197C0CF0"/>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1DB3088A"/>
    <w:multiLevelType w:val="hybridMultilevel"/>
    <w:tmpl w:val="7626FD0A"/>
    <w:lvl w:ilvl="0" w:tplc="3266F2B2">
      <w:start w:val="1"/>
      <w:numFmt w:val="upperRoman"/>
      <w:lvlText w:val="%1."/>
      <w:lvlJc w:val="right"/>
      <w:pPr>
        <w:tabs>
          <w:tab w:val="num" w:pos="34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210608AE"/>
    <w:multiLevelType w:val="hybridMultilevel"/>
    <w:tmpl w:val="31E45024"/>
    <w:lvl w:ilvl="0" w:tplc="0407000F">
      <w:start w:val="1"/>
      <w:numFmt w:val="decimal"/>
      <w:lvlText w:val="%1."/>
      <w:lvlJc w:val="left"/>
      <w:pPr>
        <w:tabs>
          <w:tab w:val="num" w:pos="720"/>
        </w:tabs>
        <w:ind w:left="720" w:hanging="360"/>
      </w:pPr>
      <w:rPr>
        <w:rFonts w:hint="default"/>
      </w:rPr>
    </w:lvl>
    <w:lvl w:ilvl="1" w:tplc="3F0620F6">
      <w:start w:val="1"/>
      <w:numFmt w:val="bullet"/>
      <w:lvlText w:val="-"/>
      <w:lvlJc w:val="left"/>
      <w:pPr>
        <w:tabs>
          <w:tab w:val="num" w:pos="1440"/>
        </w:tabs>
        <w:ind w:left="1420" w:hanging="340"/>
      </w:pPr>
      <w:rPr>
        <w:rFonts w:hint="default"/>
        <w:sz w:val="16"/>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21363D67"/>
    <w:multiLevelType w:val="hybridMultilevel"/>
    <w:tmpl w:val="81EE2CCE"/>
    <w:lvl w:ilvl="0" w:tplc="D60E9382">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1EC17CF"/>
    <w:multiLevelType w:val="hybridMultilevel"/>
    <w:tmpl w:val="2BB425C0"/>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23E53B0F"/>
    <w:multiLevelType w:val="hybridMultilevel"/>
    <w:tmpl w:val="00481448"/>
    <w:lvl w:ilvl="0" w:tplc="C8BEBDE0">
      <w:start w:val="1"/>
      <w:numFmt w:val="decimal"/>
      <w:lvlText w:val="%1."/>
      <w:lvlJc w:val="left"/>
      <w:pPr>
        <w:tabs>
          <w:tab w:val="num" w:pos="36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15:restartNumberingAfterBreak="0">
    <w:nsid w:val="2591577F"/>
    <w:multiLevelType w:val="hybridMultilevel"/>
    <w:tmpl w:val="13EA37EC"/>
    <w:lvl w:ilvl="0" w:tplc="C8BEBDE0">
      <w:start w:val="1"/>
      <w:numFmt w:val="decimal"/>
      <w:lvlText w:val="%1."/>
      <w:lvlJc w:val="left"/>
      <w:pPr>
        <w:tabs>
          <w:tab w:val="num" w:pos="360"/>
        </w:tabs>
        <w:ind w:left="340" w:hanging="340"/>
      </w:pPr>
      <w:rPr>
        <w:rFonts w:hint="default"/>
      </w:rPr>
    </w:lvl>
    <w:lvl w:ilvl="1" w:tplc="17AA326A">
      <w:start w:val="1"/>
      <w:numFmt w:val="bullet"/>
      <w:lvlText w:val="-"/>
      <w:lvlJc w:val="left"/>
      <w:pPr>
        <w:tabs>
          <w:tab w:val="num" w:pos="360"/>
        </w:tabs>
        <w:ind w:left="340" w:hanging="340"/>
      </w:pPr>
      <w:rPr>
        <w:rFonts w:hint="default"/>
        <w:sz w:val="16"/>
      </w:rPr>
    </w:lvl>
    <w:lvl w:ilvl="2" w:tplc="4DCA98B2">
      <w:start w:val="5"/>
      <w:numFmt w:val="bullet"/>
      <w:lvlText w:val="–"/>
      <w:lvlJc w:val="left"/>
      <w:pPr>
        <w:tabs>
          <w:tab w:val="num" w:pos="2340"/>
        </w:tabs>
        <w:ind w:left="2340" w:hanging="360"/>
      </w:pPr>
      <w:rPr>
        <w:rFonts w:ascii="Arial" w:eastAsia="Times New Roman" w:hAnsi="Arial" w:cs="Arial" w:hint="default"/>
      </w:rPr>
    </w:lvl>
    <w:lvl w:ilvl="3" w:tplc="F086CBA6">
      <w:start w:val="1"/>
      <w:numFmt w:val="bullet"/>
      <w:lvlText w:val="-"/>
      <w:lvlJc w:val="left"/>
      <w:pPr>
        <w:tabs>
          <w:tab w:val="num" w:pos="360"/>
        </w:tabs>
        <w:ind w:left="340" w:hanging="340"/>
      </w:pPr>
      <w:rPr>
        <w:rFonts w:hint="default"/>
        <w:sz w:val="16"/>
      </w:rPr>
    </w:lvl>
    <w:lvl w:ilvl="4" w:tplc="A6EAF2C6">
      <w:start w:val="1"/>
      <w:numFmt w:val="upperRoman"/>
      <w:lvlText w:val="%5."/>
      <w:lvlJc w:val="left"/>
      <w:pPr>
        <w:tabs>
          <w:tab w:val="num" w:pos="3960"/>
        </w:tabs>
        <w:ind w:left="3960" w:hanging="720"/>
      </w:pPr>
      <w:rPr>
        <w:rFonts w:hint="default"/>
      </w:r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26B07908"/>
    <w:multiLevelType w:val="hybridMultilevel"/>
    <w:tmpl w:val="16B0D474"/>
    <w:lvl w:ilvl="0" w:tplc="84BEDDE8">
      <w:start w:val="1"/>
      <w:numFmt w:val="bullet"/>
      <w:lvlText w:val="-"/>
      <w:lvlJc w:val="left"/>
      <w:pPr>
        <w:tabs>
          <w:tab w:val="num" w:pos="2160"/>
        </w:tabs>
        <w:ind w:left="2140" w:hanging="340"/>
      </w:pPr>
      <w:rPr>
        <w:rFonts w:hint="default"/>
        <w:sz w:val="16"/>
      </w:rPr>
    </w:lvl>
    <w:lvl w:ilvl="1" w:tplc="04070003" w:tentative="1">
      <w:start w:val="1"/>
      <w:numFmt w:val="bullet"/>
      <w:lvlText w:val="o"/>
      <w:lvlJc w:val="left"/>
      <w:pPr>
        <w:tabs>
          <w:tab w:val="num" w:pos="3240"/>
        </w:tabs>
        <w:ind w:left="3240" w:hanging="360"/>
      </w:pPr>
      <w:rPr>
        <w:rFonts w:ascii="Courier New" w:hAnsi="Courier New" w:hint="default"/>
      </w:rPr>
    </w:lvl>
    <w:lvl w:ilvl="2" w:tplc="04070005" w:tentative="1">
      <w:start w:val="1"/>
      <w:numFmt w:val="bullet"/>
      <w:lvlText w:val=""/>
      <w:lvlJc w:val="left"/>
      <w:pPr>
        <w:tabs>
          <w:tab w:val="num" w:pos="3960"/>
        </w:tabs>
        <w:ind w:left="3960" w:hanging="360"/>
      </w:pPr>
      <w:rPr>
        <w:rFonts w:ascii="Wingdings" w:hAnsi="Wingdings" w:hint="default"/>
      </w:rPr>
    </w:lvl>
    <w:lvl w:ilvl="3" w:tplc="04070001" w:tentative="1">
      <w:start w:val="1"/>
      <w:numFmt w:val="bullet"/>
      <w:lvlText w:val=""/>
      <w:lvlJc w:val="left"/>
      <w:pPr>
        <w:tabs>
          <w:tab w:val="num" w:pos="4680"/>
        </w:tabs>
        <w:ind w:left="4680" w:hanging="360"/>
      </w:pPr>
      <w:rPr>
        <w:rFonts w:ascii="Symbol" w:hAnsi="Symbol" w:hint="default"/>
      </w:rPr>
    </w:lvl>
    <w:lvl w:ilvl="4" w:tplc="04070003" w:tentative="1">
      <w:start w:val="1"/>
      <w:numFmt w:val="bullet"/>
      <w:lvlText w:val="o"/>
      <w:lvlJc w:val="left"/>
      <w:pPr>
        <w:tabs>
          <w:tab w:val="num" w:pos="5400"/>
        </w:tabs>
        <w:ind w:left="5400" w:hanging="360"/>
      </w:pPr>
      <w:rPr>
        <w:rFonts w:ascii="Courier New" w:hAnsi="Courier New" w:hint="default"/>
      </w:rPr>
    </w:lvl>
    <w:lvl w:ilvl="5" w:tplc="04070005" w:tentative="1">
      <w:start w:val="1"/>
      <w:numFmt w:val="bullet"/>
      <w:lvlText w:val=""/>
      <w:lvlJc w:val="left"/>
      <w:pPr>
        <w:tabs>
          <w:tab w:val="num" w:pos="6120"/>
        </w:tabs>
        <w:ind w:left="6120" w:hanging="360"/>
      </w:pPr>
      <w:rPr>
        <w:rFonts w:ascii="Wingdings" w:hAnsi="Wingdings" w:hint="default"/>
      </w:rPr>
    </w:lvl>
    <w:lvl w:ilvl="6" w:tplc="04070001" w:tentative="1">
      <w:start w:val="1"/>
      <w:numFmt w:val="bullet"/>
      <w:lvlText w:val=""/>
      <w:lvlJc w:val="left"/>
      <w:pPr>
        <w:tabs>
          <w:tab w:val="num" w:pos="6840"/>
        </w:tabs>
        <w:ind w:left="6840" w:hanging="360"/>
      </w:pPr>
      <w:rPr>
        <w:rFonts w:ascii="Symbol" w:hAnsi="Symbol" w:hint="default"/>
      </w:rPr>
    </w:lvl>
    <w:lvl w:ilvl="7" w:tplc="04070003" w:tentative="1">
      <w:start w:val="1"/>
      <w:numFmt w:val="bullet"/>
      <w:lvlText w:val="o"/>
      <w:lvlJc w:val="left"/>
      <w:pPr>
        <w:tabs>
          <w:tab w:val="num" w:pos="7560"/>
        </w:tabs>
        <w:ind w:left="7560" w:hanging="360"/>
      </w:pPr>
      <w:rPr>
        <w:rFonts w:ascii="Courier New" w:hAnsi="Courier New" w:hint="default"/>
      </w:rPr>
    </w:lvl>
    <w:lvl w:ilvl="8" w:tplc="04070005" w:tentative="1">
      <w:start w:val="1"/>
      <w:numFmt w:val="bullet"/>
      <w:lvlText w:val=""/>
      <w:lvlJc w:val="left"/>
      <w:pPr>
        <w:tabs>
          <w:tab w:val="num" w:pos="8280"/>
        </w:tabs>
        <w:ind w:left="8280" w:hanging="360"/>
      </w:pPr>
      <w:rPr>
        <w:rFonts w:ascii="Wingdings" w:hAnsi="Wingdings" w:hint="default"/>
      </w:rPr>
    </w:lvl>
  </w:abstractNum>
  <w:abstractNum w:abstractNumId="16" w15:restartNumberingAfterBreak="0">
    <w:nsid w:val="2B3377B4"/>
    <w:multiLevelType w:val="hybridMultilevel"/>
    <w:tmpl w:val="F3E652AE"/>
    <w:lvl w:ilvl="0" w:tplc="B1767E8A">
      <w:start w:val="3"/>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BA7572C"/>
    <w:multiLevelType w:val="hybridMultilevel"/>
    <w:tmpl w:val="77EC1550"/>
    <w:lvl w:ilvl="0" w:tplc="F000D2D2">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2DD17019"/>
    <w:multiLevelType w:val="hybridMultilevel"/>
    <w:tmpl w:val="606A318E"/>
    <w:lvl w:ilvl="0" w:tplc="2A8A5F16">
      <w:start w:val="3"/>
      <w:numFmt w:val="decimal"/>
      <w:lvlText w:val="%1."/>
      <w:lvlJc w:val="left"/>
      <w:pPr>
        <w:tabs>
          <w:tab w:val="num" w:pos="36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15:restartNumberingAfterBreak="0">
    <w:nsid w:val="2FEF2B3B"/>
    <w:multiLevelType w:val="hybridMultilevel"/>
    <w:tmpl w:val="84705BC4"/>
    <w:lvl w:ilvl="0" w:tplc="27A42046">
      <w:start w:val="1"/>
      <w:numFmt w:val="bullet"/>
      <w:lvlText w:val="-"/>
      <w:lvlJc w:val="left"/>
      <w:pPr>
        <w:tabs>
          <w:tab w:val="num" w:pos="360"/>
        </w:tabs>
        <w:ind w:left="340" w:hanging="340"/>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A1F75C5"/>
    <w:multiLevelType w:val="hybridMultilevel"/>
    <w:tmpl w:val="AFC48CF0"/>
    <w:lvl w:ilvl="0" w:tplc="17AA326A">
      <w:start w:val="1"/>
      <w:numFmt w:val="bullet"/>
      <w:lvlText w:val="-"/>
      <w:lvlJc w:val="left"/>
      <w:pPr>
        <w:tabs>
          <w:tab w:val="num" w:pos="2160"/>
        </w:tabs>
        <w:ind w:left="2140" w:hanging="340"/>
      </w:pPr>
      <w:rPr>
        <w:rFonts w:hint="default"/>
        <w:sz w:val="16"/>
      </w:rPr>
    </w:lvl>
    <w:lvl w:ilvl="1" w:tplc="04070003" w:tentative="1">
      <w:start w:val="1"/>
      <w:numFmt w:val="bullet"/>
      <w:lvlText w:val="o"/>
      <w:lvlJc w:val="left"/>
      <w:pPr>
        <w:tabs>
          <w:tab w:val="num" w:pos="3240"/>
        </w:tabs>
        <w:ind w:left="3240" w:hanging="360"/>
      </w:pPr>
      <w:rPr>
        <w:rFonts w:ascii="Courier New" w:hAnsi="Courier New" w:hint="default"/>
      </w:rPr>
    </w:lvl>
    <w:lvl w:ilvl="2" w:tplc="04070005" w:tentative="1">
      <w:start w:val="1"/>
      <w:numFmt w:val="bullet"/>
      <w:lvlText w:val=""/>
      <w:lvlJc w:val="left"/>
      <w:pPr>
        <w:tabs>
          <w:tab w:val="num" w:pos="3960"/>
        </w:tabs>
        <w:ind w:left="3960" w:hanging="360"/>
      </w:pPr>
      <w:rPr>
        <w:rFonts w:ascii="Wingdings" w:hAnsi="Wingdings" w:hint="default"/>
      </w:rPr>
    </w:lvl>
    <w:lvl w:ilvl="3" w:tplc="04070001" w:tentative="1">
      <w:start w:val="1"/>
      <w:numFmt w:val="bullet"/>
      <w:lvlText w:val=""/>
      <w:lvlJc w:val="left"/>
      <w:pPr>
        <w:tabs>
          <w:tab w:val="num" w:pos="4680"/>
        </w:tabs>
        <w:ind w:left="4680" w:hanging="360"/>
      </w:pPr>
      <w:rPr>
        <w:rFonts w:ascii="Symbol" w:hAnsi="Symbol" w:hint="default"/>
      </w:rPr>
    </w:lvl>
    <w:lvl w:ilvl="4" w:tplc="04070003" w:tentative="1">
      <w:start w:val="1"/>
      <w:numFmt w:val="bullet"/>
      <w:lvlText w:val="o"/>
      <w:lvlJc w:val="left"/>
      <w:pPr>
        <w:tabs>
          <w:tab w:val="num" w:pos="5400"/>
        </w:tabs>
        <w:ind w:left="5400" w:hanging="360"/>
      </w:pPr>
      <w:rPr>
        <w:rFonts w:ascii="Courier New" w:hAnsi="Courier New" w:hint="default"/>
      </w:rPr>
    </w:lvl>
    <w:lvl w:ilvl="5" w:tplc="04070005" w:tentative="1">
      <w:start w:val="1"/>
      <w:numFmt w:val="bullet"/>
      <w:lvlText w:val=""/>
      <w:lvlJc w:val="left"/>
      <w:pPr>
        <w:tabs>
          <w:tab w:val="num" w:pos="6120"/>
        </w:tabs>
        <w:ind w:left="6120" w:hanging="360"/>
      </w:pPr>
      <w:rPr>
        <w:rFonts w:ascii="Wingdings" w:hAnsi="Wingdings" w:hint="default"/>
      </w:rPr>
    </w:lvl>
    <w:lvl w:ilvl="6" w:tplc="04070001" w:tentative="1">
      <w:start w:val="1"/>
      <w:numFmt w:val="bullet"/>
      <w:lvlText w:val=""/>
      <w:lvlJc w:val="left"/>
      <w:pPr>
        <w:tabs>
          <w:tab w:val="num" w:pos="6840"/>
        </w:tabs>
        <w:ind w:left="6840" w:hanging="360"/>
      </w:pPr>
      <w:rPr>
        <w:rFonts w:ascii="Symbol" w:hAnsi="Symbol" w:hint="default"/>
      </w:rPr>
    </w:lvl>
    <w:lvl w:ilvl="7" w:tplc="04070003" w:tentative="1">
      <w:start w:val="1"/>
      <w:numFmt w:val="bullet"/>
      <w:lvlText w:val="o"/>
      <w:lvlJc w:val="left"/>
      <w:pPr>
        <w:tabs>
          <w:tab w:val="num" w:pos="7560"/>
        </w:tabs>
        <w:ind w:left="7560" w:hanging="360"/>
      </w:pPr>
      <w:rPr>
        <w:rFonts w:ascii="Courier New" w:hAnsi="Courier New" w:hint="default"/>
      </w:rPr>
    </w:lvl>
    <w:lvl w:ilvl="8" w:tplc="04070005" w:tentative="1">
      <w:start w:val="1"/>
      <w:numFmt w:val="bullet"/>
      <w:lvlText w:val=""/>
      <w:lvlJc w:val="left"/>
      <w:pPr>
        <w:tabs>
          <w:tab w:val="num" w:pos="8280"/>
        </w:tabs>
        <w:ind w:left="8280" w:hanging="360"/>
      </w:pPr>
      <w:rPr>
        <w:rFonts w:ascii="Wingdings" w:hAnsi="Wingdings" w:hint="default"/>
      </w:rPr>
    </w:lvl>
  </w:abstractNum>
  <w:abstractNum w:abstractNumId="21" w15:restartNumberingAfterBreak="0">
    <w:nsid w:val="3C2C2809"/>
    <w:multiLevelType w:val="hybridMultilevel"/>
    <w:tmpl w:val="3B5ED368"/>
    <w:lvl w:ilvl="0" w:tplc="D0587B00">
      <w:start w:val="1"/>
      <w:numFmt w:val="bullet"/>
      <w:lvlText w:val="-"/>
      <w:lvlJc w:val="left"/>
      <w:pPr>
        <w:tabs>
          <w:tab w:val="num" w:pos="2140"/>
        </w:tabs>
        <w:ind w:left="2140" w:hanging="439"/>
      </w:pPr>
      <w:rPr>
        <w:rFonts w:hint="default"/>
        <w:sz w:val="16"/>
      </w:rPr>
    </w:lvl>
    <w:lvl w:ilvl="1" w:tplc="04070003" w:tentative="1">
      <w:start w:val="1"/>
      <w:numFmt w:val="bullet"/>
      <w:lvlText w:val="o"/>
      <w:lvlJc w:val="left"/>
      <w:pPr>
        <w:tabs>
          <w:tab w:val="num" w:pos="3240"/>
        </w:tabs>
        <w:ind w:left="3240" w:hanging="360"/>
      </w:pPr>
      <w:rPr>
        <w:rFonts w:ascii="Courier New" w:hAnsi="Courier New" w:hint="default"/>
      </w:rPr>
    </w:lvl>
    <w:lvl w:ilvl="2" w:tplc="04070005" w:tentative="1">
      <w:start w:val="1"/>
      <w:numFmt w:val="bullet"/>
      <w:lvlText w:val=""/>
      <w:lvlJc w:val="left"/>
      <w:pPr>
        <w:tabs>
          <w:tab w:val="num" w:pos="3960"/>
        </w:tabs>
        <w:ind w:left="3960" w:hanging="360"/>
      </w:pPr>
      <w:rPr>
        <w:rFonts w:ascii="Wingdings" w:hAnsi="Wingdings" w:hint="default"/>
      </w:rPr>
    </w:lvl>
    <w:lvl w:ilvl="3" w:tplc="04070001" w:tentative="1">
      <w:start w:val="1"/>
      <w:numFmt w:val="bullet"/>
      <w:lvlText w:val=""/>
      <w:lvlJc w:val="left"/>
      <w:pPr>
        <w:tabs>
          <w:tab w:val="num" w:pos="4680"/>
        </w:tabs>
        <w:ind w:left="4680" w:hanging="360"/>
      </w:pPr>
      <w:rPr>
        <w:rFonts w:ascii="Symbol" w:hAnsi="Symbol" w:hint="default"/>
      </w:rPr>
    </w:lvl>
    <w:lvl w:ilvl="4" w:tplc="04070003" w:tentative="1">
      <w:start w:val="1"/>
      <w:numFmt w:val="bullet"/>
      <w:lvlText w:val="o"/>
      <w:lvlJc w:val="left"/>
      <w:pPr>
        <w:tabs>
          <w:tab w:val="num" w:pos="5400"/>
        </w:tabs>
        <w:ind w:left="5400" w:hanging="360"/>
      </w:pPr>
      <w:rPr>
        <w:rFonts w:ascii="Courier New" w:hAnsi="Courier New" w:hint="default"/>
      </w:rPr>
    </w:lvl>
    <w:lvl w:ilvl="5" w:tplc="04070005" w:tentative="1">
      <w:start w:val="1"/>
      <w:numFmt w:val="bullet"/>
      <w:lvlText w:val=""/>
      <w:lvlJc w:val="left"/>
      <w:pPr>
        <w:tabs>
          <w:tab w:val="num" w:pos="6120"/>
        </w:tabs>
        <w:ind w:left="6120" w:hanging="360"/>
      </w:pPr>
      <w:rPr>
        <w:rFonts w:ascii="Wingdings" w:hAnsi="Wingdings" w:hint="default"/>
      </w:rPr>
    </w:lvl>
    <w:lvl w:ilvl="6" w:tplc="04070001" w:tentative="1">
      <w:start w:val="1"/>
      <w:numFmt w:val="bullet"/>
      <w:lvlText w:val=""/>
      <w:lvlJc w:val="left"/>
      <w:pPr>
        <w:tabs>
          <w:tab w:val="num" w:pos="6840"/>
        </w:tabs>
        <w:ind w:left="6840" w:hanging="360"/>
      </w:pPr>
      <w:rPr>
        <w:rFonts w:ascii="Symbol" w:hAnsi="Symbol" w:hint="default"/>
      </w:rPr>
    </w:lvl>
    <w:lvl w:ilvl="7" w:tplc="04070003" w:tentative="1">
      <w:start w:val="1"/>
      <w:numFmt w:val="bullet"/>
      <w:lvlText w:val="o"/>
      <w:lvlJc w:val="left"/>
      <w:pPr>
        <w:tabs>
          <w:tab w:val="num" w:pos="7560"/>
        </w:tabs>
        <w:ind w:left="7560" w:hanging="360"/>
      </w:pPr>
      <w:rPr>
        <w:rFonts w:ascii="Courier New" w:hAnsi="Courier New" w:hint="default"/>
      </w:rPr>
    </w:lvl>
    <w:lvl w:ilvl="8" w:tplc="04070005" w:tentative="1">
      <w:start w:val="1"/>
      <w:numFmt w:val="bullet"/>
      <w:lvlText w:val=""/>
      <w:lvlJc w:val="left"/>
      <w:pPr>
        <w:tabs>
          <w:tab w:val="num" w:pos="8280"/>
        </w:tabs>
        <w:ind w:left="8280" w:hanging="360"/>
      </w:pPr>
      <w:rPr>
        <w:rFonts w:ascii="Wingdings" w:hAnsi="Wingdings" w:hint="default"/>
      </w:rPr>
    </w:lvl>
  </w:abstractNum>
  <w:abstractNum w:abstractNumId="22" w15:restartNumberingAfterBreak="0">
    <w:nsid w:val="41B627C2"/>
    <w:multiLevelType w:val="singleLevel"/>
    <w:tmpl w:val="113A4FCC"/>
    <w:lvl w:ilvl="0">
      <w:start w:val="1"/>
      <w:numFmt w:val="lowerLetter"/>
      <w:lvlText w:val="%1)"/>
      <w:legacy w:legacy="1" w:legacySpace="0" w:legacyIndent="283"/>
      <w:lvlJc w:val="left"/>
      <w:pPr>
        <w:ind w:left="283" w:hanging="283"/>
      </w:pPr>
    </w:lvl>
  </w:abstractNum>
  <w:abstractNum w:abstractNumId="23" w15:restartNumberingAfterBreak="0">
    <w:nsid w:val="425862FB"/>
    <w:multiLevelType w:val="hybridMultilevel"/>
    <w:tmpl w:val="1C28B022"/>
    <w:lvl w:ilvl="0" w:tplc="17AA326A">
      <w:start w:val="1"/>
      <w:numFmt w:val="bullet"/>
      <w:lvlText w:val="-"/>
      <w:lvlJc w:val="left"/>
      <w:pPr>
        <w:tabs>
          <w:tab w:val="num" w:pos="360"/>
        </w:tabs>
        <w:ind w:left="340" w:hanging="340"/>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52845EE"/>
    <w:multiLevelType w:val="hybridMultilevel"/>
    <w:tmpl w:val="00ECB7DC"/>
    <w:lvl w:ilvl="0" w:tplc="DEFE4E8E">
      <w:start w:val="1"/>
      <w:numFmt w:val="upperRoman"/>
      <w:lvlText w:val="%1."/>
      <w:lvlJc w:val="right"/>
      <w:pPr>
        <w:tabs>
          <w:tab w:val="num" w:pos="34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5" w15:restartNumberingAfterBreak="0">
    <w:nsid w:val="47344975"/>
    <w:multiLevelType w:val="hybridMultilevel"/>
    <w:tmpl w:val="8D1AB7A2"/>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6" w15:restartNumberingAfterBreak="0">
    <w:nsid w:val="47721E01"/>
    <w:multiLevelType w:val="hybridMultilevel"/>
    <w:tmpl w:val="8D4E68D6"/>
    <w:lvl w:ilvl="0" w:tplc="84BEDDE8">
      <w:start w:val="1"/>
      <w:numFmt w:val="bullet"/>
      <w:lvlText w:val="-"/>
      <w:lvlJc w:val="left"/>
      <w:pPr>
        <w:tabs>
          <w:tab w:val="num" w:pos="360"/>
        </w:tabs>
        <w:ind w:left="340" w:hanging="340"/>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9080209"/>
    <w:multiLevelType w:val="hybridMultilevel"/>
    <w:tmpl w:val="7D5CAFF6"/>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8" w15:restartNumberingAfterBreak="0">
    <w:nsid w:val="490A530B"/>
    <w:multiLevelType w:val="hybridMultilevel"/>
    <w:tmpl w:val="E24C126E"/>
    <w:lvl w:ilvl="0" w:tplc="43DCE3E8">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15:restartNumberingAfterBreak="0">
    <w:nsid w:val="4AF97F57"/>
    <w:multiLevelType w:val="hybridMultilevel"/>
    <w:tmpl w:val="F2A67334"/>
    <w:lvl w:ilvl="0" w:tplc="C8BEBDE0">
      <w:start w:val="1"/>
      <w:numFmt w:val="decimal"/>
      <w:lvlText w:val="%1."/>
      <w:lvlJc w:val="left"/>
      <w:pPr>
        <w:tabs>
          <w:tab w:val="num" w:pos="36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0" w15:restartNumberingAfterBreak="0">
    <w:nsid w:val="50AC20A1"/>
    <w:multiLevelType w:val="hybridMultilevel"/>
    <w:tmpl w:val="771CC8CE"/>
    <w:lvl w:ilvl="0" w:tplc="0407000F">
      <w:start w:val="1"/>
      <w:numFmt w:val="decimal"/>
      <w:lvlText w:val="%1."/>
      <w:lvlJc w:val="left"/>
      <w:pPr>
        <w:tabs>
          <w:tab w:val="num" w:pos="720"/>
        </w:tabs>
        <w:ind w:left="720" w:hanging="360"/>
      </w:pPr>
    </w:lvl>
    <w:lvl w:ilvl="1" w:tplc="22963C0C">
      <w:start w:val="1"/>
      <w:numFmt w:val="lowerLetter"/>
      <w:lvlText w:val="%2)"/>
      <w:lvlJc w:val="left"/>
      <w:pPr>
        <w:tabs>
          <w:tab w:val="num" w:pos="1440"/>
        </w:tabs>
        <w:ind w:left="1440" w:hanging="360"/>
      </w:pPr>
      <w:rPr>
        <w:rFonts w:hint="default"/>
      </w:rPr>
    </w:lvl>
    <w:lvl w:ilvl="2" w:tplc="2A8A5F16">
      <w:start w:val="3"/>
      <w:numFmt w:val="decimal"/>
      <w:lvlText w:val="%3."/>
      <w:lvlJc w:val="left"/>
      <w:pPr>
        <w:tabs>
          <w:tab w:val="num" w:pos="360"/>
        </w:tabs>
        <w:ind w:left="340" w:hanging="340"/>
      </w:pPr>
      <w:rPr>
        <w:rFonts w:hint="default"/>
      </w:r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1" w15:restartNumberingAfterBreak="0">
    <w:nsid w:val="51C53302"/>
    <w:multiLevelType w:val="singleLevel"/>
    <w:tmpl w:val="3CC6C0B8"/>
    <w:lvl w:ilvl="0">
      <w:start w:val="1"/>
      <w:numFmt w:val="decimal"/>
      <w:lvlText w:val="%1."/>
      <w:legacy w:legacy="1" w:legacySpace="0" w:legacyIndent="283"/>
      <w:lvlJc w:val="left"/>
      <w:pPr>
        <w:ind w:left="283" w:hanging="283"/>
      </w:pPr>
    </w:lvl>
  </w:abstractNum>
  <w:abstractNum w:abstractNumId="32" w15:restartNumberingAfterBreak="0">
    <w:nsid w:val="5DE1554D"/>
    <w:multiLevelType w:val="hybridMultilevel"/>
    <w:tmpl w:val="7528F290"/>
    <w:lvl w:ilvl="0" w:tplc="7A442076">
      <w:start w:val="6"/>
      <w:numFmt w:val="decimal"/>
      <w:lvlText w:val="%1."/>
      <w:lvlJc w:val="left"/>
      <w:pPr>
        <w:tabs>
          <w:tab w:val="num" w:pos="36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3" w15:restartNumberingAfterBreak="0">
    <w:nsid w:val="5FE7633A"/>
    <w:multiLevelType w:val="singleLevel"/>
    <w:tmpl w:val="113A4FCC"/>
    <w:lvl w:ilvl="0">
      <w:start w:val="1"/>
      <w:numFmt w:val="lowerLetter"/>
      <w:lvlText w:val="%1)"/>
      <w:legacy w:legacy="1" w:legacySpace="0" w:legacyIndent="283"/>
      <w:lvlJc w:val="left"/>
      <w:pPr>
        <w:ind w:left="283" w:hanging="283"/>
      </w:pPr>
    </w:lvl>
  </w:abstractNum>
  <w:abstractNum w:abstractNumId="34" w15:restartNumberingAfterBreak="0">
    <w:nsid w:val="64B53365"/>
    <w:multiLevelType w:val="hybridMultilevel"/>
    <w:tmpl w:val="3F0AD51C"/>
    <w:lvl w:ilvl="0" w:tplc="ECAC360E">
      <w:start w:val="3"/>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7E05C5B"/>
    <w:multiLevelType w:val="hybridMultilevel"/>
    <w:tmpl w:val="CFF8EC9C"/>
    <w:lvl w:ilvl="0" w:tplc="04070013">
      <w:start w:val="1"/>
      <w:numFmt w:val="upperRoman"/>
      <w:lvlText w:val="%1."/>
      <w:lvlJc w:val="right"/>
      <w:pPr>
        <w:tabs>
          <w:tab w:val="num" w:pos="720"/>
        </w:tabs>
        <w:ind w:left="72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6" w15:restartNumberingAfterBreak="0">
    <w:nsid w:val="6E2436C5"/>
    <w:multiLevelType w:val="hybridMultilevel"/>
    <w:tmpl w:val="E19CBA28"/>
    <w:lvl w:ilvl="0" w:tplc="A77A891E">
      <w:start w:val="1"/>
      <w:numFmt w:val="bullet"/>
      <w:lvlText w:val="-"/>
      <w:lvlJc w:val="left"/>
      <w:pPr>
        <w:tabs>
          <w:tab w:val="num" w:pos="360"/>
        </w:tabs>
        <w:ind w:left="340" w:hanging="340"/>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EB90870"/>
    <w:multiLevelType w:val="hybridMultilevel"/>
    <w:tmpl w:val="859E6F46"/>
    <w:lvl w:ilvl="0" w:tplc="C8BEBDE0">
      <w:start w:val="1"/>
      <w:numFmt w:val="decimal"/>
      <w:lvlText w:val="%1."/>
      <w:lvlJc w:val="left"/>
      <w:pPr>
        <w:tabs>
          <w:tab w:val="num" w:pos="360"/>
        </w:tabs>
        <w:ind w:left="340" w:hanging="340"/>
      </w:pPr>
      <w:rPr>
        <w:rFonts w:hint="default"/>
      </w:rPr>
    </w:lvl>
    <w:lvl w:ilvl="1" w:tplc="17AA326A">
      <w:start w:val="1"/>
      <w:numFmt w:val="bullet"/>
      <w:lvlText w:val="-"/>
      <w:lvlJc w:val="left"/>
      <w:pPr>
        <w:tabs>
          <w:tab w:val="num" w:pos="360"/>
        </w:tabs>
        <w:ind w:left="340" w:hanging="340"/>
      </w:pPr>
      <w:rPr>
        <w:rFonts w:hint="default"/>
        <w:sz w:val="16"/>
      </w:rPr>
    </w:lvl>
    <w:lvl w:ilvl="2" w:tplc="4DCA98B2">
      <w:start w:val="5"/>
      <w:numFmt w:val="bullet"/>
      <w:lvlText w:val="–"/>
      <w:lvlJc w:val="left"/>
      <w:pPr>
        <w:tabs>
          <w:tab w:val="num" w:pos="2340"/>
        </w:tabs>
        <w:ind w:left="2340" w:hanging="360"/>
      </w:pPr>
      <w:rPr>
        <w:rFonts w:ascii="Arial" w:eastAsia="Times New Roman" w:hAnsi="Arial" w:cs="Arial" w:hint="default"/>
      </w:rPr>
    </w:lvl>
    <w:lvl w:ilvl="3" w:tplc="81F4F120">
      <w:start w:val="1"/>
      <w:numFmt w:val="bullet"/>
      <w:lvlText w:val="-"/>
      <w:lvlJc w:val="left"/>
      <w:pPr>
        <w:tabs>
          <w:tab w:val="num" w:pos="360"/>
        </w:tabs>
        <w:ind w:left="340" w:hanging="340"/>
      </w:pPr>
      <w:rPr>
        <w:rFonts w:hint="default"/>
        <w:sz w:val="16"/>
      </w:rPr>
    </w:lvl>
    <w:lvl w:ilvl="4" w:tplc="F5F43F08">
      <w:start w:val="1"/>
      <w:numFmt w:val="bullet"/>
      <w:lvlText w:val="-"/>
      <w:lvlJc w:val="left"/>
      <w:pPr>
        <w:tabs>
          <w:tab w:val="num" w:pos="360"/>
        </w:tabs>
        <w:ind w:left="340" w:hanging="340"/>
      </w:pPr>
      <w:rPr>
        <w:rFonts w:hint="default"/>
        <w:sz w:val="16"/>
      </w:r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8" w15:restartNumberingAfterBreak="0">
    <w:nsid w:val="743B412C"/>
    <w:multiLevelType w:val="hybridMultilevel"/>
    <w:tmpl w:val="04349FD4"/>
    <w:lvl w:ilvl="0" w:tplc="92728190">
      <w:start w:val="1"/>
      <w:numFmt w:val="decimal"/>
      <w:lvlText w:val="%1."/>
      <w:lvlJc w:val="left"/>
      <w:pPr>
        <w:tabs>
          <w:tab w:val="num" w:pos="36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9" w15:restartNumberingAfterBreak="0">
    <w:nsid w:val="74FD58BB"/>
    <w:multiLevelType w:val="hybridMultilevel"/>
    <w:tmpl w:val="5D66A270"/>
    <w:lvl w:ilvl="0" w:tplc="BA94412A">
      <w:start w:val="3"/>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82B4DD1"/>
    <w:multiLevelType w:val="hybridMultilevel"/>
    <w:tmpl w:val="3C4809DA"/>
    <w:lvl w:ilvl="0" w:tplc="F32EBDFC">
      <w:start w:val="1"/>
      <w:numFmt w:val="bullet"/>
      <w:lvlText w:val="-"/>
      <w:lvlJc w:val="left"/>
      <w:pPr>
        <w:tabs>
          <w:tab w:val="num" w:pos="360"/>
        </w:tabs>
        <w:ind w:left="340" w:hanging="340"/>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98235D1"/>
    <w:multiLevelType w:val="hybridMultilevel"/>
    <w:tmpl w:val="3B5ED368"/>
    <w:lvl w:ilvl="0" w:tplc="3E84AD90">
      <w:start w:val="1"/>
      <w:numFmt w:val="bullet"/>
      <w:lvlText w:val="-"/>
      <w:lvlJc w:val="left"/>
      <w:pPr>
        <w:tabs>
          <w:tab w:val="num" w:pos="2061"/>
        </w:tabs>
        <w:ind w:left="2041" w:hanging="340"/>
      </w:pPr>
      <w:rPr>
        <w:rFonts w:hint="default"/>
        <w:sz w:val="16"/>
      </w:rPr>
    </w:lvl>
    <w:lvl w:ilvl="1" w:tplc="04070003" w:tentative="1">
      <w:start w:val="1"/>
      <w:numFmt w:val="bullet"/>
      <w:lvlText w:val="o"/>
      <w:lvlJc w:val="left"/>
      <w:pPr>
        <w:tabs>
          <w:tab w:val="num" w:pos="3240"/>
        </w:tabs>
        <w:ind w:left="3240" w:hanging="360"/>
      </w:pPr>
      <w:rPr>
        <w:rFonts w:ascii="Courier New" w:hAnsi="Courier New" w:hint="default"/>
      </w:rPr>
    </w:lvl>
    <w:lvl w:ilvl="2" w:tplc="04070005" w:tentative="1">
      <w:start w:val="1"/>
      <w:numFmt w:val="bullet"/>
      <w:lvlText w:val=""/>
      <w:lvlJc w:val="left"/>
      <w:pPr>
        <w:tabs>
          <w:tab w:val="num" w:pos="3960"/>
        </w:tabs>
        <w:ind w:left="3960" w:hanging="360"/>
      </w:pPr>
      <w:rPr>
        <w:rFonts w:ascii="Wingdings" w:hAnsi="Wingdings" w:hint="default"/>
      </w:rPr>
    </w:lvl>
    <w:lvl w:ilvl="3" w:tplc="04070001" w:tentative="1">
      <w:start w:val="1"/>
      <w:numFmt w:val="bullet"/>
      <w:lvlText w:val=""/>
      <w:lvlJc w:val="left"/>
      <w:pPr>
        <w:tabs>
          <w:tab w:val="num" w:pos="4680"/>
        </w:tabs>
        <w:ind w:left="4680" w:hanging="360"/>
      </w:pPr>
      <w:rPr>
        <w:rFonts w:ascii="Symbol" w:hAnsi="Symbol" w:hint="default"/>
      </w:rPr>
    </w:lvl>
    <w:lvl w:ilvl="4" w:tplc="04070003" w:tentative="1">
      <w:start w:val="1"/>
      <w:numFmt w:val="bullet"/>
      <w:lvlText w:val="o"/>
      <w:lvlJc w:val="left"/>
      <w:pPr>
        <w:tabs>
          <w:tab w:val="num" w:pos="5400"/>
        </w:tabs>
        <w:ind w:left="5400" w:hanging="360"/>
      </w:pPr>
      <w:rPr>
        <w:rFonts w:ascii="Courier New" w:hAnsi="Courier New" w:hint="default"/>
      </w:rPr>
    </w:lvl>
    <w:lvl w:ilvl="5" w:tplc="04070005" w:tentative="1">
      <w:start w:val="1"/>
      <w:numFmt w:val="bullet"/>
      <w:lvlText w:val=""/>
      <w:lvlJc w:val="left"/>
      <w:pPr>
        <w:tabs>
          <w:tab w:val="num" w:pos="6120"/>
        </w:tabs>
        <w:ind w:left="6120" w:hanging="360"/>
      </w:pPr>
      <w:rPr>
        <w:rFonts w:ascii="Wingdings" w:hAnsi="Wingdings" w:hint="default"/>
      </w:rPr>
    </w:lvl>
    <w:lvl w:ilvl="6" w:tplc="04070001" w:tentative="1">
      <w:start w:val="1"/>
      <w:numFmt w:val="bullet"/>
      <w:lvlText w:val=""/>
      <w:lvlJc w:val="left"/>
      <w:pPr>
        <w:tabs>
          <w:tab w:val="num" w:pos="6840"/>
        </w:tabs>
        <w:ind w:left="6840" w:hanging="360"/>
      </w:pPr>
      <w:rPr>
        <w:rFonts w:ascii="Symbol" w:hAnsi="Symbol" w:hint="default"/>
      </w:rPr>
    </w:lvl>
    <w:lvl w:ilvl="7" w:tplc="04070003" w:tentative="1">
      <w:start w:val="1"/>
      <w:numFmt w:val="bullet"/>
      <w:lvlText w:val="o"/>
      <w:lvlJc w:val="left"/>
      <w:pPr>
        <w:tabs>
          <w:tab w:val="num" w:pos="7560"/>
        </w:tabs>
        <w:ind w:left="7560" w:hanging="360"/>
      </w:pPr>
      <w:rPr>
        <w:rFonts w:ascii="Courier New" w:hAnsi="Courier New" w:hint="default"/>
      </w:rPr>
    </w:lvl>
    <w:lvl w:ilvl="8" w:tplc="04070005" w:tentative="1">
      <w:start w:val="1"/>
      <w:numFmt w:val="bullet"/>
      <w:lvlText w:val=""/>
      <w:lvlJc w:val="left"/>
      <w:pPr>
        <w:tabs>
          <w:tab w:val="num" w:pos="8280"/>
        </w:tabs>
        <w:ind w:left="8280" w:hanging="360"/>
      </w:pPr>
      <w:rPr>
        <w:rFonts w:ascii="Wingdings" w:hAnsi="Wingdings" w:hint="default"/>
      </w:rPr>
    </w:lvl>
  </w:abstractNum>
  <w:abstractNum w:abstractNumId="42" w15:restartNumberingAfterBreak="0">
    <w:nsid w:val="79DB1080"/>
    <w:multiLevelType w:val="hybridMultilevel"/>
    <w:tmpl w:val="5BFE8C9E"/>
    <w:lvl w:ilvl="0" w:tplc="3D901C96">
      <w:start w:val="1"/>
      <w:numFmt w:val="decimal"/>
      <w:lvlText w:val="%1."/>
      <w:lvlJc w:val="left"/>
      <w:pPr>
        <w:tabs>
          <w:tab w:val="num" w:pos="36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3" w15:restartNumberingAfterBreak="0">
    <w:nsid w:val="7F6A533A"/>
    <w:multiLevelType w:val="hybridMultilevel"/>
    <w:tmpl w:val="41ACCD10"/>
    <w:lvl w:ilvl="0" w:tplc="BF78CF36">
      <w:start w:val="1"/>
      <w:numFmt w:val="lowerLetter"/>
      <w:lvlText w:val="%1)"/>
      <w:lvlJc w:val="left"/>
      <w:pPr>
        <w:tabs>
          <w:tab w:val="num" w:pos="36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22"/>
  </w:num>
  <w:num w:numId="2">
    <w:abstractNumId w:val="33"/>
  </w:num>
  <w:num w:numId="3">
    <w:abstractNumId w:val="31"/>
  </w:num>
  <w:num w:numId="4">
    <w:abstractNumId w:val="38"/>
  </w:num>
  <w:num w:numId="5">
    <w:abstractNumId w:val="8"/>
  </w:num>
  <w:num w:numId="6">
    <w:abstractNumId w:val="43"/>
  </w:num>
  <w:num w:numId="7">
    <w:abstractNumId w:val="28"/>
  </w:num>
  <w:num w:numId="8">
    <w:abstractNumId w:val="40"/>
  </w:num>
  <w:num w:numId="9">
    <w:abstractNumId w:val="11"/>
  </w:num>
  <w:num w:numId="10">
    <w:abstractNumId w:val="42"/>
  </w:num>
  <w:num w:numId="11">
    <w:abstractNumId w:val="7"/>
  </w:num>
  <w:num w:numId="12">
    <w:abstractNumId w:val="36"/>
  </w:num>
  <w:num w:numId="13">
    <w:abstractNumId w:val="1"/>
  </w:num>
  <w:num w:numId="14">
    <w:abstractNumId w:val="19"/>
  </w:num>
  <w:num w:numId="15">
    <w:abstractNumId w:val="34"/>
  </w:num>
  <w:num w:numId="16">
    <w:abstractNumId w:val="3"/>
  </w:num>
  <w:num w:numId="17">
    <w:abstractNumId w:val="39"/>
  </w:num>
  <w:num w:numId="18">
    <w:abstractNumId w:val="2"/>
  </w:num>
  <w:num w:numId="19">
    <w:abstractNumId w:val="16"/>
  </w:num>
  <w:num w:numId="20">
    <w:abstractNumId w:val="37"/>
  </w:num>
  <w:num w:numId="21">
    <w:abstractNumId w:val="17"/>
  </w:num>
  <w:num w:numId="22">
    <w:abstractNumId w:val="32"/>
  </w:num>
  <w:num w:numId="23">
    <w:abstractNumId w:val="12"/>
  </w:num>
  <w:num w:numId="24">
    <w:abstractNumId w:val="30"/>
  </w:num>
  <w:num w:numId="25">
    <w:abstractNumId w:val="18"/>
  </w:num>
  <w:num w:numId="26">
    <w:abstractNumId w:val="27"/>
  </w:num>
  <w:num w:numId="27">
    <w:abstractNumId w:val="35"/>
  </w:num>
  <w:num w:numId="28">
    <w:abstractNumId w:val="14"/>
  </w:num>
  <w:num w:numId="29">
    <w:abstractNumId w:val="9"/>
  </w:num>
  <w:num w:numId="30">
    <w:abstractNumId w:val="13"/>
  </w:num>
  <w:num w:numId="31">
    <w:abstractNumId w:val="29"/>
  </w:num>
  <w:num w:numId="32">
    <w:abstractNumId w:val="5"/>
  </w:num>
  <w:num w:numId="33">
    <w:abstractNumId w:val="26"/>
  </w:num>
  <w:num w:numId="34">
    <w:abstractNumId w:val="15"/>
  </w:num>
  <w:num w:numId="35">
    <w:abstractNumId w:val="6"/>
  </w:num>
  <w:num w:numId="36">
    <w:abstractNumId w:val="24"/>
  </w:num>
  <w:num w:numId="37">
    <w:abstractNumId w:val="4"/>
  </w:num>
  <w:num w:numId="38">
    <w:abstractNumId w:val="23"/>
  </w:num>
  <w:num w:numId="39">
    <w:abstractNumId w:val="20"/>
  </w:num>
  <w:num w:numId="40">
    <w:abstractNumId w:val="21"/>
  </w:num>
  <w:num w:numId="41">
    <w:abstractNumId w:val="41"/>
  </w:num>
  <w:num w:numId="42">
    <w:abstractNumId w:val="25"/>
  </w:num>
  <w:num w:numId="43">
    <w:abstractNumId w:val="10"/>
  </w:num>
  <w:num w:numId="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3074"/>
  </w:hdrShapeDefaults>
  <w:footnotePr>
    <w:numStart w:val="3"/>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hapeDefaults>
    <o:shapedefaults v:ext="edit" spidmax="3074"/>
    <o:shapelayout v:ext="edit">
      <o:idmap v:ext="edit" data="1"/>
    </o:shapelayout>
  </w:shapeDefaults>
  <w:decimalSymbol w:val=","/>
  <w:listSeparator w:val=";"/>
  <w15:chartTrackingRefBased/>
  <w15:docId w15:val="{AAD39499-4971-4AC3-8DC6-FA7D591E2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spacing w:before="60" w:after="60"/>
      <w:jc w:val="both"/>
    </w:pPr>
    <w:rPr>
      <w:rFonts w:ascii="Arial" w:hAnsi="Arial"/>
    </w:rPr>
  </w:style>
  <w:style w:type="paragraph" w:styleId="berschrift1">
    <w:name w:val="heading 1"/>
    <w:basedOn w:val="Standard"/>
    <w:next w:val="Standard"/>
    <w:qFormat/>
    <w:pPr>
      <w:keepNext/>
      <w:spacing w:before="240"/>
      <w:jc w:val="center"/>
      <w:outlineLvl w:val="0"/>
    </w:pPr>
    <w:rPr>
      <w:b/>
      <w:kern w:val="28"/>
      <w:sz w:val="28"/>
    </w:rPr>
  </w:style>
  <w:style w:type="paragraph" w:styleId="berschrift2">
    <w:name w:val="heading 2"/>
    <w:basedOn w:val="Standard"/>
    <w:next w:val="Standard"/>
    <w:qFormat/>
    <w:pPr>
      <w:keepNext/>
      <w:spacing w:before="240"/>
      <w:jc w:val="center"/>
      <w:outlineLvl w:val="1"/>
    </w:pPr>
    <w:rPr>
      <w:b/>
      <w:sz w:val="24"/>
    </w:rPr>
  </w:style>
  <w:style w:type="paragraph" w:styleId="berschrift3">
    <w:name w:val="heading 3"/>
    <w:basedOn w:val="Standard"/>
    <w:next w:val="Standard"/>
    <w:link w:val="berschrift3Zchn"/>
    <w:qFormat/>
    <w:pPr>
      <w:keepNext/>
      <w:spacing w:before="240" w:after="180"/>
      <w:jc w:val="center"/>
      <w:outlineLvl w:val="2"/>
    </w:pPr>
    <w:rPr>
      <w:b/>
    </w:rPr>
  </w:style>
  <w:style w:type="paragraph" w:styleId="berschrift4">
    <w:name w:val="heading 4"/>
    <w:basedOn w:val="Standard"/>
    <w:next w:val="Standard"/>
    <w:qFormat/>
    <w:pPr>
      <w:keepNext/>
      <w:spacing w:before="240"/>
      <w:outlineLvl w:val="3"/>
    </w:pPr>
  </w:style>
  <w:style w:type="paragraph" w:styleId="berschrift5">
    <w:name w:val="heading 5"/>
    <w:basedOn w:val="Standard"/>
    <w:next w:val="Standard"/>
    <w:qFormat/>
    <w:pPr>
      <w:spacing w:before="120"/>
      <w:ind w:left="709" w:hanging="709"/>
      <w:outlineLvl w:val="4"/>
    </w:p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spacing w:after="0"/>
      <w:jc w:val="right"/>
    </w:pPr>
  </w:style>
  <w:style w:type="paragraph" w:styleId="Fuzeile">
    <w:name w:val="footer"/>
    <w:basedOn w:val="Standard"/>
    <w:pPr>
      <w:tabs>
        <w:tab w:val="clear" w:pos="425"/>
        <w:tab w:val="right" w:pos="8505"/>
        <w:tab w:val="right" w:pos="9639"/>
      </w:tabs>
      <w:overflowPunct w:val="0"/>
      <w:autoSpaceDE w:val="0"/>
      <w:autoSpaceDN w:val="0"/>
      <w:adjustRightInd w:val="0"/>
      <w:spacing w:before="0" w:after="0"/>
      <w:jc w:val="left"/>
      <w:textAlignment w:val="baseline"/>
    </w:pPr>
    <w:rPr>
      <w:sz w:val="16"/>
    </w:rPr>
  </w:style>
  <w:style w:type="character" w:styleId="Seitenzahl">
    <w:name w:val="page number"/>
    <w:basedOn w:val="Absatz-Standardschriftart"/>
    <w:rPr>
      <w:rFonts w:ascii="Arial" w:hAnsi="Arial"/>
      <w:sz w:val="16"/>
    </w:rPr>
  </w:style>
  <w:style w:type="paragraph" w:styleId="Verzeichnis2">
    <w:name w:val="toc 2"/>
    <w:basedOn w:val="Standard"/>
    <w:next w:val="Standard"/>
    <w:uiPriority w:val="39"/>
    <w:pPr>
      <w:tabs>
        <w:tab w:val="clear" w:pos="425"/>
      </w:tabs>
      <w:spacing w:before="0" w:after="0"/>
      <w:ind w:left="200"/>
      <w:jc w:val="left"/>
    </w:pPr>
    <w:rPr>
      <w:rFonts w:ascii="Times New Roman" w:hAnsi="Times New Roman"/>
      <w:smallCaps/>
    </w:rPr>
  </w:style>
  <w:style w:type="paragraph" w:styleId="Verzeichnis3">
    <w:name w:val="toc 3"/>
    <w:basedOn w:val="Standard"/>
    <w:next w:val="Standard"/>
    <w:uiPriority w:val="39"/>
    <w:pPr>
      <w:tabs>
        <w:tab w:val="clear" w:pos="425"/>
      </w:tabs>
      <w:spacing w:before="0" w:after="0"/>
      <w:ind w:left="400"/>
      <w:jc w:val="left"/>
    </w:pPr>
    <w:rPr>
      <w:rFonts w:ascii="Times New Roman" w:hAnsi="Times New Roman"/>
      <w:i/>
      <w:iCs/>
    </w:rPr>
  </w:style>
  <w:style w:type="paragraph" w:styleId="Funotentext">
    <w:name w:val="footnote text"/>
    <w:basedOn w:val="Standard"/>
    <w:pPr>
      <w:overflowPunct w:val="0"/>
      <w:autoSpaceDE w:val="0"/>
      <w:autoSpaceDN w:val="0"/>
      <w:adjustRightInd w:val="0"/>
      <w:spacing w:before="0" w:after="0"/>
      <w:textAlignment w:val="baseline"/>
    </w:pPr>
    <w:rPr>
      <w:sz w:val="16"/>
    </w:rPr>
  </w:style>
  <w:style w:type="paragraph" w:styleId="Verzeichnis1">
    <w:name w:val="toc 1"/>
    <w:basedOn w:val="Verzeichnis3"/>
    <w:next w:val="Standard"/>
    <w:uiPriority w:val="39"/>
    <w:pPr>
      <w:spacing w:before="120" w:after="120"/>
      <w:ind w:left="0"/>
    </w:pPr>
    <w:rPr>
      <w:b/>
      <w:bCs/>
      <w:i w:val="0"/>
      <w:iCs w:val="0"/>
      <w:caps/>
    </w:rPr>
  </w:style>
  <w:style w:type="paragraph" w:customStyle="1" w:styleId="GesAbsatz">
    <w:name w:val="GesAbsatz"/>
    <w:basedOn w:val="Standard"/>
    <w:pPr>
      <w:tabs>
        <w:tab w:val="left" w:pos="425"/>
      </w:tabs>
    </w:pPr>
    <w:rPr>
      <w:color w:val="000000"/>
    </w:rPr>
  </w:style>
  <w:style w:type="paragraph" w:styleId="Verzeichnis4">
    <w:name w:val="toc 4"/>
    <w:basedOn w:val="Standard"/>
    <w:next w:val="Standard"/>
    <w:semiHidden/>
    <w:pPr>
      <w:tabs>
        <w:tab w:val="clear" w:pos="425"/>
      </w:tabs>
      <w:spacing w:before="0" w:after="0"/>
      <w:ind w:left="600"/>
      <w:jc w:val="left"/>
    </w:pPr>
    <w:rPr>
      <w:rFonts w:ascii="Times New Roman" w:hAnsi="Times New Roman"/>
      <w:sz w:val="18"/>
      <w:szCs w:val="18"/>
    </w:rPr>
  </w:style>
  <w:style w:type="paragraph" w:styleId="Verzeichnis5">
    <w:name w:val="toc 5"/>
    <w:basedOn w:val="Standard"/>
    <w:next w:val="Standard"/>
    <w:semiHidden/>
    <w:pPr>
      <w:tabs>
        <w:tab w:val="clear" w:pos="425"/>
      </w:tabs>
      <w:spacing w:before="0" w:after="0"/>
      <w:ind w:left="800"/>
      <w:jc w:val="left"/>
    </w:pPr>
    <w:rPr>
      <w:rFonts w:ascii="Times New Roman" w:hAnsi="Times New Roman"/>
      <w:sz w:val="18"/>
      <w:szCs w:val="18"/>
    </w:rPr>
  </w:style>
  <w:style w:type="paragraph" w:styleId="Verzeichnis6">
    <w:name w:val="toc 6"/>
    <w:basedOn w:val="Standard"/>
    <w:next w:val="Standard"/>
    <w:semiHidden/>
    <w:pPr>
      <w:tabs>
        <w:tab w:val="clear" w:pos="425"/>
      </w:tabs>
      <w:spacing w:before="0" w:after="0"/>
      <w:ind w:left="1000"/>
      <w:jc w:val="left"/>
    </w:pPr>
    <w:rPr>
      <w:rFonts w:ascii="Times New Roman" w:hAnsi="Times New Roman"/>
      <w:sz w:val="18"/>
      <w:szCs w:val="18"/>
    </w:rPr>
  </w:style>
  <w:style w:type="paragraph" w:styleId="Verzeichnis7">
    <w:name w:val="toc 7"/>
    <w:basedOn w:val="Standard"/>
    <w:next w:val="Standard"/>
    <w:semiHidden/>
    <w:pPr>
      <w:tabs>
        <w:tab w:val="clear" w:pos="425"/>
      </w:tabs>
      <w:spacing w:before="0" w:after="0"/>
      <w:ind w:left="1200"/>
      <w:jc w:val="left"/>
    </w:pPr>
    <w:rPr>
      <w:rFonts w:ascii="Times New Roman" w:hAnsi="Times New Roman"/>
      <w:sz w:val="18"/>
      <w:szCs w:val="18"/>
    </w:rPr>
  </w:style>
  <w:style w:type="paragraph" w:styleId="Verzeichnis8">
    <w:name w:val="toc 8"/>
    <w:basedOn w:val="Standard"/>
    <w:next w:val="Standard"/>
    <w:semiHidden/>
    <w:pPr>
      <w:tabs>
        <w:tab w:val="clear" w:pos="425"/>
      </w:tabs>
      <w:spacing w:before="0" w:after="0"/>
      <w:ind w:left="1400"/>
      <w:jc w:val="left"/>
    </w:pPr>
    <w:rPr>
      <w:rFonts w:ascii="Times New Roman" w:hAnsi="Times New Roman"/>
      <w:sz w:val="18"/>
      <w:szCs w:val="18"/>
    </w:rPr>
  </w:style>
  <w:style w:type="paragraph" w:styleId="Verzeichnis9">
    <w:name w:val="toc 9"/>
    <w:basedOn w:val="Standard"/>
    <w:next w:val="Standard"/>
    <w:semiHidden/>
    <w:pPr>
      <w:tabs>
        <w:tab w:val="clear" w:pos="425"/>
      </w:tabs>
      <w:spacing w:before="0" w:after="0"/>
      <w:ind w:left="1600"/>
      <w:jc w:val="left"/>
    </w:pPr>
    <w:rPr>
      <w:rFonts w:ascii="Times New Roman" w:hAnsi="Times New Roman"/>
      <w:sz w:val="18"/>
      <w:szCs w:val="18"/>
    </w:rPr>
  </w:style>
  <w:style w:type="character" w:styleId="Funotenzeichen">
    <w:name w:val="footnote reference"/>
    <w:basedOn w:val="Absatz-Standardschriftart"/>
    <w:semiHidden/>
    <w:rPr>
      <w:vertAlign w:val="superscript"/>
    </w:rPr>
  </w:style>
  <w:style w:type="character" w:styleId="Hyperlink">
    <w:name w:val="Hyperlink"/>
    <w:basedOn w:val="Absatz-Standardschriftart"/>
    <w:uiPriority w:val="99"/>
    <w:rPr>
      <w:color w:val="0000FF"/>
      <w:u w:val="single"/>
    </w:rPr>
  </w:style>
  <w:style w:type="character" w:styleId="BesuchterLink">
    <w:name w:val="FollowedHyperlink"/>
    <w:basedOn w:val="Absatz-Standardschriftart"/>
    <w:rPr>
      <w:color w:val="800080"/>
      <w:u w:val="single"/>
    </w:rPr>
  </w:style>
  <w:style w:type="character" w:customStyle="1" w:styleId="berschrift3Zchn">
    <w:name w:val="Überschrift 3 Zchn"/>
    <w:basedOn w:val="Absatz-Standardschriftart"/>
    <w:link w:val="berschrift3"/>
    <w:rPr>
      <w:rFonts w:ascii="Arial" w:hAnsi="Arial"/>
      <w:b/>
      <w:lang w:val="de-DE" w:eastAsia="de-D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bgbl.de/Xaver/start.xav?startbk=Bundesanzeiger_BGBl&amp;start=//*%5b@attr_id='bgbl107s0241.pdf'%5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bgbl.de/Xaver/start.xav?startbk=Bundesanzeiger_BGBl&amp;start=//*%5b@attr_id='bgbl104s1612.pdf'%5d"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nt\Profiles\rueter\Anwendungsdaten\Microsoft\Vorlagen\VTU.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VTU.DOT</Template>
  <TotalTime>0</TotalTime>
  <Pages>25</Pages>
  <Words>11303</Words>
  <Characters>71211</Characters>
  <Application>Microsoft Office Word</Application>
  <DocSecurity>0</DocSecurity>
  <Lines>593</Lines>
  <Paragraphs>164</Paragraphs>
  <ScaleCrop>false</ScaleCrop>
  <HeadingPairs>
    <vt:vector size="2" baseType="variant">
      <vt:variant>
        <vt:lpstr>Titel</vt:lpstr>
      </vt:variant>
      <vt:variant>
        <vt:i4>1</vt:i4>
      </vt:variant>
    </vt:vector>
  </HeadingPairs>
  <TitlesOfParts>
    <vt:vector size="1" baseType="lpstr">
      <vt:lpstr>22. BImSchV - Verordnung über Immissionswerte für Schadstoffe in der Luft - 22. BImSchV</vt:lpstr>
    </vt:vector>
  </TitlesOfParts>
  <Company>Landesumweltamt NRW</Company>
  <LinksUpToDate>false</LinksUpToDate>
  <CharactersWithSpaces>82350</CharactersWithSpaces>
  <SharedDoc>false</SharedDoc>
  <HLinks>
    <vt:vector size="300" baseType="variant">
      <vt:variant>
        <vt:i4>8126502</vt:i4>
      </vt:variant>
      <vt:variant>
        <vt:i4>261</vt:i4>
      </vt:variant>
      <vt:variant>
        <vt:i4>0</vt:i4>
      </vt:variant>
      <vt:variant>
        <vt:i4>5</vt:i4>
      </vt:variant>
      <vt:variant>
        <vt:lpwstr>http://igsvtu.lanuv.nrw.de/VTUP=16/dokus/160650/1602655.pdf</vt:lpwstr>
      </vt:variant>
      <vt:variant>
        <vt:lpwstr/>
      </vt:variant>
      <vt:variant>
        <vt:i4>7864357</vt:i4>
      </vt:variant>
      <vt:variant>
        <vt:i4>258</vt:i4>
      </vt:variant>
      <vt:variant>
        <vt:i4>0</vt:i4>
      </vt:variant>
      <vt:variant>
        <vt:i4>5</vt:i4>
      </vt:variant>
      <vt:variant>
        <vt:lpwstr>http://igsvtu.lanuv.nrw.de/VTUP=16/dokus/160650/1602212.pdf</vt:lpwstr>
      </vt:variant>
      <vt:variant>
        <vt:lpwstr/>
      </vt:variant>
      <vt:variant>
        <vt:i4>8126500</vt:i4>
      </vt:variant>
      <vt:variant>
        <vt:i4>255</vt:i4>
      </vt:variant>
      <vt:variant>
        <vt:i4>0</vt:i4>
      </vt:variant>
      <vt:variant>
        <vt:i4>5</vt:i4>
      </vt:variant>
      <vt:variant>
        <vt:lpwstr>http://igsvtu.lanuv.nrw.de/VTUP=16/dokus/160650/1600574.pdf</vt:lpwstr>
      </vt:variant>
      <vt:variant>
        <vt:lpwstr/>
      </vt:variant>
      <vt:variant>
        <vt:i4>7471137</vt:i4>
      </vt:variant>
      <vt:variant>
        <vt:i4>252</vt:i4>
      </vt:variant>
      <vt:variant>
        <vt:i4>0</vt:i4>
      </vt:variant>
      <vt:variant>
        <vt:i4>5</vt:i4>
      </vt:variant>
      <vt:variant>
        <vt:lpwstr>http://igsvtu.lanuv.nrw.de/VTUP=16/dokus/160650/1502682.pdf</vt:lpwstr>
      </vt:variant>
      <vt:variant>
        <vt:lpwstr/>
      </vt:variant>
      <vt:variant>
        <vt:i4>7995430</vt:i4>
      </vt:variant>
      <vt:variant>
        <vt:i4>249</vt:i4>
      </vt:variant>
      <vt:variant>
        <vt:i4>0</vt:i4>
      </vt:variant>
      <vt:variant>
        <vt:i4>5</vt:i4>
      </vt:variant>
      <vt:variant>
        <vt:lpwstr>http://igsvtu.lanuv.nrw.de/VTUP=16/dokus/160650/1502407.pdf</vt:lpwstr>
      </vt:variant>
      <vt:variant>
        <vt:lpwstr/>
      </vt:variant>
      <vt:variant>
        <vt:i4>7340069</vt:i4>
      </vt:variant>
      <vt:variant>
        <vt:i4>246</vt:i4>
      </vt:variant>
      <vt:variant>
        <vt:i4>0</vt:i4>
      </vt:variant>
      <vt:variant>
        <vt:i4>5</vt:i4>
      </vt:variant>
      <vt:variant>
        <vt:lpwstr>http://igsvtu.lanuv.nrw.de/VTUP=16/dokus/160650/1409404.pdf</vt:lpwstr>
      </vt:variant>
      <vt:variant>
        <vt:lpwstr/>
      </vt:variant>
      <vt:variant>
        <vt:i4>196700</vt:i4>
      </vt:variant>
      <vt:variant>
        <vt:i4>243</vt:i4>
      </vt:variant>
      <vt:variant>
        <vt:i4>0</vt:i4>
      </vt:variant>
      <vt:variant>
        <vt:i4>5</vt:i4>
      </vt:variant>
      <vt:variant>
        <vt:lpwstr>http://igsvtu.lanuv.nrw.de/VTUP=16/dokus/160650/601087ar2.doc</vt:lpwstr>
      </vt:variant>
      <vt:variant>
        <vt:lpwstr/>
      </vt:variant>
      <vt:variant>
        <vt:i4>196703</vt:i4>
      </vt:variant>
      <vt:variant>
        <vt:i4>240</vt:i4>
      </vt:variant>
      <vt:variant>
        <vt:i4>0</vt:i4>
      </vt:variant>
      <vt:variant>
        <vt:i4>5</vt:i4>
      </vt:variant>
      <vt:variant>
        <vt:lpwstr>http://igsvtu.lanuv.nrw.de/VTUP=16/dokus/160650/601087ar1.doc</vt:lpwstr>
      </vt:variant>
      <vt:variant>
        <vt:lpwstr/>
      </vt:variant>
      <vt:variant>
        <vt:i4>5046380</vt:i4>
      </vt:variant>
      <vt:variant>
        <vt:i4>237</vt:i4>
      </vt:variant>
      <vt:variant>
        <vt:i4>0</vt:i4>
      </vt:variant>
      <vt:variant>
        <vt:i4>5</vt:i4>
      </vt:variant>
      <vt:variant>
        <vt:lpwstr>http://www.bgbl.de/Xaver/start.xav?startbk=Bundesanzeiger_BGBl&amp;start=//*%5b@attr_id='bgbl107s0241.pdf'%5d</vt:lpwstr>
      </vt:variant>
      <vt:variant>
        <vt:lpwstr/>
      </vt:variant>
      <vt:variant>
        <vt:i4>4849771</vt:i4>
      </vt:variant>
      <vt:variant>
        <vt:i4>234</vt:i4>
      </vt:variant>
      <vt:variant>
        <vt:i4>0</vt:i4>
      </vt:variant>
      <vt:variant>
        <vt:i4>5</vt:i4>
      </vt:variant>
      <vt:variant>
        <vt:lpwstr>http://www.bgbl.de/Xaver/start.xav?startbk=Bundesanzeiger_BGBl&amp;start=//*%5b@attr_id='bgbl104s1612.pdf'%5d</vt:lpwstr>
      </vt:variant>
      <vt:variant>
        <vt:lpwstr/>
      </vt:variant>
      <vt:variant>
        <vt:i4>1179702</vt:i4>
      </vt:variant>
      <vt:variant>
        <vt:i4>227</vt:i4>
      </vt:variant>
      <vt:variant>
        <vt:i4>0</vt:i4>
      </vt:variant>
      <vt:variant>
        <vt:i4>5</vt:i4>
      </vt:variant>
      <vt:variant>
        <vt:lpwstr/>
      </vt:variant>
      <vt:variant>
        <vt:lpwstr>_Toc161031526</vt:lpwstr>
      </vt:variant>
      <vt:variant>
        <vt:i4>1179702</vt:i4>
      </vt:variant>
      <vt:variant>
        <vt:i4>221</vt:i4>
      </vt:variant>
      <vt:variant>
        <vt:i4>0</vt:i4>
      </vt:variant>
      <vt:variant>
        <vt:i4>5</vt:i4>
      </vt:variant>
      <vt:variant>
        <vt:lpwstr/>
      </vt:variant>
      <vt:variant>
        <vt:lpwstr>_Toc161031525</vt:lpwstr>
      </vt:variant>
      <vt:variant>
        <vt:i4>1179702</vt:i4>
      </vt:variant>
      <vt:variant>
        <vt:i4>215</vt:i4>
      </vt:variant>
      <vt:variant>
        <vt:i4>0</vt:i4>
      </vt:variant>
      <vt:variant>
        <vt:i4>5</vt:i4>
      </vt:variant>
      <vt:variant>
        <vt:lpwstr/>
      </vt:variant>
      <vt:variant>
        <vt:lpwstr>_Toc161031524</vt:lpwstr>
      </vt:variant>
      <vt:variant>
        <vt:i4>1179702</vt:i4>
      </vt:variant>
      <vt:variant>
        <vt:i4>209</vt:i4>
      </vt:variant>
      <vt:variant>
        <vt:i4>0</vt:i4>
      </vt:variant>
      <vt:variant>
        <vt:i4>5</vt:i4>
      </vt:variant>
      <vt:variant>
        <vt:lpwstr/>
      </vt:variant>
      <vt:variant>
        <vt:lpwstr>_Toc161031523</vt:lpwstr>
      </vt:variant>
      <vt:variant>
        <vt:i4>1179702</vt:i4>
      </vt:variant>
      <vt:variant>
        <vt:i4>203</vt:i4>
      </vt:variant>
      <vt:variant>
        <vt:i4>0</vt:i4>
      </vt:variant>
      <vt:variant>
        <vt:i4>5</vt:i4>
      </vt:variant>
      <vt:variant>
        <vt:lpwstr/>
      </vt:variant>
      <vt:variant>
        <vt:lpwstr>_Toc161031522</vt:lpwstr>
      </vt:variant>
      <vt:variant>
        <vt:i4>1179702</vt:i4>
      </vt:variant>
      <vt:variant>
        <vt:i4>197</vt:i4>
      </vt:variant>
      <vt:variant>
        <vt:i4>0</vt:i4>
      </vt:variant>
      <vt:variant>
        <vt:i4>5</vt:i4>
      </vt:variant>
      <vt:variant>
        <vt:lpwstr/>
      </vt:variant>
      <vt:variant>
        <vt:lpwstr>_Toc161031521</vt:lpwstr>
      </vt:variant>
      <vt:variant>
        <vt:i4>1179702</vt:i4>
      </vt:variant>
      <vt:variant>
        <vt:i4>191</vt:i4>
      </vt:variant>
      <vt:variant>
        <vt:i4>0</vt:i4>
      </vt:variant>
      <vt:variant>
        <vt:i4>5</vt:i4>
      </vt:variant>
      <vt:variant>
        <vt:lpwstr/>
      </vt:variant>
      <vt:variant>
        <vt:lpwstr>_Toc161031520</vt:lpwstr>
      </vt:variant>
      <vt:variant>
        <vt:i4>1114166</vt:i4>
      </vt:variant>
      <vt:variant>
        <vt:i4>185</vt:i4>
      </vt:variant>
      <vt:variant>
        <vt:i4>0</vt:i4>
      </vt:variant>
      <vt:variant>
        <vt:i4>5</vt:i4>
      </vt:variant>
      <vt:variant>
        <vt:lpwstr/>
      </vt:variant>
      <vt:variant>
        <vt:lpwstr>_Toc161031519</vt:lpwstr>
      </vt:variant>
      <vt:variant>
        <vt:i4>1114166</vt:i4>
      </vt:variant>
      <vt:variant>
        <vt:i4>179</vt:i4>
      </vt:variant>
      <vt:variant>
        <vt:i4>0</vt:i4>
      </vt:variant>
      <vt:variant>
        <vt:i4>5</vt:i4>
      </vt:variant>
      <vt:variant>
        <vt:lpwstr/>
      </vt:variant>
      <vt:variant>
        <vt:lpwstr>_Toc161031518</vt:lpwstr>
      </vt:variant>
      <vt:variant>
        <vt:i4>1114166</vt:i4>
      </vt:variant>
      <vt:variant>
        <vt:i4>173</vt:i4>
      </vt:variant>
      <vt:variant>
        <vt:i4>0</vt:i4>
      </vt:variant>
      <vt:variant>
        <vt:i4>5</vt:i4>
      </vt:variant>
      <vt:variant>
        <vt:lpwstr/>
      </vt:variant>
      <vt:variant>
        <vt:lpwstr>_Toc161031517</vt:lpwstr>
      </vt:variant>
      <vt:variant>
        <vt:i4>1114166</vt:i4>
      </vt:variant>
      <vt:variant>
        <vt:i4>167</vt:i4>
      </vt:variant>
      <vt:variant>
        <vt:i4>0</vt:i4>
      </vt:variant>
      <vt:variant>
        <vt:i4>5</vt:i4>
      </vt:variant>
      <vt:variant>
        <vt:lpwstr/>
      </vt:variant>
      <vt:variant>
        <vt:lpwstr>_Toc161031516</vt:lpwstr>
      </vt:variant>
      <vt:variant>
        <vt:i4>1114166</vt:i4>
      </vt:variant>
      <vt:variant>
        <vt:i4>161</vt:i4>
      </vt:variant>
      <vt:variant>
        <vt:i4>0</vt:i4>
      </vt:variant>
      <vt:variant>
        <vt:i4>5</vt:i4>
      </vt:variant>
      <vt:variant>
        <vt:lpwstr/>
      </vt:variant>
      <vt:variant>
        <vt:lpwstr>_Toc161031515</vt:lpwstr>
      </vt:variant>
      <vt:variant>
        <vt:i4>1114166</vt:i4>
      </vt:variant>
      <vt:variant>
        <vt:i4>155</vt:i4>
      </vt:variant>
      <vt:variant>
        <vt:i4>0</vt:i4>
      </vt:variant>
      <vt:variant>
        <vt:i4>5</vt:i4>
      </vt:variant>
      <vt:variant>
        <vt:lpwstr/>
      </vt:variant>
      <vt:variant>
        <vt:lpwstr>_Toc161031514</vt:lpwstr>
      </vt:variant>
      <vt:variant>
        <vt:i4>1114166</vt:i4>
      </vt:variant>
      <vt:variant>
        <vt:i4>149</vt:i4>
      </vt:variant>
      <vt:variant>
        <vt:i4>0</vt:i4>
      </vt:variant>
      <vt:variant>
        <vt:i4>5</vt:i4>
      </vt:variant>
      <vt:variant>
        <vt:lpwstr/>
      </vt:variant>
      <vt:variant>
        <vt:lpwstr>_Toc161031513</vt:lpwstr>
      </vt:variant>
      <vt:variant>
        <vt:i4>1114166</vt:i4>
      </vt:variant>
      <vt:variant>
        <vt:i4>143</vt:i4>
      </vt:variant>
      <vt:variant>
        <vt:i4>0</vt:i4>
      </vt:variant>
      <vt:variant>
        <vt:i4>5</vt:i4>
      </vt:variant>
      <vt:variant>
        <vt:lpwstr/>
      </vt:variant>
      <vt:variant>
        <vt:lpwstr>_Toc161031512</vt:lpwstr>
      </vt:variant>
      <vt:variant>
        <vt:i4>1114166</vt:i4>
      </vt:variant>
      <vt:variant>
        <vt:i4>137</vt:i4>
      </vt:variant>
      <vt:variant>
        <vt:i4>0</vt:i4>
      </vt:variant>
      <vt:variant>
        <vt:i4>5</vt:i4>
      </vt:variant>
      <vt:variant>
        <vt:lpwstr/>
      </vt:variant>
      <vt:variant>
        <vt:lpwstr>_Toc161031511</vt:lpwstr>
      </vt:variant>
      <vt:variant>
        <vt:i4>1114166</vt:i4>
      </vt:variant>
      <vt:variant>
        <vt:i4>131</vt:i4>
      </vt:variant>
      <vt:variant>
        <vt:i4>0</vt:i4>
      </vt:variant>
      <vt:variant>
        <vt:i4>5</vt:i4>
      </vt:variant>
      <vt:variant>
        <vt:lpwstr/>
      </vt:variant>
      <vt:variant>
        <vt:lpwstr>_Toc161031510</vt:lpwstr>
      </vt:variant>
      <vt:variant>
        <vt:i4>1048630</vt:i4>
      </vt:variant>
      <vt:variant>
        <vt:i4>125</vt:i4>
      </vt:variant>
      <vt:variant>
        <vt:i4>0</vt:i4>
      </vt:variant>
      <vt:variant>
        <vt:i4>5</vt:i4>
      </vt:variant>
      <vt:variant>
        <vt:lpwstr/>
      </vt:variant>
      <vt:variant>
        <vt:lpwstr>_Toc161031509</vt:lpwstr>
      </vt:variant>
      <vt:variant>
        <vt:i4>1048630</vt:i4>
      </vt:variant>
      <vt:variant>
        <vt:i4>119</vt:i4>
      </vt:variant>
      <vt:variant>
        <vt:i4>0</vt:i4>
      </vt:variant>
      <vt:variant>
        <vt:i4>5</vt:i4>
      </vt:variant>
      <vt:variant>
        <vt:lpwstr/>
      </vt:variant>
      <vt:variant>
        <vt:lpwstr>_Toc161031508</vt:lpwstr>
      </vt:variant>
      <vt:variant>
        <vt:i4>1048630</vt:i4>
      </vt:variant>
      <vt:variant>
        <vt:i4>113</vt:i4>
      </vt:variant>
      <vt:variant>
        <vt:i4>0</vt:i4>
      </vt:variant>
      <vt:variant>
        <vt:i4>5</vt:i4>
      </vt:variant>
      <vt:variant>
        <vt:lpwstr/>
      </vt:variant>
      <vt:variant>
        <vt:lpwstr>_Toc161031507</vt:lpwstr>
      </vt:variant>
      <vt:variant>
        <vt:i4>1048630</vt:i4>
      </vt:variant>
      <vt:variant>
        <vt:i4>107</vt:i4>
      </vt:variant>
      <vt:variant>
        <vt:i4>0</vt:i4>
      </vt:variant>
      <vt:variant>
        <vt:i4>5</vt:i4>
      </vt:variant>
      <vt:variant>
        <vt:lpwstr/>
      </vt:variant>
      <vt:variant>
        <vt:lpwstr>_Toc161031506</vt:lpwstr>
      </vt:variant>
      <vt:variant>
        <vt:i4>1048630</vt:i4>
      </vt:variant>
      <vt:variant>
        <vt:i4>101</vt:i4>
      </vt:variant>
      <vt:variant>
        <vt:i4>0</vt:i4>
      </vt:variant>
      <vt:variant>
        <vt:i4>5</vt:i4>
      </vt:variant>
      <vt:variant>
        <vt:lpwstr/>
      </vt:variant>
      <vt:variant>
        <vt:lpwstr>_Toc161031505</vt:lpwstr>
      </vt:variant>
      <vt:variant>
        <vt:i4>1048630</vt:i4>
      </vt:variant>
      <vt:variant>
        <vt:i4>95</vt:i4>
      </vt:variant>
      <vt:variant>
        <vt:i4>0</vt:i4>
      </vt:variant>
      <vt:variant>
        <vt:i4>5</vt:i4>
      </vt:variant>
      <vt:variant>
        <vt:lpwstr/>
      </vt:variant>
      <vt:variant>
        <vt:lpwstr>_Toc161031504</vt:lpwstr>
      </vt:variant>
      <vt:variant>
        <vt:i4>1048630</vt:i4>
      </vt:variant>
      <vt:variant>
        <vt:i4>89</vt:i4>
      </vt:variant>
      <vt:variant>
        <vt:i4>0</vt:i4>
      </vt:variant>
      <vt:variant>
        <vt:i4>5</vt:i4>
      </vt:variant>
      <vt:variant>
        <vt:lpwstr/>
      </vt:variant>
      <vt:variant>
        <vt:lpwstr>_Toc161031503</vt:lpwstr>
      </vt:variant>
      <vt:variant>
        <vt:i4>1048630</vt:i4>
      </vt:variant>
      <vt:variant>
        <vt:i4>83</vt:i4>
      </vt:variant>
      <vt:variant>
        <vt:i4>0</vt:i4>
      </vt:variant>
      <vt:variant>
        <vt:i4>5</vt:i4>
      </vt:variant>
      <vt:variant>
        <vt:lpwstr/>
      </vt:variant>
      <vt:variant>
        <vt:lpwstr>_Toc161031502</vt:lpwstr>
      </vt:variant>
      <vt:variant>
        <vt:i4>1048630</vt:i4>
      </vt:variant>
      <vt:variant>
        <vt:i4>77</vt:i4>
      </vt:variant>
      <vt:variant>
        <vt:i4>0</vt:i4>
      </vt:variant>
      <vt:variant>
        <vt:i4>5</vt:i4>
      </vt:variant>
      <vt:variant>
        <vt:lpwstr/>
      </vt:variant>
      <vt:variant>
        <vt:lpwstr>_Toc161031501</vt:lpwstr>
      </vt:variant>
      <vt:variant>
        <vt:i4>1048630</vt:i4>
      </vt:variant>
      <vt:variant>
        <vt:i4>71</vt:i4>
      </vt:variant>
      <vt:variant>
        <vt:i4>0</vt:i4>
      </vt:variant>
      <vt:variant>
        <vt:i4>5</vt:i4>
      </vt:variant>
      <vt:variant>
        <vt:lpwstr/>
      </vt:variant>
      <vt:variant>
        <vt:lpwstr>_Toc161031500</vt:lpwstr>
      </vt:variant>
      <vt:variant>
        <vt:i4>1638455</vt:i4>
      </vt:variant>
      <vt:variant>
        <vt:i4>65</vt:i4>
      </vt:variant>
      <vt:variant>
        <vt:i4>0</vt:i4>
      </vt:variant>
      <vt:variant>
        <vt:i4>5</vt:i4>
      </vt:variant>
      <vt:variant>
        <vt:lpwstr/>
      </vt:variant>
      <vt:variant>
        <vt:lpwstr>_Toc161031499</vt:lpwstr>
      </vt:variant>
      <vt:variant>
        <vt:i4>1638455</vt:i4>
      </vt:variant>
      <vt:variant>
        <vt:i4>59</vt:i4>
      </vt:variant>
      <vt:variant>
        <vt:i4>0</vt:i4>
      </vt:variant>
      <vt:variant>
        <vt:i4>5</vt:i4>
      </vt:variant>
      <vt:variant>
        <vt:lpwstr/>
      </vt:variant>
      <vt:variant>
        <vt:lpwstr>_Toc161031498</vt:lpwstr>
      </vt:variant>
      <vt:variant>
        <vt:i4>1638455</vt:i4>
      </vt:variant>
      <vt:variant>
        <vt:i4>53</vt:i4>
      </vt:variant>
      <vt:variant>
        <vt:i4>0</vt:i4>
      </vt:variant>
      <vt:variant>
        <vt:i4>5</vt:i4>
      </vt:variant>
      <vt:variant>
        <vt:lpwstr/>
      </vt:variant>
      <vt:variant>
        <vt:lpwstr>_Toc161031497</vt:lpwstr>
      </vt:variant>
      <vt:variant>
        <vt:i4>1638455</vt:i4>
      </vt:variant>
      <vt:variant>
        <vt:i4>47</vt:i4>
      </vt:variant>
      <vt:variant>
        <vt:i4>0</vt:i4>
      </vt:variant>
      <vt:variant>
        <vt:i4>5</vt:i4>
      </vt:variant>
      <vt:variant>
        <vt:lpwstr/>
      </vt:variant>
      <vt:variant>
        <vt:lpwstr>_Toc161031496</vt:lpwstr>
      </vt:variant>
      <vt:variant>
        <vt:i4>1638455</vt:i4>
      </vt:variant>
      <vt:variant>
        <vt:i4>41</vt:i4>
      </vt:variant>
      <vt:variant>
        <vt:i4>0</vt:i4>
      </vt:variant>
      <vt:variant>
        <vt:i4>5</vt:i4>
      </vt:variant>
      <vt:variant>
        <vt:lpwstr/>
      </vt:variant>
      <vt:variant>
        <vt:lpwstr>_Toc161031495</vt:lpwstr>
      </vt:variant>
      <vt:variant>
        <vt:i4>1638455</vt:i4>
      </vt:variant>
      <vt:variant>
        <vt:i4>35</vt:i4>
      </vt:variant>
      <vt:variant>
        <vt:i4>0</vt:i4>
      </vt:variant>
      <vt:variant>
        <vt:i4>5</vt:i4>
      </vt:variant>
      <vt:variant>
        <vt:lpwstr/>
      </vt:variant>
      <vt:variant>
        <vt:lpwstr>_Toc161031494</vt:lpwstr>
      </vt:variant>
      <vt:variant>
        <vt:i4>1638455</vt:i4>
      </vt:variant>
      <vt:variant>
        <vt:i4>29</vt:i4>
      </vt:variant>
      <vt:variant>
        <vt:i4>0</vt:i4>
      </vt:variant>
      <vt:variant>
        <vt:i4>5</vt:i4>
      </vt:variant>
      <vt:variant>
        <vt:lpwstr/>
      </vt:variant>
      <vt:variant>
        <vt:lpwstr>_Toc161031493</vt:lpwstr>
      </vt:variant>
      <vt:variant>
        <vt:i4>1638455</vt:i4>
      </vt:variant>
      <vt:variant>
        <vt:i4>23</vt:i4>
      </vt:variant>
      <vt:variant>
        <vt:i4>0</vt:i4>
      </vt:variant>
      <vt:variant>
        <vt:i4>5</vt:i4>
      </vt:variant>
      <vt:variant>
        <vt:lpwstr/>
      </vt:variant>
      <vt:variant>
        <vt:lpwstr>_Toc161031492</vt:lpwstr>
      </vt:variant>
      <vt:variant>
        <vt:i4>1638455</vt:i4>
      </vt:variant>
      <vt:variant>
        <vt:i4>17</vt:i4>
      </vt:variant>
      <vt:variant>
        <vt:i4>0</vt:i4>
      </vt:variant>
      <vt:variant>
        <vt:i4>5</vt:i4>
      </vt:variant>
      <vt:variant>
        <vt:lpwstr/>
      </vt:variant>
      <vt:variant>
        <vt:lpwstr>_Toc161031491</vt:lpwstr>
      </vt:variant>
      <vt:variant>
        <vt:i4>1638455</vt:i4>
      </vt:variant>
      <vt:variant>
        <vt:i4>11</vt:i4>
      </vt:variant>
      <vt:variant>
        <vt:i4>0</vt:i4>
      </vt:variant>
      <vt:variant>
        <vt:i4>5</vt:i4>
      </vt:variant>
      <vt:variant>
        <vt:lpwstr/>
      </vt:variant>
      <vt:variant>
        <vt:lpwstr>_Toc161031490</vt:lpwstr>
      </vt:variant>
      <vt:variant>
        <vt:i4>6553699</vt:i4>
      </vt:variant>
      <vt:variant>
        <vt:i4>6</vt:i4>
      </vt:variant>
      <vt:variant>
        <vt:i4>0</vt:i4>
      </vt:variant>
      <vt:variant>
        <vt:i4>5</vt:i4>
      </vt:variant>
      <vt:variant>
        <vt:lpwstr/>
      </vt:variant>
      <vt:variant>
        <vt:lpwstr>Materialien</vt:lpwstr>
      </vt:variant>
      <vt:variant>
        <vt:i4>7667941</vt:i4>
      </vt:variant>
      <vt:variant>
        <vt:i4>3</vt:i4>
      </vt:variant>
      <vt:variant>
        <vt:i4>0</vt:i4>
      </vt:variant>
      <vt:variant>
        <vt:i4>5</vt:i4>
      </vt:variant>
      <vt:variant>
        <vt:lpwstr/>
      </vt:variant>
      <vt:variant>
        <vt:lpwstr>ÄltereFassungen</vt:lpwstr>
      </vt:variant>
      <vt:variant>
        <vt:i4>196632</vt:i4>
      </vt:variant>
      <vt:variant>
        <vt:i4>0</vt:i4>
      </vt:variant>
      <vt:variant>
        <vt:i4>0</vt:i4>
      </vt:variant>
      <vt:variant>
        <vt:i4>5</vt:i4>
      </vt:variant>
      <vt:variant>
        <vt:lpwstr/>
      </vt:variant>
      <vt:variant>
        <vt:lpwstr>Gesetzeshistorie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 BImSchV - Verordnung über Immissionswerte für Schadstoffe in der Luft - 22. BImSchV</dc:title>
  <dc:subject/>
  <dc:creator>VTU-Geschäftsstelle im Landesumweltamt NRW</dc:creator>
  <cp:keywords/>
  <dc:description>durchgesehen: 08.2005</dc:description>
  <cp:lastModifiedBy>Rüter, Dr., Ingo</cp:lastModifiedBy>
  <cp:revision>2</cp:revision>
  <dcterms:created xsi:type="dcterms:W3CDTF">2024-08-09T13:41:00Z</dcterms:created>
  <dcterms:modified xsi:type="dcterms:W3CDTF">2024-08-09T13:41:00Z</dcterms:modified>
</cp:coreProperties>
</file>