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6330411"/>
      <w:r>
        <w:t>Allgemeine Verw</w:t>
      </w:r>
      <w:bookmarkStart w:id="1" w:name="_GoBack"/>
      <w:bookmarkEnd w:id="1"/>
      <w:r>
        <w:t>altungsvorschrift zur Verordnung über die</w:t>
      </w:r>
      <w:r>
        <w:br/>
        <w:t>Beschaffenheit und die Auszeichnung der Qualitäten von Kraftstoffen - 10. BImSchV</w:t>
      </w:r>
      <w:bookmarkEnd w:id="0"/>
    </w:p>
    <w:p>
      <w:pPr>
        <w:pStyle w:val="GesAbsatz"/>
        <w:jc w:val="center"/>
      </w:pPr>
      <w:r>
        <w:t>vom 21. März 2002</w:t>
      </w:r>
    </w:p>
    <w:p>
      <w:pPr>
        <w:pStyle w:val="GesAbsatz"/>
        <w:rPr>
          <w:b/>
          <w:i/>
          <w:color w:val="FF0000"/>
          <w:sz w:val="22"/>
          <w:szCs w:val="22"/>
        </w:rPr>
      </w:pPr>
      <w:r>
        <w:rPr>
          <w:b/>
          <w:i/>
          <w:color w:val="FF0000"/>
          <w:sz w:val="22"/>
          <w:szCs w:val="22"/>
        </w:rPr>
        <w:t>Gültig bis 01.09.2009</w:t>
      </w:r>
    </w:p>
    <w:p>
      <w:pPr>
        <w:pStyle w:val="GesAbsatz"/>
        <w:jc w:val="center"/>
        <w:rPr>
          <w:b/>
          <w:sz w:val="22"/>
        </w:rPr>
      </w:pPr>
      <w:r>
        <w:rPr>
          <w:b/>
          <w:sz w:val="22"/>
        </w:rPr>
        <w:t>Inhalt:</w:t>
      </w:r>
    </w:p>
    <w:p>
      <w:pPr>
        <w:pStyle w:val="Verzeichnis1"/>
        <w:tabs>
          <w:tab w:val="clear" w:pos="9638"/>
          <w:tab w:val="right" w:leader="dot" w:pos="9627"/>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Allgemeine Verwaltungsvorschrift zur Verordnung über die Beschaffenheit und die Auszeichnung der Qualitäten von Kraftstoffen (10. BImSchV)</w:t>
      </w:r>
      <w:r>
        <w:rPr>
          <w:noProof/>
        </w:rPr>
        <w:tab/>
      </w:r>
      <w:r>
        <w:rPr>
          <w:noProof/>
        </w:rPr>
        <w:fldChar w:fldCharType="begin"/>
      </w:r>
      <w:r>
        <w:rPr>
          <w:noProof/>
        </w:rPr>
        <w:instrText xml:space="preserve"> PAGEREF _Toc96330411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1 Anwendungsbereich</w:t>
      </w:r>
      <w:r>
        <w:rPr>
          <w:noProof/>
        </w:rPr>
        <w:tab/>
      </w:r>
      <w:r>
        <w:rPr>
          <w:noProof/>
        </w:rPr>
        <w:fldChar w:fldCharType="begin"/>
      </w:r>
      <w:r>
        <w:rPr>
          <w:noProof/>
        </w:rPr>
        <w:instrText xml:space="preserve"> PAGEREF _Toc96330412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2 Überwachung der Auszeichnung (zu § 5 der 10. BImSchV)</w:t>
      </w:r>
      <w:r>
        <w:rPr>
          <w:noProof/>
        </w:rPr>
        <w:tab/>
      </w:r>
      <w:r>
        <w:rPr>
          <w:noProof/>
        </w:rPr>
        <w:fldChar w:fldCharType="begin"/>
      </w:r>
      <w:r>
        <w:rPr>
          <w:noProof/>
        </w:rPr>
        <w:instrText xml:space="preserve"> PAGEREF _Toc96330413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3 Unterrichtung des Auszeichnungspflichtigen (zu § 6 der 10. BImSchV)</w:t>
      </w:r>
      <w:r>
        <w:rPr>
          <w:noProof/>
        </w:rPr>
        <w:tab/>
      </w:r>
      <w:r>
        <w:rPr>
          <w:noProof/>
        </w:rPr>
        <w:fldChar w:fldCharType="begin"/>
      </w:r>
      <w:r>
        <w:rPr>
          <w:noProof/>
        </w:rPr>
        <w:instrText xml:space="preserve"> PAGEREF _Toc96330414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4 Entnahme und Untersuchung von Proben</w:t>
      </w:r>
      <w:r>
        <w:rPr>
          <w:noProof/>
        </w:rPr>
        <w:tab/>
      </w:r>
      <w:r>
        <w:rPr>
          <w:noProof/>
        </w:rPr>
        <w:fldChar w:fldCharType="begin"/>
      </w:r>
      <w:r>
        <w:rPr>
          <w:noProof/>
        </w:rPr>
        <w:instrText xml:space="preserve"> PAGEREF _Toc96330415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5 Maßnahmen bei Verstößen</w:t>
      </w:r>
      <w:r>
        <w:rPr>
          <w:noProof/>
        </w:rPr>
        <w:tab/>
      </w:r>
      <w:r>
        <w:rPr>
          <w:noProof/>
        </w:rPr>
        <w:fldChar w:fldCharType="begin"/>
      </w:r>
      <w:r>
        <w:rPr>
          <w:noProof/>
        </w:rPr>
        <w:instrText xml:space="preserve"> PAGEREF _Toc96330416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6 Kosten</w:t>
      </w:r>
      <w:r>
        <w:rPr>
          <w:noProof/>
        </w:rPr>
        <w:tab/>
      </w:r>
      <w:r>
        <w:rPr>
          <w:noProof/>
        </w:rPr>
        <w:fldChar w:fldCharType="begin"/>
      </w:r>
      <w:r>
        <w:rPr>
          <w:noProof/>
        </w:rPr>
        <w:instrText xml:space="preserve"> PAGEREF _Toc96330417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7 Bearbeitung von Beschwerden</w:t>
      </w:r>
      <w:r>
        <w:rPr>
          <w:noProof/>
        </w:rPr>
        <w:tab/>
      </w:r>
      <w:r>
        <w:rPr>
          <w:noProof/>
        </w:rPr>
        <w:fldChar w:fldCharType="begin"/>
      </w:r>
      <w:r>
        <w:rPr>
          <w:noProof/>
        </w:rPr>
        <w:instrText xml:space="preserve"> PAGEREF _Toc96330418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8 Inkrafttreten, Außerkrafttreten</w:t>
      </w:r>
      <w:r>
        <w:rPr>
          <w:noProof/>
        </w:rPr>
        <w:tab/>
      </w:r>
      <w:r>
        <w:rPr>
          <w:noProof/>
        </w:rPr>
        <w:fldChar w:fldCharType="begin"/>
      </w:r>
      <w:r>
        <w:rPr>
          <w:noProof/>
        </w:rPr>
        <w:instrText xml:space="preserve"> PAGEREF _Toc96330419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Anlage 1</w:t>
      </w:r>
      <w:r>
        <w:rPr>
          <w:noProof/>
        </w:rPr>
        <w:tab/>
      </w:r>
      <w:r>
        <w:rPr>
          <w:noProof/>
        </w:rPr>
        <w:fldChar w:fldCharType="begin"/>
      </w:r>
      <w:r>
        <w:rPr>
          <w:noProof/>
        </w:rPr>
        <w:instrText xml:space="preserve"> PAGEREF _Toc96330420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Anlage 2</w:t>
      </w:r>
      <w:r>
        <w:rPr>
          <w:noProof/>
        </w:rPr>
        <w:tab/>
      </w:r>
      <w:r>
        <w:rPr>
          <w:noProof/>
        </w:rPr>
        <w:fldChar w:fldCharType="begin"/>
      </w:r>
      <w:r>
        <w:rPr>
          <w:noProof/>
        </w:rPr>
        <w:instrText xml:space="preserve"> PAGEREF _Toc96330421 \h </w:instrText>
      </w:r>
      <w:r>
        <w:rPr>
          <w:noProof/>
        </w:rPr>
      </w:r>
      <w:r>
        <w:rPr>
          <w:noProof/>
        </w:rPr>
        <w:fldChar w:fldCharType="separate"/>
      </w:r>
      <w:r>
        <w:rPr>
          <w:noProof/>
        </w:rPr>
        <w:t>7</w:t>
      </w:r>
      <w:r>
        <w:rPr>
          <w:noProof/>
        </w:rPr>
        <w:fldChar w:fldCharType="end"/>
      </w:r>
    </w:p>
    <w:p>
      <w:pPr>
        <w:pStyle w:val="Verzeichnis2"/>
        <w:tabs>
          <w:tab w:val="clear" w:pos="9638"/>
          <w:tab w:val="right" w:leader="dot" w:pos="9627"/>
        </w:tabs>
        <w:rPr>
          <w:smallCaps w:val="0"/>
          <w:noProof/>
          <w:sz w:val="24"/>
          <w:szCs w:val="24"/>
        </w:rPr>
      </w:pPr>
      <w:r>
        <w:rPr>
          <w:noProof/>
        </w:rPr>
        <w:t>Anlage 3</w:t>
      </w:r>
      <w:r>
        <w:rPr>
          <w:noProof/>
        </w:rPr>
        <w:tab/>
      </w:r>
      <w:r>
        <w:rPr>
          <w:noProof/>
        </w:rPr>
        <w:fldChar w:fldCharType="begin"/>
      </w:r>
      <w:r>
        <w:rPr>
          <w:noProof/>
        </w:rPr>
        <w:instrText xml:space="preserve"> PAGEREF _Toc96330422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smallCaps w:val="0"/>
          <w:noProof/>
          <w:sz w:val="24"/>
          <w:szCs w:val="24"/>
        </w:rPr>
      </w:pPr>
      <w:r>
        <w:rPr>
          <w:noProof/>
        </w:rPr>
        <w:t>Anlage 4</w:t>
      </w:r>
      <w:r>
        <w:rPr>
          <w:noProof/>
        </w:rPr>
        <w:tab/>
      </w:r>
      <w:r>
        <w:rPr>
          <w:noProof/>
        </w:rPr>
        <w:fldChar w:fldCharType="begin"/>
      </w:r>
      <w:r>
        <w:rPr>
          <w:noProof/>
        </w:rPr>
        <w:instrText xml:space="preserve"> PAGEREF _Toc96330423 \h </w:instrText>
      </w:r>
      <w:r>
        <w:rPr>
          <w:noProof/>
        </w:rPr>
      </w:r>
      <w:r>
        <w:rPr>
          <w:noProof/>
        </w:rPr>
        <w:fldChar w:fldCharType="separate"/>
      </w:r>
      <w:r>
        <w:rPr>
          <w:noProof/>
        </w:rPr>
        <w:t>11</w:t>
      </w:r>
      <w:r>
        <w:rPr>
          <w:noProof/>
        </w:rPr>
        <w:fldChar w:fldCharType="end"/>
      </w:r>
    </w:p>
    <w:p>
      <w:pPr>
        <w:pStyle w:val="GesAbsatz"/>
      </w:pPr>
      <w:r>
        <w:rPr>
          <w:rFonts w:ascii="Times New Roman" w:hAnsi="Times New Roman"/>
          <w:b/>
          <w:bCs/>
          <w:caps/>
          <w:color w:val="auto"/>
        </w:rPr>
        <w:fldChar w:fldCharType="end"/>
      </w:r>
    </w:p>
    <w:p>
      <w:pPr>
        <w:pStyle w:val="GesAbsatz"/>
      </w:pPr>
      <w:r>
        <w:t>Nach § 48 des Bundes-Immissionsschutzgesetzes (BImSchG) in der Fassung der Bekanntmachung vom 14. Mai 1990 (BGBl. I S. 880) wird nach Anhörung der beteiligten Kreise folgende Allgemeine Verwaltungsvorschrift erlassen:</w:t>
      </w:r>
    </w:p>
    <w:p>
      <w:pPr>
        <w:pStyle w:val="berschrift2"/>
        <w:jc w:val="left"/>
      </w:pPr>
      <w:bookmarkStart w:id="2" w:name="_Toc96330412"/>
      <w:r>
        <w:t>1 Anwendungsbereich</w:t>
      </w:r>
      <w:bookmarkEnd w:id="2"/>
    </w:p>
    <w:p>
      <w:pPr>
        <w:pStyle w:val="GesAbsatz"/>
      </w:pPr>
      <w:r>
        <w:t xml:space="preserve">Diese allgemeine Verwaltungsvorschrift gilt für die Durchführung und Überwachung der 10. BImSchV vom </w:t>
      </w:r>
      <w:smartTag w:uri="urn:schemas-microsoft-com:office:smarttags" w:element="date">
        <w:smartTagPr>
          <w:attr w:name="Year" w:val="1993"/>
          <w:attr w:name="Day" w:val="13"/>
          <w:attr w:name="Month" w:val="12"/>
          <w:attr w:name="ls" w:val="trans"/>
        </w:smartTagPr>
        <w:r>
          <w:t>13. Dezember 1993</w:t>
        </w:r>
      </w:smartTag>
      <w:r>
        <w:t xml:space="preserve"> (BGBl. I S. 2036), zuletzt geändert durch die Verordnung vom </w:t>
      </w:r>
      <w:smartTag w:uri="urn:schemas-microsoft-com:office:smarttags" w:element="date">
        <w:smartTagPr>
          <w:attr w:name="Year" w:val="1999"/>
          <w:attr w:name="Day" w:val="22"/>
          <w:attr w:name="Month" w:val="12"/>
          <w:attr w:name="ls" w:val="trans"/>
        </w:smartTagPr>
        <w:r>
          <w:t>22. Dezember 1999</w:t>
        </w:r>
      </w:smartTag>
      <w:r>
        <w:t xml:space="preserve"> (BGBl. I S. 2845).</w:t>
      </w:r>
    </w:p>
    <w:p>
      <w:pPr>
        <w:pStyle w:val="berschrift2"/>
        <w:jc w:val="left"/>
      </w:pPr>
      <w:bookmarkStart w:id="3" w:name="_Toc96330413"/>
      <w:r>
        <w:t>2 Überwachung der Auszeichnung (zu § 5 der 10. BImSchV)</w:t>
      </w:r>
      <w:bookmarkEnd w:id="3"/>
    </w:p>
    <w:p>
      <w:pPr>
        <w:pStyle w:val="GesAbsatz"/>
      </w:pPr>
      <w:r>
        <w:rPr>
          <w:b/>
        </w:rPr>
        <w:t>2.1</w:t>
      </w:r>
      <w:r>
        <w:t xml:space="preserve"> Die zuständige Behörde soll stichprobenweise prüfen, ob der Veräußerer die mindestens gewährleisteten Qualitäten der Kraftstoffe an den Zapfsäulen oder an der Tankstelle deutlich sichtbar kenntlich gemacht hat.</w:t>
      </w:r>
    </w:p>
    <w:p>
      <w:pPr>
        <w:pStyle w:val="GesAbsatz"/>
      </w:pPr>
      <w:r>
        <w:rPr>
          <w:b/>
        </w:rPr>
        <w:t>2.2</w:t>
      </w:r>
      <w:r>
        <w:t xml:space="preserve"> Veräußerer ist derjenige, in dessen Namen die Kraftstoffe an der Tankstelle verkauft oder abgegeben werden. Der Name des Veräußerers geht regelmäßig aus den Tankquittungen oder sonstigen Hinweisen auf der Tankstelle hervor.</w:t>
      </w:r>
    </w:p>
    <w:p>
      <w:pPr>
        <w:pStyle w:val="GesAbsatz"/>
      </w:pPr>
      <w:r>
        <w:rPr>
          <w:b/>
        </w:rPr>
        <w:t>2.3</w:t>
      </w:r>
      <w:r>
        <w:t xml:space="preserve"> Soweit Kraftstoffe an den Tankstellen der Mineralölfirmen in deren Namen, d.h. durch Handelsvertreter oder Bedienstete in einem Anstellungsverhältnis, verkauft werden, sind diese Firmen selbst zur Auszeichnung verpflichtet.</w:t>
      </w:r>
    </w:p>
    <w:p>
      <w:pPr>
        <w:pStyle w:val="berschrift2"/>
        <w:jc w:val="left"/>
      </w:pPr>
      <w:bookmarkStart w:id="4" w:name="_Toc96330414"/>
      <w:r>
        <w:t>3 Unterrichtung des Auszeichnungspflichtigen (zu § 6 der 10. BImSchV)</w:t>
      </w:r>
      <w:bookmarkEnd w:id="4"/>
    </w:p>
    <w:p>
      <w:pPr>
        <w:pStyle w:val="GesAbsatz"/>
      </w:pPr>
      <w:r>
        <w:rPr>
          <w:b/>
        </w:rPr>
        <w:t>3.1</w:t>
      </w:r>
      <w:r>
        <w:t xml:space="preserve"> Die zuständige Behörde soll stichprobenweise prüfen, ob die Auszeichnung mit der Unterrichtung durch den Lieferer übereinstimmt. Wer Kraftstoffe als Händler veräußert oder in einer Eigenverbrauchstankstelle abgibt, muss der zuständigen Behörde auf Anforderung das dem Auszeichnungspflichtigen zu erteilende Lieferzeugnis nach § 6 der 10. BImSchV vorweisen, um so einen Nachweis zu erbringen, dass die Qualität des Kraftstoffs den angegebenen Werten entspricht (Lieferschein). Wird die Tankstelle von einem Handelsvertreter oder einem Bediensteten in einem Anstellungsverhältnis geführt, sollte ein Lieferzeugnis an der Tankstelle hinterlegt sein. Die Pflicht zur Vorlage des Lieferzeugnisses trifft das Unternehmen, das Veräußerer ist (vgl. Nummer 2.3)</w:t>
      </w:r>
    </w:p>
    <w:p>
      <w:pPr>
        <w:pStyle w:val="GesAbsatz"/>
      </w:pPr>
      <w:r>
        <w:rPr>
          <w:b/>
        </w:rPr>
        <w:t>3.2</w:t>
      </w:r>
      <w:r>
        <w:t xml:space="preserve"> Verweigert der Auskunftspflichtige die Auskunft oder liegen die Liefererzeugnisse an der Tankstelle nicht zur Einsicht vor, sollen zur Feststellung der Kraftstoffqualität Stichproben gemäß Nummer 4 entnommen werden.</w:t>
      </w:r>
    </w:p>
    <w:p>
      <w:pPr>
        <w:pStyle w:val="GesAbsatz"/>
      </w:pPr>
      <w:r>
        <w:rPr>
          <w:b/>
        </w:rPr>
        <w:t>3.3</w:t>
      </w:r>
      <w:r>
        <w:t xml:space="preserve"> Die zuständige Behörde hat anhand der vorgelegten Unterlagen stichprobenweise zu prüfen, ob der Lieferer den Auszeichnungspflichtigen zutreffend über die Qualität der angelieferten Kraftstoffe unterrichtet hat.</w:t>
      </w:r>
    </w:p>
    <w:p>
      <w:pPr>
        <w:pStyle w:val="GesAbsatz"/>
      </w:pPr>
      <w:r>
        <w:lastRenderedPageBreak/>
        <w:t>Die Unterrichtung kann für jede einzelne Lieferung vorgenommen werden - z.B. durch Vermerk auf dem Lieferschein oder auf der Auftragsbestätigung - oder für mehrere zeitlich aufeinander folgende Lieferungen bei der ersten. In jedem Fall muss die Unterrichtung eindeutig erkennen lassen, auf welche Kraftstofflieferungen sich die Qualitätsangaben beziehen.</w:t>
      </w:r>
    </w:p>
    <w:p>
      <w:pPr>
        <w:pStyle w:val="berschrift2"/>
        <w:jc w:val="left"/>
      </w:pPr>
      <w:bookmarkStart w:id="5" w:name="_Toc96330415"/>
      <w:r>
        <w:t>4 Entnahme und Untersuchung von Proben</w:t>
      </w:r>
      <w:bookmarkEnd w:id="5"/>
    </w:p>
    <w:p>
      <w:pPr>
        <w:pStyle w:val="GesAbsatz"/>
      </w:pPr>
      <w:r>
        <w:rPr>
          <w:b/>
        </w:rPr>
        <w:t>4.1</w:t>
      </w:r>
      <w:r>
        <w:t xml:space="preserve"> Zur Feststellung, ob die im Rahmen der Auszeichnungs- und Unterrichtungspflichten gemachten Angaben zutreffen und die Kraftstoffe den Anforderungen der §§ 1, 2, 3 und 4 der 10. BImSchV entsprechen, sollen Stichproben entnommen werden. Dies gilt insbesondere auch dann, wenn besondere Anhaltspunkte für eine den Vorschriften der 10. BImSchV nicht entsprechende Qualitätsangabe vorliegen. Solche Anhaltspunkte können sich z.B. aus dem Ergebnis von Überwachungsmaßnahmen bei anderen Tankstellen oder aus begründet erscheinenden Beschwerden ergeben.</w:t>
      </w:r>
    </w:p>
    <w:p>
      <w:pPr>
        <w:pStyle w:val="GesAbsatz"/>
      </w:pPr>
      <w:r>
        <w:rPr>
          <w:b/>
        </w:rPr>
        <w:t>4.2</w:t>
      </w:r>
      <w:r>
        <w:t xml:space="preserve"> Die entnommene Probe dient in der Regel</w:t>
      </w:r>
    </w:p>
    <w:p>
      <w:pPr>
        <w:pStyle w:val="GesAbsatz"/>
        <w:ind w:left="426" w:hanging="426"/>
      </w:pPr>
      <w:r>
        <w:t>-</w:t>
      </w:r>
      <w:r>
        <w:tab/>
        <w:t>bei Ottokraftstoffen der Bestimmung des Schwefelgehalts, der Klopffestigkeit, des Dampfdrucks, des Siedeverlaufs und der Dichte als wichtigste Kenngrößen der Mindestanforderungen sowie des Benzol- und Aromatengehalts,</w:t>
      </w:r>
    </w:p>
    <w:p>
      <w:pPr>
        <w:pStyle w:val="GesAbsatz"/>
        <w:ind w:left="426" w:hanging="426"/>
      </w:pPr>
      <w:r>
        <w:t>-</w:t>
      </w:r>
      <w:r>
        <w:tab/>
        <w:t>bei Dieselkraftstoffen der Bestimmung des Schwefelgehalts, der Cetanzahl, des CFPP, des Siedeverlaufs, des Flammpunkts und der Dichte als wichtigste Kenngrößen der Mindestanforderungen,</w:t>
      </w:r>
    </w:p>
    <w:p>
      <w:pPr>
        <w:pStyle w:val="GesAbsatz"/>
        <w:ind w:left="426" w:hanging="426"/>
      </w:pPr>
      <w:r>
        <w:t>-</w:t>
      </w:r>
      <w:r>
        <w:tab/>
        <w:t>beim Flüssiggaskraftstoff der Bestimmung der Klopffestigkeit als wichtigste Kenngröße der Mindestanforderungen. Zur Bestimmung der Klopffestigkeit genügt in der Regel die Bestimmung der Motoroktanzahl.</w:t>
      </w:r>
    </w:p>
    <w:p>
      <w:pPr>
        <w:pStyle w:val="GesAbsatz"/>
      </w:pPr>
      <w:r>
        <w:rPr>
          <w:b/>
        </w:rPr>
        <w:t>4.3</w:t>
      </w:r>
      <w:r>
        <w:t xml:space="preserve"> Bei Otto- und Dieselkraftstoffen sind Kraftstoffproben an der Tankstelle als Auslaufprobe aus dem Zapfventil, im Tanklager als Durchzugsproben zu entnehmen; die Probenahme hat nach DIN 51 750 Teil 1, Ausgabe Dezember 1990, und Teil 2, Ausgabe Dezember 1990, zu erfolgen. Auf einen 10-Liter-Vorlauf kann verzichtet werden, wenn die Probenahme direkt im Anschluss an einen Betankungsvorgang erfolgt. Beim Flüssiggaskraftstoff hat die Probeentnahme nach DIN 51 610, Ausgabe Juni 1983, zu erfolgen. Aus einem Lagertank des Lieferers - der Lieferer kann gleichzeitig Hersteller sein - sollen nur dann Proben entnommen werden, wenn der Auszeichnungspflichtige bereits über die Qualität dieses Kraftstoffs unterrichtet worden ist oder aus den Unterlagen Rückschlüsse hierauf gezogen werden können.</w:t>
      </w:r>
    </w:p>
    <w:p>
      <w:pPr>
        <w:pStyle w:val="GesAbsatz"/>
      </w:pPr>
      <w:r>
        <w:rPr>
          <w:b/>
        </w:rPr>
        <w:t>4.4</w:t>
      </w:r>
      <w:r>
        <w:t xml:space="preserve"> Zur Probenahme und zum Umgang mit den Proben wird ergänzend zu den Vorschriften der Normen DIN 51 750 Teil 1 und Teil 2 sowie DIN 51 610 auf Folgendes hingewiesen:</w:t>
      </w:r>
    </w:p>
    <w:p>
      <w:pPr>
        <w:pStyle w:val="GesAbsatz"/>
        <w:ind w:left="426" w:hanging="426"/>
      </w:pPr>
      <w:r>
        <w:t>a)</w:t>
      </w:r>
      <w:r>
        <w:tab/>
        <w:t>Die jeweilige Probemenge beträgt bei Otto- und Dieselkraftstoffen mindestens 7,5 Liter und wird in gasdicht verschließbaren Behältern zu mindestens 2,5 Litern abgefüllt. Bei Flüssiggaskraftstoff genügen nach DIN 51 610 geringere Probemengen. Ein Behälter dient als Analyseprobe und ein Behälter dient als Schiedsprobe. Zusätzlich wird eine Rückstellprobe gefüllt, die bei dem Auskunftspflichtigen verbleibt. Die gezogenen Proben sind so zu sichern (z. B. durch Plombieren und darüber hinaus durch Bestätigung durch das Tankstellenpersonal), dass die Probemenge unverändert bleibt sowie Ort und Zeit der Entnahme jederzeit nachgewiesen werden können.</w:t>
      </w:r>
    </w:p>
    <w:p>
      <w:pPr>
        <w:pStyle w:val="GesAbsatz"/>
        <w:ind w:left="426" w:hanging="426"/>
      </w:pPr>
      <w:r>
        <w:t>b)</w:t>
      </w:r>
      <w:r>
        <w:tab/>
        <w:t>Nach der Probenahme müssen die Behälter vor übermäßiger Erwärmung geschützt (z. B. Isolierbehälter) und möglichst umgehend der Prüfstelle zugeleitet werden. Auch die Schiedsprobe und die Rückstellproben sind so zu lagern, dass eine übermäßige Erwärmung ausgeschlossen ist. Mit der Untersuchung der Proben sind nur für Kraftstoffuntersuchungen nach DIN EN 45 001, Ausgabe Mai 1990, akkreditierte unabhängige Prüfstellen zu beauftragen, die sich regelmäßig an den Ringversuchen des Fachausschusses Mineralöl- und Brennstoffnormung des NMP im DIN Deutsches Institut für Normung e.V. beteiligen und deren Ergebnisse im Rahmen der Vergleichbarkeit liegen. Die behördliche Überwachungstätigkeit gemäß § 52 BImSchG bzw. die Beauftragung von Prüfstellen durch die Behörden bleibt hiervon unberührt. In diesen Fällen sollen Untersuchungen durch eine von der obersten Landesbehörde benannte Prüfstelle durchgeführt werden.</w:t>
      </w:r>
    </w:p>
    <w:p>
      <w:pPr>
        <w:pStyle w:val="GesAbsatz"/>
        <w:ind w:left="426" w:hanging="426"/>
      </w:pPr>
      <w:r>
        <w:t>c)</w:t>
      </w:r>
      <w:r>
        <w:tab/>
        <w:t xml:space="preserve">Bei der Probenahme sowie beim Umgang mit der Probe sind die einschlägigen Arbeitsschutz- und Sicherheitsbestimmungen zu beachten, insbesondere die Gefahrstoffverordnung in der Fassung der Bekanntmachung vom </w:t>
      </w:r>
      <w:smartTag w:uri="urn:schemas-microsoft-com:office:smarttags" w:element="date">
        <w:smartTagPr>
          <w:attr w:name="Year" w:val="1999"/>
          <w:attr w:name="Day" w:val="15"/>
          <w:attr w:name="Month" w:val="11"/>
          <w:attr w:name="ls" w:val="trans"/>
        </w:smartTagPr>
        <w:r>
          <w:t>15. November 1999</w:t>
        </w:r>
      </w:smartTag>
      <w:r>
        <w:t xml:space="preserve"> (BGBl. I S. 2233, 2000 I S. 739), zuletzt geändert durch Artikel 2 § 38 des Gesetzes vom </w:t>
      </w:r>
      <w:smartTag w:uri="urn:schemas-microsoft-com:office:smarttags" w:element="date">
        <w:smartTagPr>
          <w:attr w:name="Year" w:val="2000"/>
          <w:attr w:name="Day" w:val="20"/>
          <w:attr w:name="Month" w:val="7"/>
          <w:attr w:name="ls" w:val="trans"/>
        </w:smartTagPr>
        <w:r>
          <w:t>20. Juli 2000</w:t>
        </w:r>
      </w:smartTag>
      <w:r>
        <w:t xml:space="preserve"> (BGBl. I S. 1045), und die Verordnung über brennbare Flüssigkeiten in der Fassung der Bekanntmachung vom </w:t>
      </w:r>
      <w:smartTag w:uri="urn:schemas-microsoft-com:office:smarttags" w:element="date">
        <w:smartTagPr>
          <w:attr w:name="Year" w:val="1996"/>
          <w:attr w:name="Day" w:val="13"/>
          <w:attr w:name="Month" w:val="12"/>
          <w:attr w:name="ls" w:val="trans"/>
        </w:smartTagPr>
        <w:r>
          <w:t>13. Dezember 1996</w:t>
        </w:r>
      </w:smartTag>
      <w:r>
        <w:t xml:space="preserve"> (BGBl. I S. 1937, 1997 I S. 447). Bei der Probenahme ist vor allem auf absolutes Rauchverbot und auf einen Füllungsgrad der Behälter von nicht mehr als 90 % zu achten. Eine Lagerung der Proben - auch kurzzeitige Zwischenlagerung - in Durchgängen und Durchfahrten, Treppenhäusern, Haus- und Stockwerksfluren, Dachböden sowie in Arbeitsräumen ist unzulässig.</w:t>
      </w:r>
    </w:p>
    <w:p>
      <w:pPr>
        <w:pStyle w:val="GesAbsatz"/>
        <w:tabs>
          <w:tab w:val="clear" w:pos="425"/>
          <w:tab w:val="left" w:pos="426"/>
        </w:tabs>
        <w:ind w:left="426" w:hanging="426"/>
      </w:pPr>
      <w:r>
        <w:tab/>
        <w:t xml:space="preserve">Über die Probenahme ist für jeden Kraftstoff ein Protokoll nach dem Muster der Anlage 1 zu fertigen. Eine Ausfertigung des Protokolls erhält der Auszeichnungspflichtige. Eine weitere Ausfertigung verbleibt bei </w:t>
      </w:r>
      <w:r>
        <w:lastRenderedPageBreak/>
        <w:t>der zuständigen Behörde. Die der Prüfstelle zugehende Probe ist so zu kennzeichnen (Angabe der Probenummer), dass die zuständige Behörde ihre Herkunft erkennen und somit das Prüfprotokoll (Buchstabe f) der Probenahme zuordnen kann.</w:t>
      </w:r>
    </w:p>
    <w:p>
      <w:pPr>
        <w:pStyle w:val="GesAbsatz"/>
        <w:tabs>
          <w:tab w:val="clear" w:pos="425"/>
          <w:tab w:val="left" w:pos="426"/>
        </w:tabs>
        <w:ind w:left="426" w:hanging="426"/>
      </w:pPr>
      <w:r>
        <w:t>e)</w:t>
      </w:r>
      <w:r>
        <w:tab/>
        <w:t>Die Prüfstelle hat die Probe unverzüglich zu untersuchen. Bei Ottokraftstoffen ist die Probemenge für die Bestimmung des Dampfdrucks zuerst aus dem jeweiligen Probebehälter zu entnehmen.</w:t>
      </w:r>
    </w:p>
    <w:p>
      <w:pPr>
        <w:pStyle w:val="GesAbsatz"/>
        <w:tabs>
          <w:tab w:val="clear" w:pos="425"/>
          <w:tab w:val="left" w:pos="426"/>
        </w:tabs>
        <w:ind w:left="426" w:hanging="426"/>
      </w:pPr>
      <w:r>
        <w:t>f)</w:t>
      </w:r>
      <w:r>
        <w:tab/>
        <w:t>Die Prüfstelle erstellt ein Prüfprotokoll über die Untersuchungsergebnisse nach dem Muster der Anlagen 2, 3, oder 4 und übersendet es der zuständigen Behörde, die dem Auskunftspflichtigen einen Abdruck des Protokolls zukommen lässt. Die Anforderungen der 10. BImSchV gelten dann als eingehalten, wenn bei einer Einzelmessung die in den Anlagen 2, 3 oder 4 aufgeführten Ablehnungsgrenzwerte unter DIN EN ISO 4259, Ausgabe April 1996, erfüllt werden.</w:t>
      </w:r>
    </w:p>
    <w:p>
      <w:pPr>
        <w:pStyle w:val="GesAbsatz"/>
        <w:tabs>
          <w:tab w:val="clear" w:pos="425"/>
          <w:tab w:val="left" w:pos="426"/>
        </w:tabs>
        <w:ind w:left="426" w:hanging="426"/>
      </w:pPr>
      <w:r>
        <w:t>g)</w:t>
      </w:r>
      <w:r>
        <w:tab/>
        <w:t>Im Falle eines Straf- oder Bußgeldverfahrens sind die für die Schiedsprobe nach DIN EN ISO 4259, Ausgabe April 1996, vorgesehenen Probebehälter bis zum Abschluss des rechtskräftigen Verfahrens aufzubewahren.</w:t>
      </w:r>
    </w:p>
    <w:p>
      <w:pPr>
        <w:pStyle w:val="berschrift2"/>
        <w:jc w:val="left"/>
      </w:pPr>
      <w:bookmarkStart w:id="6" w:name="_Toc96330416"/>
      <w:r>
        <w:t>5 Maßnahmen bei Verstößen</w:t>
      </w:r>
      <w:bookmarkEnd w:id="6"/>
    </w:p>
    <w:p>
      <w:pPr>
        <w:pStyle w:val="GesAbsatz"/>
      </w:pPr>
      <w:r>
        <w:rPr>
          <w:b/>
        </w:rPr>
        <w:t>5.1</w:t>
      </w:r>
      <w:r>
        <w:t xml:space="preserve"> Ein Verstoß gegen die Auszeichnungs- oder Unterrichtungspflicht nach § 5 oder § 6 der 10. BImSchV ist anzunehmen, wenn die festgestellten Werte entgegen der Auszeichnung (§ 5 der 10. BImSchV) nicht den Mindestanforderungen nach § 1, § 2 oder § 3 der 10. BImSchV entsprechen.</w:t>
      </w:r>
    </w:p>
    <w:p>
      <w:pPr>
        <w:pStyle w:val="GesAbsatz"/>
      </w:pPr>
      <w:r>
        <w:rPr>
          <w:b/>
        </w:rPr>
        <w:t>5.2</w:t>
      </w:r>
      <w:r>
        <w:t xml:space="preserve"> Bei einem Verstoß ist wie folgt zu verfahren:</w:t>
      </w:r>
    </w:p>
    <w:p>
      <w:pPr>
        <w:pStyle w:val="GesAbsatz"/>
        <w:ind w:left="426" w:hanging="426"/>
      </w:pPr>
      <w:r>
        <w:t>a)</w:t>
      </w:r>
      <w:r>
        <w:tab/>
        <w:t>Entspricht die Qualität der abgegebenen Ware nicht den Eigenschaften der Mindestanforderungen nach § 1, § 2 oder § 3 der 10. BImSchV, so ist zu veranlassen, dass die Abgabe dieser Ware sofort einzustellen ist.</w:t>
      </w:r>
    </w:p>
    <w:p>
      <w:pPr>
        <w:pStyle w:val="GesAbsatz"/>
        <w:ind w:left="426" w:hanging="426"/>
      </w:pPr>
      <w:r>
        <w:t>b)</w:t>
      </w:r>
      <w:r>
        <w:tab/>
        <w:t>Der Veräußerer ist verpflichtet, durch Vorlage der Lieferzeugnisse eindeutig die Herkunft der angebotenen Ware zu belegen. Ist er dazu nicht in der Lage oder willens, ist gegen ihn ein Bußgeldverfahren einzuleiten.</w:t>
      </w:r>
    </w:p>
    <w:p>
      <w:pPr>
        <w:pStyle w:val="GesAbsatz"/>
        <w:ind w:left="426" w:hanging="426"/>
      </w:pPr>
      <w:r>
        <w:t>c)</w:t>
      </w:r>
      <w:r>
        <w:tab/>
        <w:t>Stehen Verstöße von Auszeichnungspflichtigen gegen die Auszeichnung der Qualität nach § 5 der 10. BImSchV oder von Lieferern gegen die Unterrichtung der Auszeichnungspflichtigen nach § 6 der 10. BImSchV fest, ist stets zu prüfen, ob ein vorsätzliches oder fahrlässiges Verhalten hierfür ursächlich ist. Wird dies festgestellt, ist ein Bußgeldverfahren nach § 9 der 10. BImSchV einzuleiten. Bei Verdacht einer Straftat, insbesondere auf Vorliegen von Betrugsdelikten, ist die zuständige Staatsanwaltschaft zu unterrichten.</w:t>
      </w:r>
    </w:p>
    <w:p>
      <w:pPr>
        <w:pStyle w:val="GesAbsatz"/>
        <w:ind w:left="426" w:hanging="426"/>
      </w:pPr>
      <w:r>
        <w:tab/>
        <w:t>Sind Verstöße eines bestimmten Auszeichnungspflichtigen gegen § 5 oder eines bestimmten Lieferers gegen § 6 ermittelt worden, so sind neben der Einleitung eines Bußgeldverfahrens nach § 9 der 10. BImSchV die Überwachungsmaßnahmen ihnen gegenüber kurzfristig zu wiederholen.</w:t>
      </w:r>
    </w:p>
    <w:p>
      <w:pPr>
        <w:pStyle w:val="berschrift2"/>
        <w:jc w:val="left"/>
      </w:pPr>
      <w:bookmarkStart w:id="7" w:name="_Toc96330417"/>
      <w:r>
        <w:t>6 Kosten</w:t>
      </w:r>
      <w:bookmarkEnd w:id="7"/>
    </w:p>
    <w:p>
      <w:pPr>
        <w:pStyle w:val="GesAbsatz"/>
      </w:pPr>
      <w:r>
        <w:t>Der Auskunftspflichtige hat insbesondere die Kosten für die Probenahme, die entnommene Kraftstoffmenge und das an die Prüfstelle zu entrichtende Entgelt zu tragen, nicht aber die allgemeinen Verwaltungskosten, es sei denn, es bestehen hinsichtlich der allgemeinen Verwaltungskosten anderweitige landesrechtliche Gebührenregelungen.</w:t>
      </w:r>
    </w:p>
    <w:p>
      <w:pPr>
        <w:pStyle w:val="GesAbsatz"/>
      </w:pPr>
      <w:r>
        <w:t>Kostenpflichtig sind Eigentümer oder Betreiber von Anlagen, in denen Kraftstoffe gewerbsmäßig oder im Rahmen wirtschaftlicher Unternehmungen hergestellt werden, Eigentümer und Besitzer von Grundstücken, auf denen Kraftstoffe gewerbsmäßig oder im Rahmen wirtschaftlicher Unternehmungen gelagert werden, sowie diejenigen, die Kraftstoffe gewerbsmäßig oder im Rahmen wirtschaftlicher Unternehmungen einführen oder sonst in den Geltungsbereich der 10. BImSchV verbringen.</w:t>
      </w:r>
    </w:p>
    <w:p>
      <w:pPr>
        <w:pStyle w:val="GesAbsatz"/>
      </w:pPr>
      <w:r>
        <w:t>Kommt nach den geltenden kostenrechtlichen Vorschriften eine gesamtschuldnerische Haftung mehrerer Kostenschuldner in Betracht, wird, sofern im Einzelfall nicht Gründe entgegenstehen, empfohlen, zunächst den Veräußerer der Kraftstoffe in Anspruch zu nehmen.</w:t>
      </w:r>
    </w:p>
    <w:p>
      <w:pPr>
        <w:pStyle w:val="GesAbsatz"/>
      </w:pPr>
      <w:r>
        <w:t>Soweit Proben im Rahmen eines Bußgeldverfahrens zur Aufklärung des Sachverhalts entnommen werden, gehören sie zu den Kosten des Bußgeldverfahrens (§ 105 OWiG in Verbindung mit § 464a Abs. 1 Satz 2 StPO).</w:t>
      </w:r>
    </w:p>
    <w:p>
      <w:pPr>
        <w:pStyle w:val="berschrift2"/>
        <w:jc w:val="left"/>
      </w:pPr>
      <w:bookmarkStart w:id="8" w:name="_Toc96330418"/>
      <w:r>
        <w:t>7 Bearbeitung von Beschwerden</w:t>
      </w:r>
      <w:bookmarkEnd w:id="8"/>
    </w:p>
    <w:p>
      <w:pPr>
        <w:pStyle w:val="GesAbsatz"/>
      </w:pPr>
      <w:r>
        <w:t>Gehen Beschwerden wegen möglicher Verstöße gegen die 10. BImSchV ein, können diese zum Anlass für behördliche Überwachungsmaßnahmen genommen werden.</w:t>
      </w:r>
    </w:p>
    <w:p>
      <w:pPr>
        <w:pStyle w:val="GesAbsatz"/>
      </w:pPr>
      <w:r>
        <w:lastRenderedPageBreak/>
        <w:t>Qualifizierten Beschwerden Dritter (z. B. Organisationen des Verbraucherschutzes, Firmen und Verbände zur Förderung gewerblicher Interessen), die unter Beachtung der unter Nummer 4 genannten Regeln Proben nehmen und untersuchen bzw. untersuchen lassen, ist von den zuständigen Behörden nachzugehen. Die Untersuchung der Probe, die einzelne Kraftfahrzeughalter genommen haben, soll jedoch abgelehnt werden, weil diese Proben wegen mangelnder Beweiskraft nicht als Grundlage von behördlichen Verfügungen oder Bußgeldbescheiden verwendbar sind.</w:t>
      </w:r>
    </w:p>
    <w:p>
      <w:pPr>
        <w:pStyle w:val="berschrift2"/>
        <w:jc w:val="left"/>
      </w:pPr>
      <w:bookmarkStart w:id="9" w:name="_Toc96330419"/>
      <w:r>
        <w:t>8 Inkrafttreten, Außerkrafttreten</w:t>
      </w:r>
      <w:bookmarkEnd w:id="9"/>
    </w:p>
    <w:p>
      <w:pPr>
        <w:pStyle w:val="GesAbsatz"/>
      </w:pPr>
      <w:r>
        <w:t xml:space="preserve">Diese allgemeine Verwaltungsvorschrift tritt sechs Wochen nach der Veröffentlichung in Kraft. Gleichzeitig tritt die Verwaltungsvorschrift vom </w:t>
      </w:r>
      <w:smartTag w:uri="urn:schemas-microsoft-com:office:smarttags" w:element="date">
        <w:smartTagPr>
          <w:attr w:name="Year" w:val="1994"/>
          <w:attr w:name="Day" w:val="18"/>
          <w:attr w:name="Month" w:val="4"/>
          <w:attr w:name="ls" w:val="trans"/>
        </w:smartTagPr>
        <w:r>
          <w:t>18. April 1994</w:t>
        </w:r>
      </w:smartTag>
      <w:r>
        <w:t xml:space="preserve"> (BAnz. S. 4373) außer Kraft.</w:t>
      </w:r>
    </w:p>
    <w:p>
      <w:pPr>
        <w:pStyle w:val="berschrift2"/>
        <w:jc w:val="left"/>
      </w:pPr>
      <w:r>
        <w:br w:type="page"/>
      </w:r>
      <w:bookmarkStart w:id="10" w:name="_Toc96330420"/>
      <w:r>
        <w:lastRenderedPageBreak/>
        <w:t>Anlage 1</w:t>
      </w:r>
      <w:bookmarkEnd w:id="10"/>
    </w:p>
    <w:p>
      <w:pPr>
        <w:pStyle w:val="GesAbsatz"/>
        <w:jc w:val="left"/>
        <w:rPr>
          <w:b/>
        </w:rPr>
      </w:pPr>
      <w:r>
        <w:rPr>
          <w:b/>
        </w:rPr>
        <w:t xml:space="preserve">Protokoll über die Probenahme von Kraftstoffen zur Überwachung der Verordnung über die Beschaffenheit und die Auszeichnung der Qualitäten von Kraftstoffen - 10. BImSchV - vom </w:t>
      </w:r>
      <w:smartTag w:uri="urn:schemas-microsoft-com:office:smarttags" w:element="date">
        <w:smartTagPr>
          <w:attr w:name="Year" w:val="1993"/>
          <w:attr w:name="Day" w:val="13"/>
          <w:attr w:name="Month" w:val="12"/>
          <w:attr w:name="ls" w:val="trans"/>
        </w:smartTagPr>
        <w:r>
          <w:rPr>
            <w:b/>
          </w:rPr>
          <w:t>13. Dezember 1993</w:t>
        </w:r>
      </w:smartTag>
    </w:p>
    <w:p>
      <w:pPr>
        <w:pStyle w:val="GesAbsatz"/>
        <w:tabs>
          <w:tab w:val="left" w:pos="5954"/>
          <w:tab w:val="left" w:leader="dot" w:pos="9356"/>
        </w:tabs>
      </w:pPr>
      <w:r>
        <w:t>1.</w:t>
      </w:r>
      <w:r>
        <w:tab/>
        <w:t>Probenahme-Protokoll Nr. (zugleich Probebehälter-Nr.)</w:t>
      </w:r>
      <w:r>
        <w:tab/>
      </w:r>
      <w:r>
        <w:tab/>
      </w:r>
    </w:p>
    <w:p>
      <w:pPr>
        <w:pStyle w:val="GesAbsatz"/>
        <w:tabs>
          <w:tab w:val="left" w:pos="5954"/>
          <w:tab w:val="left" w:leader="dot" w:pos="9356"/>
        </w:tabs>
      </w:pPr>
      <w:r>
        <w:t>2.</w:t>
      </w:r>
      <w:r>
        <w:tab/>
        <w:t>Tankstelle:</w:t>
      </w:r>
      <w:r>
        <w:br/>
      </w:r>
      <w:r>
        <w:tab/>
        <w:t>Anschrift der Tankstelle</w:t>
      </w:r>
      <w:r>
        <w:tab/>
      </w:r>
      <w:r>
        <w:tab/>
      </w:r>
      <w:r>
        <w:br/>
      </w:r>
      <w:r>
        <w:tab/>
        <w:t>Marke (Gesellschaft)</w:t>
      </w:r>
      <w:r>
        <w:tab/>
      </w:r>
      <w:r>
        <w:tab/>
      </w:r>
      <w:r>
        <w:br/>
      </w:r>
      <w:r>
        <w:tab/>
        <w:t>Verkäufer lt. Quittung</w:t>
      </w:r>
      <w:r>
        <w:tab/>
      </w:r>
      <w:r>
        <w:tab/>
      </w:r>
    </w:p>
    <w:p>
      <w:pPr>
        <w:pStyle w:val="GesAbsatz"/>
        <w:tabs>
          <w:tab w:val="left" w:pos="5954"/>
          <w:tab w:val="left" w:leader="dot" w:pos="9356"/>
        </w:tabs>
      </w:pPr>
      <w:r>
        <w:t>3.</w:t>
      </w:r>
      <w:r>
        <w:tab/>
        <w:t>Probenehmer:</w:t>
      </w:r>
      <w:r>
        <w:br/>
      </w:r>
      <w:r>
        <w:tab/>
        <w:t>Dienststelle</w:t>
      </w:r>
      <w:r>
        <w:tab/>
      </w:r>
      <w:r>
        <w:tab/>
      </w:r>
      <w:r>
        <w:br/>
      </w:r>
      <w:r>
        <w:tab/>
        <w:t>Name, Anschrift</w:t>
      </w:r>
      <w:r>
        <w:tab/>
      </w:r>
      <w:r>
        <w:tab/>
      </w:r>
      <w:r>
        <w:br/>
      </w:r>
      <w:r>
        <w:tab/>
        <w:t>Amts- oder Dienstbezeichnung</w:t>
      </w:r>
      <w:r>
        <w:tab/>
      </w:r>
      <w:r>
        <w:tab/>
      </w:r>
    </w:p>
    <w:p>
      <w:pPr>
        <w:pStyle w:val="GesAbsatz"/>
        <w:tabs>
          <w:tab w:val="left" w:pos="5954"/>
          <w:tab w:val="left" w:leader="dot" w:pos="9356"/>
        </w:tabs>
      </w:pPr>
      <w:r>
        <w:t>4.</w:t>
      </w:r>
      <w:r>
        <w:tab/>
        <w:t>Probenahme: Zeitpunkt der Probenahme</w:t>
      </w:r>
      <w:r>
        <w:tab/>
        <w:t xml:space="preserve">Datum: </w:t>
      </w:r>
      <w:r>
        <w:tab/>
      </w:r>
      <w:r>
        <w:br/>
      </w:r>
      <w:r>
        <w:tab/>
      </w:r>
      <w:r>
        <w:tab/>
        <w:t xml:space="preserve">Uhrzeit: </w:t>
      </w:r>
      <w:r>
        <w:tab/>
      </w:r>
    </w:p>
    <w:p>
      <w:pPr>
        <w:pStyle w:val="GesAbsatz"/>
        <w:tabs>
          <w:tab w:val="left" w:pos="5954"/>
          <w:tab w:val="left" w:leader="dot" w:pos="9356"/>
        </w:tabs>
        <w:jc w:val="left"/>
      </w:pPr>
      <w:r>
        <w:tab/>
        <w:t>Zapfsäule (genaue Lage angeben, Nr. der Zapfsäule</w:t>
      </w:r>
      <w:r>
        <w:br/>
      </w:r>
      <w:r>
        <w:tab/>
        <w:t>oder Lageskizze)</w:t>
      </w:r>
      <w:r>
        <w:tab/>
      </w:r>
      <w:r>
        <w:tab/>
      </w:r>
    </w:p>
    <w:p>
      <w:pPr>
        <w:pStyle w:val="GesAbsatz"/>
        <w:tabs>
          <w:tab w:val="left" w:pos="5954"/>
          <w:tab w:val="left" w:leader="dot" w:pos="8789"/>
        </w:tabs>
        <w:jc w:val="left"/>
      </w:pPr>
      <w:r>
        <w:tab/>
        <w:t>Auszeichnung an der Zapfsäule vorhanden?</w:t>
      </w:r>
      <w:r>
        <w:tab/>
        <w:t xml:space="preserve">ja </w:t>
      </w:r>
      <w:r>
        <w:sym w:font="Symbol" w:char="F07F"/>
      </w:r>
      <w:r>
        <w:t xml:space="preserve"> </w:t>
      </w:r>
      <w:r>
        <w:tab/>
        <w:t xml:space="preserve"> nein </w:t>
      </w:r>
      <w:r>
        <w:sym w:font="Symbol" w:char="F07F"/>
      </w:r>
    </w:p>
    <w:p>
      <w:pPr>
        <w:pStyle w:val="GesAbsatz"/>
        <w:tabs>
          <w:tab w:val="left" w:pos="5954"/>
          <w:tab w:val="left" w:leader="dot" w:pos="9356"/>
        </w:tabs>
        <w:jc w:val="left"/>
      </w:pPr>
      <w:r>
        <w:tab/>
        <w:t>Wenn ja, wie lautet die Auszeichnung?</w:t>
      </w:r>
      <w:r>
        <w:tab/>
      </w:r>
      <w:r>
        <w:tab/>
      </w:r>
    </w:p>
    <w:p>
      <w:pPr>
        <w:pStyle w:val="GesAbsatz"/>
        <w:tabs>
          <w:tab w:val="left" w:pos="5954"/>
          <w:tab w:val="left" w:leader="dot" w:pos="8789"/>
        </w:tabs>
        <w:jc w:val="left"/>
      </w:pPr>
      <w:r>
        <w:tab/>
        <w:t>DIN-EN-Plakette an der Zapfsäule</w:t>
      </w:r>
      <w:r>
        <w:tab/>
        <w:t xml:space="preserve">ja </w:t>
      </w:r>
      <w:r>
        <w:sym w:font="Symbol" w:char="F07F"/>
      </w:r>
      <w:r>
        <w:t xml:space="preserve"> </w:t>
      </w:r>
      <w:r>
        <w:tab/>
        <w:t xml:space="preserve"> nein </w:t>
      </w:r>
      <w:r>
        <w:sym w:font="Symbol" w:char="F07F"/>
      </w:r>
    </w:p>
    <w:p>
      <w:pPr>
        <w:pStyle w:val="GesAbsatz"/>
        <w:tabs>
          <w:tab w:val="left" w:pos="5954"/>
          <w:tab w:val="left" w:leader="dot" w:pos="9356"/>
        </w:tabs>
        <w:jc w:val="left"/>
      </w:pPr>
      <w:r>
        <w:tab/>
        <w:t>Wenn ja, welche?</w:t>
      </w:r>
      <w:r>
        <w:tab/>
      </w:r>
      <w:r>
        <w:tab/>
      </w:r>
    </w:p>
    <w:p>
      <w:pPr>
        <w:pStyle w:val="GesAbsatz"/>
        <w:tabs>
          <w:tab w:val="left" w:pos="5954"/>
          <w:tab w:val="left" w:leader="dot" w:pos="8789"/>
          <w:tab w:val="left" w:leader="dot" w:pos="9356"/>
        </w:tabs>
        <w:jc w:val="left"/>
      </w:pPr>
      <w:r>
        <w:tab/>
        <w:t>DIN-Plakette an der Zapfsäule?</w:t>
      </w:r>
      <w:r>
        <w:tab/>
        <w:t xml:space="preserve">ja </w:t>
      </w:r>
      <w:r>
        <w:sym w:font="Symbol" w:char="F07F"/>
      </w:r>
      <w:r>
        <w:t xml:space="preserve"> </w:t>
      </w:r>
      <w:r>
        <w:tab/>
        <w:t xml:space="preserve"> nein </w:t>
      </w:r>
      <w:r>
        <w:sym w:font="Symbol" w:char="F07F"/>
      </w:r>
    </w:p>
    <w:p>
      <w:pPr>
        <w:pStyle w:val="GesAbsatz"/>
        <w:tabs>
          <w:tab w:val="left" w:pos="5954"/>
          <w:tab w:val="left" w:leader="dot" w:pos="9356"/>
        </w:tabs>
        <w:jc w:val="left"/>
      </w:pPr>
      <w:r>
        <w:tab/>
        <w:t>Wenn ja, welche?</w:t>
      </w:r>
      <w:r>
        <w:tab/>
      </w:r>
      <w:r>
        <w:tab/>
      </w:r>
    </w:p>
    <w:p>
      <w:pPr>
        <w:pStyle w:val="GesAbsatz"/>
        <w:tabs>
          <w:tab w:val="left" w:pos="5954"/>
          <w:tab w:val="left" w:pos="8789"/>
        </w:tabs>
        <w:jc w:val="left"/>
      </w:pPr>
      <w:r>
        <w:tab/>
        <w:t>Kanister sauber und trocken?</w:t>
      </w:r>
      <w:r>
        <w:tab/>
        <w:t xml:space="preserve">ja </w:t>
      </w:r>
      <w:r>
        <w:sym w:font="Symbol" w:char="F07F"/>
      </w:r>
      <w:r>
        <w:tab/>
        <w:t xml:space="preserve"> nein </w:t>
      </w:r>
      <w:r>
        <w:sym w:font="Symbol" w:char="F07F"/>
      </w:r>
    </w:p>
    <w:p>
      <w:pPr>
        <w:pStyle w:val="GesAbsatz"/>
        <w:tabs>
          <w:tab w:val="left" w:pos="5954"/>
          <w:tab w:val="left" w:pos="9356"/>
        </w:tabs>
        <w:jc w:val="left"/>
      </w:pPr>
      <w:r>
        <w:tab/>
        <w:t>Deckeldichtung überprüft?</w:t>
      </w:r>
      <w:r>
        <w:tab/>
        <w:t xml:space="preserve">i. O. </w:t>
      </w:r>
      <w:r>
        <w:sym w:font="Symbol" w:char="F07F"/>
      </w:r>
    </w:p>
    <w:p>
      <w:pPr>
        <w:pStyle w:val="GesAbsatz"/>
        <w:tabs>
          <w:tab w:val="left" w:pos="5954"/>
          <w:tab w:val="left" w:leader="dot" w:pos="8789"/>
        </w:tabs>
        <w:jc w:val="left"/>
      </w:pPr>
      <w:r>
        <w:tab/>
        <w:t>Befüllung:</w:t>
      </w:r>
      <w:r>
        <w:tab/>
        <w:t xml:space="preserve">ja </w:t>
      </w:r>
      <w:r>
        <w:sym w:font="Symbol" w:char="F07F"/>
      </w:r>
      <w:r>
        <w:tab/>
        <w:t xml:space="preserve"> nein </w:t>
      </w:r>
      <w:r>
        <w:sym w:font="Symbol" w:char="F07F"/>
      </w:r>
      <w:r>
        <w:br/>
      </w:r>
      <w:r>
        <w:tab/>
        <w:t>Vorlauf genommen bzw. Probenahme unmittelbar nach</w:t>
      </w:r>
      <w:r>
        <w:br/>
      </w:r>
      <w:r>
        <w:tab/>
        <w:t>Tankvorgang (min. jeweils 10 l)?</w:t>
      </w:r>
    </w:p>
    <w:p>
      <w:pPr>
        <w:pStyle w:val="GesAbsatz"/>
        <w:tabs>
          <w:tab w:val="left" w:pos="5954"/>
          <w:tab w:val="left" w:leader="dot" w:pos="8789"/>
        </w:tabs>
        <w:jc w:val="left"/>
      </w:pPr>
      <w:r>
        <w:tab/>
        <w:t>Behälter gleichmäßig befüllt (ca. ..... des Behältervolumens)?</w:t>
      </w:r>
      <w:r>
        <w:tab/>
        <w:t xml:space="preserve">ja </w:t>
      </w:r>
      <w:r>
        <w:sym w:font="Symbol" w:char="F07F"/>
      </w:r>
      <w:r>
        <w:tab/>
        <w:t xml:space="preserve"> nein </w:t>
      </w:r>
      <w:r>
        <w:sym w:font="Symbol" w:char="F07F"/>
      </w:r>
    </w:p>
    <w:p>
      <w:pPr>
        <w:pStyle w:val="GesAbsatz"/>
        <w:tabs>
          <w:tab w:val="left" w:pos="5954"/>
          <w:tab w:val="left" w:leader="dot" w:pos="8789"/>
        </w:tabs>
        <w:jc w:val="left"/>
      </w:pPr>
      <w:r>
        <w:tab/>
        <w:t>Dichtigkeit des Behälters nach Befüllung?</w:t>
      </w:r>
      <w:r>
        <w:tab/>
        <w:t xml:space="preserve">i. O. </w:t>
      </w:r>
      <w:r>
        <w:sym w:font="Symbol" w:char="F07F"/>
      </w:r>
    </w:p>
    <w:p>
      <w:pPr>
        <w:pStyle w:val="GesAbsatz"/>
        <w:tabs>
          <w:tab w:val="left" w:pos="5954"/>
          <w:tab w:val="left" w:leader="dot" w:pos="9356"/>
        </w:tabs>
        <w:jc w:val="left"/>
      </w:pPr>
      <w:r>
        <w:tab/>
        <w:t>Entnommene Probemenge insgesamt .... Liter</w:t>
      </w:r>
      <w:r>
        <w:tab/>
        <w:t>je Probenbehälter</w:t>
      </w:r>
      <w:r>
        <w:tab/>
        <w:t>l</w:t>
      </w:r>
    </w:p>
    <w:p>
      <w:pPr>
        <w:pStyle w:val="GesAbsatz"/>
        <w:tabs>
          <w:tab w:val="left" w:pos="5954"/>
          <w:tab w:val="left" w:leader="dot" w:pos="9356"/>
        </w:tabs>
        <w:jc w:val="left"/>
      </w:pPr>
      <w:r>
        <w:tab/>
        <w:t>Bemerkungen:</w:t>
      </w:r>
      <w:r>
        <w:tab/>
      </w:r>
      <w:r>
        <w:tab/>
      </w:r>
      <w:r>
        <w:br/>
      </w:r>
      <w:r>
        <w:tab/>
      </w:r>
      <w:r>
        <w:tab/>
      </w:r>
      <w:r>
        <w:tab/>
      </w:r>
      <w:r>
        <w:br/>
      </w:r>
      <w:r>
        <w:tab/>
      </w:r>
      <w:r>
        <w:tab/>
      </w:r>
      <w:r>
        <w:tab/>
      </w:r>
    </w:p>
    <w:p>
      <w:pPr>
        <w:pStyle w:val="GesAbsatz"/>
        <w:tabs>
          <w:tab w:val="left" w:pos="5954"/>
          <w:tab w:val="left" w:leader="dot" w:pos="8789"/>
        </w:tabs>
        <w:jc w:val="left"/>
      </w:pPr>
      <w:r>
        <w:t>5.</w:t>
      </w:r>
      <w:r>
        <w:tab/>
        <w:t>Ordnungsgemäße Beschriftung der Probenbehälter</w:t>
      </w:r>
      <w:r>
        <w:tab/>
        <w:t xml:space="preserve">ja </w:t>
      </w:r>
      <w:r>
        <w:sym w:font="Symbol" w:char="F07F"/>
      </w:r>
      <w:r>
        <w:t xml:space="preserve"> </w:t>
      </w:r>
      <w:r>
        <w:tab/>
        <w:t xml:space="preserve"> nein </w:t>
      </w:r>
      <w:r>
        <w:sym w:font="Symbol" w:char="F07F"/>
      </w:r>
      <w:r>
        <w:br/>
      </w:r>
      <w:r>
        <w:tab/>
        <w:t>nach DIN 51 750 Teil 1?</w:t>
      </w:r>
    </w:p>
    <w:p>
      <w:pPr>
        <w:pStyle w:val="GesAbsatz"/>
        <w:tabs>
          <w:tab w:val="left" w:pos="5954"/>
          <w:tab w:val="left" w:leader="dot" w:pos="8789"/>
        </w:tabs>
        <w:jc w:val="left"/>
      </w:pPr>
      <w:r>
        <w:tab/>
        <w:t>Gesichert durch Plombe oder Siegel</w:t>
      </w:r>
      <w:r>
        <w:tab/>
        <w:t xml:space="preserve">ja </w:t>
      </w:r>
      <w:r>
        <w:sym w:font="Symbol" w:char="F07F"/>
      </w:r>
      <w:r>
        <w:t xml:space="preserve"> </w:t>
      </w:r>
      <w:r>
        <w:tab/>
        <w:t xml:space="preserve"> nein </w:t>
      </w:r>
      <w:r>
        <w:sym w:font="Symbol" w:char="F07F"/>
      </w:r>
    </w:p>
    <w:p>
      <w:pPr>
        <w:pStyle w:val="GesAbsatz"/>
        <w:tabs>
          <w:tab w:val="left" w:pos="5954"/>
          <w:tab w:val="left" w:leader="dot" w:pos="8789"/>
        </w:tabs>
        <w:jc w:val="left"/>
      </w:pPr>
      <w:r>
        <w:t>6.</w:t>
      </w:r>
      <w:r>
        <w:tab/>
        <w:t>Übergabe der Proben an:</w:t>
      </w:r>
    </w:p>
    <w:p>
      <w:pPr>
        <w:pStyle w:val="GesAbsatz"/>
        <w:tabs>
          <w:tab w:val="left" w:pos="5954"/>
          <w:tab w:val="left" w:leader="dot" w:pos="9356"/>
        </w:tabs>
        <w:jc w:val="left"/>
      </w:pPr>
      <w:r>
        <w:tab/>
        <w:t>1. Auftraggeber</w:t>
      </w:r>
      <w:r>
        <w:tab/>
        <w:t xml:space="preserve">Zahl der Proben </w:t>
      </w:r>
      <w:r>
        <w:tab/>
      </w:r>
    </w:p>
    <w:p>
      <w:pPr>
        <w:pStyle w:val="GesAbsatz"/>
        <w:tabs>
          <w:tab w:val="left" w:pos="5954"/>
          <w:tab w:val="left" w:leader="dot" w:pos="9356"/>
        </w:tabs>
        <w:jc w:val="left"/>
      </w:pPr>
      <w:r>
        <w:tab/>
        <w:t>2. Untersuchungslaboratorium</w:t>
      </w:r>
      <w:r>
        <w:tab/>
        <w:t xml:space="preserve">Zahl der Proben </w:t>
      </w:r>
      <w:r>
        <w:tab/>
      </w:r>
    </w:p>
    <w:p>
      <w:pPr>
        <w:pStyle w:val="GesAbsatz"/>
        <w:tabs>
          <w:tab w:val="left" w:pos="5954"/>
          <w:tab w:val="left" w:leader="dot" w:pos="9356"/>
        </w:tabs>
        <w:jc w:val="left"/>
      </w:pPr>
      <w:r>
        <w:tab/>
        <w:t>3. Tankstellenpersonal des Verkäufers</w:t>
      </w:r>
      <w:r>
        <w:tab/>
        <w:t xml:space="preserve">Zahl der Proben </w:t>
      </w:r>
      <w:r>
        <w:tab/>
      </w:r>
    </w:p>
    <w:p>
      <w:pPr>
        <w:pStyle w:val="GesAbsatz"/>
        <w:tabs>
          <w:tab w:val="left" w:pos="5954"/>
          <w:tab w:val="left" w:leader="dot" w:pos="8789"/>
        </w:tabs>
        <w:jc w:val="left"/>
      </w:pPr>
      <w:r>
        <w:t>7.</w:t>
      </w:r>
      <w:r>
        <w:tab/>
        <w:t>Bestätigung der Durchführung gemäß verliegendem</w:t>
      </w:r>
      <w:r>
        <w:tab/>
        <w:t xml:space="preserve">ja </w:t>
      </w:r>
      <w:r>
        <w:sym w:font="Symbol" w:char="F07F"/>
      </w:r>
      <w:r>
        <w:t xml:space="preserve"> </w:t>
      </w:r>
      <w:r>
        <w:tab/>
        <w:t xml:space="preserve"> nein </w:t>
      </w:r>
      <w:r>
        <w:sym w:font="Symbol" w:char="F07F"/>
      </w:r>
      <w:r>
        <w:br/>
      </w:r>
      <w:r>
        <w:tab/>
        <w:t>Probenahmeprotokoll durch Tankstellenpersonal</w:t>
      </w:r>
      <w:r>
        <w:br/>
      </w:r>
      <w:r>
        <w:tab/>
        <w:t>des Veräußerers oder Beauftragten der überprüften</w:t>
      </w:r>
      <w:r>
        <w:br/>
      </w:r>
      <w:r>
        <w:tab/>
        <w:t>Firma?</w:t>
      </w:r>
    </w:p>
    <w:p>
      <w:pPr>
        <w:pStyle w:val="GesAbsatz"/>
        <w:tabs>
          <w:tab w:val="left" w:leader="dot" w:pos="4536"/>
          <w:tab w:val="left" w:pos="5387"/>
          <w:tab w:val="left" w:leader="dot" w:pos="8789"/>
        </w:tabs>
        <w:jc w:val="left"/>
      </w:pPr>
      <w:r>
        <w:tab/>
        <w:t>Herrn/Frau</w:t>
      </w:r>
      <w:r>
        <w:br/>
      </w:r>
      <w:r>
        <w:tab/>
      </w:r>
      <w:r>
        <w:tab/>
      </w:r>
      <w:r>
        <w:tab/>
        <w:t>Der Beauftragte zur Durchführung der Prüfung</w:t>
      </w:r>
    </w:p>
    <w:p>
      <w:pPr>
        <w:pStyle w:val="GesAbsatz"/>
        <w:tabs>
          <w:tab w:val="right" w:pos="4395"/>
          <w:tab w:val="left" w:pos="5387"/>
          <w:tab w:val="left" w:leader="dot" w:pos="9356"/>
        </w:tabs>
        <w:jc w:val="left"/>
      </w:pPr>
      <w:r>
        <w:tab/>
        <w:t>Datum</w:t>
      </w:r>
      <w:r>
        <w:tab/>
        <w:t>Unterschrift</w:t>
      </w:r>
      <w:r>
        <w:tab/>
      </w:r>
      <w:r>
        <w:tab/>
      </w:r>
    </w:p>
    <w:p>
      <w:pPr>
        <w:pStyle w:val="GesAbsatz"/>
        <w:tabs>
          <w:tab w:val="left" w:pos="5387"/>
          <w:tab w:val="right" w:pos="9214"/>
          <w:tab w:val="left" w:pos="9356"/>
        </w:tabs>
        <w:jc w:val="left"/>
      </w:pPr>
      <w:r>
        <w:tab/>
      </w:r>
      <w:r>
        <w:tab/>
        <w:t>Datum</w:t>
      </w:r>
      <w:r>
        <w:tab/>
        <w:t>Unterschrift</w:t>
      </w:r>
    </w:p>
    <w:p>
      <w:pPr>
        <w:pStyle w:val="GesAbsatz"/>
        <w:tabs>
          <w:tab w:val="left" w:pos="5387"/>
          <w:tab w:val="left" w:leader="dot" w:pos="9356"/>
        </w:tabs>
        <w:jc w:val="left"/>
      </w:pPr>
      <w:r>
        <w:lastRenderedPageBreak/>
        <w:tab/>
      </w:r>
      <w:r>
        <w:tab/>
      </w:r>
      <w:r>
        <w:tab/>
      </w:r>
    </w:p>
    <w:p>
      <w:pPr>
        <w:pStyle w:val="GesAbsatz"/>
        <w:tabs>
          <w:tab w:val="left" w:pos="5387"/>
          <w:tab w:val="right" w:pos="9214"/>
          <w:tab w:val="left" w:pos="9356"/>
        </w:tabs>
        <w:jc w:val="left"/>
      </w:pPr>
      <w:r>
        <w:tab/>
      </w:r>
      <w:r>
        <w:tab/>
        <w:t>Datum</w:t>
      </w:r>
      <w:r>
        <w:tab/>
        <w:t>Unterschrift</w:t>
      </w:r>
    </w:p>
    <w:p>
      <w:pPr>
        <w:pStyle w:val="GesAbsatz"/>
        <w:tabs>
          <w:tab w:val="left" w:pos="5387"/>
          <w:tab w:val="left" w:leader="dot" w:pos="9356"/>
        </w:tabs>
        <w:jc w:val="left"/>
      </w:pPr>
      <w:r>
        <w:t>8.</w:t>
      </w:r>
      <w:r>
        <w:tab/>
        <w:t>Lieferer des Kraftstoffes</w:t>
      </w:r>
      <w:r>
        <w:br/>
      </w:r>
      <w:r>
        <w:tab/>
        <w:t>Hersteller (Name, Anschrift)</w:t>
      </w:r>
      <w:r>
        <w:tab/>
      </w:r>
      <w:r>
        <w:tab/>
      </w:r>
      <w:r>
        <w:br/>
      </w:r>
      <w:r>
        <w:tab/>
        <w:t>Einführer (Name, Anschrift)</w:t>
      </w:r>
      <w:r>
        <w:tab/>
      </w:r>
      <w:r>
        <w:tab/>
      </w:r>
      <w:r>
        <w:br/>
      </w:r>
      <w:r>
        <w:tab/>
        <w:t>Spediteur (Name, Anschrift)</w:t>
      </w:r>
      <w:r>
        <w:tab/>
      </w:r>
      <w:r>
        <w:tab/>
      </w:r>
    </w:p>
    <w:p>
      <w:pPr>
        <w:pStyle w:val="berschrift2"/>
        <w:jc w:val="left"/>
      </w:pPr>
      <w:r>
        <w:br w:type="page"/>
      </w:r>
      <w:bookmarkStart w:id="11" w:name="_Toc96330421"/>
      <w:r>
        <w:lastRenderedPageBreak/>
        <w:t>Anlage 2</w:t>
      </w:r>
      <w:bookmarkEnd w:id="11"/>
    </w:p>
    <w:p>
      <w:pPr>
        <w:pStyle w:val="GesAbsatz"/>
        <w:jc w:val="left"/>
        <w:rPr>
          <w:b/>
        </w:rPr>
      </w:pPr>
      <w:r>
        <w:rPr>
          <w:b/>
        </w:rPr>
        <w:t>Prüfprotokoll zur Überwachung der Einhaltung von Anforderungswerten bei einmaliger Prüfung gemäß DIN EN ISO 4259, Ausgabe April 1996 (deutsche Fassung EN ISO: 1995) zu DIN EN 228, Ausgabe Februar 2000 „Unverbleite Ottokraftstoffe“</w:t>
      </w:r>
    </w:p>
    <w:p>
      <w:pPr>
        <w:pStyle w:val="GesAbsatz"/>
        <w:jc w:val="left"/>
      </w:pPr>
      <w:r>
        <w:t>Überprüfte Firma:</w:t>
      </w:r>
    </w:p>
    <w:p>
      <w:pPr>
        <w:pStyle w:val="GesAbsatz"/>
        <w:jc w:val="left"/>
      </w:pPr>
      <w:r>
        <w:t>Probebehälternummer: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119"/>
        <w:gridCol w:w="1276"/>
        <w:gridCol w:w="992"/>
        <w:gridCol w:w="974"/>
        <w:gridCol w:w="2003"/>
        <w:gridCol w:w="776"/>
      </w:tblGrid>
      <w:tr>
        <w:trPr>
          <w:cantSplit/>
          <w:tblHeader/>
        </w:trPr>
        <w:tc>
          <w:tcPr>
            <w:tcW w:w="637" w:type="dxa"/>
            <w:vMerge w:val="restart"/>
            <w:vAlign w:val="center"/>
          </w:tcPr>
          <w:p>
            <w:pPr>
              <w:pStyle w:val="GesAbsatz"/>
              <w:jc w:val="center"/>
            </w:pPr>
            <w:r>
              <w:t>Lfd. Nr.</w:t>
            </w:r>
          </w:p>
        </w:tc>
        <w:tc>
          <w:tcPr>
            <w:tcW w:w="3119" w:type="dxa"/>
            <w:vMerge w:val="restart"/>
            <w:vAlign w:val="center"/>
          </w:tcPr>
          <w:p>
            <w:pPr>
              <w:pStyle w:val="GesAbsatz"/>
              <w:jc w:val="center"/>
            </w:pPr>
            <w:r>
              <w:t>Stoffeigenschaft</w:t>
            </w:r>
          </w:p>
        </w:tc>
        <w:tc>
          <w:tcPr>
            <w:tcW w:w="1276" w:type="dxa"/>
            <w:vMerge w:val="restart"/>
            <w:vAlign w:val="center"/>
          </w:tcPr>
          <w:p>
            <w:pPr>
              <w:pStyle w:val="GesAbsatz"/>
              <w:jc w:val="center"/>
            </w:pPr>
            <w:r>
              <w:t>Messeinheit</w:t>
            </w:r>
          </w:p>
        </w:tc>
        <w:tc>
          <w:tcPr>
            <w:tcW w:w="1966" w:type="dxa"/>
            <w:gridSpan w:val="2"/>
            <w:tcBorders>
              <w:bottom w:val="nil"/>
            </w:tcBorders>
          </w:tcPr>
          <w:p>
            <w:pPr>
              <w:pStyle w:val="GesAbsatz"/>
              <w:jc w:val="center"/>
            </w:pPr>
            <w:r>
              <w:t>Ablehnungsgrenzwert</w:t>
            </w:r>
          </w:p>
        </w:tc>
        <w:tc>
          <w:tcPr>
            <w:tcW w:w="2003" w:type="dxa"/>
            <w:vMerge w:val="restart"/>
            <w:vAlign w:val="center"/>
          </w:tcPr>
          <w:p>
            <w:pPr>
              <w:pStyle w:val="GesAbsatz"/>
              <w:jc w:val="center"/>
            </w:pPr>
            <w:r>
              <w:t>Prüfverfahren</w:t>
            </w:r>
          </w:p>
        </w:tc>
        <w:tc>
          <w:tcPr>
            <w:tcW w:w="776" w:type="dxa"/>
            <w:vMerge w:val="restart"/>
            <w:vAlign w:val="center"/>
          </w:tcPr>
          <w:p>
            <w:pPr>
              <w:pStyle w:val="GesAbsatz"/>
              <w:jc w:val="center"/>
            </w:pPr>
            <w:r>
              <w:t>Prüfergebnis</w:t>
            </w:r>
          </w:p>
        </w:tc>
      </w:tr>
      <w:tr>
        <w:trPr>
          <w:cantSplit/>
          <w:tblHeader/>
        </w:trPr>
        <w:tc>
          <w:tcPr>
            <w:tcW w:w="637" w:type="dxa"/>
            <w:vMerge/>
          </w:tcPr>
          <w:p>
            <w:pPr>
              <w:pStyle w:val="GesAbsatz"/>
              <w:jc w:val="center"/>
            </w:pPr>
          </w:p>
        </w:tc>
        <w:tc>
          <w:tcPr>
            <w:tcW w:w="3119" w:type="dxa"/>
            <w:vMerge/>
          </w:tcPr>
          <w:p>
            <w:pPr>
              <w:pStyle w:val="GesAbsatz"/>
              <w:jc w:val="center"/>
            </w:pPr>
          </w:p>
        </w:tc>
        <w:tc>
          <w:tcPr>
            <w:tcW w:w="1276" w:type="dxa"/>
            <w:vMerge/>
          </w:tcPr>
          <w:p>
            <w:pPr>
              <w:pStyle w:val="GesAbsatz"/>
              <w:jc w:val="center"/>
            </w:pPr>
          </w:p>
        </w:tc>
        <w:tc>
          <w:tcPr>
            <w:tcW w:w="992" w:type="dxa"/>
            <w:tcBorders>
              <w:top w:val="nil"/>
            </w:tcBorders>
          </w:tcPr>
          <w:p>
            <w:pPr>
              <w:pStyle w:val="GesAbsatz"/>
              <w:jc w:val="center"/>
            </w:pPr>
            <w:r>
              <w:t>min.</w:t>
            </w:r>
          </w:p>
        </w:tc>
        <w:tc>
          <w:tcPr>
            <w:tcW w:w="974" w:type="dxa"/>
            <w:tcBorders>
              <w:top w:val="nil"/>
            </w:tcBorders>
          </w:tcPr>
          <w:p>
            <w:pPr>
              <w:pStyle w:val="GesAbsatz"/>
              <w:jc w:val="center"/>
            </w:pPr>
            <w:r>
              <w:t>max.</w:t>
            </w:r>
          </w:p>
        </w:tc>
        <w:tc>
          <w:tcPr>
            <w:tcW w:w="2003" w:type="dxa"/>
            <w:vMerge/>
          </w:tcPr>
          <w:p>
            <w:pPr>
              <w:pStyle w:val="GesAbsatz"/>
              <w:jc w:val="center"/>
            </w:pPr>
          </w:p>
        </w:tc>
        <w:tc>
          <w:tcPr>
            <w:tcW w:w="776" w:type="dxa"/>
            <w:vMerge/>
          </w:tcPr>
          <w:p>
            <w:pPr>
              <w:pStyle w:val="GesAbsatz"/>
              <w:jc w:val="center"/>
            </w:pPr>
          </w:p>
        </w:tc>
      </w:tr>
      <w:tr>
        <w:tc>
          <w:tcPr>
            <w:tcW w:w="637" w:type="dxa"/>
          </w:tcPr>
          <w:p>
            <w:pPr>
              <w:pStyle w:val="GesAbsatz"/>
              <w:jc w:val="left"/>
            </w:pPr>
            <w:r>
              <w:t>1</w:t>
            </w:r>
          </w:p>
        </w:tc>
        <w:tc>
          <w:tcPr>
            <w:tcW w:w="3119" w:type="dxa"/>
          </w:tcPr>
          <w:p>
            <w:pPr>
              <w:pStyle w:val="GesAbsatz"/>
              <w:tabs>
                <w:tab w:val="clear" w:pos="425"/>
                <w:tab w:val="right" w:pos="2765"/>
              </w:tabs>
              <w:jc w:val="left"/>
            </w:pPr>
            <w:r>
              <w:t>Klopffestigkeit</w:t>
            </w:r>
            <w:r>
              <w:br/>
              <w:t>ROZ</w:t>
            </w:r>
            <w:r>
              <w:br/>
            </w:r>
            <w:r>
              <w:tab/>
              <w:t>Normal</w:t>
            </w:r>
            <w:r>
              <w:br/>
            </w:r>
            <w:r>
              <w:tab/>
              <w:t>Super</w:t>
            </w:r>
            <w:r>
              <w:br/>
            </w:r>
            <w:r>
              <w:tab/>
              <w:t>Super Plus</w:t>
            </w:r>
          </w:p>
        </w:tc>
        <w:tc>
          <w:tcPr>
            <w:tcW w:w="1276" w:type="dxa"/>
          </w:tcPr>
          <w:p>
            <w:pPr>
              <w:pStyle w:val="GesAbsatz"/>
              <w:jc w:val="left"/>
            </w:pPr>
            <w:r>
              <w:t>-</w:t>
            </w:r>
          </w:p>
        </w:tc>
        <w:tc>
          <w:tcPr>
            <w:tcW w:w="992" w:type="dxa"/>
          </w:tcPr>
          <w:p>
            <w:pPr>
              <w:pStyle w:val="GesAbsatz"/>
              <w:jc w:val="left"/>
            </w:pPr>
            <w:r>
              <w:br/>
            </w:r>
            <w:r>
              <w:br/>
              <w:t>90,6</w:t>
            </w:r>
            <w:r>
              <w:br/>
              <w:t>94,6</w:t>
            </w:r>
            <w:r>
              <w:br/>
              <w:t>97,6</w:t>
            </w:r>
          </w:p>
        </w:tc>
        <w:tc>
          <w:tcPr>
            <w:tcW w:w="974" w:type="dxa"/>
          </w:tcPr>
          <w:p>
            <w:pPr>
              <w:pStyle w:val="GesAbsatz"/>
              <w:jc w:val="left"/>
            </w:pPr>
          </w:p>
        </w:tc>
        <w:tc>
          <w:tcPr>
            <w:tcW w:w="2003" w:type="dxa"/>
          </w:tcPr>
          <w:p>
            <w:pPr>
              <w:pStyle w:val="GesAbsatz"/>
              <w:jc w:val="left"/>
            </w:pPr>
            <w:r>
              <w:t>EN 25164: 1993</w:t>
            </w:r>
          </w:p>
        </w:tc>
        <w:tc>
          <w:tcPr>
            <w:tcW w:w="776" w:type="dxa"/>
          </w:tcPr>
          <w:p>
            <w:pPr>
              <w:pStyle w:val="GesAbsatz"/>
              <w:jc w:val="left"/>
            </w:pPr>
          </w:p>
        </w:tc>
      </w:tr>
      <w:tr>
        <w:tc>
          <w:tcPr>
            <w:tcW w:w="637" w:type="dxa"/>
          </w:tcPr>
          <w:p>
            <w:pPr>
              <w:pStyle w:val="GesAbsatz"/>
              <w:jc w:val="left"/>
            </w:pPr>
            <w:r>
              <w:t>2</w:t>
            </w:r>
          </w:p>
        </w:tc>
        <w:tc>
          <w:tcPr>
            <w:tcW w:w="3119" w:type="dxa"/>
          </w:tcPr>
          <w:p>
            <w:pPr>
              <w:pStyle w:val="GesAbsatz"/>
              <w:tabs>
                <w:tab w:val="clear" w:pos="425"/>
                <w:tab w:val="right" w:pos="2765"/>
              </w:tabs>
              <w:jc w:val="left"/>
            </w:pPr>
            <w:r>
              <w:t>Klopffestigkeit</w:t>
            </w:r>
            <w:r>
              <w:br/>
              <w:t>MOZ</w:t>
            </w:r>
            <w:r>
              <w:br/>
            </w:r>
            <w:r>
              <w:tab/>
              <w:t>Normal</w:t>
            </w:r>
            <w:r>
              <w:br/>
            </w:r>
            <w:r>
              <w:tab/>
              <w:t>Super</w:t>
            </w:r>
            <w:r>
              <w:br/>
            </w:r>
            <w:r>
              <w:tab/>
              <w:t>Super Plus</w:t>
            </w:r>
          </w:p>
        </w:tc>
        <w:tc>
          <w:tcPr>
            <w:tcW w:w="1276" w:type="dxa"/>
          </w:tcPr>
          <w:p>
            <w:pPr>
              <w:pStyle w:val="GesAbsatz"/>
              <w:jc w:val="left"/>
            </w:pPr>
            <w:r>
              <w:t>-</w:t>
            </w:r>
          </w:p>
        </w:tc>
        <w:tc>
          <w:tcPr>
            <w:tcW w:w="992" w:type="dxa"/>
          </w:tcPr>
          <w:p>
            <w:pPr>
              <w:pStyle w:val="GesAbsatz"/>
              <w:jc w:val="left"/>
            </w:pPr>
            <w:r>
              <w:br/>
            </w:r>
            <w:r>
              <w:br/>
              <w:t>81,8</w:t>
            </w:r>
            <w:r>
              <w:br/>
              <w:t>84,5</w:t>
            </w:r>
            <w:r>
              <w:br/>
              <w:t>87,4</w:t>
            </w:r>
          </w:p>
        </w:tc>
        <w:tc>
          <w:tcPr>
            <w:tcW w:w="974" w:type="dxa"/>
          </w:tcPr>
          <w:p>
            <w:pPr>
              <w:pStyle w:val="GesAbsatz"/>
              <w:jc w:val="left"/>
            </w:pPr>
          </w:p>
        </w:tc>
        <w:tc>
          <w:tcPr>
            <w:tcW w:w="2003" w:type="dxa"/>
          </w:tcPr>
          <w:p>
            <w:pPr>
              <w:pStyle w:val="GesAbsatz"/>
              <w:jc w:val="left"/>
            </w:pPr>
            <w:r>
              <w:t>EN 25163: 1993</w:t>
            </w:r>
          </w:p>
        </w:tc>
        <w:tc>
          <w:tcPr>
            <w:tcW w:w="776" w:type="dxa"/>
          </w:tcPr>
          <w:p>
            <w:pPr>
              <w:pStyle w:val="GesAbsatz"/>
              <w:jc w:val="left"/>
            </w:pPr>
          </w:p>
        </w:tc>
      </w:tr>
      <w:tr>
        <w:tc>
          <w:tcPr>
            <w:tcW w:w="637" w:type="dxa"/>
          </w:tcPr>
          <w:p>
            <w:pPr>
              <w:pStyle w:val="GesAbsatz"/>
              <w:jc w:val="left"/>
            </w:pPr>
            <w:r>
              <w:t>3</w:t>
            </w:r>
          </w:p>
        </w:tc>
        <w:tc>
          <w:tcPr>
            <w:tcW w:w="3119" w:type="dxa"/>
          </w:tcPr>
          <w:p>
            <w:pPr>
              <w:pStyle w:val="GesAbsatz"/>
              <w:tabs>
                <w:tab w:val="clear" w:pos="425"/>
                <w:tab w:val="right" w:pos="2765"/>
              </w:tabs>
              <w:jc w:val="left"/>
            </w:pPr>
            <w:r>
              <w:t>Bleigehalt angegeben als Massenkonzentration</w:t>
            </w:r>
          </w:p>
        </w:tc>
        <w:tc>
          <w:tcPr>
            <w:tcW w:w="1276" w:type="dxa"/>
          </w:tcPr>
          <w:p>
            <w:pPr>
              <w:pStyle w:val="GesAbsatz"/>
              <w:jc w:val="left"/>
            </w:pPr>
            <w:r>
              <w:t>mg/l</w:t>
            </w:r>
          </w:p>
        </w:tc>
        <w:tc>
          <w:tcPr>
            <w:tcW w:w="992" w:type="dxa"/>
          </w:tcPr>
          <w:p>
            <w:pPr>
              <w:pStyle w:val="GesAbsatz"/>
              <w:jc w:val="left"/>
            </w:pPr>
          </w:p>
        </w:tc>
        <w:tc>
          <w:tcPr>
            <w:tcW w:w="974" w:type="dxa"/>
          </w:tcPr>
          <w:p>
            <w:pPr>
              <w:pStyle w:val="GesAbsatz"/>
              <w:jc w:val="left"/>
            </w:pPr>
            <w:r>
              <w:t>6</w:t>
            </w:r>
          </w:p>
        </w:tc>
        <w:tc>
          <w:tcPr>
            <w:tcW w:w="2003" w:type="dxa"/>
          </w:tcPr>
          <w:p>
            <w:pPr>
              <w:pStyle w:val="GesAbsatz"/>
              <w:jc w:val="left"/>
            </w:pPr>
            <w:r>
              <w:t>EN 237: 1996</w:t>
            </w:r>
          </w:p>
        </w:tc>
        <w:tc>
          <w:tcPr>
            <w:tcW w:w="776" w:type="dxa"/>
          </w:tcPr>
          <w:p>
            <w:pPr>
              <w:pStyle w:val="GesAbsatz"/>
              <w:jc w:val="left"/>
            </w:pPr>
          </w:p>
        </w:tc>
      </w:tr>
      <w:tr>
        <w:tc>
          <w:tcPr>
            <w:tcW w:w="637" w:type="dxa"/>
          </w:tcPr>
          <w:p>
            <w:pPr>
              <w:pStyle w:val="GesAbsatz"/>
              <w:jc w:val="left"/>
            </w:pPr>
            <w:r>
              <w:t>4</w:t>
            </w:r>
          </w:p>
        </w:tc>
        <w:tc>
          <w:tcPr>
            <w:tcW w:w="3119" w:type="dxa"/>
          </w:tcPr>
          <w:p>
            <w:pPr>
              <w:pStyle w:val="GesAbsatz"/>
              <w:tabs>
                <w:tab w:val="clear" w:pos="425"/>
                <w:tab w:val="right" w:pos="2765"/>
              </w:tabs>
              <w:jc w:val="left"/>
            </w:pPr>
            <w:r>
              <w:t>Dichte bei 15 °C</w:t>
            </w:r>
          </w:p>
        </w:tc>
        <w:tc>
          <w:tcPr>
            <w:tcW w:w="1276" w:type="dxa"/>
          </w:tcPr>
          <w:p>
            <w:pPr>
              <w:pStyle w:val="GesAbsatz"/>
              <w:jc w:val="left"/>
            </w:pPr>
            <w:r>
              <w:t>kg/m³</w:t>
            </w:r>
          </w:p>
        </w:tc>
        <w:tc>
          <w:tcPr>
            <w:tcW w:w="992" w:type="dxa"/>
          </w:tcPr>
          <w:p>
            <w:pPr>
              <w:pStyle w:val="GesAbsatz"/>
              <w:jc w:val="left"/>
            </w:pPr>
            <w:r>
              <w:t>719,3</w:t>
            </w:r>
            <w:r>
              <w:br/>
            </w:r>
            <w:r>
              <w:br/>
              <w:t>719,7</w:t>
            </w:r>
          </w:p>
        </w:tc>
        <w:tc>
          <w:tcPr>
            <w:tcW w:w="974" w:type="dxa"/>
          </w:tcPr>
          <w:p>
            <w:pPr>
              <w:pStyle w:val="GesAbsatz"/>
              <w:jc w:val="left"/>
            </w:pPr>
            <w:r>
              <w:t>775,7</w:t>
            </w:r>
            <w:r>
              <w:br/>
            </w:r>
            <w:r>
              <w:br/>
              <w:t>775,3</w:t>
            </w:r>
          </w:p>
        </w:tc>
        <w:tc>
          <w:tcPr>
            <w:tcW w:w="2003" w:type="dxa"/>
          </w:tcPr>
          <w:p>
            <w:pPr>
              <w:pStyle w:val="GesAbsatz"/>
              <w:jc w:val="left"/>
            </w:pPr>
            <w:r>
              <w:t>EIN ISO 3675</w:t>
            </w:r>
            <w:r>
              <w:br/>
              <w:t>(ISO 3675: 1993)</w:t>
            </w:r>
            <w:r>
              <w:br/>
              <w:t>EN ISO 12185</w:t>
            </w:r>
            <w:r>
              <w:br/>
              <w:t>(ISO 12185: 1996)</w:t>
            </w:r>
          </w:p>
        </w:tc>
        <w:tc>
          <w:tcPr>
            <w:tcW w:w="776" w:type="dxa"/>
          </w:tcPr>
          <w:p>
            <w:pPr>
              <w:pStyle w:val="GesAbsatz"/>
              <w:jc w:val="left"/>
            </w:pPr>
          </w:p>
        </w:tc>
      </w:tr>
      <w:tr>
        <w:trPr>
          <w:cantSplit/>
        </w:trPr>
        <w:tc>
          <w:tcPr>
            <w:tcW w:w="637" w:type="dxa"/>
            <w:vMerge w:val="restart"/>
          </w:tcPr>
          <w:p>
            <w:pPr>
              <w:pStyle w:val="GesAbsatz"/>
              <w:jc w:val="left"/>
            </w:pPr>
            <w:r>
              <w:t>5</w:t>
            </w:r>
          </w:p>
        </w:tc>
        <w:tc>
          <w:tcPr>
            <w:tcW w:w="3119" w:type="dxa"/>
            <w:vMerge w:val="restart"/>
          </w:tcPr>
          <w:p>
            <w:pPr>
              <w:pStyle w:val="GesAbsatz"/>
              <w:tabs>
                <w:tab w:val="clear" w:pos="425"/>
                <w:tab w:val="right" w:pos="2765"/>
              </w:tabs>
              <w:jc w:val="left"/>
            </w:pPr>
            <w:r>
              <w:t>Schwefelgehalt</w:t>
            </w:r>
          </w:p>
        </w:tc>
        <w:tc>
          <w:tcPr>
            <w:tcW w:w="1276" w:type="dxa"/>
            <w:vMerge w:val="restart"/>
          </w:tcPr>
          <w:p>
            <w:pPr>
              <w:pStyle w:val="GesAbsatz"/>
              <w:jc w:val="left"/>
            </w:pPr>
            <w:r>
              <w:t>mg/kg</w:t>
            </w:r>
          </w:p>
        </w:tc>
        <w:tc>
          <w:tcPr>
            <w:tcW w:w="992" w:type="dxa"/>
            <w:vMerge w:val="restart"/>
          </w:tcPr>
          <w:p>
            <w:pPr>
              <w:pStyle w:val="GesAbsatz"/>
              <w:jc w:val="left"/>
            </w:pPr>
          </w:p>
        </w:tc>
        <w:tc>
          <w:tcPr>
            <w:tcW w:w="974" w:type="dxa"/>
          </w:tcPr>
          <w:p>
            <w:pPr>
              <w:pStyle w:val="GesAbsatz"/>
              <w:jc w:val="left"/>
            </w:pPr>
            <w:r>
              <w:t>180</w:t>
            </w:r>
          </w:p>
        </w:tc>
        <w:tc>
          <w:tcPr>
            <w:tcW w:w="2003" w:type="dxa"/>
          </w:tcPr>
          <w:p>
            <w:pPr>
              <w:pStyle w:val="GesAbsatz"/>
              <w:jc w:val="left"/>
            </w:pPr>
            <w:r>
              <w:t>EN ISO 14596: 1996</w:t>
            </w:r>
          </w:p>
        </w:tc>
        <w:tc>
          <w:tcPr>
            <w:tcW w:w="776" w:type="dxa"/>
          </w:tcPr>
          <w:p>
            <w:pPr>
              <w:pStyle w:val="GesAbsatz"/>
              <w:jc w:val="left"/>
            </w:pPr>
          </w:p>
        </w:tc>
      </w:tr>
      <w:tr>
        <w:trPr>
          <w:cantSplit/>
        </w:trPr>
        <w:tc>
          <w:tcPr>
            <w:tcW w:w="637" w:type="dxa"/>
            <w:vMerge/>
          </w:tcPr>
          <w:p>
            <w:pPr>
              <w:pStyle w:val="GesAbsatz"/>
              <w:jc w:val="left"/>
            </w:pPr>
          </w:p>
        </w:tc>
        <w:tc>
          <w:tcPr>
            <w:tcW w:w="3119" w:type="dxa"/>
            <w:vMerge/>
          </w:tcPr>
          <w:p>
            <w:pPr>
              <w:pStyle w:val="GesAbsatz"/>
              <w:tabs>
                <w:tab w:val="clear" w:pos="425"/>
                <w:tab w:val="right" w:pos="2765"/>
              </w:tabs>
              <w:jc w:val="left"/>
            </w:pPr>
          </w:p>
        </w:tc>
        <w:tc>
          <w:tcPr>
            <w:tcW w:w="1276" w:type="dxa"/>
            <w:vMerge/>
          </w:tcPr>
          <w:p>
            <w:pPr>
              <w:pStyle w:val="GesAbsatz"/>
              <w:jc w:val="left"/>
            </w:pPr>
          </w:p>
        </w:tc>
        <w:tc>
          <w:tcPr>
            <w:tcW w:w="992" w:type="dxa"/>
            <w:vMerge/>
          </w:tcPr>
          <w:p>
            <w:pPr>
              <w:pStyle w:val="GesAbsatz"/>
              <w:jc w:val="left"/>
            </w:pPr>
          </w:p>
        </w:tc>
        <w:tc>
          <w:tcPr>
            <w:tcW w:w="974" w:type="dxa"/>
          </w:tcPr>
          <w:p>
            <w:pPr>
              <w:pStyle w:val="GesAbsatz"/>
              <w:jc w:val="left"/>
            </w:pPr>
            <w:r>
              <w:t>161</w:t>
            </w:r>
          </w:p>
        </w:tc>
        <w:tc>
          <w:tcPr>
            <w:tcW w:w="2003" w:type="dxa"/>
          </w:tcPr>
          <w:p>
            <w:pPr>
              <w:pStyle w:val="GesAbsatz"/>
              <w:jc w:val="left"/>
            </w:pPr>
            <w:r>
              <w:t>DIN EN 24260:1994</w:t>
            </w:r>
            <w:r>
              <w:rPr>
                <w:rStyle w:val="Funotenzeichen"/>
              </w:rPr>
              <w:footnoteReference w:id="1"/>
            </w:r>
          </w:p>
        </w:tc>
        <w:tc>
          <w:tcPr>
            <w:tcW w:w="776" w:type="dxa"/>
          </w:tcPr>
          <w:p>
            <w:pPr>
              <w:pStyle w:val="GesAbsatz"/>
              <w:jc w:val="left"/>
            </w:pPr>
          </w:p>
        </w:tc>
      </w:tr>
      <w:tr>
        <w:trPr>
          <w:cantSplit/>
        </w:trPr>
        <w:tc>
          <w:tcPr>
            <w:tcW w:w="637" w:type="dxa"/>
            <w:vMerge/>
          </w:tcPr>
          <w:p>
            <w:pPr>
              <w:pStyle w:val="GesAbsatz"/>
              <w:jc w:val="left"/>
            </w:pPr>
          </w:p>
        </w:tc>
        <w:tc>
          <w:tcPr>
            <w:tcW w:w="3119" w:type="dxa"/>
            <w:vMerge w:val="restart"/>
          </w:tcPr>
          <w:p>
            <w:pPr>
              <w:pStyle w:val="GesAbsatz"/>
              <w:tabs>
                <w:tab w:val="clear" w:pos="425"/>
                <w:tab w:val="right" w:pos="2765"/>
              </w:tabs>
              <w:jc w:val="left"/>
            </w:pPr>
            <w:r>
              <w:t>Schwefelgehalt (schwefelarm)</w:t>
            </w:r>
          </w:p>
        </w:tc>
        <w:tc>
          <w:tcPr>
            <w:tcW w:w="1276" w:type="dxa"/>
            <w:vMerge w:val="restart"/>
          </w:tcPr>
          <w:p>
            <w:pPr>
              <w:pStyle w:val="GesAbsatz"/>
              <w:jc w:val="left"/>
            </w:pPr>
            <w:r>
              <w:t>mg/kg</w:t>
            </w:r>
          </w:p>
        </w:tc>
        <w:tc>
          <w:tcPr>
            <w:tcW w:w="992" w:type="dxa"/>
            <w:vMerge w:val="restart"/>
          </w:tcPr>
          <w:p>
            <w:pPr>
              <w:pStyle w:val="GesAbsatz"/>
              <w:jc w:val="left"/>
            </w:pPr>
          </w:p>
        </w:tc>
        <w:tc>
          <w:tcPr>
            <w:tcW w:w="974" w:type="dxa"/>
          </w:tcPr>
          <w:p>
            <w:pPr>
              <w:pStyle w:val="GesAbsatz"/>
              <w:jc w:val="left"/>
            </w:pPr>
            <w:r>
              <w:t>54</w:t>
            </w:r>
          </w:p>
        </w:tc>
        <w:tc>
          <w:tcPr>
            <w:tcW w:w="2003" w:type="dxa"/>
          </w:tcPr>
          <w:p>
            <w:pPr>
              <w:pStyle w:val="GesAbsatz"/>
              <w:jc w:val="left"/>
            </w:pPr>
            <w:r>
              <w:t>E DIN 51 400-11</w:t>
            </w:r>
          </w:p>
        </w:tc>
        <w:tc>
          <w:tcPr>
            <w:tcW w:w="776" w:type="dxa"/>
          </w:tcPr>
          <w:p>
            <w:pPr>
              <w:pStyle w:val="GesAbsatz"/>
              <w:jc w:val="left"/>
            </w:pPr>
          </w:p>
        </w:tc>
      </w:tr>
      <w:tr>
        <w:trPr>
          <w:cantSplit/>
        </w:trPr>
        <w:tc>
          <w:tcPr>
            <w:tcW w:w="637" w:type="dxa"/>
            <w:vMerge/>
          </w:tcPr>
          <w:p>
            <w:pPr>
              <w:pStyle w:val="GesAbsatz"/>
              <w:jc w:val="left"/>
            </w:pPr>
          </w:p>
        </w:tc>
        <w:tc>
          <w:tcPr>
            <w:tcW w:w="3119" w:type="dxa"/>
            <w:vMerge/>
          </w:tcPr>
          <w:p>
            <w:pPr>
              <w:pStyle w:val="GesAbsatz"/>
              <w:tabs>
                <w:tab w:val="clear" w:pos="425"/>
                <w:tab w:val="right" w:pos="2765"/>
              </w:tabs>
              <w:jc w:val="left"/>
            </w:pPr>
          </w:p>
        </w:tc>
        <w:tc>
          <w:tcPr>
            <w:tcW w:w="1276" w:type="dxa"/>
            <w:vMerge/>
          </w:tcPr>
          <w:p>
            <w:pPr>
              <w:pStyle w:val="GesAbsatz"/>
              <w:jc w:val="left"/>
            </w:pPr>
          </w:p>
        </w:tc>
        <w:tc>
          <w:tcPr>
            <w:tcW w:w="992" w:type="dxa"/>
            <w:vMerge/>
          </w:tcPr>
          <w:p>
            <w:pPr>
              <w:pStyle w:val="GesAbsatz"/>
              <w:jc w:val="left"/>
            </w:pPr>
          </w:p>
        </w:tc>
        <w:tc>
          <w:tcPr>
            <w:tcW w:w="974" w:type="dxa"/>
          </w:tcPr>
          <w:p>
            <w:pPr>
              <w:pStyle w:val="GesAbsatz"/>
              <w:jc w:val="left"/>
            </w:pPr>
            <w:r>
              <w:t>54</w:t>
            </w:r>
          </w:p>
        </w:tc>
        <w:tc>
          <w:tcPr>
            <w:tcW w:w="2003" w:type="dxa"/>
          </w:tcPr>
          <w:p>
            <w:pPr>
              <w:pStyle w:val="GesAbsatz"/>
              <w:jc w:val="left"/>
              <w:rPr>
                <w:vertAlign w:val="superscript"/>
              </w:rPr>
            </w:pPr>
            <w:r>
              <w:t>DIN EN 24260:1994</w:t>
            </w:r>
            <w:r>
              <w:rPr>
                <w:vertAlign w:val="superscript"/>
              </w:rPr>
              <w:t>1</w:t>
            </w:r>
          </w:p>
        </w:tc>
        <w:tc>
          <w:tcPr>
            <w:tcW w:w="776" w:type="dxa"/>
          </w:tcPr>
          <w:p>
            <w:pPr>
              <w:pStyle w:val="GesAbsatz"/>
              <w:jc w:val="left"/>
            </w:pPr>
          </w:p>
        </w:tc>
      </w:tr>
      <w:tr>
        <w:trPr>
          <w:cantSplit/>
        </w:trPr>
        <w:tc>
          <w:tcPr>
            <w:tcW w:w="637" w:type="dxa"/>
            <w:vMerge/>
          </w:tcPr>
          <w:p>
            <w:pPr>
              <w:pStyle w:val="GesAbsatz"/>
              <w:jc w:val="left"/>
            </w:pPr>
          </w:p>
        </w:tc>
        <w:tc>
          <w:tcPr>
            <w:tcW w:w="3119" w:type="dxa"/>
            <w:vMerge w:val="restart"/>
          </w:tcPr>
          <w:p>
            <w:pPr>
              <w:pStyle w:val="GesAbsatz"/>
              <w:tabs>
                <w:tab w:val="clear" w:pos="425"/>
                <w:tab w:val="right" w:pos="2765"/>
              </w:tabs>
              <w:jc w:val="left"/>
            </w:pPr>
            <w:r>
              <w:t>Schwefelgehalt (schwefelfrei)</w:t>
            </w:r>
          </w:p>
        </w:tc>
        <w:tc>
          <w:tcPr>
            <w:tcW w:w="1276" w:type="dxa"/>
            <w:vMerge w:val="restart"/>
          </w:tcPr>
          <w:p>
            <w:pPr>
              <w:pStyle w:val="GesAbsatz"/>
              <w:jc w:val="left"/>
            </w:pPr>
            <w:r>
              <w:t>mg/kg</w:t>
            </w:r>
          </w:p>
        </w:tc>
        <w:tc>
          <w:tcPr>
            <w:tcW w:w="992" w:type="dxa"/>
            <w:vMerge w:val="restart"/>
          </w:tcPr>
          <w:p>
            <w:pPr>
              <w:pStyle w:val="GesAbsatz"/>
              <w:jc w:val="left"/>
            </w:pPr>
          </w:p>
        </w:tc>
        <w:tc>
          <w:tcPr>
            <w:tcW w:w="974" w:type="dxa"/>
          </w:tcPr>
          <w:p>
            <w:pPr>
              <w:pStyle w:val="GesAbsatz"/>
              <w:jc w:val="left"/>
            </w:pPr>
            <w:r>
              <w:t>12</w:t>
            </w:r>
          </w:p>
        </w:tc>
        <w:tc>
          <w:tcPr>
            <w:tcW w:w="2003" w:type="dxa"/>
          </w:tcPr>
          <w:p>
            <w:pPr>
              <w:pStyle w:val="GesAbsatz"/>
              <w:jc w:val="left"/>
            </w:pPr>
            <w:r>
              <w:t>E DIN 51 400-11</w:t>
            </w:r>
          </w:p>
        </w:tc>
        <w:tc>
          <w:tcPr>
            <w:tcW w:w="776" w:type="dxa"/>
          </w:tcPr>
          <w:p>
            <w:pPr>
              <w:pStyle w:val="GesAbsatz"/>
              <w:jc w:val="left"/>
            </w:pPr>
          </w:p>
        </w:tc>
      </w:tr>
      <w:tr>
        <w:trPr>
          <w:cantSplit/>
        </w:trPr>
        <w:tc>
          <w:tcPr>
            <w:tcW w:w="637" w:type="dxa"/>
            <w:vMerge/>
          </w:tcPr>
          <w:p>
            <w:pPr>
              <w:pStyle w:val="GesAbsatz"/>
              <w:jc w:val="left"/>
            </w:pPr>
          </w:p>
        </w:tc>
        <w:tc>
          <w:tcPr>
            <w:tcW w:w="3119" w:type="dxa"/>
            <w:vMerge/>
          </w:tcPr>
          <w:p>
            <w:pPr>
              <w:pStyle w:val="GesAbsatz"/>
              <w:tabs>
                <w:tab w:val="clear" w:pos="425"/>
                <w:tab w:val="right" w:pos="2765"/>
              </w:tabs>
              <w:jc w:val="left"/>
            </w:pPr>
          </w:p>
        </w:tc>
        <w:tc>
          <w:tcPr>
            <w:tcW w:w="1276" w:type="dxa"/>
            <w:vMerge/>
          </w:tcPr>
          <w:p>
            <w:pPr>
              <w:pStyle w:val="GesAbsatz"/>
              <w:jc w:val="left"/>
            </w:pPr>
          </w:p>
        </w:tc>
        <w:tc>
          <w:tcPr>
            <w:tcW w:w="992" w:type="dxa"/>
            <w:vMerge/>
          </w:tcPr>
          <w:p>
            <w:pPr>
              <w:pStyle w:val="GesAbsatz"/>
              <w:jc w:val="left"/>
            </w:pPr>
          </w:p>
        </w:tc>
        <w:tc>
          <w:tcPr>
            <w:tcW w:w="974" w:type="dxa"/>
          </w:tcPr>
          <w:p>
            <w:pPr>
              <w:pStyle w:val="GesAbsatz"/>
              <w:jc w:val="left"/>
            </w:pPr>
            <w:r>
              <w:t>12</w:t>
            </w:r>
          </w:p>
        </w:tc>
        <w:tc>
          <w:tcPr>
            <w:tcW w:w="2003" w:type="dxa"/>
          </w:tcPr>
          <w:p>
            <w:pPr>
              <w:pStyle w:val="GesAbsatz"/>
              <w:jc w:val="left"/>
              <w:rPr>
                <w:vertAlign w:val="superscript"/>
              </w:rPr>
            </w:pPr>
            <w:r>
              <w:t>DIN EN 24260:1994</w:t>
            </w:r>
            <w:r>
              <w:rPr>
                <w:vertAlign w:val="superscript"/>
              </w:rPr>
              <w:t>1</w:t>
            </w:r>
          </w:p>
        </w:tc>
        <w:tc>
          <w:tcPr>
            <w:tcW w:w="776" w:type="dxa"/>
          </w:tcPr>
          <w:p>
            <w:pPr>
              <w:pStyle w:val="GesAbsatz"/>
              <w:jc w:val="left"/>
            </w:pPr>
          </w:p>
        </w:tc>
      </w:tr>
      <w:tr>
        <w:trPr>
          <w:cantSplit/>
        </w:trPr>
        <w:tc>
          <w:tcPr>
            <w:tcW w:w="637" w:type="dxa"/>
          </w:tcPr>
          <w:p>
            <w:pPr>
              <w:pStyle w:val="GesAbsatz"/>
              <w:jc w:val="left"/>
            </w:pPr>
            <w:r>
              <w:t>6</w:t>
            </w:r>
          </w:p>
        </w:tc>
        <w:tc>
          <w:tcPr>
            <w:tcW w:w="3119" w:type="dxa"/>
          </w:tcPr>
          <w:p>
            <w:pPr>
              <w:pStyle w:val="GesAbsatz"/>
              <w:tabs>
                <w:tab w:val="clear" w:pos="425"/>
                <w:tab w:val="right" w:pos="2765"/>
              </w:tabs>
              <w:jc w:val="left"/>
            </w:pPr>
            <w:r>
              <w:t>Oxidationsstabilität</w:t>
            </w:r>
          </w:p>
        </w:tc>
        <w:tc>
          <w:tcPr>
            <w:tcW w:w="1276" w:type="dxa"/>
          </w:tcPr>
          <w:p>
            <w:pPr>
              <w:pStyle w:val="GesAbsatz"/>
              <w:jc w:val="left"/>
            </w:pPr>
            <w:r>
              <w:t>min</w:t>
            </w:r>
          </w:p>
        </w:tc>
        <w:tc>
          <w:tcPr>
            <w:tcW w:w="992" w:type="dxa"/>
          </w:tcPr>
          <w:p>
            <w:pPr>
              <w:pStyle w:val="GesAbsatz"/>
              <w:jc w:val="left"/>
            </w:pPr>
            <w:r>
              <w:t>339</w:t>
            </w:r>
          </w:p>
        </w:tc>
        <w:tc>
          <w:tcPr>
            <w:tcW w:w="974" w:type="dxa"/>
          </w:tcPr>
          <w:p>
            <w:pPr>
              <w:pStyle w:val="GesAbsatz"/>
              <w:jc w:val="left"/>
            </w:pPr>
          </w:p>
        </w:tc>
        <w:tc>
          <w:tcPr>
            <w:tcW w:w="2003" w:type="dxa"/>
          </w:tcPr>
          <w:p>
            <w:pPr>
              <w:pStyle w:val="GesAbsatz"/>
              <w:jc w:val="left"/>
            </w:pPr>
            <w:r>
              <w:t>EN ISO 7536</w:t>
            </w:r>
            <w:r>
              <w:br/>
              <w:t>(ISO 7536: 1994)</w:t>
            </w:r>
          </w:p>
        </w:tc>
        <w:tc>
          <w:tcPr>
            <w:tcW w:w="776" w:type="dxa"/>
          </w:tcPr>
          <w:p>
            <w:pPr>
              <w:pStyle w:val="GesAbsatz"/>
              <w:jc w:val="left"/>
            </w:pPr>
          </w:p>
        </w:tc>
      </w:tr>
      <w:tr>
        <w:trPr>
          <w:cantSplit/>
        </w:trPr>
        <w:tc>
          <w:tcPr>
            <w:tcW w:w="637" w:type="dxa"/>
          </w:tcPr>
          <w:p>
            <w:pPr>
              <w:pStyle w:val="GesAbsatz"/>
              <w:jc w:val="left"/>
            </w:pPr>
            <w:r>
              <w:t>7</w:t>
            </w:r>
          </w:p>
        </w:tc>
        <w:tc>
          <w:tcPr>
            <w:tcW w:w="3119" w:type="dxa"/>
          </w:tcPr>
          <w:p>
            <w:pPr>
              <w:pStyle w:val="GesAbsatz"/>
              <w:tabs>
                <w:tab w:val="clear" w:pos="425"/>
                <w:tab w:val="right" w:pos="2765"/>
              </w:tabs>
              <w:jc w:val="left"/>
            </w:pPr>
            <w:r>
              <w:t>Abdampfrückstand</w:t>
            </w:r>
            <w:r>
              <w:br/>
              <w:t>(gewaschen) angegeben als</w:t>
            </w:r>
            <w:r>
              <w:br/>
              <w:t>Massenkonzentration</w:t>
            </w:r>
          </w:p>
        </w:tc>
        <w:tc>
          <w:tcPr>
            <w:tcW w:w="1276" w:type="dxa"/>
          </w:tcPr>
          <w:p>
            <w:pPr>
              <w:pStyle w:val="GesAbsatz"/>
              <w:jc w:val="left"/>
            </w:pPr>
            <w:r>
              <w:t>mg/100 ml</w:t>
            </w:r>
          </w:p>
        </w:tc>
        <w:tc>
          <w:tcPr>
            <w:tcW w:w="992" w:type="dxa"/>
          </w:tcPr>
          <w:p>
            <w:pPr>
              <w:pStyle w:val="GesAbsatz"/>
              <w:jc w:val="left"/>
            </w:pPr>
          </w:p>
        </w:tc>
        <w:tc>
          <w:tcPr>
            <w:tcW w:w="974" w:type="dxa"/>
          </w:tcPr>
          <w:p>
            <w:pPr>
              <w:pStyle w:val="GesAbsatz"/>
              <w:jc w:val="left"/>
            </w:pPr>
            <w:r>
              <w:t>7,4</w:t>
            </w:r>
          </w:p>
        </w:tc>
        <w:tc>
          <w:tcPr>
            <w:tcW w:w="2003" w:type="dxa"/>
          </w:tcPr>
          <w:p>
            <w:pPr>
              <w:pStyle w:val="GesAbsatz"/>
              <w:jc w:val="left"/>
            </w:pPr>
            <w:r>
              <w:t>EN ISO 6246</w:t>
            </w:r>
            <w:r>
              <w:br/>
              <w:t>(ISO 6246: 1995)</w:t>
            </w:r>
          </w:p>
        </w:tc>
        <w:tc>
          <w:tcPr>
            <w:tcW w:w="776" w:type="dxa"/>
          </w:tcPr>
          <w:p>
            <w:pPr>
              <w:pStyle w:val="GesAbsatz"/>
              <w:jc w:val="left"/>
            </w:pPr>
          </w:p>
        </w:tc>
      </w:tr>
      <w:tr>
        <w:trPr>
          <w:cantSplit/>
        </w:trPr>
        <w:tc>
          <w:tcPr>
            <w:tcW w:w="637" w:type="dxa"/>
          </w:tcPr>
          <w:p>
            <w:pPr>
              <w:pStyle w:val="GesAbsatz"/>
              <w:jc w:val="left"/>
            </w:pPr>
            <w:r>
              <w:t>8</w:t>
            </w:r>
          </w:p>
        </w:tc>
        <w:tc>
          <w:tcPr>
            <w:tcW w:w="3119" w:type="dxa"/>
          </w:tcPr>
          <w:p>
            <w:pPr>
              <w:pStyle w:val="GesAbsatz"/>
              <w:tabs>
                <w:tab w:val="clear" w:pos="425"/>
                <w:tab w:val="right" w:pos="2765"/>
              </w:tabs>
              <w:jc w:val="left"/>
            </w:pPr>
            <w:r>
              <w:t>Korrosionswirkung auf Kupfer</w:t>
            </w:r>
            <w:r>
              <w:br/>
              <w:t>(3 h bei 50 °C)</w:t>
            </w:r>
          </w:p>
        </w:tc>
        <w:tc>
          <w:tcPr>
            <w:tcW w:w="1276" w:type="dxa"/>
          </w:tcPr>
          <w:p>
            <w:pPr>
              <w:pStyle w:val="GesAbsatz"/>
              <w:jc w:val="left"/>
            </w:pPr>
            <w:r>
              <w:t>Korrosionsgrad</w:t>
            </w:r>
          </w:p>
        </w:tc>
        <w:tc>
          <w:tcPr>
            <w:tcW w:w="1966" w:type="dxa"/>
            <w:gridSpan w:val="2"/>
          </w:tcPr>
          <w:p>
            <w:pPr>
              <w:pStyle w:val="GesAbsatz"/>
              <w:jc w:val="center"/>
            </w:pPr>
            <w:r>
              <w:t>1</w:t>
            </w:r>
          </w:p>
        </w:tc>
        <w:tc>
          <w:tcPr>
            <w:tcW w:w="2003" w:type="dxa"/>
          </w:tcPr>
          <w:p>
            <w:pPr>
              <w:pStyle w:val="GesAbsatz"/>
              <w:jc w:val="left"/>
            </w:pPr>
            <w:r>
              <w:t>EN ISO 2160</w:t>
            </w:r>
            <w:r>
              <w:br/>
              <w:t>(ISO 2160: 1998)</w:t>
            </w:r>
          </w:p>
        </w:tc>
        <w:tc>
          <w:tcPr>
            <w:tcW w:w="776" w:type="dxa"/>
          </w:tcPr>
          <w:p>
            <w:pPr>
              <w:pStyle w:val="GesAbsatz"/>
              <w:jc w:val="left"/>
            </w:pPr>
          </w:p>
        </w:tc>
      </w:tr>
      <w:tr>
        <w:trPr>
          <w:cantSplit/>
        </w:trPr>
        <w:tc>
          <w:tcPr>
            <w:tcW w:w="637" w:type="dxa"/>
          </w:tcPr>
          <w:p>
            <w:pPr>
              <w:pStyle w:val="GesAbsatz"/>
              <w:jc w:val="left"/>
            </w:pPr>
            <w:r>
              <w:t>9</w:t>
            </w:r>
          </w:p>
        </w:tc>
        <w:tc>
          <w:tcPr>
            <w:tcW w:w="3119" w:type="dxa"/>
          </w:tcPr>
          <w:p>
            <w:pPr>
              <w:pStyle w:val="GesAbsatz"/>
              <w:tabs>
                <w:tab w:val="clear" w:pos="425"/>
                <w:tab w:val="right" w:pos="2765"/>
              </w:tabs>
              <w:jc w:val="left"/>
            </w:pPr>
            <w:r>
              <w:t>Aussehen</w:t>
            </w:r>
          </w:p>
        </w:tc>
        <w:tc>
          <w:tcPr>
            <w:tcW w:w="1276" w:type="dxa"/>
          </w:tcPr>
          <w:p>
            <w:pPr>
              <w:pStyle w:val="GesAbsatz"/>
              <w:jc w:val="left"/>
            </w:pPr>
            <w:r>
              <w:t>-</w:t>
            </w:r>
          </w:p>
        </w:tc>
        <w:tc>
          <w:tcPr>
            <w:tcW w:w="1966" w:type="dxa"/>
            <w:gridSpan w:val="2"/>
          </w:tcPr>
          <w:p>
            <w:pPr>
              <w:pStyle w:val="GesAbsatz"/>
              <w:jc w:val="left"/>
            </w:pPr>
            <w:r>
              <w:t>frei von sichtbarem Wasser und festen Stoffen</w:t>
            </w:r>
          </w:p>
        </w:tc>
        <w:tc>
          <w:tcPr>
            <w:tcW w:w="2003" w:type="dxa"/>
          </w:tcPr>
          <w:p>
            <w:pPr>
              <w:pStyle w:val="GesAbsatz"/>
              <w:jc w:val="left"/>
            </w:pPr>
            <w:r>
              <w:t>Visuell</w:t>
            </w:r>
          </w:p>
        </w:tc>
        <w:tc>
          <w:tcPr>
            <w:tcW w:w="776" w:type="dxa"/>
          </w:tcPr>
          <w:p>
            <w:pPr>
              <w:pStyle w:val="GesAbsatz"/>
              <w:jc w:val="left"/>
            </w:pPr>
          </w:p>
        </w:tc>
      </w:tr>
      <w:tr>
        <w:trPr>
          <w:cantSplit/>
        </w:trPr>
        <w:tc>
          <w:tcPr>
            <w:tcW w:w="637" w:type="dxa"/>
          </w:tcPr>
          <w:p>
            <w:pPr>
              <w:pStyle w:val="GesAbsatz"/>
              <w:jc w:val="left"/>
            </w:pPr>
            <w:r>
              <w:lastRenderedPageBreak/>
              <w:t>10</w:t>
            </w:r>
          </w:p>
        </w:tc>
        <w:tc>
          <w:tcPr>
            <w:tcW w:w="3119" w:type="dxa"/>
          </w:tcPr>
          <w:p>
            <w:pPr>
              <w:pStyle w:val="GesAbsatz"/>
              <w:tabs>
                <w:tab w:val="clear" w:pos="425"/>
                <w:tab w:val="right" w:pos="2765"/>
              </w:tabs>
              <w:jc w:val="left"/>
            </w:pPr>
            <w:r>
              <w:t>Gehalt an</w:t>
            </w:r>
            <w:r>
              <w:br/>
              <w:t>Kohlenwasserstoffgruppen</w:t>
            </w:r>
            <w:r>
              <w:br/>
              <w:t>- Olefine</w:t>
            </w:r>
            <w:r>
              <w:br/>
            </w:r>
            <w:r>
              <w:tab/>
              <w:t>Normal</w:t>
            </w:r>
            <w:r>
              <w:br/>
            </w:r>
            <w:r>
              <w:tab/>
              <w:t>Super</w:t>
            </w:r>
            <w:r>
              <w:br/>
            </w:r>
            <w:r>
              <w:tab/>
              <w:t>Super Plus</w:t>
            </w:r>
            <w:r>
              <w:br/>
              <w:t>- Aromaten</w:t>
            </w:r>
            <w:r>
              <w:br/>
            </w:r>
            <w:r>
              <w:tab/>
              <w:t>alle Qualitäten</w:t>
            </w:r>
          </w:p>
        </w:tc>
        <w:tc>
          <w:tcPr>
            <w:tcW w:w="1276" w:type="dxa"/>
          </w:tcPr>
          <w:p>
            <w:pPr>
              <w:pStyle w:val="GesAbsatz"/>
              <w:jc w:val="left"/>
              <w:rPr>
                <w:lang w:val="en-GB"/>
              </w:rPr>
            </w:pPr>
            <w:r>
              <w:rPr>
                <w:lang w:val="en-GB"/>
              </w:rPr>
              <w:t>% (V/V)</w:t>
            </w:r>
          </w:p>
        </w:tc>
        <w:tc>
          <w:tcPr>
            <w:tcW w:w="992" w:type="dxa"/>
          </w:tcPr>
          <w:p>
            <w:pPr>
              <w:pStyle w:val="GesAbsatz"/>
              <w:jc w:val="left"/>
              <w:rPr>
                <w:lang w:val="en-GB"/>
              </w:rPr>
            </w:pPr>
          </w:p>
        </w:tc>
        <w:tc>
          <w:tcPr>
            <w:tcW w:w="974" w:type="dxa"/>
          </w:tcPr>
          <w:p>
            <w:pPr>
              <w:pStyle w:val="GesAbsatz"/>
              <w:jc w:val="left"/>
              <w:rPr>
                <w:lang w:val="en-GB"/>
              </w:rPr>
            </w:pPr>
            <w:r>
              <w:rPr>
                <w:lang w:val="en-GB"/>
              </w:rPr>
              <w:br/>
            </w:r>
            <w:r>
              <w:rPr>
                <w:lang w:val="en-GB"/>
              </w:rPr>
              <w:br/>
            </w:r>
            <w:r>
              <w:rPr>
                <w:lang w:val="en-GB"/>
              </w:rPr>
              <w:br/>
              <w:t>25,1</w:t>
            </w:r>
            <w:r>
              <w:rPr>
                <w:lang w:val="en-GB"/>
              </w:rPr>
              <w:br/>
              <w:t>22,0</w:t>
            </w:r>
            <w:r>
              <w:rPr>
                <w:lang w:val="en-GB"/>
              </w:rPr>
              <w:br/>
              <w:t>22,0</w:t>
            </w:r>
            <w:r>
              <w:rPr>
                <w:lang w:val="en-GB"/>
              </w:rPr>
              <w:br/>
            </w:r>
            <w:r>
              <w:rPr>
                <w:lang w:val="en-GB"/>
              </w:rPr>
              <w:br/>
              <w:t>44,0</w:t>
            </w:r>
          </w:p>
        </w:tc>
        <w:tc>
          <w:tcPr>
            <w:tcW w:w="2003" w:type="dxa"/>
          </w:tcPr>
          <w:p>
            <w:pPr>
              <w:pStyle w:val="GesAbsatz"/>
              <w:jc w:val="left"/>
              <w:rPr>
                <w:lang w:val="en-GB"/>
              </w:rPr>
            </w:pPr>
            <w:r>
              <w:rPr>
                <w:lang w:val="en-GB"/>
              </w:rPr>
              <w:t>ASTM-D-1319-95a</w:t>
            </w:r>
            <w:r>
              <w:rPr>
                <w:vertAlign w:val="superscript"/>
                <w:lang w:val="en-GB"/>
              </w:rPr>
              <w:t>1</w:t>
            </w:r>
          </w:p>
        </w:tc>
        <w:tc>
          <w:tcPr>
            <w:tcW w:w="776" w:type="dxa"/>
          </w:tcPr>
          <w:p>
            <w:pPr>
              <w:pStyle w:val="GesAbsatz"/>
              <w:jc w:val="left"/>
              <w:rPr>
                <w:lang w:val="en-GB"/>
              </w:rPr>
            </w:pPr>
          </w:p>
        </w:tc>
      </w:tr>
      <w:tr>
        <w:trPr>
          <w:cantSplit/>
        </w:trPr>
        <w:tc>
          <w:tcPr>
            <w:tcW w:w="637" w:type="dxa"/>
            <w:vMerge w:val="restart"/>
          </w:tcPr>
          <w:p>
            <w:pPr>
              <w:pStyle w:val="GesAbsatz"/>
              <w:jc w:val="left"/>
            </w:pPr>
            <w:r>
              <w:t>11</w:t>
            </w:r>
          </w:p>
        </w:tc>
        <w:tc>
          <w:tcPr>
            <w:tcW w:w="3119" w:type="dxa"/>
            <w:vMerge w:val="restart"/>
          </w:tcPr>
          <w:p>
            <w:pPr>
              <w:pStyle w:val="GesAbsatz"/>
              <w:tabs>
                <w:tab w:val="clear" w:pos="425"/>
                <w:tab w:val="right" w:pos="2765"/>
              </w:tabs>
              <w:jc w:val="left"/>
            </w:pPr>
            <w:r>
              <w:t>Benzolgehalt</w:t>
            </w:r>
          </w:p>
        </w:tc>
        <w:tc>
          <w:tcPr>
            <w:tcW w:w="1276" w:type="dxa"/>
            <w:vMerge w:val="restart"/>
          </w:tcPr>
          <w:p>
            <w:pPr>
              <w:pStyle w:val="GesAbsatz"/>
              <w:jc w:val="left"/>
            </w:pPr>
            <w:r>
              <w:t>% (V/V)</w:t>
            </w:r>
          </w:p>
        </w:tc>
        <w:tc>
          <w:tcPr>
            <w:tcW w:w="992" w:type="dxa"/>
            <w:vMerge w:val="restart"/>
          </w:tcPr>
          <w:p>
            <w:pPr>
              <w:pStyle w:val="GesAbsatz"/>
              <w:jc w:val="left"/>
            </w:pPr>
          </w:p>
        </w:tc>
        <w:tc>
          <w:tcPr>
            <w:tcW w:w="974" w:type="dxa"/>
          </w:tcPr>
          <w:p>
            <w:pPr>
              <w:pStyle w:val="GesAbsatz"/>
              <w:jc w:val="left"/>
            </w:pPr>
            <w:r>
              <w:t>1,11</w:t>
            </w:r>
          </w:p>
        </w:tc>
        <w:tc>
          <w:tcPr>
            <w:tcW w:w="2003" w:type="dxa"/>
          </w:tcPr>
          <w:p>
            <w:pPr>
              <w:pStyle w:val="GesAbsatz"/>
              <w:jc w:val="left"/>
            </w:pPr>
            <w:r>
              <w:t>EN 12177: 1998</w:t>
            </w:r>
          </w:p>
        </w:tc>
        <w:tc>
          <w:tcPr>
            <w:tcW w:w="776" w:type="dxa"/>
          </w:tcPr>
          <w:p>
            <w:pPr>
              <w:pStyle w:val="GesAbsatz"/>
              <w:jc w:val="left"/>
            </w:pPr>
          </w:p>
        </w:tc>
      </w:tr>
      <w:tr>
        <w:trPr>
          <w:cantSplit/>
        </w:trPr>
        <w:tc>
          <w:tcPr>
            <w:tcW w:w="637" w:type="dxa"/>
            <w:vMerge/>
          </w:tcPr>
          <w:p>
            <w:pPr>
              <w:pStyle w:val="GesAbsatz"/>
              <w:jc w:val="left"/>
            </w:pPr>
          </w:p>
        </w:tc>
        <w:tc>
          <w:tcPr>
            <w:tcW w:w="3119" w:type="dxa"/>
            <w:vMerge/>
          </w:tcPr>
          <w:p>
            <w:pPr>
              <w:pStyle w:val="GesAbsatz"/>
              <w:tabs>
                <w:tab w:val="clear" w:pos="425"/>
                <w:tab w:val="right" w:pos="2765"/>
              </w:tabs>
              <w:jc w:val="left"/>
            </w:pPr>
          </w:p>
        </w:tc>
        <w:tc>
          <w:tcPr>
            <w:tcW w:w="1276" w:type="dxa"/>
            <w:vMerge/>
          </w:tcPr>
          <w:p>
            <w:pPr>
              <w:pStyle w:val="GesAbsatz"/>
              <w:jc w:val="left"/>
            </w:pPr>
          </w:p>
        </w:tc>
        <w:tc>
          <w:tcPr>
            <w:tcW w:w="992" w:type="dxa"/>
            <w:vMerge/>
          </w:tcPr>
          <w:p>
            <w:pPr>
              <w:pStyle w:val="GesAbsatz"/>
              <w:jc w:val="left"/>
            </w:pPr>
          </w:p>
        </w:tc>
        <w:tc>
          <w:tcPr>
            <w:tcW w:w="974" w:type="dxa"/>
          </w:tcPr>
          <w:p>
            <w:pPr>
              <w:pStyle w:val="GesAbsatz"/>
              <w:jc w:val="left"/>
            </w:pPr>
            <w:r>
              <w:t>1,2</w:t>
            </w:r>
          </w:p>
        </w:tc>
        <w:tc>
          <w:tcPr>
            <w:tcW w:w="2003" w:type="dxa"/>
          </w:tcPr>
          <w:p>
            <w:pPr>
              <w:pStyle w:val="GesAbsatz"/>
              <w:jc w:val="left"/>
              <w:rPr>
                <w:vertAlign w:val="superscript"/>
              </w:rPr>
            </w:pPr>
            <w:r>
              <w:t>DIN EN 238: 1996</w:t>
            </w:r>
            <w:r>
              <w:rPr>
                <w:vertAlign w:val="superscript"/>
              </w:rPr>
              <w:t>1</w:t>
            </w:r>
          </w:p>
        </w:tc>
        <w:tc>
          <w:tcPr>
            <w:tcW w:w="776" w:type="dxa"/>
          </w:tcPr>
          <w:p>
            <w:pPr>
              <w:pStyle w:val="GesAbsatz"/>
              <w:jc w:val="left"/>
            </w:pPr>
          </w:p>
        </w:tc>
      </w:tr>
      <w:tr>
        <w:trPr>
          <w:cantSplit/>
        </w:trPr>
        <w:tc>
          <w:tcPr>
            <w:tcW w:w="637" w:type="dxa"/>
          </w:tcPr>
          <w:p>
            <w:pPr>
              <w:pStyle w:val="GesAbsatz"/>
              <w:jc w:val="left"/>
            </w:pPr>
            <w:r>
              <w:t>12</w:t>
            </w:r>
          </w:p>
        </w:tc>
        <w:tc>
          <w:tcPr>
            <w:tcW w:w="3119" w:type="dxa"/>
          </w:tcPr>
          <w:p>
            <w:pPr>
              <w:pStyle w:val="GesAbsatz"/>
              <w:tabs>
                <w:tab w:val="clear" w:pos="425"/>
                <w:tab w:val="right" w:pos="2765"/>
              </w:tabs>
              <w:jc w:val="left"/>
            </w:pPr>
            <w:r>
              <w:t>Sauerstoffgehalt</w:t>
            </w:r>
          </w:p>
        </w:tc>
        <w:tc>
          <w:tcPr>
            <w:tcW w:w="1276" w:type="dxa"/>
          </w:tcPr>
          <w:p>
            <w:pPr>
              <w:pStyle w:val="GesAbsatz"/>
              <w:jc w:val="left"/>
              <w:rPr>
                <w:lang w:val="fr-FR"/>
              </w:rPr>
            </w:pPr>
            <w:r>
              <w:rPr>
                <w:lang w:val="fr-FR"/>
              </w:rPr>
              <w:t>% (m/m)</w:t>
            </w:r>
          </w:p>
        </w:tc>
        <w:tc>
          <w:tcPr>
            <w:tcW w:w="992" w:type="dxa"/>
          </w:tcPr>
          <w:p>
            <w:pPr>
              <w:pStyle w:val="GesAbsatz"/>
              <w:jc w:val="left"/>
              <w:rPr>
                <w:lang w:val="fr-FR"/>
              </w:rPr>
            </w:pPr>
          </w:p>
        </w:tc>
        <w:tc>
          <w:tcPr>
            <w:tcW w:w="974" w:type="dxa"/>
          </w:tcPr>
          <w:p>
            <w:pPr>
              <w:pStyle w:val="GesAbsatz"/>
              <w:jc w:val="left"/>
              <w:rPr>
                <w:lang w:val="fr-FR"/>
              </w:rPr>
            </w:pPr>
            <w:r>
              <w:rPr>
                <w:lang w:val="fr-FR"/>
              </w:rPr>
              <w:t>2,88</w:t>
            </w:r>
          </w:p>
        </w:tc>
        <w:tc>
          <w:tcPr>
            <w:tcW w:w="2003" w:type="dxa"/>
          </w:tcPr>
          <w:p>
            <w:pPr>
              <w:pStyle w:val="GesAbsatz"/>
              <w:jc w:val="left"/>
              <w:rPr>
                <w:lang w:val="fr-FR"/>
              </w:rPr>
            </w:pPr>
            <w:r>
              <w:rPr>
                <w:lang w:val="fr-FR"/>
              </w:rPr>
              <w:t>EN 1601: 1997</w:t>
            </w:r>
          </w:p>
        </w:tc>
        <w:tc>
          <w:tcPr>
            <w:tcW w:w="776" w:type="dxa"/>
          </w:tcPr>
          <w:p>
            <w:pPr>
              <w:pStyle w:val="GesAbsatz"/>
              <w:jc w:val="left"/>
              <w:rPr>
                <w:lang w:val="fr-FR"/>
              </w:rPr>
            </w:pPr>
          </w:p>
        </w:tc>
      </w:tr>
      <w:tr>
        <w:trPr>
          <w:cantSplit/>
        </w:trPr>
        <w:tc>
          <w:tcPr>
            <w:tcW w:w="637" w:type="dxa"/>
          </w:tcPr>
          <w:p>
            <w:pPr>
              <w:pStyle w:val="GesAbsatz"/>
              <w:jc w:val="left"/>
            </w:pPr>
            <w:r>
              <w:t>13</w:t>
            </w:r>
          </w:p>
        </w:tc>
        <w:tc>
          <w:tcPr>
            <w:tcW w:w="3119" w:type="dxa"/>
          </w:tcPr>
          <w:p>
            <w:pPr>
              <w:pStyle w:val="GesAbsatz"/>
              <w:tabs>
                <w:tab w:val="clear" w:pos="425"/>
                <w:tab w:val="right" w:pos="2765"/>
              </w:tabs>
              <w:jc w:val="left"/>
            </w:pPr>
            <w:r>
              <w:t>Gehalt an sauerstoffhaltigen</w:t>
            </w:r>
            <w:r>
              <w:br/>
              <w:t>organischen Verbindungen</w:t>
            </w:r>
            <w:r>
              <w:br/>
              <w:t>Methanol, Stabilisierungsmittel</w:t>
            </w:r>
            <w:r>
              <w:br/>
              <w:t>müssen verwendet werden</w:t>
            </w:r>
            <w:r>
              <w:br/>
              <w:t>Ethanol, Stabilisierungsmittel</w:t>
            </w:r>
            <w:r>
              <w:br/>
              <w:t>können notwendig sein</w:t>
            </w:r>
            <w:r>
              <w:br/>
              <w:t>2-Propanol, Iso-propyl-Alkohol</w:t>
            </w:r>
            <w:r>
              <w:br/>
              <w:t>(IPA)</w:t>
            </w:r>
            <w:r>
              <w:br/>
              <w:t>2-Methyl-1-propanol, Isobutyl-Alkohol (IBA)</w:t>
            </w:r>
            <w:r>
              <w:br/>
              <w:t>2-Methyl-1-propanol, Tertbutyl-Alkohol (TBA)</w:t>
            </w:r>
            <w:r>
              <w:br/>
              <w:t>Ether (5 oder mehr C-Atome)</w:t>
            </w:r>
            <w:r>
              <w:br/>
              <w:t>andere sauerstoffhaltige</w:t>
            </w:r>
            <w:r>
              <w:br/>
              <w:t>organische Verbindungen</w:t>
            </w:r>
          </w:p>
        </w:tc>
        <w:tc>
          <w:tcPr>
            <w:tcW w:w="1276" w:type="dxa"/>
          </w:tcPr>
          <w:p>
            <w:pPr>
              <w:pStyle w:val="GesAbsatz"/>
              <w:jc w:val="left"/>
              <w:rPr>
                <w:lang w:val="fr-FR"/>
              </w:rPr>
            </w:pPr>
            <w:r>
              <w:rPr>
                <w:lang w:val="fr-FR"/>
              </w:rPr>
              <w:t>% (V/V)</w:t>
            </w:r>
          </w:p>
        </w:tc>
        <w:tc>
          <w:tcPr>
            <w:tcW w:w="992" w:type="dxa"/>
          </w:tcPr>
          <w:p>
            <w:pPr>
              <w:pStyle w:val="GesAbsatz"/>
              <w:jc w:val="left"/>
              <w:rPr>
                <w:lang w:val="fr-FR"/>
              </w:rPr>
            </w:pPr>
          </w:p>
        </w:tc>
        <w:tc>
          <w:tcPr>
            <w:tcW w:w="974" w:type="dxa"/>
          </w:tcPr>
          <w:p>
            <w:pPr>
              <w:pStyle w:val="GesAbsatz"/>
              <w:jc w:val="left"/>
              <w:rPr>
                <w:lang w:val="fr-FR"/>
              </w:rPr>
            </w:pPr>
            <w:r>
              <w:rPr>
                <w:lang w:val="fr-FR"/>
              </w:rPr>
              <w:br/>
            </w:r>
            <w:r>
              <w:rPr>
                <w:lang w:val="fr-FR"/>
              </w:rPr>
              <w:br/>
              <w:t>3,2</w:t>
            </w:r>
            <w:r>
              <w:rPr>
                <w:lang w:val="fr-FR"/>
              </w:rPr>
              <w:br/>
            </w:r>
            <w:r>
              <w:rPr>
                <w:lang w:val="fr-FR"/>
              </w:rPr>
              <w:br/>
              <w:t>5,2</w:t>
            </w:r>
            <w:r>
              <w:rPr>
                <w:lang w:val="fr-FR"/>
              </w:rPr>
              <w:br/>
            </w:r>
            <w:r>
              <w:rPr>
                <w:lang w:val="fr-FR"/>
              </w:rPr>
              <w:br/>
              <w:t>10,5</w:t>
            </w:r>
            <w:r>
              <w:rPr>
                <w:lang w:val="fr-FR"/>
              </w:rPr>
              <w:br/>
            </w:r>
            <w:r>
              <w:rPr>
                <w:lang w:val="fr-FR"/>
              </w:rPr>
              <w:br/>
              <w:t>10,5</w:t>
            </w:r>
            <w:r>
              <w:rPr>
                <w:lang w:val="fr-FR"/>
              </w:rPr>
              <w:br/>
            </w:r>
            <w:r>
              <w:rPr>
                <w:lang w:val="fr-FR"/>
              </w:rPr>
              <w:br/>
              <w:t>7,3</w:t>
            </w:r>
            <w:r>
              <w:rPr>
                <w:lang w:val="fr-FR"/>
              </w:rPr>
              <w:br/>
            </w:r>
            <w:r>
              <w:rPr>
                <w:lang w:val="fr-FR"/>
              </w:rPr>
              <w:br/>
              <w:t>15,6</w:t>
            </w:r>
            <w:r>
              <w:rPr>
                <w:lang w:val="fr-FR"/>
              </w:rPr>
              <w:br/>
            </w:r>
            <w:r>
              <w:rPr>
                <w:lang w:val="fr-FR"/>
              </w:rPr>
              <w:br/>
              <w:t>10,5</w:t>
            </w:r>
          </w:p>
        </w:tc>
        <w:tc>
          <w:tcPr>
            <w:tcW w:w="2003" w:type="dxa"/>
          </w:tcPr>
          <w:p>
            <w:pPr>
              <w:pStyle w:val="GesAbsatz"/>
              <w:jc w:val="left"/>
              <w:rPr>
                <w:lang w:val="fr-FR"/>
              </w:rPr>
            </w:pPr>
            <w:r>
              <w:rPr>
                <w:lang w:val="fr-FR"/>
              </w:rPr>
              <w:t>EN 1601: 1997</w:t>
            </w:r>
          </w:p>
        </w:tc>
        <w:tc>
          <w:tcPr>
            <w:tcW w:w="776" w:type="dxa"/>
          </w:tcPr>
          <w:p>
            <w:pPr>
              <w:pStyle w:val="GesAbsatz"/>
              <w:jc w:val="left"/>
              <w:rPr>
                <w:lang w:val="fr-FR"/>
              </w:rPr>
            </w:pPr>
          </w:p>
        </w:tc>
      </w:tr>
      <w:tr>
        <w:trPr>
          <w:cantSplit/>
        </w:trPr>
        <w:tc>
          <w:tcPr>
            <w:tcW w:w="637" w:type="dxa"/>
          </w:tcPr>
          <w:p>
            <w:pPr>
              <w:pStyle w:val="GesAbsatz"/>
              <w:jc w:val="left"/>
            </w:pPr>
            <w:r>
              <w:t>14</w:t>
            </w:r>
          </w:p>
        </w:tc>
        <w:tc>
          <w:tcPr>
            <w:tcW w:w="3119" w:type="dxa"/>
          </w:tcPr>
          <w:p>
            <w:pPr>
              <w:pStyle w:val="GesAbsatz"/>
              <w:tabs>
                <w:tab w:val="clear" w:pos="425"/>
                <w:tab w:val="right" w:pos="2765"/>
              </w:tabs>
              <w:jc w:val="left"/>
            </w:pPr>
            <w:r>
              <w:t>Dampfdruck (DVPE)</w:t>
            </w:r>
            <w:r>
              <w:br/>
            </w:r>
            <w:r>
              <w:tab/>
              <w:t>Klasse A</w:t>
            </w:r>
            <w:r>
              <w:rPr>
                <w:rStyle w:val="Funotenzeichen"/>
              </w:rPr>
              <w:footnoteReference w:id="2"/>
            </w:r>
            <w:r>
              <w:br/>
            </w:r>
            <w:r>
              <w:tab/>
              <w:t>Klasse D/D</w:t>
            </w:r>
            <w:r>
              <w:rPr>
                <w:rStyle w:val="Funotenzeichen"/>
              </w:rPr>
              <w:footnoteReference w:id="3"/>
            </w:r>
          </w:p>
        </w:tc>
        <w:tc>
          <w:tcPr>
            <w:tcW w:w="1276" w:type="dxa"/>
          </w:tcPr>
          <w:p>
            <w:pPr>
              <w:pStyle w:val="GesAbsatz"/>
              <w:jc w:val="left"/>
            </w:pPr>
            <w:r>
              <w:t>kPa</w:t>
            </w:r>
          </w:p>
        </w:tc>
        <w:tc>
          <w:tcPr>
            <w:tcW w:w="992" w:type="dxa"/>
          </w:tcPr>
          <w:p>
            <w:pPr>
              <w:pStyle w:val="GesAbsatz"/>
              <w:jc w:val="left"/>
            </w:pPr>
            <w:r>
              <w:br/>
              <w:t>43,3</w:t>
            </w:r>
            <w:r>
              <w:br/>
              <w:t>58,3</w:t>
            </w:r>
          </w:p>
        </w:tc>
        <w:tc>
          <w:tcPr>
            <w:tcW w:w="974" w:type="dxa"/>
          </w:tcPr>
          <w:p>
            <w:pPr>
              <w:pStyle w:val="GesAbsatz"/>
              <w:jc w:val="left"/>
            </w:pPr>
            <w:r>
              <w:br/>
              <w:t>61,7</w:t>
            </w:r>
            <w:r>
              <w:br/>
              <w:t>92,0</w:t>
            </w:r>
          </w:p>
        </w:tc>
        <w:tc>
          <w:tcPr>
            <w:tcW w:w="2003" w:type="dxa"/>
          </w:tcPr>
          <w:p>
            <w:pPr>
              <w:pStyle w:val="GesAbsatz"/>
              <w:jc w:val="left"/>
            </w:pPr>
            <w:r>
              <w:t>DIN EN 13016-1: 2000</w:t>
            </w:r>
          </w:p>
        </w:tc>
        <w:tc>
          <w:tcPr>
            <w:tcW w:w="776" w:type="dxa"/>
          </w:tcPr>
          <w:p>
            <w:pPr>
              <w:pStyle w:val="GesAbsatz"/>
              <w:jc w:val="left"/>
            </w:pPr>
          </w:p>
        </w:tc>
      </w:tr>
      <w:tr>
        <w:trPr>
          <w:cantSplit/>
        </w:trPr>
        <w:tc>
          <w:tcPr>
            <w:tcW w:w="637" w:type="dxa"/>
          </w:tcPr>
          <w:p>
            <w:pPr>
              <w:pStyle w:val="GesAbsatz"/>
              <w:jc w:val="left"/>
            </w:pPr>
            <w:r>
              <w:t>15</w:t>
            </w:r>
          </w:p>
        </w:tc>
        <w:tc>
          <w:tcPr>
            <w:tcW w:w="3119" w:type="dxa"/>
          </w:tcPr>
          <w:p>
            <w:pPr>
              <w:pStyle w:val="GesAbsatz"/>
              <w:tabs>
                <w:tab w:val="clear" w:pos="425"/>
                <w:tab w:val="right" w:pos="2765"/>
              </w:tabs>
              <w:jc w:val="left"/>
            </w:pPr>
            <w:r>
              <w:t>Destillation</w:t>
            </w:r>
            <w:r>
              <w:br/>
              <w:t>verdampfte Menge bei 70 °C</w:t>
            </w:r>
            <w:r>
              <w:br/>
              <w:t>(E 70) Klasse A</w:t>
            </w:r>
            <w:r>
              <w:rPr>
                <w:vertAlign w:val="superscript"/>
              </w:rPr>
              <w:t>3</w:t>
            </w:r>
            <w:r>
              <w:br/>
              <w:t>Klasse D/D</w:t>
            </w:r>
            <w:r>
              <w:rPr>
                <w:rStyle w:val="Funotenzeichen"/>
              </w:rPr>
              <w:footnoteReference w:id="4"/>
            </w:r>
            <w:r>
              <w:br/>
              <w:t>verdampfte Menge bei 100 °C</w:t>
            </w:r>
            <w:r>
              <w:br/>
              <w:t>(E 100) Klasse A</w:t>
            </w:r>
            <w:r>
              <w:rPr>
                <w:vertAlign w:val="superscript"/>
              </w:rPr>
              <w:t>3</w:t>
            </w:r>
            <w:r>
              <w:br/>
              <w:t>Klasse D/D1</w:t>
            </w:r>
            <w:r>
              <w:rPr>
                <w:vertAlign w:val="superscript"/>
              </w:rPr>
              <w:t>4</w:t>
            </w:r>
            <w:r>
              <w:br/>
              <w:t>verdampfte Menge bei 150 °C</w:t>
            </w:r>
            <w:r>
              <w:br/>
              <w:t>(E 150) Klasse A</w:t>
            </w:r>
            <w:r>
              <w:rPr>
                <w:vertAlign w:val="superscript"/>
              </w:rPr>
              <w:t>3</w:t>
            </w:r>
            <w:r>
              <w:br/>
              <w:t>Klasse D/D1</w:t>
            </w:r>
            <w:r>
              <w:rPr>
                <w:vertAlign w:val="superscript"/>
              </w:rPr>
              <w:t>4</w:t>
            </w:r>
            <w:r>
              <w:br/>
              <w:t>Siedeendpunkt</w:t>
            </w:r>
            <w:r>
              <w:br/>
              <w:t>Destillationsrückstand</w:t>
            </w:r>
          </w:p>
        </w:tc>
        <w:tc>
          <w:tcPr>
            <w:tcW w:w="1276" w:type="dxa"/>
          </w:tcPr>
          <w:p>
            <w:pPr>
              <w:pStyle w:val="GesAbsatz"/>
              <w:jc w:val="left"/>
            </w:pPr>
            <w:r>
              <w:br/>
              <w:t>% (V/V)</w:t>
            </w:r>
            <w:r>
              <w:br/>
            </w:r>
            <w:r>
              <w:br/>
            </w:r>
            <w:r>
              <w:br/>
              <w:t>% (V/V)</w:t>
            </w:r>
            <w:r>
              <w:br/>
            </w:r>
            <w:r>
              <w:br/>
            </w:r>
            <w:r>
              <w:br/>
              <w:t>% (V/V)</w:t>
            </w:r>
            <w:r>
              <w:br/>
            </w:r>
            <w:r>
              <w:br/>
            </w:r>
            <w:r>
              <w:br/>
              <w:t>°C</w:t>
            </w:r>
            <w:r>
              <w:br/>
              <w:t>% (V/V)</w:t>
            </w:r>
          </w:p>
        </w:tc>
        <w:tc>
          <w:tcPr>
            <w:tcW w:w="992" w:type="dxa"/>
          </w:tcPr>
          <w:p>
            <w:pPr>
              <w:pStyle w:val="GesAbsatz"/>
              <w:jc w:val="left"/>
            </w:pPr>
            <w:r>
              <w:br/>
            </w:r>
            <w:r>
              <w:br/>
              <w:t>16,5</w:t>
            </w:r>
            <w:r>
              <w:br/>
              <w:t>18,5</w:t>
            </w:r>
            <w:r>
              <w:br/>
            </w:r>
            <w:r>
              <w:br/>
              <w:t>41,9</w:t>
            </w:r>
            <w:r>
              <w:br/>
              <w:t>41,9</w:t>
            </w:r>
            <w:r>
              <w:br/>
            </w:r>
            <w:r>
              <w:br/>
              <w:t>72,2</w:t>
            </w:r>
            <w:r>
              <w:br/>
              <w:t>72,2</w:t>
            </w:r>
          </w:p>
        </w:tc>
        <w:tc>
          <w:tcPr>
            <w:tcW w:w="974" w:type="dxa"/>
          </w:tcPr>
          <w:p>
            <w:pPr>
              <w:pStyle w:val="GesAbsatz"/>
              <w:jc w:val="left"/>
            </w:pPr>
            <w:r>
              <w:br/>
            </w:r>
            <w:r>
              <w:br/>
              <w:t>52,1</w:t>
            </w:r>
            <w:r>
              <w:br/>
              <w:t>52,7</w:t>
            </w:r>
            <w:r>
              <w:br/>
            </w:r>
            <w:r>
              <w:br/>
              <w:t>74,4</w:t>
            </w:r>
            <w:r>
              <w:br/>
              <w:t>73,2</w:t>
            </w:r>
            <w:r>
              <w:br/>
            </w:r>
            <w:r>
              <w:br/>
            </w:r>
            <w:r>
              <w:br/>
            </w:r>
            <w:r>
              <w:br/>
              <w:t>216</w:t>
            </w:r>
            <w:r>
              <w:br/>
              <w:t>2</w:t>
            </w:r>
          </w:p>
        </w:tc>
        <w:tc>
          <w:tcPr>
            <w:tcW w:w="2003" w:type="dxa"/>
          </w:tcPr>
          <w:p>
            <w:pPr>
              <w:pStyle w:val="GesAbsatz"/>
              <w:jc w:val="left"/>
            </w:pPr>
            <w:r>
              <w:t>prEN ISO 3405: 1998</w:t>
            </w:r>
          </w:p>
        </w:tc>
        <w:tc>
          <w:tcPr>
            <w:tcW w:w="776" w:type="dxa"/>
          </w:tcPr>
          <w:p>
            <w:pPr>
              <w:pStyle w:val="GesAbsatz"/>
              <w:jc w:val="left"/>
            </w:pPr>
          </w:p>
        </w:tc>
      </w:tr>
      <w:tr>
        <w:trPr>
          <w:cantSplit/>
        </w:trPr>
        <w:tc>
          <w:tcPr>
            <w:tcW w:w="637" w:type="dxa"/>
          </w:tcPr>
          <w:p>
            <w:pPr>
              <w:pStyle w:val="GesAbsatz"/>
              <w:jc w:val="left"/>
            </w:pPr>
            <w:r>
              <w:t>16</w:t>
            </w:r>
          </w:p>
        </w:tc>
        <w:tc>
          <w:tcPr>
            <w:tcW w:w="3119" w:type="dxa"/>
          </w:tcPr>
          <w:p>
            <w:pPr>
              <w:pStyle w:val="GesAbsatz"/>
              <w:tabs>
                <w:tab w:val="clear" w:pos="425"/>
                <w:tab w:val="right" w:pos="2765"/>
              </w:tabs>
              <w:jc w:val="left"/>
            </w:pPr>
            <w:r>
              <w:t>VLI (10 VP+7 E 70)</w:t>
            </w:r>
            <w:r>
              <w:br/>
              <w:t>Klasse D1</w:t>
            </w:r>
            <w:r>
              <w:rPr>
                <w:vertAlign w:val="superscript"/>
              </w:rPr>
              <w:t>4</w:t>
            </w:r>
          </w:p>
        </w:tc>
        <w:tc>
          <w:tcPr>
            <w:tcW w:w="1276" w:type="dxa"/>
          </w:tcPr>
          <w:p>
            <w:pPr>
              <w:pStyle w:val="GesAbsatz"/>
              <w:jc w:val="left"/>
            </w:pPr>
          </w:p>
        </w:tc>
        <w:tc>
          <w:tcPr>
            <w:tcW w:w="992" w:type="dxa"/>
          </w:tcPr>
          <w:p>
            <w:pPr>
              <w:pStyle w:val="GesAbsatz"/>
              <w:jc w:val="left"/>
            </w:pPr>
          </w:p>
        </w:tc>
        <w:tc>
          <w:tcPr>
            <w:tcW w:w="974" w:type="dxa"/>
          </w:tcPr>
          <w:p>
            <w:pPr>
              <w:pStyle w:val="GesAbsatz"/>
              <w:jc w:val="left"/>
            </w:pPr>
            <w:r>
              <w:t>1179</w:t>
            </w:r>
          </w:p>
        </w:tc>
        <w:tc>
          <w:tcPr>
            <w:tcW w:w="2003" w:type="dxa"/>
          </w:tcPr>
          <w:p>
            <w:pPr>
              <w:pStyle w:val="GesAbsatz"/>
              <w:jc w:val="left"/>
            </w:pPr>
          </w:p>
        </w:tc>
        <w:tc>
          <w:tcPr>
            <w:tcW w:w="776" w:type="dxa"/>
          </w:tcPr>
          <w:p>
            <w:pPr>
              <w:pStyle w:val="GesAbsatz"/>
              <w:jc w:val="left"/>
            </w:pPr>
          </w:p>
        </w:tc>
      </w:tr>
    </w:tbl>
    <w:p>
      <w:pPr>
        <w:pStyle w:val="GesAbsatz"/>
        <w:jc w:val="left"/>
      </w:pPr>
    </w:p>
    <w:p>
      <w:pPr>
        <w:pStyle w:val="berschrift2"/>
        <w:jc w:val="left"/>
      </w:pPr>
      <w:r>
        <w:br w:type="page"/>
      </w:r>
      <w:bookmarkStart w:id="12" w:name="_Toc96330422"/>
      <w:r>
        <w:lastRenderedPageBreak/>
        <w:t>Anlage 3</w:t>
      </w:r>
      <w:bookmarkEnd w:id="12"/>
    </w:p>
    <w:p>
      <w:pPr>
        <w:pStyle w:val="GesAbsatz"/>
        <w:jc w:val="left"/>
        <w:rPr>
          <w:b/>
        </w:rPr>
      </w:pPr>
      <w:r>
        <w:rPr>
          <w:b/>
        </w:rPr>
        <w:t>Prüfprotokoll zur Überwachung der Einhaltung von Anforderungswerten bei einmaliger Prüfung gemäß DIN EN ISO 4259, Ausgabe April 1996 (deutsche Fassung EN ISO 4259: 1995) zu DIN EN 590, Ausgabe Februar 2000, Dieselkraftstoff</w:t>
      </w:r>
    </w:p>
    <w:p>
      <w:pPr>
        <w:pStyle w:val="GesAbsatz"/>
        <w:jc w:val="left"/>
      </w:pPr>
      <w:r>
        <w:t>Überprüfte Firma:</w:t>
      </w:r>
    </w:p>
    <w:p>
      <w:pPr>
        <w:pStyle w:val="GesAbsatz"/>
        <w:jc w:val="left"/>
      </w:pPr>
      <w:r>
        <w:t>Probebehälternummer: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119"/>
        <w:gridCol w:w="1276"/>
        <w:gridCol w:w="992"/>
        <w:gridCol w:w="974"/>
        <w:gridCol w:w="2003"/>
        <w:gridCol w:w="776"/>
      </w:tblGrid>
      <w:tr>
        <w:trPr>
          <w:cantSplit/>
          <w:tblHeader/>
        </w:trPr>
        <w:tc>
          <w:tcPr>
            <w:tcW w:w="637" w:type="dxa"/>
            <w:vMerge w:val="restart"/>
            <w:vAlign w:val="center"/>
          </w:tcPr>
          <w:p>
            <w:pPr>
              <w:pStyle w:val="GesAbsatz"/>
              <w:jc w:val="center"/>
            </w:pPr>
            <w:r>
              <w:t>Lfd. Nr.</w:t>
            </w:r>
          </w:p>
        </w:tc>
        <w:tc>
          <w:tcPr>
            <w:tcW w:w="3119" w:type="dxa"/>
            <w:vMerge w:val="restart"/>
            <w:vAlign w:val="center"/>
          </w:tcPr>
          <w:p>
            <w:pPr>
              <w:pStyle w:val="GesAbsatz"/>
              <w:jc w:val="center"/>
            </w:pPr>
            <w:r>
              <w:t>Stoffeigenschaft</w:t>
            </w:r>
          </w:p>
        </w:tc>
        <w:tc>
          <w:tcPr>
            <w:tcW w:w="1276" w:type="dxa"/>
            <w:vMerge w:val="restart"/>
            <w:vAlign w:val="center"/>
          </w:tcPr>
          <w:p>
            <w:pPr>
              <w:pStyle w:val="GesAbsatz"/>
              <w:jc w:val="center"/>
            </w:pPr>
            <w:r>
              <w:t>Messeinheit</w:t>
            </w:r>
          </w:p>
        </w:tc>
        <w:tc>
          <w:tcPr>
            <w:tcW w:w="1966" w:type="dxa"/>
            <w:gridSpan w:val="2"/>
            <w:tcBorders>
              <w:bottom w:val="nil"/>
            </w:tcBorders>
          </w:tcPr>
          <w:p>
            <w:pPr>
              <w:pStyle w:val="GesAbsatz"/>
              <w:jc w:val="center"/>
            </w:pPr>
            <w:r>
              <w:t>Ablehnungsgrenzwert</w:t>
            </w:r>
          </w:p>
        </w:tc>
        <w:tc>
          <w:tcPr>
            <w:tcW w:w="2003" w:type="dxa"/>
            <w:vMerge w:val="restart"/>
            <w:vAlign w:val="center"/>
          </w:tcPr>
          <w:p>
            <w:pPr>
              <w:pStyle w:val="GesAbsatz"/>
              <w:jc w:val="center"/>
            </w:pPr>
            <w:r>
              <w:t>Prüfverfahren</w:t>
            </w:r>
          </w:p>
        </w:tc>
        <w:tc>
          <w:tcPr>
            <w:tcW w:w="776" w:type="dxa"/>
            <w:vMerge w:val="restart"/>
            <w:vAlign w:val="center"/>
          </w:tcPr>
          <w:p>
            <w:pPr>
              <w:pStyle w:val="GesAbsatz"/>
              <w:jc w:val="center"/>
            </w:pPr>
            <w:r>
              <w:t>Prüfergebnis</w:t>
            </w:r>
          </w:p>
        </w:tc>
      </w:tr>
      <w:tr>
        <w:trPr>
          <w:cantSplit/>
          <w:tblHeader/>
        </w:trPr>
        <w:tc>
          <w:tcPr>
            <w:tcW w:w="637" w:type="dxa"/>
            <w:vMerge/>
          </w:tcPr>
          <w:p>
            <w:pPr>
              <w:pStyle w:val="GesAbsatz"/>
              <w:jc w:val="center"/>
            </w:pPr>
          </w:p>
        </w:tc>
        <w:tc>
          <w:tcPr>
            <w:tcW w:w="3119" w:type="dxa"/>
            <w:vMerge/>
          </w:tcPr>
          <w:p>
            <w:pPr>
              <w:pStyle w:val="GesAbsatz"/>
              <w:jc w:val="center"/>
            </w:pPr>
          </w:p>
        </w:tc>
        <w:tc>
          <w:tcPr>
            <w:tcW w:w="1276" w:type="dxa"/>
            <w:vMerge/>
          </w:tcPr>
          <w:p>
            <w:pPr>
              <w:pStyle w:val="GesAbsatz"/>
              <w:jc w:val="center"/>
            </w:pPr>
          </w:p>
        </w:tc>
        <w:tc>
          <w:tcPr>
            <w:tcW w:w="992" w:type="dxa"/>
            <w:tcBorders>
              <w:top w:val="nil"/>
              <w:bottom w:val="single" w:sz="4" w:space="0" w:color="auto"/>
            </w:tcBorders>
          </w:tcPr>
          <w:p>
            <w:pPr>
              <w:pStyle w:val="GesAbsatz"/>
              <w:jc w:val="center"/>
            </w:pPr>
            <w:r>
              <w:t>min.</w:t>
            </w:r>
          </w:p>
        </w:tc>
        <w:tc>
          <w:tcPr>
            <w:tcW w:w="974" w:type="dxa"/>
            <w:tcBorders>
              <w:top w:val="nil"/>
              <w:bottom w:val="single" w:sz="4" w:space="0" w:color="auto"/>
            </w:tcBorders>
          </w:tcPr>
          <w:p>
            <w:pPr>
              <w:pStyle w:val="GesAbsatz"/>
              <w:jc w:val="center"/>
            </w:pPr>
            <w:r>
              <w:t>max.</w:t>
            </w:r>
          </w:p>
        </w:tc>
        <w:tc>
          <w:tcPr>
            <w:tcW w:w="2003" w:type="dxa"/>
            <w:vMerge/>
          </w:tcPr>
          <w:p>
            <w:pPr>
              <w:pStyle w:val="GesAbsatz"/>
              <w:jc w:val="center"/>
            </w:pPr>
          </w:p>
        </w:tc>
        <w:tc>
          <w:tcPr>
            <w:tcW w:w="776" w:type="dxa"/>
            <w:vMerge/>
          </w:tcPr>
          <w:p>
            <w:pPr>
              <w:pStyle w:val="GesAbsatz"/>
              <w:jc w:val="center"/>
            </w:pPr>
          </w:p>
        </w:tc>
      </w:tr>
      <w:tr>
        <w:trPr>
          <w:cantSplit/>
        </w:trPr>
        <w:tc>
          <w:tcPr>
            <w:tcW w:w="637" w:type="dxa"/>
          </w:tcPr>
          <w:p>
            <w:pPr>
              <w:pStyle w:val="GesAbsatz"/>
              <w:jc w:val="left"/>
              <w:rPr>
                <w:lang w:val="it-IT"/>
              </w:rPr>
            </w:pPr>
            <w:r>
              <w:rPr>
                <w:lang w:val="it-IT"/>
              </w:rPr>
              <w:t>1</w:t>
            </w:r>
          </w:p>
        </w:tc>
        <w:tc>
          <w:tcPr>
            <w:tcW w:w="3119" w:type="dxa"/>
          </w:tcPr>
          <w:p>
            <w:pPr>
              <w:pStyle w:val="GesAbsatz"/>
              <w:jc w:val="left"/>
              <w:rPr>
                <w:lang w:val="it-IT"/>
              </w:rPr>
            </w:pPr>
            <w:r>
              <w:rPr>
                <w:lang w:val="it-IT"/>
              </w:rPr>
              <w:t>Cetanzahl (CFR)</w:t>
            </w:r>
            <w:r>
              <w:rPr>
                <w:lang w:val="it-IT"/>
              </w:rPr>
              <w:br/>
              <w:t>Cetanzahl (BASF)</w:t>
            </w:r>
          </w:p>
        </w:tc>
        <w:tc>
          <w:tcPr>
            <w:tcW w:w="1276" w:type="dxa"/>
          </w:tcPr>
          <w:p>
            <w:pPr>
              <w:pStyle w:val="GesAbsatz"/>
              <w:jc w:val="left"/>
              <w:rPr>
                <w:lang w:val="it-IT"/>
              </w:rPr>
            </w:pPr>
          </w:p>
        </w:tc>
        <w:tc>
          <w:tcPr>
            <w:tcW w:w="992" w:type="dxa"/>
            <w:tcBorders>
              <w:top w:val="single" w:sz="4" w:space="0" w:color="auto"/>
              <w:bottom w:val="single" w:sz="4" w:space="0" w:color="auto"/>
            </w:tcBorders>
          </w:tcPr>
          <w:p>
            <w:pPr>
              <w:pStyle w:val="GesAbsatz"/>
              <w:jc w:val="left"/>
            </w:pPr>
            <w:r>
              <w:t>48,5</w:t>
            </w:r>
            <w:r>
              <w:br/>
              <w:t>50,7</w:t>
            </w:r>
            <w:r>
              <w:rPr>
                <w:rStyle w:val="Funotenzeichen"/>
              </w:rPr>
              <w:footnoteReference w:customMarkFollows="1" w:id="5"/>
              <w:t>1</w:t>
            </w:r>
          </w:p>
        </w:tc>
        <w:tc>
          <w:tcPr>
            <w:tcW w:w="974" w:type="dxa"/>
            <w:tcBorders>
              <w:top w:val="single" w:sz="4" w:space="0" w:color="auto"/>
              <w:bottom w:val="single" w:sz="4" w:space="0" w:color="auto"/>
            </w:tcBorders>
          </w:tcPr>
          <w:p>
            <w:pPr>
              <w:pStyle w:val="GesAbsatz"/>
              <w:jc w:val="left"/>
            </w:pPr>
          </w:p>
        </w:tc>
        <w:tc>
          <w:tcPr>
            <w:tcW w:w="2003" w:type="dxa"/>
          </w:tcPr>
          <w:p>
            <w:pPr>
              <w:pStyle w:val="GesAbsatz"/>
              <w:jc w:val="left"/>
            </w:pPr>
            <w:r>
              <w:t>EN ISO 5165: 1998</w:t>
            </w:r>
            <w:r>
              <w:br/>
              <w:t>DIN 51 773: 1996</w:t>
            </w:r>
          </w:p>
        </w:tc>
        <w:tc>
          <w:tcPr>
            <w:tcW w:w="776" w:type="dxa"/>
          </w:tcPr>
          <w:p>
            <w:pPr>
              <w:pStyle w:val="GesAbsatz"/>
              <w:jc w:val="left"/>
            </w:pPr>
          </w:p>
        </w:tc>
      </w:tr>
      <w:tr>
        <w:trPr>
          <w:cantSplit/>
        </w:trPr>
        <w:tc>
          <w:tcPr>
            <w:tcW w:w="637" w:type="dxa"/>
          </w:tcPr>
          <w:p>
            <w:pPr>
              <w:pStyle w:val="GesAbsatz"/>
              <w:jc w:val="left"/>
              <w:rPr>
                <w:lang w:val="fr-FR"/>
              </w:rPr>
            </w:pPr>
            <w:r>
              <w:rPr>
                <w:lang w:val="fr-FR"/>
              </w:rPr>
              <w:t>2</w:t>
            </w:r>
          </w:p>
        </w:tc>
        <w:tc>
          <w:tcPr>
            <w:tcW w:w="3119" w:type="dxa"/>
          </w:tcPr>
          <w:p>
            <w:pPr>
              <w:pStyle w:val="GesAbsatz"/>
              <w:jc w:val="left"/>
              <w:rPr>
                <w:lang w:val="fr-FR"/>
              </w:rPr>
            </w:pPr>
            <w:r>
              <w:rPr>
                <w:lang w:val="fr-FR"/>
              </w:rPr>
              <w:t>Cetanindex</w:t>
            </w:r>
          </w:p>
        </w:tc>
        <w:tc>
          <w:tcPr>
            <w:tcW w:w="1276" w:type="dxa"/>
          </w:tcPr>
          <w:p>
            <w:pPr>
              <w:pStyle w:val="GesAbsatz"/>
              <w:jc w:val="left"/>
              <w:rPr>
                <w:lang w:val="fr-FR"/>
              </w:rPr>
            </w:pPr>
          </w:p>
        </w:tc>
        <w:tc>
          <w:tcPr>
            <w:tcW w:w="992" w:type="dxa"/>
            <w:tcBorders>
              <w:top w:val="single" w:sz="4" w:space="0" w:color="auto"/>
              <w:bottom w:val="single" w:sz="4" w:space="0" w:color="auto"/>
            </w:tcBorders>
          </w:tcPr>
          <w:p>
            <w:pPr>
              <w:pStyle w:val="GesAbsatz"/>
              <w:jc w:val="left"/>
              <w:rPr>
                <w:lang w:val="fr-FR"/>
              </w:rPr>
            </w:pPr>
            <w:r>
              <w:rPr>
                <w:lang w:val="fr-FR"/>
              </w:rPr>
              <w:t>44,5</w:t>
            </w:r>
          </w:p>
        </w:tc>
        <w:tc>
          <w:tcPr>
            <w:tcW w:w="974" w:type="dxa"/>
            <w:tcBorders>
              <w:top w:val="single" w:sz="4" w:space="0" w:color="auto"/>
              <w:bottom w:val="single" w:sz="4" w:space="0" w:color="auto"/>
            </w:tcBorders>
          </w:tcPr>
          <w:p>
            <w:pPr>
              <w:pStyle w:val="GesAbsatz"/>
              <w:jc w:val="left"/>
              <w:rPr>
                <w:lang w:val="fr-FR"/>
              </w:rPr>
            </w:pPr>
          </w:p>
        </w:tc>
        <w:tc>
          <w:tcPr>
            <w:tcW w:w="2003" w:type="dxa"/>
          </w:tcPr>
          <w:p>
            <w:pPr>
              <w:pStyle w:val="GesAbsatz"/>
              <w:jc w:val="left"/>
              <w:rPr>
                <w:lang w:val="fr-FR"/>
              </w:rPr>
            </w:pPr>
            <w:r>
              <w:rPr>
                <w:lang w:val="fr-FR"/>
              </w:rPr>
              <w:t>EN ISO 4264</w:t>
            </w:r>
            <w:r>
              <w:rPr>
                <w:lang w:val="fr-FR"/>
              </w:rPr>
              <w:br/>
              <w:t>(ISO 4264: 1995)</w:t>
            </w:r>
          </w:p>
        </w:tc>
        <w:tc>
          <w:tcPr>
            <w:tcW w:w="776" w:type="dxa"/>
          </w:tcPr>
          <w:p>
            <w:pPr>
              <w:pStyle w:val="GesAbsatz"/>
              <w:jc w:val="left"/>
              <w:rPr>
                <w:lang w:val="fr-FR"/>
              </w:rPr>
            </w:pPr>
          </w:p>
        </w:tc>
      </w:tr>
      <w:tr>
        <w:trPr>
          <w:cantSplit/>
        </w:trPr>
        <w:tc>
          <w:tcPr>
            <w:tcW w:w="637" w:type="dxa"/>
          </w:tcPr>
          <w:p>
            <w:pPr>
              <w:pStyle w:val="GesAbsatz"/>
              <w:jc w:val="left"/>
            </w:pPr>
            <w:r>
              <w:t>3</w:t>
            </w:r>
          </w:p>
        </w:tc>
        <w:tc>
          <w:tcPr>
            <w:tcW w:w="3119" w:type="dxa"/>
          </w:tcPr>
          <w:p>
            <w:pPr>
              <w:pStyle w:val="GesAbsatz"/>
              <w:jc w:val="left"/>
            </w:pPr>
            <w:r>
              <w:t>Dichte bei 15 °C</w:t>
            </w:r>
          </w:p>
        </w:tc>
        <w:tc>
          <w:tcPr>
            <w:tcW w:w="1276" w:type="dxa"/>
          </w:tcPr>
          <w:p>
            <w:pPr>
              <w:pStyle w:val="GesAbsatz"/>
              <w:jc w:val="left"/>
            </w:pPr>
            <w:r>
              <w:t>kg/m³</w:t>
            </w:r>
          </w:p>
        </w:tc>
        <w:tc>
          <w:tcPr>
            <w:tcW w:w="992" w:type="dxa"/>
            <w:tcBorders>
              <w:top w:val="single" w:sz="4" w:space="0" w:color="auto"/>
              <w:bottom w:val="single" w:sz="4" w:space="0" w:color="auto"/>
            </w:tcBorders>
          </w:tcPr>
          <w:p>
            <w:pPr>
              <w:pStyle w:val="GesAbsatz"/>
              <w:jc w:val="left"/>
            </w:pPr>
            <w:r>
              <w:t>819,3</w:t>
            </w:r>
            <w:r>
              <w:br/>
              <w:t>819,7</w:t>
            </w:r>
          </w:p>
        </w:tc>
        <w:tc>
          <w:tcPr>
            <w:tcW w:w="974" w:type="dxa"/>
            <w:tcBorders>
              <w:top w:val="single" w:sz="4" w:space="0" w:color="auto"/>
              <w:bottom w:val="single" w:sz="4" w:space="0" w:color="auto"/>
            </w:tcBorders>
          </w:tcPr>
          <w:p>
            <w:pPr>
              <w:pStyle w:val="GesAbsatz"/>
              <w:jc w:val="left"/>
            </w:pPr>
            <w:r>
              <w:t>845,7</w:t>
            </w:r>
            <w:r>
              <w:br/>
              <w:t>845,3</w:t>
            </w:r>
          </w:p>
        </w:tc>
        <w:tc>
          <w:tcPr>
            <w:tcW w:w="2003" w:type="dxa"/>
          </w:tcPr>
          <w:p>
            <w:pPr>
              <w:pStyle w:val="GesAbsatz"/>
              <w:jc w:val="left"/>
            </w:pPr>
            <w:r>
              <w:t>EN ISO 3675: 1998</w:t>
            </w:r>
            <w:r>
              <w:br/>
              <w:t>EN ISO 12 185</w:t>
            </w:r>
            <w:r>
              <w:br/>
              <w:t>(ISO 12 185: 1996)</w:t>
            </w:r>
          </w:p>
        </w:tc>
        <w:tc>
          <w:tcPr>
            <w:tcW w:w="776" w:type="dxa"/>
          </w:tcPr>
          <w:p>
            <w:pPr>
              <w:pStyle w:val="GesAbsatz"/>
              <w:jc w:val="left"/>
            </w:pPr>
          </w:p>
        </w:tc>
      </w:tr>
      <w:tr>
        <w:trPr>
          <w:cantSplit/>
        </w:trPr>
        <w:tc>
          <w:tcPr>
            <w:tcW w:w="637" w:type="dxa"/>
          </w:tcPr>
          <w:p>
            <w:pPr>
              <w:pStyle w:val="GesAbsatz"/>
              <w:jc w:val="left"/>
            </w:pPr>
            <w:r>
              <w:t>4</w:t>
            </w:r>
          </w:p>
        </w:tc>
        <w:tc>
          <w:tcPr>
            <w:tcW w:w="3119" w:type="dxa"/>
          </w:tcPr>
          <w:p>
            <w:pPr>
              <w:pStyle w:val="GesAbsatz"/>
              <w:jc w:val="left"/>
            </w:pPr>
            <w:r>
              <w:t>Polycyclische aromatische Kohlenwasserstoffe</w:t>
            </w:r>
          </w:p>
        </w:tc>
        <w:tc>
          <w:tcPr>
            <w:tcW w:w="1276" w:type="dxa"/>
          </w:tcPr>
          <w:p>
            <w:pPr>
              <w:pStyle w:val="GesAbsatz"/>
              <w:jc w:val="left"/>
              <w:rPr>
                <w:lang w:val="fr-FR"/>
              </w:rPr>
            </w:pPr>
            <w:r>
              <w:rPr>
                <w:lang w:val="fr-FR"/>
              </w:rPr>
              <w:t>% m/m</w:t>
            </w:r>
          </w:p>
        </w:tc>
        <w:tc>
          <w:tcPr>
            <w:tcW w:w="992" w:type="dxa"/>
            <w:tcBorders>
              <w:top w:val="single" w:sz="4" w:space="0" w:color="auto"/>
              <w:bottom w:val="single" w:sz="4" w:space="0" w:color="auto"/>
            </w:tcBorders>
          </w:tcPr>
          <w:p>
            <w:pPr>
              <w:pStyle w:val="GesAbsatz"/>
              <w:jc w:val="left"/>
              <w:rPr>
                <w:lang w:val="fr-FR"/>
              </w:rPr>
            </w:pPr>
          </w:p>
        </w:tc>
        <w:tc>
          <w:tcPr>
            <w:tcW w:w="974" w:type="dxa"/>
            <w:tcBorders>
              <w:top w:val="single" w:sz="4" w:space="0" w:color="auto"/>
              <w:bottom w:val="single" w:sz="4" w:space="0" w:color="auto"/>
            </w:tcBorders>
          </w:tcPr>
          <w:p>
            <w:pPr>
              <w:pStyle w:val="GesAbsatz"/>
              <w:jc w:val="left"/>
              <w:rPr>
                <w:lang w:val="fr-FR"/>
              </w:rPr>
            </w:pPr>
            <w:r>
              <w:rPr>
                <w:lang w:val="fr-FR"/>
              </w:rPr>
              <w:t>13,3</w:t>
            </w:r>
          </w:p>
        </w:tc>
        <w:tc>
          <w:tcPr>
            <w:tcW w:w="2003" w:type="dxa"/>
          </w:tcPr>
          <w:p>
            <w:pPr>
              <w:pStyle w:val="GesAbsatz"/>
              <w:jc w:val="left"/>
              <w:rPr>
                <w:lang w:val="fr-FR"/>
              </w:rPr>
            </w:pPr>
            <w:r>
              <w:rPr>
                <w:lang w:val="fr-FR"/>
              </w:rPr>
              <w:t>IP 391/95</w:t>
            </w:r>
            <w:r>
              <w:rPr>
                <w:lang w:val="fr-FR"/>
              </w:rPr>
              <w:br/>
              <w:t>(EN 12 916)</w:t>
            </w:r>
          </w:p>
        </w:tc>
        <w:tc>
          <w:tcPr>
            <w:tcW w:w="776" w:type="dxa"/>
          </w:tcPr>
          <w:p>
            <w:pPr>
              <w:pStyle w:val="GesAbsatz"/>
              <w:jc w:val="left"/>
              <w:rPr>
                <w:lang w:val="fr-FR"/>
              </w:rPr>
            </w:pPr>
          </w:p>
        </w:tc>
      </w:tr>
      <w:tr>
        <w:trPr>
          <w:cantSplit/>
        </w:trPr>
        <w:tc>
          <w:tcPr>
            <w:tcW w:w="637" w:type="dxa"/>
            <w:vMerge w:val="restart"/>
          </w:tcPr>
          <w:p>
            <w:pPr>
              <w:pStyle w:val="GesAbsatz"/>
              <w:jc w:val="left"/>
            </w:pPr>
            <w:r>
              <w:t>5</w:t>
            </w:r>
          </w:p>
        </w:tc>
        <w:tc>
          <w:tcPr>
            <w:tcW w:w="3119" w:type="dxa"/>
            <w:vMerge w:val="restart"/>
          </w:tcPr>
          <w:p>
            <w:pPr>
              <w:pStyle w:val="GesAbsatz"/>
              <w:jc w:val="left"/>
            </w:pPr>
            <w:r>
              <w:t>Schwefelgehalt</w:t>
            </w:r>
          </w:p>
        </w:tc>
        <w:tc>
          <w:tcPr>
            <w:tcW w:w="1276" w:type="dxa"/>
            <w:vMerge w:val="restart"/>
          </w:tcPr>
          <w:p>
            <w:pPr>
              <w:pStyle w:val="GesAbsatz"/>
              <w:jc w:val="left"/>
            </w:pPr>
            <w:r>
              <w:t>mg/kg</w:t>
            </w:r>
          </w:p>
        </w:tc>
        <w:tc>
          <w:tcPr>
            <w:tcW w:w="992" w:type="dxa"/>
            <w:vMerge w:val="restart"/>
            <w:tcBorders>
              <w:top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380</w:t>
            </w:r>
          </w:p>
        </w:tc>
        <w:tc>
          <w:tcPr>
            <w:tcW w:w="2003" w:type="dxa"/>
          </w:tcPr>
          <w:p>
            <w:pPr>
              <w:pStyle w:val="GesAbsatz"/>
              <w:jc w:val="left"/>
            </w:pPr>
            <w:r>
              <w:t>EN ISO 14 596: 1998</w:t>
            </w:r>
          </w:p>
        </w:tc>
        <w:tc>
          <w:tcPr>
            <w:tcW w:w="776" w:type="dxa"/>
          </w:tcPr>
          <w:p>
            <w:pPr>
              <w:pStyle w:val="GesAbsatz"/>
              <w:jc w:val="left"/>
            </w:pPr>
          </w:p>
        </w:tc>
      </w:tr>
      <w:tr>
        <w:trPr>
          <w:cantSplit/>
        </w:trPr>
        <w:tc>
          <w:tcPr>
            <w:tcW w:w="637" w:type="dxa"/>
            <w:vMerge/>
          </w:tcPr>
          <w:p>
            <w:pPr>
              <w:pStyle w:val="GesAbsatz"/>
              <w:jc w:val="left"/>
            </w:pPr>
          </w:p>
        </w:tc>
        <w:tc>
          <w:tcPr>
            <w:tcW w:w="3119" w:type="dxa"/>
            <w:vMerge/>
          </w:tcPr>
          <w:p>
            <w:pPr>
              <w:pStyle w:val="GesAbsatz"/>
              <w:jc w:val="left"/>
            </w:pPr>
          </w:p>
        </w:tc>
        <w:tc>
          <w:tcPr>
            <w:tcW w:w="1276" w:type="dxa"/>
            <w:vMerge/>
          </w:tcPr>
          <w:p>
            <w:pPr>
              <w:pStyle w:val="GesAbsatz"/>
              <w:jc w:val="left"/>
            </w:pPr>
          </w:p>
        </w:tc>
        <w:tc>
          <w:tcPr>
            <w:tcW w:w="992" w:type="dxa"/>
            <w:vMerge/>
            <w:tcBorders>
              <w:bottom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375</w:t>
            </w:r>
          </w:p>
        </w:tc>
        <w:tc>
          <w:tcPr>
            <w:tcW w:w="2003" w:type="dxa"/>
          </w:tcPr>
          <w:p>
            <w:pPr>
              <w:pStyle w:val="GesAbsatz"/>
              <w:jc w:val="left"/>
            </w:pPr>
            <w:r>
              <w:t>DIN EN 24 260: 1994</w:t>
            </w:r>
            <w:r>
              <w:rPr>
                <w:rStyle w:val="Funotenzeichen"/>
              </w:rPr>
              <w:footnoteReference w:customMarkFollows="1" w:id="6"/>
              <w:t>2</w:t>
            </w:r>
          </w:p>
        </w:tc>
        <w:tc>
          <w:tcPr>
            <w:tcW w:w="776" w:type="dxa"/>
          </w:tcPr>
          <w:p>
            <w:pPr>
              <w:pStyle w:val="GesAbsatz"/>
              <w:jc w:val="left"/>
            </w:pPr>
          </w:p>
        </w:tc>
      </w:tr>
      <w:tr>
        <w:trPr>
          <w:cantSplit/>
        </w:trPr>
        <w:tc>
          <w:tcPr>
            <w:tcW w:w="637" w:type="dxa"/>
            <w:vMerge/>
          </w:tcPr>
          <w:p>
            <w:pPr>
              <w:pStyle w:val="GesAbsatz"/>
              <w:jc w:val="left"/>
            </w:pPr>
          </w:p>
        </w:tc>
        <w:tc>
          <w:tcPr>
            <w:tcW w:w="3119" w:type="dxa"/>
            <w:vMerge w:val="restart"/>
          </w:tcPr>
          <w:p>
            <w:pPr>
              <w:pStyle w:val="GesAbsatz"/>
              <w:jc w:val="left"/>
            </w:pPr>
            <w:r>
              <w:t>Schwefelgehalt (schwefelarm)</w:t>
            </w:r>
          </w:p>
        </w:tc>
        <w:tc>
          <w:tcPr>
            <w:tcW w:w="1276" w:type="dxa"/>
            <w:vMerge w:val="restart"/>
          </w:tcPr>
          <w:p>
            <w:pPr>
              <w:pStyle w:val="GesAbsatz"/>
              <w:jc w:val="left"/>
            </w:pPr>
            <w:r>
              <w:t>mg/kg</w:t>
            </w:r>
          </w:p>
        </w:tc>
        <w:tc>
          <w:tcPr>
            <w:tcW w:w="992" w:type="dxa"/>
            <w:vMerge w:val="restart"/>
            <w:tcBorders>
              <w:top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54</w:t>
            </w:r>
          </w:p>
        </w:tc>
        <w:tc>
          <w:tcPr>
            <w:tcW w:w="2003" w:type="dxa"/>
          </w:tcPr>
          <w:p>
            <w:pPr>
              <w:pStyle w:val="GesAbsatz"/>
              <w:jc w:val="left"/>
            </w:pPr>
            <w:r>
              <w:t>E DIN 51 400-11</w:t>
            </w:r>
          </w:p>
        </w:tc>
        <w:tc>
          <w:tcPr>
            <w:tcW w:w="776" w:type="dxa"/>
          </w:tcPr>
          <w:p>
            <w:pPr>
              <w:pStyle w:val="GesAbsatz"/>
              <w:jc w:val="left"/>
            </w:pPr>
          </w:p>
        </w:tc>
      </w:tr>
      <w:tr>
        <w:trPr>
          <w:cantSplit/>
        </w:trPr>
        <w:tc>
          <w:tcPr>
            <w:tcW w:w="637" w:type="dxa"/>
            <w:vMerge/>
          </w:tcPr>
          <w:p>
            <w:pPr>
              <w:pStyle w:val="GesAbsatz"/>
              <w:jc w:val="left"/>
            </w:pPr>
          </w:p>
        </w:tc>
        <w:tc>
          <w:tcPr>
            <w:tcW w:w="3119" w:type="dxa"/>
            <w:vMerge/>
          </w:tcPr>
          <w:p>
            <w:pPr>
              <w:pStyle w:val="GesAbsatz"/>
              <w:jc w:val="left"/>
            </w:pPr>
          </w:p>
        </w:tc>
        <w:tc>
          <w:tcPr>
            <w:tcW w:w="1276" w:type="dxa"/>
            <w:vMerge/>
          </w:tcPr>
          <w:p>
            <w:pPr>
              <w:pStyle w:val="GesAbsatz"/>
              <w:jc w:val="left"/>
            </w:pPr>
          </w:p>
        </w:tc>
        <w:tc>
          <w:tcPr>
            <w:tcW w:w="992" w:type="dxa"/>
            <w:vMerge/>
            <w:tcBorders>
              <w:bottom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54</w:t>
            </w:r>
          </w:p>
        </w:tc>
        <w:tc>
          <w:tcPr>
            <w:tcW w:w="2003" w:type="dxa"/>
          </w:tcPr>
          <w:p>
            <w:pPr>
              <w:pStyle w:val="GesAbsatz"/>
              <w:jc w:val="left"/>
            </w:pPr>
            <w:r>
              <w:t>DIN EN 24 260: 1994</w:t>
            </w:r>
            <w:r>
              <w:rPr>
                <w:vertAlign w:val="superscript"/>
              </w:rPr>
              <w:t>2</w:t>
            </w:r>
          </w:p>
        </w:tc>
        <w:tc>
          <w:tcPr>
            <w:tcW w:w="776" w:type="dxa"/>
          </w:tcPr>
          <w:p>
            <w:pPr>
              <w:pStyle w:val="GesAbsatz"/>
              <w:jc w:val="left"/>
            </w:pPr>
          </w:p>
        </w:tc>
      </w:tr>
      <w:tr>
        <w:trPr>
          <w:cantSplit/>
        </w:trPr>
        <w:tc>
          <w:tcPr>
            <w:tcW w:w="637" w:type="dxa"/>
            <w:vMerge/>
          </w:tcPr>
          <w:p>
            <w:pPr>
              <w:pStyle w:val="GesAbsatz"/>
              <w:jc w:val="left"/>
            </w:pPr>
          </w:p>
        </w:tc>
        <w:tc>
          <w:tcPr>
            <w:tcW w:w="3119" w:type="dxa"/>
            <w:vMerge w:val="restart"/>
          </w:tcPr>
          <w:p>
            <w:pPr>
              <w:pStyle w:val="GesAbsatz"/>
              <w:jc w:val="left"/>
            </w:pPr>
            <w:r>
              <w:t>Schwefelgehalt (schwefelfrei)</w:t>
            </w:r>
          </w:p>
        </w:tc>
        <w:tc>
          <w:tcPr>
            <w:tcW w:w="1276" w:type="dxa"/>
            <w:vMerge w:val="restart"/>
          </w:tcPr>
          <w:p>
            <w:pPr>
              <w:pStyle w:val="GesAbsatz"/>
              <w:jc w:val="left"/>
            </w:pPr>
            <w:r>
              <w:t>mg/kg</w:t>
            </w:r>
          </w:p>
        </w:tc>
        <w:tc>
          <w:tcPr>
            <w:tcW w:w="992" w:type="dxa"/>
            <w:vMerge w:val="restart"/>
            <w:tcBorders>
              <w:top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12</w:t>
            </w:r>
          </w:p>
        </w:tc>
        <w:tc>
          <w:tcPr>
            <w:tcW w:w="2003" w:type="dxa"/>
          </w:tcPr>
          <w:p>
            <w:pPr>
              <w:pStyle w:val="GesAbsatz"/>
              <w:jc w:val="left"/>
            </w:pPr>
            <w:r>
              <w:t>E DIN 51 400-11</w:t>
            </w:r>
          </w:p>
        </w:tc>
        <w:tc>
          <w:tcPr>
            <w:tcW w:w="776" w:type="dxa"/>
          </w:tcPr>
          <w:p>
            <w:pPr>
              <w:pStyle w:val="GesAbsatz"/>
              <w:jc w:val="left"/>
            </w:pPr>
          </w:p>
        </w:tc>
      </w:tr>
      <w:tr>
        <w:trPr>
          <w:cantSplit/>
        </w:trPr>
        <w:tc>
          <w:tcPr>
            <w:tcW w:w="637" w:type="dxa"/>
            <w:vMerge/>
          </w:tcPr>
          <w:p>
            <w:pPr>
              <w:pStyle w:val="GesAbsatz"/>
              <w:jc w:val="left"/>
            </w:pPr>
          </w:p>
        </w:tc>
        <w:tc>
          <w:tcPr>
            <w:tcW w:w="3119" w:type="dxa"/>
            <w:vMerge/>
          </w:tcPr>
          <w:p>
            <w:pPr>
              <w:pStyle w:val="GesAbsatz"/>
              <w:jc w:val="left"/>
            </w:pPr>
          </w:p>
        </w:tc>
        <w:tc>
          <w:tcPr>
            <w:tcW w:w="1276" w:type="dxa"/>
            <w:vMerge/>
          </w:tcPr>
          <w:p>
            <w:pPr>
              <w:pStyle w:val="GesAbsatz"/>
              <w:jc w:val="left"/>
            </w:pPr>
          </w:p>
        </w:tc>
        <w:tc>
          <w:tcPr>
            <w:tcW w:w="992" w:type="dxa"/>
            <w:vMerge/>
            <w:tcBorders>
              <w:bottom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12</w:t>
            </w:r>
          </w:p>
        </w:tc>
        <w:tc>
          <w:tcPr>
            <w:tcW w:w="2003" w:type="dxa"/>
          </w:tcPr>
          <w:p>
            <w:pPr>
              <w:pStyle w:val="GesAbsatz"/>
              <w:jc w:val="left"/>
            </w:pPr>
            <w:r>
              <w:t>DIN EN 24 260: 1994</w:t>
            </w:r>
            <w:r>
              <w:rPr>
                <w:vertAlign w:val="superscript"/>
              </w:rPr>
              <w:t>2</w:t>
            </w:r>
          </w:p>
        </w:tc>
        <w:tc>
          <w:tcPr>
            <w:tcW w:w="776" w:type="dxa"/>
          </w:tcPr>
          <w:p>
            <w:pPr>
              <w:pStyle w:val="GesAbsatz"/>
              <w:jc w:val="left"/>
            </w:pPr>
          </w:p>
        </w:tc>
      </w:tr>
      <w:tr>
        <w:trPr>
          <w:cantSplit/>
        </w:trPr>
        <w:tc>
          <w:tcPr>
            <w:tcW w:w="637" w:type="dxa"/>
          </w:tcPr>
          <w:p>
            <w:pPr>
              <w:pStyle w:val="GesAbsatz"/>
              <w:jc w:val="left"/>
            </w:pPr>
            <w:r>
              <w:t>6</w:t>
            </w:r>
          </w:p>
        </w:tc>
        <w:tc>
          <w:tcPr>
            <w:tcW w:w="3119" w:type="dxa"/>
          </w:tcPr>
          <w:p>
            <w:pPr>
              <w:pStyle w:val="GesAbsatz"/>
              <w:jc w:val="left"/>
            </w:pPr>
            <w:r>
              <w:t>Flammpunkt</w:t>
            </w:r>
          </w:p>
        </w:tc>
        <w:tc>
          <w:tcPr>
            <w:tcW w:w="1276" w:type="dxa"/>
          </w:tcPr>
          <w:p>
            <w:pPr>
              <w:pStyle w:val="GesAbsatz"/>
              <w:jc w:val="left"/>
            </w:pPr>
            <w:r>
              <w:t>°C</w:t>
            </w:r>
          </w:p>
        </w:tc>
        <w:tc>
          <w:tcPr>
            <w:tcW w:w="992" w:type="dxa"/>
            <w:tcBorders>
              <w:top w:val="single" w:sz="4" w:space="0" w:color="auto"/>
              <w:bottom w:val="single" w:sz="4" w:space="0" w:color="auto"/>
            </w:tcBorders>
          </w:tcPr>
          <w:p>
            <w:pPr>
              <w:pStyle w:val="GesAbsatz"/>
              <w:jc w:val="left"/>
            </w:pPr>
            <w:r>
              <w:t>über 53</w:t>
            </w:r>
          </w:p>
        </w:tc>
        <w:tc>
          <w:tcPr>
            <w:tcW w:w="974" w:type="dxa"/>
            <w:tcBorders>
              <w:top w:val="single" w:sz="4" w:space="0" w:color="auto"/>
              <w:bottom w:val="single" w:sz="4" w:space="0" w:color="auto"/>
            </w:tcBorders>
          </w:tcPr>
          <w:p>
            <w:pPr>
              <w:pStyle w:val="GesAbsatz"/>
              <w:jc w:val="left"/>
            </w:pPr>
          </w:p>
        </w:tc>
        <w:tc>
          <w:tcPr>
            <w:tcW w:w="2003" w:type="dxa"/>
          </w:tcPr>
          <w:p>
            <w:pPr>
              <w:pStyle w:val="GesAbsatz"/>
              <w:jc w:val="left"/>
            </w:pPr>
            <w:r>
              <w:t>EN 22 719</w:t>
            </w:r>
            <w:r>
              <w:br/>
              <w:t>(ISO 2719:1998)</w:t>
            </w:r>
          </w:p>
        </w:tc>
        <w:tc>
          <w:tcPr>
            <w:tcW w:w="776" w:type="dxa"/>
          </w:tcPr>
          <w:p>
            <w:pPr>
              <w:pStyle w:val="GesAbsatz"/>
              <w:jc w:val="left"/>
            </w:pPr>
          </w:p>
        </w:tc>
      </w:tr>
      <w:tr>
        <w:trPr>
          <w:cantSplit/>
        </w:trPr>
        <w:tc>
          <w:tcPr>
            <w:tcW w:w="637" w:type="dxa"/>
          </w:tcPr>
          <w:p>
            <w:pPr>
              <w:pStyle w:val="GesAbsatz"/>
              <w:jc w:val="left"/>
            </w:pPr>
            <w:r>
              <w:t>7</w:t>
            </w:r>
          </w:p>
        </w:tc>
        <w:tc>
          <w:tcPr>
            <w:tcW w:w="3119" w:type="dxa"/>
          </w:tcPr>
          <w:p>
            <w:pPr>
              <w:pStyle w:val="GesAbsatz"/>
              <w:jc w:val="left"/>
            </w:pPr>
            <w:r>
              <w:t>Koksrückstand (von 10 % Destillationsrückstand) angegeben als Massenanteil</w:t>
            </w:r>
          </w:p>
        </w:tc>
        <w:tc>
          <w:tcPr>
            <w:tcW w:w="1276" w:type="dxa"/>
          </w:tcPr>
          <w:p>
            <w:pPr>
              <w:pStyle w:val="GesAbsatz"/>
              <w:jc w:val="left"/>
            </w:pPr>
            <w:r>
              <w:t>% (m/m)</w:t>
            </w:r>
          </w:p>
        </w:tc>
        <w:tc>
          <w:tcPr>
            <w:tcW w:w="992" w:type="dxa"/>
            <w:tcBorders>
              <w:top w:val="single" w:sz="4" w:space="0" w:color="auto"/>
              <w:bottom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0,37</w:t>
            </w:r>
            <w:r>
              <w:rPr>
                <w:rStyle w:val="Funotenzeichen"/>
              </w:rPr>
              <w:footnoteReference w:customMarkFollows="1" w:id="7"/>
              <w:t>3</w:t>
            </w:r>
          </w:p>
        </w:tc>
        <w:tc>
          <w:tcPr>
            <w:tcW w:w="2003" w:type="dxa"/>
          </w:tcPr>
          <w:p>
            <w:pPr>
              <w:pStyle w:val="GesAbsatz"/>
              <w:jc w:val="left"/>
            </w:pPr>
            <w:r>
              <w:t>EN ISO 10 370</w:t>
            </w:r>
            <w:r>
              <w:br/>
              <w:t>(ISO 10 370 : 1993)</w:t>
            </w:r>
          </w:p>
        </w:tc>
        <w:tc>
          <w:tcPr>
            <w:tcW w:w="776" w:type="dxa"/>
          </w:tcPr>
          <w:p>
            <w:pPr>
              <w:pStyle w:val="GesAbsatz"/>
              <w:jc w:val="left"/>
            </w:pPr>
          </w:p>
        </w:tc>
      </w:tr>
      <w:tr>
        <w:trPr>
          <w:cantSplit/>
        </w:trPr>
        <w:tc>
          <w:tcPr>
            <w:tcW w:w="637" w:type="dxa"/>
          </w:tcPr>
          <w:p>
            <w:pPr>
              <w:pStyle w:val="GesAbsatz"/>
              <w:jc w:val="left"/>
            </w:pPr>
            <w:r>
              <w:t>8</w:t>
            </w:r>
          </w:p>
        </w:tc>
        <w:tc>
          <w:tcPr>
            <w:tcW w:w="3119" w:type="dxa"/>
          </w:tcPr>
          <w:p>
            <w:pPr>
              <w:pStyle w:val="GesAbsatz"/>
              <w:jc w:val="left"/>
            </w:pPr>
            <w:r>
              <w:t>Aschegehalt</w:t>
            </w:r>
            <w:r>
              <w:br/>
              <w:t>angegeben als Massenanteil</w:t>
            </w:r>
          </w:p>
        </w:tc>
        <w:tc>
          <w:tcPr>
            <w:tcW w:w="1276" w:type="dxa"/>
          </w:tcPr>
          <w:p>
            <w:pPr>
              <w:pStyle w:val="GesAbsatz"/>
              <w:jc w:val="left"/>
            </w:pPr>
            <w:r>
              <w:t>% (m/m)</w:t>
            </w:r>
          </w:p>
        </w:tc>
        <w:tc>
          <w:tcPr>
            <w:tcW w:w="992" w:type="dxa"/>
            <w:tcBorders>
              <w:top w:val="single" w:sz="4" w:space="0" w:color="auto"/>
              <w:bottom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0,013</w:t>
            </w:r>
          </w:p>
        </w:tc>
        <w:tc>
          <w:tcPr>
            <w:tcW w:w="2003" w:type="dxa"/>
          </w:tcPr>
          <w:p>
            <w:pPr>
              <w:pStyle w:val="GesAbsatz"/>
              <w:jc w:val="left"/>
            </w:pPr>
            <w:r>
              <w:t>EN ISO 6245</w:t>
            </w:r>
            <w:r>
              <w:br/>
              <w:t>(ISO 6245 : 1993)</w:t>
            </w:r>
          </w:p>
        </w:tc>
        <w:tc>
          <w:tcPr>
            <w:tcW w:w="776" w:type="dxa"/>
          </w:tcPr>
          <w:p>
            <w:pPr>
              <w:pStyle w:val="GesAbsatz"/>
              <w:jc w:val="left"/>
            </w:pPr>
          </w:p>
        </w:tc>
      </w:tr>
      <w:tr>
        <w:trPr>
          <w:cantSplit/>
        </w:trPr>
        <w:tc>
          <w:tcPr>
            <w:tcW w:w="637" w:type="dxa"/>
          </w:tcPr>
          <w:p>
            <w:pPr>
              <w:pStyle w:val="GesAbsatz"/>
              <w:jc w:val="left"/>
            </w:pPr>
            <w:r>
              <w:t>9</w:t>
            </w:r>
          </w:p>
        </w:tc>
        <w:tc>
          <w:tcPr>
            <w:tcW w:w="3119" w:type="dxa"/>
          </w:tcPr>
          <w:p>
            <w:pPr>
              <w:pStyle w:val="GesAbsatz"/>
              <w:jc w:val="left"/>
            </w:pPr>
            <w:r>
              <w:t>Wassergehalt</w:t>
            </w:r>
            <w:r>
              <w:br/>
              <w:t>angegeben als Massenanteil</w:t>
            </w:r>
          </w:p>
        </w:tc>
        <w:tc>
          <w:tcPr>
            <w:tcW w:w="1276" w:type="dxa"/>
          </w:tcPr>
          <w:p>
            <w:pPr>
              <w:pStyle w:val="GesAbsatz"/>
              <w:jc w:val="left"/>
              <w:rPr>
                <w:lang w:val="it-IT"/>
              </w:rPr>
            </w:pPr>
            <w:r>
              <w:rPr>
                <w:lang w:val="it-IT"/>
              </w:rPr>
              <w:t>mg/kg</w:t>
            </w:r>
          </w:p>
        </w:tc>
        <w:tc>
          <w:tcPr>
            <w:tcW w:w="992" w:type="dxa"/>
            <w:tcBorders>
              <w:top w:val="single" w:sz="4" w:space="0" w:color="auto"/>
              <w:bottom w:val="single" w:sz="4" w:space="0" w:color="auto"/>
            </w:tcBorders>
          </w:tcPr>
          <w:p>
            <w:pPr>
              <w:pStyle w:val="GesAbsatz"/>
              <w:jc w:val="left"/>
              <w:rPr>
                <w:lang w:val="it-IT"/>
              </w:rPr>
            </w:pPr>
          </w:p>
        </w:tc>
        <w:tc>
          <w:tcPr>
            <w:tcW w:w="974" w:type="dxa"/>
            <w:tcBorders>
              <w:top w:val="single" w:sz="4" w:space="0" w:color="auto"/>
              <w:bottom w:val="single" w:sz="4" w:space="0" w:color="auto"/>
            </w:tcBorders>
          </w:tcPr>
          <w:p>
            <w:pPr>
              <w:pStyle w:val="GesAbsatz"/>
              <w:jc w:val="left"/>
              <w:rPr>
                <w:lang w:val="it-IT"/>
              </w:rPr>
            </w:pPr>
            <w:r>
              <w:rPr>
                <w:lang w:val="it-IT"/>
              </w:rPr>
              <w:t>258</w:t>
            </w:r>
          </w:p>
        </w:tc>
        <w:tc>
          <w:tcPr>
            <w:tcW w:w="2003" w:type="dxa"/>
          </w:tcPr>
          <w:p>
            <w:pPr>
              <w:pStyle w:val="GesAbsatz"/>
              <w:jc w:val="left"/>
              <w:rPr>
                <w:lang w:val="it-IT"/>
              </w:rPr>
            </w:pPr>
            <w:r>
              <w:rPr>
                <w:lang w:val="it-IT"/>
              </w:rPr>
              <w:t>prEN ISO 12 937: 1996</w:t>
            </w:r>
            <w:r>
              <w:rPr>
                <w:lang w:val="it-IT"/>
              </w:rPr>
              <w:br/>
              <w:t>(ISO DIS 12 937: 1996</w:t>
            </w:r>
          </w:p>
        </w:tc>
        <w:tc>
          <w:tcPr>
            <w:tcW w:w="776" w:type="dxa"/>
          </w:tcPr>
          <w:p>
            <w:pPr>
              <w:pStyle w:val="GesAbsatz"/>
              <w:jc w:val="left"/>
              <w:rPr>
                <w:lang w:val="it-IT"/>
              </w:rPr>
            </w:pPr>
          </w:p>
        </w:tc>
      </w:tr>
      <w:tr>
        <w:trPr>
          <w:cantSplit/>
        </w:trPr>
        <w:tc>
          <w:tcPr>
            <w:tcW w:w="637" w:type="dxa"/>
          </w:tcPr>
          <w:p>
            <w:pPr>
              <w:pStyle w:val="GesAbsatz"/>
              <w:jc w:val="left"/>
            </w:pPr>
            <w:r>
              <w:lastRenderedPageBreak/>
              <w:t>10</w:t>
            </w:r>
          </w:p>
        </w:tc>
        <w:tc>
          <w:tcPr>
            <w:tcW w:w="3119" w:type="dxa"/>
          </w:tcPr>
          <w:p>
            <w:pPr>
              <w:pStyle w:val="GesAbsatz"/>
              <w:jc w:val="left"/>
            </w:pPr>
            <w:r>
              <w:t>Gesamtverschmutzung</w:t>
            </w:r>
            <w:r>
              <w:br/>
              <w:t>angegeben als Massenanteil</w:t>
            </w:r>
          </w:p>
        </w:tc>
        <w:tc>
          <w:tcPr>
            <w:tcW w:w="1276" w:type="dxa"/>
          </w:tcPr>
          <w:p>
            <w:pPr>
              <w:pStyle w:val="GesAbsatz"/>
              <w:jc w:val="left"/>
            </w:pPr>
            <w:r>
              <w:t>mg/kg</w:t>
            </w:r>
          </w:p>
        </w:tc>
        <w:tc>
          <w:tcPr>
            <w:tcW w:w="992" w:type="dxa"/>
            <w:tcBorders>
              <w:top w:val="single" w:sz="4" w:space="0" w:color="auto"/>
              <w:bottom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28</w:t>
            </w:r>
          </w:p>
        </w:tc>
        <w:tc>
          <w:tcPr>
            <w:tcW w:w="2003" w:type="dxa"/>
          </w:tcPr>
          <w:p>
            <w:pPr>
              <w:pStyle w:val="GesAbsatz"/>
              <w:jc w:val="left"/>
            </w:pPr>
            <w:r>
              <w:t>EN 12 662</w:t>
            </w:r>
            <w:r>
              <w:br/>
              <w:t>(keine Datierung)</w:t>
            </w:r>
          </w:p>
        </w:tc>
        <w:tc>
          <w:tcPr>
            <w:tcW w:w="776" w:type="dxa"/>
          </w:tcPr>
          <w:p>
            <w:pPr>
              <w:pStyle w:val="GesAbsatz"/>
              <w:jc w:val="left"/>
            </w:pPr>
          </w:p>
        </w:tc>
      </w:tr>
      <w:tr>
        <w:trPr>
          <w:cantSplit/>
        </w:trPr>
        <w:tc>
          <w:tcPr>
            <w:tcW w:w="637" w:type="dxa"/>
          </w:tcPr>
          <w:p>
            <w:pPr>
              <w:pStyle w:val="GesAbsatz"/>
              <w:jc w:val="left"/>
            </w:pPr>
            <w:r>
              <w:t>11</w:t>
            </w:r>
          </w:p>
        </w:tc>
        <w:tc>
          <w:tcPr>
            <w:tcW w:w="3119" w:type="dxa"/>
          </w:tcPr>
          <w:p>
            <w:pPr>
              <w:pStyle w:val="GesAbsatz"/>
              <w:jc w:val="left"/>
            </w:pPr>
            <w:r>
              <w:t>Korrosionswirkung auf Kupfer</w:t>
            </w:r>
            <w:r>
              <w:br/>
              <w:t>(3 h bei 50 °C)</w:t>
            </w:r>
          </w:p>
        </w:tc>
        <w:tc>
          <w:tcPr>
            <w:tcW w:w="1276" w:type="dxa"/>
          </w:tcPr>
          <w:p>
            <w:pPr>
              <w:pStyle w:val="GesAbsatz"/>
              <w:jc w:val="left"/>
            </w:pPr>
            <w:r>
              <w:t>Korrosionsgrad</w:t>
            </w:r>
          </w:p>
        </w:tc>
        <w:tc>
          <w:tcPr>
            <w:tcW w:w="1966" w:type="dxa"/>
            <w:gridSpan w:val="2"/>
            <w:tcBorders>
              <w:top w:val="single" w:sz="4" w:space="0" w:color="auto"/>
              <w:bottom w:val="single" w:sz="4" w:space="0" w:color="auto"/>
            </w:tcBorders>
          </w:tcPr>
          <w:p>
            <w:pPr>
              <w:pStyle w:val="GesAbsatz"/>
              <w:jc w:val="center"/>
            </w:pPr>
            <w:r>
              <w:t>1</w:t>
            </w:r>
          </w:p>
        </w:tc>
        <w:tc>
          <w:tcPr>
            <w:tcW w:w="2003" w:type="dxa"/>
          </w:tcPr>
          <w:p>
            <w:pPr>
              <w:pStyle w:val="GesAbsatz"/>
              <w:jc w:val="left"/>
            </w:pPr>
            <w:r>
              <w:t>EN ISO 2160</w:t>
            </w:r>
            <w:r>
              <w:br/>
              <w:t>(ISO 2160: 1998</w:t>
            </w:r>
          </w:p>
        </w:tc>
        <w:tc>
          <w:tcPr>
            <w:tcW w:w="776" w:type="dxa"/>
          </w:tcPr>
          <w:p>
            <w:pPr>
              <w:pStyle w:val="GesAbsatz"/>
              <w:jc w:val="left"/>
            </w:pPr>
          </w:p>
        </w:tc>
      </w:tr>
      <w:tr>
        <w:trPr>
          <w:cantSplit/>
        </w:trPr>
        <w:tc>
          <w:tcPr>
            <w:tcW w:w="637" w:type="dxa"/>
          </w:tcPr>
          <w:p>
            <w:pPr>
              <w:pStyle w:val="GesAbsatz"/>
              <w:jc w:val="left"/>
            </w:pPr>
            <w:r>
              <w:t>12</w:t>
            </w:r>
          </w:p>
        </w:tc>
        <w:tc>
          <w:tcPr>
            <w:tcW w:w="3119" w:type="dxa"/>
          </w:tcPr>
          <w:p>
            <w:pPr>
              <w:pStyle w:val="GesAbsatz"/>
              <w:jc w:val="left"/>
            </w:pPr>
            <w:r>
              <w:t>Oxidationsstabilität</w:t>
            </w:r>
            <w:r>
              <w:br/>
              <w:t>angegeben als Massenkonzentration</w:t>
            </w:r>
          </w:p>
        </w:tc>
        <w:tc>
          <w:tcPr>
            <w:tcW w:w="1276" w:type="dxa"/>
          </w:tcPr>
          <w:p>
            <w:pPr>
              <w:pStyle w:val="GesAbsatz"/>
              <w:jc w:val="left"/>
            </w:pPr>
            <w:r>
              <w:t>g/m³</w:t>
            </w:r>
          </w:p>
        </w:tc>
        <w:tc>
          <w:tcPr>
            <w:tcW w:w="992" w:type="dxa"/>
            <w:tcBorders>
              <w:top w:val="single" w:sz="4" w:space="0" w:color="auto"/>
            </w:tcBorders>
          </w:tcPr>
          <w:p>
            <w:pPr>
              <w:pStyle w:val="GesAbsatz"/>
              <w:jc w:val="left"/>
            </w:pPr>
          </w:p>
        </w:tc>
        <w:tc>
          <w:tcPr>
            <w:tcW w:w="974" w:type="dxa"/>
            <w:tcBorders>
              <w:top w:val="single" w:sz="4" w:space="0" w:color="auto"/>
            </w:tcBorders>
          </w:tcPr>
          <w:p>
            <w:pPr>
              <w:pStyle w:val="GesAbsatz"/>
              <w:jc w:val="left"/>
            </w:pPr>
            <w:r>
              <w:t>33</w:t>
            </w:r>
          </w:p>
        </w:tc>
        <w:tc>
          <w:tcPr>
            <w:tcW w:w="2003" w:type="dxa"/>
          </w:tcPr>
          <w:p>
            <w:pPr>
              <w:pStyle w:val="GesAbsatz"/>
              <w:jc w:val="left"/>
            </w:pPr>
            <w:r>
              <w:t>EN ISO 12 205</w:t>
            </w:r>
            <w:r>
              <w:br/>
              <w:t>(ISO 12 205: 1995)</w:t>
            </w:r>
          </w:p>
        </w:tc>
        <w:tc>
          <w:tcPr>
            <w:tcW w:w="776" w:type="dxa"/>
          </w:tcPr>
          <w:p>
            <w:pPr>
              <w:pStyle w:val="GesAbsatz"/>
              <w:jc w:val="left"/>
            </w:pPr>
          </w:p>
        </w:tc>
      </w:tr>
      <w:tr>
        <w:trPr>
          <w:cantSplit/>
        </w:trPr>
        <w:tc>
          <w:tcPr>
            <w:tcW w:w="637" w:type="dxa"/>
          </w:tcPr>
          <w:p>
            <w:pPr>
              <w:pStyle w:val="GesAbsatz"/>
              <w:jc w:val="left"/>
            </w:pPr>
            <w:r>
              <w:t>13</w:t>
            </w:r>
          </w:p>
        </w:tc>
        <w:tc>
          <w:tcPr>
            <w:tcW w:w="3119" w:type="dxa"/>
          </w:tcPr>
          <w:p>
            <w:pPr>
              <w:pStyle w:val="GesAbsatz"/>
              <w:jc w:val="left"/>
            </w:pPr>
            <w:r>
              <w:t>Lubricity, korrigierter „wear scar diameter“</w:t>
            </w:r>
            <w:r>
              <w:br/>
              <w:t>(wsd 1,4) bei 60 °C</w:t>
            </w:r>
          </w:p>
        </w:tc>
        <w:tc>
          <w:tcPr>
            <w:tcW w:w="1276" w:type="dxa"/>
          </w:tcPr>
          <w:p>
            <w:pPr>
              <w:pStyle w:val="GesAbsatz"/>
              <w:jc w:val="left"/>
            </w:pPr>
            <w:r>
              <w:t>µm</w:t>
            </w:r>
          </w:p>
        </w:tc>
        <w:tc>
          <w:tcPr>
            <w:tcW w:w="992" w:type="dxa"/>
            <w:tcBorders>
              <w:top w:val="single" w:sz="4" w:space="0" w:color="auto"/>
              <w:bottom w:val="single" w:sz="4" w:space="0" w:color="auto"/>
            </w:tcBorders>
          </w:tcPr>
          <w:p>
            <w:pPr>
              <w:pStyle w:val="GesAbsatz"/>
              <w:jc w:val="left"/>
            </w:pPr>
          </w:p>
        </w:tc>
        <w:tc>
          <w:tcPr>
            <w:tcW w:w="974" w:type="dxa"/>
            <w:tcBorders>
              <w:top w:val="single" w:sz="4" w:space="0" w:color="auto"/>
              <w:bottom w:val="single" w:sz="4" w:space="0" w:color="auto"/>
            </w:tcBorders>
          </w:tcPr>
          <w:p>
            <w:pPr>
              <w:pStyle w:val="GesAbsatz"/>
              <w:jc w:val="left"/>
            </w:pPr>
            <w:r>
              <w:t>521</w:t>
            </w:r>
          </w:p>
        </w:tc>
        <w:tc>
          <w:tcPr>
            <w:tcW w:w="2003" w:type="dxa"/>
          </w:tcPr>
          <w:p>
            <w:pPr>
              <w:pStyle w:val="GesAbsatz"/>
              <w:jc w:val="left"/>
            </w:pPr>
            <w:r>
              <w:t>ISO 12 156-1:1997</w:t>
            </w:r>
          </w:p>
        </w:tc>
        <w:tc>
          <w:tcPr>
            <w:tcW w:w="776" w:type="dxa"/>
          </w:tcPr>
          <w:p>
            <w:pPr>
              <w:pStyle w:val="GesAbsatz"/>
              <w:jc w:val="left"/>
            </w:pPr>
          </w:p>
        </w:tc>
      </w:tr>
      <w:tr>
        <w:trPr>
          <w:cantSplit/>
        </w:trPr>
        <w:tc>
          <w:tcPr>
            <w:tcW w:w="637" w:type="dxa"/>
          </w:tcPr>
          <w:p>
            <w:pPr>
              <w:pStyle w:val="GesAbsatz"/>
              <w:jc w:val="left"/>
            </w:pPr>
            <w:r>
              <w:t>14</w:t>
            </w:r>
          </w:p>
        </w:tc>
        <w:tc>
          <w:tcPr>
            <w:tcW w:w="3119" w:type="dxa"/>
          </w:tcPr>
          <w:p>
            <w:pPr>
              <w:pStyle w:val="GesAbsatz"/>
              <w:jc w:val="left"/>
            </w:pPr>
            <w:r>
              <w:t>Viskosität bei 40 °C</w:t>
            </w:r>
          </w:p>
        </w:tc>
        <w:tc>
          <w:tcPr>
            <w:tcW w:w="1276" w:type="dxa"/>
          </w:tcPr>
          <w:p>
            <w:pPr>
              <w:pStyle w:val="GesAbsatz"/>
              <w:jc w:val="left"/>
            </w:pPr>
            <w:r>
              <w:t>mm²/s</w:t>
            </w:r>
          </w:p>
        </w:tc>
        <w:tc>
          <w:tcPr>
            <w:tcW w:w="992" w:type="dxa"/>
            <w:tcBorders>
              <w:top w:val="single" w:sz="4" w:space="0" w:color="auto"/>
              <w:bottom w:val="single" w:sz="4" w:space="0" w:color="auto"/>
            </w:tcBorders>
          </w:tcPr>
          <w:p>
            <w:pPr>
              <w:pStyle w:val="GesAbsatz"/>
              <w:jc w:val="left"/>
            </w:pPr>
            <w:r>
              <w:t>1,99</w:t>
            </w:r>
          </w:p>
        </w:tc>
        <w:tc>
          <w:tcPr>
            <w:tcW w:w="974" w:type="dxa"/>
            <w:tcBorders>
              <w:top w:val="single" w:sz="4" w:space="0" w:color="auto"/>
              <w:bottom w:val="single" w:sz="4" w:space="0" w:color="auto"/>
            </w:tcBorders>
          </w:tcPr>
          <w:p>
            <w:pPr>
              <w:pStyle w:val="GesAbsatz"/>
              <w:jc w:val="left"/>
            </w:pPr>
            <w:r>
              <w:t>4,52</w:t>
            </w:r>
          </w:p>
        </w:tc>
        <w:tc>
          <w:tcPr>
            <w:tcW w:w="2003" w:type="dxa"/>
          </w:tcPr>
          <w:p>
            <w:pPr>
              <w:pStyle w:val="GesAbsatz"/>
              <w:jc w:val="left"/>
            </w:pPr>
            <w:r>
              <w:t>EN ISO 3104</w:t>
            </w:r>
            <w:r>
              <w:br/>
              <w:t>(ISO 3104 :1994,</w:t>
            </w:r>
            <w:r>
              <w:br/>
              <w:t>einschließlich</w:t>
            </w:r>
            <w:r>
              <w:br/>
              <w:t>Corrigendum 1:1998)</w:t>
            </w:r>
          </w:p>
        </w:tc>
        <w:tc>
          <w:tcPr>
            <w:tcW w:w="776" w:type="dxa"/>
          </w:tcPr>
          <w:p>
            <w:pPr>
              <w:pStyle w:val="GesAbsatz"/>
              <w:jc w:val="left"/>
            </w:pPr>
          </w:p>
        </w:tc>
      </w:tr>
      <w:tr>
        <w:trPr>
          <w:cantSplit/>
        </w:trPr>
        <w:tc>
          <w:tcPr>
            <w:tcW w:w="637" w:type="dxa"/>
          </w:tcPr>
          <w:p>
            <w:pPr>
              <w:pStyle w:val="GesAbsatz"/>
              <w:jc w:val="left"/>
            </w:pPr>
            <w:r>
              <w:t>15</w:t>
            </w:r>
          </w:p>
        </w:tc>
        <w:tc>
          <w:tcPr>
            <w:tcW w:w="3119" w:type="dxa"/>
          </w:tcPr>
          <w:p>
            <w:pPr>
              <w:pStyle w:val="GesAbsatz"/>
              <w:tabs>
                <w:tab w:val="right" w:pos="2765"/>
              </w:tabs>
              <w:jc w:val="left"/>
            </w:pPr>
            <w:r>
              <w:t>Destillation</w:t>
            </w:r>
            <w:r>
              <w:rPr>
                <w:rStyle w:val="Funotenzeichen"/>
              </w:rPr>
              <w:footnoteReference w:customMarkFollows="1" w:id="8"/>
              <w:t>4</w:t>
            </w:r>
            <w:r>
              <w:br/>
              <w:t>Volumenanteil, aufgefangen bei 250 °C</w:t>
            </w:r>
            <w:r>
              <w:br/>
              <w:t>Volumenanteil, aufgefangen bei 350 °C</w:t>
            </w:r>
            <w:r>
              <w:br/>
            </w:r>
            <w:r>
              <w:tab/>
            </w:r>
            <w:r>
              <w:tab/>
              <w:t>95 % Punkt</w:t>
            </w:r>
          </w:p>
        </w:tc>
        <w:tc>
          <w:tcPr>
            <w:tcW w:w="1276" w:type="dxa"/>
          </w:tcPr>
          <w:p>
            <w:pPr>
              <w:pStyle w:val="GesAbsatz"/>
              <w:jc w:val="left"/>
            </w:pPr>
            <w:r>
              <w:br/>
              <w:t>% (V/V)</w:t>
            </w:r>
            <w:r>
              <w:br/>
            </w:r>
            <w:r>
              <w:br/>
              <w:t>% (V/V)</w:t>
            </w:r>
            <w:r>
              <w:br/>
            </w:r>
            <w:r>
              <w:br/>
              <w:t>°C</w:t>
            </w:r>
          </w:p>
        </w:tc>
        <w:tc>
          <w:tcPr>
            <w:tcW w:w="992" w:type="dxa"/>
            <w:tcBorders>
              <w:top w:val="single" w:sz="4" w:space="0" w:color="auto"/>
              <w:bottom w:val="single" w:sz="4" w:space="0" w:color="auto"/>
            </w:tcBorders>
          </w:tcPr>
          <w:p>
            <w:pPr>
              <w:pStyle w:val="GesAbsatz"/>
              <w:jc w:val="left"/>
            </w:pPr>
            <w:r>
              <w:br/>
            </w:r>
            <w:r>
              <w:br/>
            </w:r>
            <w:r>
              <w:br/>
              <w:t>82,2</w:t>
            </w:r>
          </w:p>
        </w:tc>
        <w:tc>
          <w:tcPr>
            <w:tcW w:w="974" w:type="dxa"/>
            <w:tcBorders>
              <w:top w:val="single" w:sz="4" w:space="0" w:color="auto"/>
              <w:bottom w:val="single" w:sz="4" w:space="0" w:color="auto"/>
            </w:tcBorders>
          </w:tcPr>
          <w:p>
            <w:pPr>
              <w:pStyle w:val="GesAbsatz"/>
              <w:jc w:val="left"/>
            </w:pPr>
            <w:r>
              <w:br/>
              <w:t>&lt; 69,1</w:t>
            </w:r>
            <w:r>
              <w:br/>
            </w:r>
            <w:r>
              <w:br/>
            </w:r>
            <w:r>
              <w:br/>
            </w:r>
            <w:r>
              <w:br/>
              <w:t>366</w:t>
            </w:r>
          </w:p>
        </w:tc>
        <w:tc>
          <w:tcPr>
            <w:tcW w:w="2003" w:type="dxa"/>
          </w:tcPr>
          <w:p>
            <w:pPr>
              <w:pStyle w:val="GesAbsatz"/>
              <w:jc w:val="left"/>
            </w:pPr>
            <w:r>
              <w:t>prEN ISO 3405:1998</w:t>
            </w:r>
          </w:p>
        </w:tc>
        <w:tc>
          <w:tcPr>
            <w:tcW w:w="776" w:type="dxa"/>
          </w:tcPr>
          <w:p>
            <w:pPr>
              <w:pStyle w:val="GesAbsatz"/>
              <w:jc w:val="left"/>
            </w:pPr>
          </w:p>
        </w:tc>
      </w:tr>
      <w:tr>
        <w:trPr>
          <w:cantSplit/>
        </w:trPr>
        <w:tc>
          <w:tcPr>
            <w:tcW w:w="637" w:type="dxa"/>
          </w:tcPr>
          <w:p>
            <w:pPr>
              <w:pStyle w:val="GesAbsatz"/>
              <w:jc w:val="left"/>
            </w:pPr>
            <w:r>
              <w:t>16</w:t>
            </w:r>
          </w:p>
        </w:tc>
        <w:tc>
          <w:tcPr>
            <w:tcW w:w="3119" w:type="dxa"/>
          </w:tcPr>
          <w:p>
            <w:pPr>
              <w:pStyle w:val="GesAbsatz"/>
              <w:tabs>
                <w:tab w:val="right" w:pos="2765"/>
              </w:tabs>
              <w:jc w:val="left"/>
            </w:pPr>
            <w:r>
              <w:t>CFPP</w:t>
            </w:r>
            <w:r>
              <w:br/>
              <w:t>Klasse B (15.04. bis 30.09.)</w:t>
            </w:r>
            <w:r>
              <w:br/>
              <w:t>Klasse D (01.10. bis 15.11)</w:t>
            </w:r>
            <w:r>
              <w:br/>
              <w:t>Klasse F (16.11. bis 28.02.)</w:t>
            </w:r>
            <w:r>
              <w:br/>
              <w:t>Klasse D (01.10. bis 15.11.)</w:t>
            </w:r>
          </w:p>
        </w:tc>
        <w:tc>
          <w:tcPr>
            <w:tcW w:w="1276" w:type="dxa"/>
          </w:tcPr>
          <w:p>
            <w:pPr>
              <w:pStyle w:val="GesAbsatz"/>
              <w:jc w:val="left"/>
            </w:pPr>
            <w:r>
              <w:t>°C</w:t>
            </w:r>
          </w:p>
        </w:tc>
        <w:tc>
          <w:tcPr>
            <w:tcW w:w="992" w:type="dxa"/>
            <w:tcBorders>
              <w:top w:val="single" w:sz="4" w:space="0" w:color="auto"/>
            </w:tcBorders>
          </w:tcPr>
          <w:p>
            <w:pPr>
              <w:pStyle w:val="GesAbsatz"/>
              <w:jc w:val="left"/>
            </w:pPr>
          </w:p>
        </w:tc>
        <w:tc>
          <w:tcPr>
            <w:tcW w:w="974" w:type="dxa"/>
            <w:tcBorders>
              <w:top w:val="single" w:sz="4" w:space="0" w:color="auto"/>
            </w:tcBorders>
          </w:tcPr>
          <w:p>
            <w:pPr>
              <w:pStyle w:val="GesAbsatz"/>
              <w:jc w:val="left"/>
            </w:pPr>
            <w:r>
              <w:br/>
              <w:t>1,5</w:t>
            </w:r>
            <w:r>
              <w:br/>
              <w:t>- 7,9</w:t>
            </w:r>
            <w:r>
              <w:br/>
              <w:t>- 17,3</w:t>
            </w:r>
            <w:r>
              <w:br/>
              <w:t>- 7,9</w:t>
            </w:r>
          </w:p>
        </w:tc>
        <w:tc>
          <w:tcPr>
            <w:tcW w:w="2003" w:type="dxa"/>
          </w:tcPr>
          <w:p>
            <w:pPr>
              <w:pStyle w:val="GesAbsatz"/>
              <w:jc w:val="left"/>
            </w:pPr>
            <w:r>
              <w:t>EN 116</w:t>
            </w:r>
            <w:r>
              <w:br/>
              <w:t>(keine Datierung)</w:t>
            </w:r>
          </w:p>
        </w:tc>
        <w:tc>
          <w:tcPr>
            <w:tcW w:w="776" w:type="dxa"/>
          </w:tcPr>
          <w:p>
            <w:pPr>
              <w:pStyle w:val="GesAbsatz"/>
              <w:jc w:val="left"/>
            </w:pPr>
          </w:p>
        </w:tc>
      </w:tr>
    </w:tbl>
    <w:p>
      <w:pPr>
        <w:pStyle w:val="GesAbsatz"/>
        <w:jc w:val="left"/>
      </w:pPr>
    </w:p>
    <w:p>
      <w:pPr>
        <w:pStyle w:val="berschrift2"/>
        <w:jc w:val="left"/>
      </w:pPr>
      <w:r>
        <w:br w:type="page"/>
      </w:r>
      <w:bookmarkStart w:id="13" w:name="_Toc96330423"/>
      <w:r>
        <w:lastRenderedPageBreak/>
        <w:t>Anlage 4</w:t>
      </w:r>
      <w:bookmarkEnd w:id="13"/>
    </w:p>
    <w:p>
      <w:pPr>
        <w:pStyle w:val="GesAbsatz"/>
        <w:jc w:val="left"/>
        <w:rPr>
          <w:b/>
        </w:rPr>
      </w:pPr>
      <w:r>
        <w:rPr>
          <w:b/>
        </w:rPr>
        <w:t>Prüfprotokoll zur Überwachung der Kraftstoffqualitätsvorschriften Prüfgrenzwerte nach DIN EN ISO 4259, Ausgabe April 1996, zu DIN EN 589, Ausgabe Januar 2001, „Flüssiggaskraftstoff“</w:t>
      </w:r>
    </w:p>
    <w:p>
      <w:pPr>
        <w:pStyle w:val="GesAbsatz"/>
        <w:jc w:val="left"/>
      </w:pPr>
      <w:r>
        <w:t>Überprüfte Firma:</w:t>
      </w:r>
    </w:p>
    <w:p>
      <w:pPr>
        <w:pStyle w:val="GesAbsatz"/>
        <w:jc w:val="left"/>
      </w:pPr>
      <w:r>
        <w:t>Probebehälternummer: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3"/>
        <w:gridCol w:w="1921"/>
        <w:gridCol w:w="2075"/>
        <w:gridCol w:w="1912"/>
        <w:gridCol w:w="1906"/>
      </w:tblGrid>
      <w:tr>
        <w:tc>
          <w:tcPr>
            <w:tcW w:w="1963" w:type="dxa"/>
          </w:tcPr>
          <w:p>
            <w:pPr>
              <w:pStyle w:val="GesAbsatz"/>
              <w:jc w:val="left"/>
            </w:pPr>
            <w:r>
              <w:t>Stoffeigenschaft</w:t>
            </w:r>
          </w:p>
        </w:tc>
        <w:tc>
          <w:tcPr>
            <w:tcW w:w="1921" w:type="dxa"/>
          </w:tcPr>
          <w:p>
            <w:pPr>
              <w:pStyle w:val="GesAbsatz"/>
              <w:jc w:val="left"/>
            </w:pPr>
            <w:r>
              <w:t>Messeinheit</w:t>
            </w:r>
          </w:p>
        </w:tc>
        <w:tc>
          <w:tcPr>
            <w:tcW w:w="2075" w:type="dxa"/>
          </w:tcPr>
          <w:p>
            <w:pPr>
              <w:pStyle w:val="GesAbsatz"/>
              <w:jc w:val="left"/>
            </w:pPr>
            <w:r>
              <w:t>Ablehnungsgrenzwert</w:t>
            </w:r>
          </w:p>
        </w:tc>
        <w:tc>
          <w:tcPr>
            <w:tcW w:w="1912" w:type="dxa"/>
          </w:tcPr>
          <w:p>
            <w:pPr>
              <w:pStyle w:val="GesAbsatz"/>
              <w:jc w:val="left"/>
            </w:pPr>
            <w:r>
              <w:t>Prüfverfahren</w:t>
            </w:r>
          </w:p>
        </w:tc>
        <w:tc>
          <w:tcPr>
            <w:tcW w:w="1906" w:type="dxa"/>
          </w:tcPr>
          <w:p>
            <w:pPr>
              <w:pStyle w:val="GesAbsatz"/>
              <w:jc w:val="left"/>
            </w:pPr>
            <w:r>
              <w:t>Prüfergebnis</w:t>
            </w:r>
          </w:p>
        </w:tc>
      </w:tr>
      <w:tr>
        <w:tc>
          <w:tcPr>
            <w:tcW w:w="1963" w:type="dxa"/>
          </w:tcPr>
          <w:p>
            <w:pPr>
              <w:pStyle w:val="GesAbsatz"/>
              <w:jc w:val="left"/>
            </w:pPr>
            <w:r>
              <w:t>Klopffestigkeit</w:t>
            </w:r>
          </w:p>
        </w:tc>
        <w:tc>
          <w:tcPr>
            <w:tcW w:w="1921" w:type="dxa"/>
          </w:tcPr>
          <w:p>
            <w:pPr>
              <w:pStyle w:val="GesAbsatz"/>
              <w:jc w:val="left"/>
            </w:pPr>
          </w:p>
        </w:tc>
        <w:tc>
          <w:tcPr>
            <w:tcW w:w="2075" w:type="dxa"/>
          </w:tcPr>
          <w:p>
            <w:pPr>
              <w:pStyle w:val="GesAbsatz"/>
              <w:jc w:val="left"/>
            </w:pPr>
            <w:r>
              <w:t>min. 87,9</w:t>
            </w:r>
          </w:p>
        </w:tc>
        <w:tc>
          <w:tcPr>
            <w:tcW w:w="1912" w:type="dxa"/>
          </w:tcPr>
          <w:p>
            <w:pPr>
              <w:pStyle w:val="GesAbsatz"/>
              <w:jc w:val="left"/>
            </w:pPr>
            <w:r>
              <w:t>DIN EN 589 - Anhang B - Januar 2001</w:t>
            </w:r>
          </w:p>
        </w:tc>
        <w:tc>
          <w:tcPr>
            <w:tcW w:w="1906" w:type="dxa"/>
          </w:tcPr>
          <w:p>
            <w:pPr>
              <w:pStyle w:val="GesAbsatz"/>
              <w:jc w:val="left"/>
            </w:pPr>
          </w:p>
        </w:tc>
      </w:tr>
      <w:tr>
        <w:tc>
          <w:tcPr>
            <w:tcW w:w="1963" w:type="dxa"/>
          </w:tcPr>
          <w:p>
            <w:pPr>
              <w:pStyle w:val="GesAbsatz"/>
              <w:jc w:val="left"/>
            </w:pPr>
            <w:r>
              <w:t>Gehalt an Dienen</w:t>
            </w:r>
          </w:p>
        </w:tc>
        <w:tc>
          <w:tcPr>
            <w:tcW w:w="1921" w:type="dxa"/>
          </w:tcPr>
          <w:p>
            <w:pPr>
              <w:pStyle w:val="GesAbsatz"/>
              <w:jc w:val="left"/>
            </w:pPr>
            <w:r>
              <w:t>Mol. %</w:t>
            </w:r>
          </w:p>
        </w:tc>
        <w:tc>
          <w:tcPr>
            <w:tcW w:w="2075" w:type="dxa"/>
          </w:tcPr>
          <w:p>
            <w:pPr>
              <w:pStyle w:val="GesAbsatz"/>
              <w:jc w:val="left"/>
            </w:pPr>
            <w:r>
              <w:t>max. 1,7</w:t>
            </w:r>
          </w:p>
        </w:tc>
        <w:tc>
          <w:tcPr>
            <w:tcW w:w="1912" w:type="dxa"/>
          </w:tcPr>
          <w:p>
            <w:pPr>
              <w:pStyle w:val="GesAbsatz"/>
              <w:jc w:val="left"/>
            </w:pPr>
            <w:r>
              <w:t>DIN EN 27941 - Dezember 1993</w:t>
            </w:r>
          </w:p>
        </w:tc>
        <w:tc>
          <w:tcPr>
            <w:tcW w:w="1906" w:type="dxa"/>
          </w:tcPr>
          <w:p>
            <w:pPr>
              <w:pStyle w:val="GesAbsatz"/>
              <w:jc w:val="left"/>
            </w:pPr>
          </w:p>
        </w:tc>
      </w:tr>
      <w:tr>
        <w:tc>
          <w:tcPr>
            <w:tcW w:w="1963" w:type="dxa"/>
          </w:tcPr>
          <w:p>
            <w:pPr>
              <w:pStyle w:val="GesAbsatz"/>
              <w:jc w:val="left"/>
            </w:pPr>
            <w:r>
              <w:t>Schwefelwasserstoff</w:t>
            </w:r>
          </w:p>
        </w:tc>
        <w:tc>
          <w:tcPr>
            <w:tcW w:w="1921" w:type="dxa"/>
          </w:tcPr>
          <w:p>
            <w:pPr>
              <w:pStyle w:val="GesAbsatz"/>
              <w:jc w:val="left"/>
            </w:pPr>
          </w:p>
        </w:tc>
        <w:tc>
          <w:tcPr>
            <w:tcW w:w="2075" w:type="dxa"/>
          </w:tcPr>
          <w:p>
            <w:pPr>
              <w:pStyle w:val="GesAbsatz"/>
              <w:jc w:val="left"/>
            </w:pPr>
            <w:r>
              <w:t>bestanden</w:t>
            </w:r>
          </w:p>
        </w:tc>
        <w:tc>
          <w:tcPr>
            <w:tcW w:w="1912" w:type="dxa"/>
          </w:tcPr>
          <w:p>
            <w:pPr>
              <w:pStyle w:val="GesAbsatz"/>
              <w:jc w:val="left"/>
            </w:pPr>
            <w:r>
              <w:t>DIN EN ISO 8819 - Februar 1995</w:t>
            </w:r>
          </w:p>
        </w:tc>
        <w:tc>
          <w:tcPr>
            <w:tcW w:w="1906" w:type="dxa"/>
          </w:tcPr>
          <w:p>
            <w:pPr>
              <w:pStyle w:val="GesAbsatz"/>
              <w:jc w:val="left"/>
            </w:pPr>
          </w:p>
        </w:tc>
      </w:tr>
      <w:tr>
        <w:tc>
          <w:tcPr>
            <w:tcW w:w="1963" w:type="dxa"/>
          </w:tcPr>
          <w:p>
            <w:pPr>
              <w:pStyle w:val="GesAbsatz"/>
              <w:jc w:val="left"/>
            </w:pPr>
            <w:r>
              <w:t>Gehalt an Gesamtschwefel (nach Odorierung</w:t>
            </w:r>
          </w:p>
        </w:tc>
        <w:tc>
          <w:tcPr>
            <w:tcW w:w="1921" w:type="dxa"/>
          </w:tcPr>
          <w:p>
            <w:pPr>
              <w:pStyle w:val="GesAbsatz"/>
              <w:jc w:val="left"/>
            </w:pPr>
            <w:r>
              <w:t>mg/kg</w:t>
            </w:r>
          </w:p>
        </w:tc>
        <w:tc>
          <w:tcPr>
            <w:tcW w:w="2075" w:type="dxa"/>
          </w:tcPr>
          <w:p>
            <w:pPr>
              <w:pStyle w:val="GesAbsatz"/>
              <w:jc w:val="left"/>
            </w:pPr>
            <w:r>
              <w:t>max. 108</w:t>
            </w:r>
          </w:p>
        </w:tc>
        <w:tc>
          <w:tcPr>
            <w:tcW w:w="1912" w:type="dxa"/>
          </w:tcPr>
          <w:p>
            <w:pPr>
              <w:pStyle w:val="GesAbsatz"/>
              <w:jc w:val="left"/>
            </w:pPr>
            <w:r>
              <w:t>DIN EN 24 260 - Mai 1994</w:t>
            </w:r>
          </w:p>
        </w:tc>
        <w:tc>
          <w:tcPr>
            <w:tcW w:w="1906" w:type="dxa"/>
          </w:tcPr>
          <w:p>
            <w:pPr>
              <w:pStyle w:val="GesAbsatz"/>
              <w:jc w:val="left"/>
            </w:pPr>
          </w:p>
        </w:tc>
      </w:tr>
      <w:tr>
        <w:tc>
          <w:tcPr>
            <w:tcW w:w="1963" w:type="dxa"/>
          </w:tcPr>
          <w:p>
            <w:pPr>
              <w:pStyle w:val="GesAbsatz"/>
              <w:jc w:val="left"/>
            </w:pPr>
            <w:r>
              <w:t>Korrosionswirkung auf Kupfer (1 h bei 40 °C)</w:t>
            </w:r>
          </w:p>
        </w:tc>
        <w:tc>
          <w:tcPr>
            <w:tcW w:w="1921" w:type="dxa"/>
          </w:tcPr>
          <w:p>
            <w:pPr>
              <w:pStyle w:val="GesAbsatz"/>
              <w:jc w:val="left"/>
            </w:pPr>
            <w:r>
              <w:t>Korrosionsgrad</w:t>
            </w:r>
          </w:p>
        </w:tc>
        <w:tc>
          <w:tcPr>
            <w:tcW w:w="2075" w:type="dxa"/>
          </w:tcPr>
          <w:p>
            <w:pPr>
              <w:pStyle w:val="GesAbsatz"/>
              <w:jc w:val="left"/>
            </w:pPr>
            <w:r>
              <w:t>1</w:t>
            </w:r>
          </w:p>
        </w:tc>
        <w:tc>
          <w:tcPr>
            <w:tcW w:w="1912" w:type="dxa"/>
          </w:tcPr>
          <w:p>
            <w:pPr>
              <w:pStyle w:val="GesAbsatz"/>
              <w:jc w:val="left"/>
            </w:pPr>
            <w:r>
              <w:t>DIN EN ISO 6251 - August 1998</w:t>
            </w:r>
          </w:p>
        </w:tc>
        <w:tc>
          <w:tcPr>
            <w:tcW w:w="1906" w:type="dxa"/>
          </w:tcPr>
          <w:p>
            <w:pPr>
              <w:pStyle w:val="GesAbsatz"/>
              <w:jc w:val="left"/>
            </w:pPr>
          </w:p>
        </w:tc>
      </w:tr>
      <w:tr>
        <w:tc>
          <w:tcPr>
            <w:tcW w:w="1963" w:type="dxa"/>
          </w:tcPr>
          <w:p>
            <w:pPr>
              <w:pStyle w:val="GesAbsatz"/>
              <w:jc w:val="left"/>
            </w:pPr>
            <w:r>
              <w:t>Abdampfrückstand</w:t>
            </w:r>
          </w:p>
        </w:tc>
        <w:tc>
          <w:tcPr>
            <w:tcW w:w="1921" w:type="dxa"/>
          </w:tcPr>
          <w:p>
            <w:pPr>
              <w:pStyle w:val="GesAbsatz"/>
              <w:jc w:val="left"/>
            </w:pPr>
            <w:r>
              <w:t>mg/kg</w:t>
            </w:r>
          </w:p>
        </w:tc>
        <w:tc>
          <w:tcPr>
            <w:tcW w:w="2075" w:type="dxa"/>
          </w:tcPr>
          <w:p>
            <w:pPr>
              <w:pStyle w:val="GesAbsatz"/>
              <w:jc w:val="left"/>
            </w:pPr>
            <w:r>
              <w:t>max. 130</w:t>
            </w:r>
          </w:p>
        </w:tc>
        <w:tc>
          <w:tcPr>
            <w:tcW w:w="1912" w:type="dxa"/>
          </w:tcPr>
          <w:p>
            <w:pPr>
              <w:pStyle w:val="GesAbsatz"/>
              <w:jc w:val="left"/>
            </w:pPr>
            <w:r>
              <w:t>DIN EN ISO 13757</w:t>
            </w:r>
            <w:r>
              <w:br/>
              <w:t>Juni 1998</w:t>
            </w:r>
          </w:p>
        </w:tc>
        <w:tc>
          <w:tcPr>
            <w:tcW w:w="1906" w:type="dxa"/>
          </w:tcPr>
          <w:p>
            <w:pPr>
              <w:pStyle w:val="GesAbsatz"/>
              <w:jc w:val="left"/>
            </w:pPr>
          </w:p>
        </w:tc>
      </w:tr>
      <w:tr>
        <w:tc>
          <w:tcPr>
            <w:tcW w:w="1963" w:type="dxa"/>
          </w:tcPr>
          <w:p>
            <w:pPr>
              <w:pStyle w:val="GesAbsatz"/>
              <w:jc w:val="left"/>
            </w:pPr>
            <w:r>
              <w:t>Dampfdruck (Manometer-Dampf</w:t>
            </w:r>
            <w:r>
              <w:softHyphen/>
              <w:t>druck) bei 40 °C</w:t>
            </w:r>
          </w:p>
        </w:tc>
        <w:tc>
          <w:tcPr>
            <w:tcW w:w="1921" w:type="dxa"/>
          </w:tcPr>
          <w:p>
            <w:pPr>
              <w:pStyle w:val="GesAbsatz"/>
              <w:jc w:val="left"/>
            </w:pPr>
            <w:r>
              <w:t>kPa</w:t>
            </w:r>
          </w:p>
        </w:tc>
        <w:tc>
          <w:tcPr>
            <w:tcW w:w="2075" w:type="dxa"/>
          </w:tcPr>
          <w:p>
            <w:pPr>
              <w:pStyle w:val="GesAbsatz"/>
              <w:jc w:val="left"/>
            </w:pPr>
            <w:r>
              <w:t>max. 1561</w:t>
            </w:r>
          </w:p>
        </w:tc>
        <w:tc>
          <w:tcPr>
            <w:tcW w:w="1912" w:type="dxa"/>
          </w:tcPr>
          <w:p>
            <w:pPr>
              <w:pStyle w:val="GesAbsatz"/>
              <w:jc w:val="left"/>
            </w:pPr>
            <w:r>
              <w:t>DIN EN ISO 4256</w:t>
            </w:r>
            <w:r>
              <w:br/>
              <w:t>Januar 1999 und</w:t>
            </w:r>
          </w:p>
          <w:p>
            <w:pPr>
              <w:pStyle w:val="GesAbsatz"/>
              <w:jc w:val="left"/>
            </w:pPr>
            <w:r>
              <w:t>DIN EN ISO 8973</w:t>
            </w:r>
            <w:r>
              <w:br/>
              <w:t>Januar 2000</w:t>
            </w:r>
          </w:p>
        </w:tc>
        <w:tc>
          <w:tcPr>
            <w:tcW w:w="1906" w:type="dxa"/>
          </w:tcPr>
          <w:p>
            <w:pPr>
              <w:pStyle w:val="GesAbsatz"/>
              <w:jc w:val="left"/>
            </w:pPr>
          </w:p>
        </w:tc>
      </w:tr>
      <w:tr>
        <w:tc>
          <w:tcPr>
            <w:tcW w:w="1963" w:type="dxa"/>
          </w:tcPr>
          <w:p>
            <w:pPr>
              <w:pStyle w:val="GesAbsatz"/>
              <w:jc w:val="left"/>
            </w:pPr>
            <w:r>
              <w:t>Dampfdruck (Manometer-Dampf</w:t>
            </w:r>
            <w:r>
              <w:softHyphen/>
              <w:t>druck) min. 150 kP bei einer Temperatur von für Klasse B</w:t>
            </w:r>
          </w:p>
        </w:tc>
        <w:tc>
          <w:tcPr>
            <w:tcW w:w="1921" w:type="dxa"/>
          </w:tcPr>
          <w:p>
            <w:pPr>
              <w:pStyle w:val="GesAbsatz"/>
              <w:jc w:val="left"/>
            </w:pPr>
            <w:r>
              <w:t>°C</w:t>
            </w:r>
          </w:p>
        </w:tc>
        <w:tc>
          <w:tcPr>
            <w:tcW w:w="2075" w:type="dxa"/>
          </w:tcPr>
          <w:p>
            <w:pPr>
              <w:pStyle w:val="GesAbsatz"/>
              <w:jc w:val="left"/>
            </w:pPr>
            <w:r>
              <w:t>-5</w:t>
            </w:r>
          </w:p>
        </w:tc>
        <w:tc>
          <w:tcPr>
            <w:tcW w:w="1912" w:type="dxa"/>
          </w:tcPr>
          <w:p>
            <w:pPr>
              <w:pStyle w:val="GesAbsatz"/>
              <w:jc w:val="left"/>
            </w:pPr>
            <w:r>
              <w:t>EN ISO 8973 - März 2000 und DIN EN 589 Anhang C - Januar 2001</w:t>
            </w:r>
          </w:p>
        </w:tc>
        <w:tc>
          <w:tcPr>
            <w:tcW w:w="1906" w:type="dxa"/>
          </w:tcPr>
          <w:p>
            <w:pPr>
              <w:pStyle w:val="GesAbsatz"/>
              <w:jc w:val="left"/>
            </w:pPr>
          </w:p>
        </w:tc>
      </w:tr>
      <w:tr>
        <w:tc>
          <w:tcPr>
            <w:tcW w:w="1963" w:type="dxa"/>
          </w:tcPr>
          <w:p>
            <w:pPr>
              <w:pStyle w:val="GesAbsatz"/>
              <w:jc w:val="left"/>
            </w:pPr>
            <w:r>
              <w:t>Wassergehalt</w:t>
            </w:r>
          </w:p>
        </w:tc>
        <w:tc>
          <w:tcPr>
            <w:tcW w:w="1921" w:type="dxa"/>
          </w:tcPr>
          <w:p>
            <w:pPr>
              <w:pStyle w:val="GesAbsatz"/>
              <w:jc w:val="left"/>
            </w:pPr>
          </w:p>
        </w:tc>
        <w:tc>
          <w:tcPr>
            <w:tcW w:w="2075" w:type="dxa"/>
          </w:tcPr>
          <w:p>
            <w:pPr>
              <w:pStyle w:val="GesAbsatz"/>
              <w:jc w:val="left"/>
            </w:pPr>
            <w:r>
              <w:t>frei von ungelöstem Wasser</w:t>
            </w:r>
          </w:p>
        </w:tc>
        <w:tc>
          <w:tcPr>
            <w:tcW w:w="1912" w:type="dxa"/>
          </w:tcPr>
          <w:p>
            <w:pPr>
              <w:pStyle w:val="GesAbsatz"/>
              <w:jc w:val="left"/>
            </w:pPr>
            <w:r>
              <w:t>DIN EN 589 Pkt. 6.2 - Januar 2001</w:t>
            </w:r>
          </w:p>
        </w:tc>
        <w:tc>
          <w:tcPr>
            <w:tcW w:w="1906" w:type="dxa"/>
          </w:tcPr>
          <w:p>
            <w:pPr>
              <w:pStyle w:val="GesAbsatz"/>
              <w:jc w:val="left"/>
            </w:pPr>
          </w:p>
        </w:tc>
      </w:tr>
      <w:tr>
        <w:tc>
          <w:tcPr>
            <w:tcW w:w="1963" w:type="dxa"/>
          </w:tcPr>
          <w:p>
            <w:pPr>
              <w:pStyle w:val="GesAbsatz"/>
              <w:jc w:val="left"/>
            </w:pPr>
            <w:r>
              <w:t>Methanol-Gehalt</w:t>
            </w:r>
          </w:p>
        </w:tc>
        <w:tc>
          <w:tcPr>
            <w:tcW w:w="1921" w:type="dxa"/>
          </w:tcPr>
          <w:p>
            <w:pPr>
              <w:pStyle w:val="GesAbsatz"/>
              <w:jc w:val="left"/>
            </w:pPr>
            <w:r>
              <w:t>mg/kg</w:t>
            </w:r>
          </w:p>
        </w:tc>
        <w:tc>
          <w:tcPr>
            <w:tcW w:w="2075" w:type="dxa"/>
          </w:tcPr>
          <w:p>
            <w:pPr>
              <w:pStyle w:val="GesAbsatz"/>
              <w:jc w:val="left"/>
            </w:pPr>
            <w:r>
              <w:t>2050</w:t>
            </w:r>
          </w:p>
        </w:tc>
        <w:tc>
          <w:tcPr>
            <w:tcW w:w="1912" w:type="dxa"/>
          </w:tcPr>
          <w:p>
            <w:pPr>
              <w:pStyle w:val="GesAbsatz"/>
              <w:jc w:val="left"/>
            </w:pPr>
            <w:r>
              <w:t>ISO 8174 - Juni 1986</w:t>
            </w:r>
          </w:p>
        </w:tc>
        <w:tc>
          <w:tcPr>
            <w:tcW w:w="1906" w:type="dxa"/>
          </w:tcPr>
          <w:p>
            <w:pPr>
              <w:pStyle w:val="GesAbsatz"/>
              <w:jc w:val="left"/>
            </w:pPr>
          </w:p>
        </w:tc>
      </w:tr>
    </w:tbl>
    <w:p>
      <w:pPr>
        <w:pStyle w:val="GesAbsatz"/>
        <w:jc w:val="left"/>
      </w:pPr>
    </w:p>
    <w:sectPr>
      <w:headerReference w:type="default" r:id="rId7"/>
      <w:footerReference w:type="even" r:id="rId8"/>
      <w:footerReference w:type="default" r:id="rId9"/>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21.03.2002 (BAnz. Nr. 62 S. 6758)</w:t>
    </w:r>
    <w:r>
      <w:tab/>
      <w:t xml:space="preserve">Seite </w:t>
    </w: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Bei der Durchführung der FIA sind die Fußnoten c, d und e aus Tabelle 1 der DIN EN 228 zu berücksichtigen.</w:t>
      </w:r>
    </w:p>
  </w:footnote>
  <w:footnote w:id="2">
    <w:p>
      <w:pPr>
        <w:pStyle w:val="Funotentext"/>
      </w:pPr>
      <w:r>
        <w:rPr>
          <w:rStyle w:val="Funotenzeichen"/>
        </w:rPr>
        <w:footnoteRef/>
      </w:r>
      <w:r>
        <w:t xml:space="preserve"> Vom 1. Mai bis zum 30. September kommen die Werte der Klasse A zur Anwendung.</w:t>
      </w:r>
    </w:p>
  </w:footnote>
  <w:footnote w:id="3">
    <w:p>
      <w:pPr>
        <w:pStyle w:val="Funotentext"/>
      </w:pPr>
      <w:r>
        <w:rPr>
          <w:rStyle w:val="Funotenzeichen"/>
        </w:rPr>
        <w:footnoteRef/>
      </w:r>
      <w:r>
        <w:t xml:space="preserve"> Vom 16. November bis um 15. März kommen die Werte der Klasse D zur Anwendung.</w:t>
      </w:r>
    </w:p>
  </w:footnote>
  <w:footnote w:id="4">
    <w:p>
      <w:pPr>
        <w:pStyle w:val="Funotentext"/>
      </w:pPr>
      <w:r>
        <w:rPr>
          <w:rStyle w:val="Funotenzeichen"/>
        </w:rPr>
        <w:footnoteRef/>
      </w:r>
      <w:r>
        <w:t xml:space="preserve"> Vom 1. Oktober bis zum 15. November und vom 16. März bis zum 30. April kommen die Werte der Klasse D1 zur Anwendung. In diesen Übergangszeiten sind Mischungen aus den Klassen D1 und A zulässig; wobei die unteren Grenzwerte von Klasse A nicht unterschritten und die oberen Grenzwerte von Klasse D1 nicht überschritten werden dürfen.</w:t>
      </w:r>
    </w:p>
  </w:footnote>
  <w:footnote w:id="5">
    <w:p>
      <w:pPr>
        <w:pStyle w:val="Funotentext"/>
      </w:pPr>
      <w:r>
        <w:rPr>
          <w:rStyle w:val="Funotenzeichen"/>
        </w:rPr>
        <w:t>1</w:t>
      </w:r>
      <w:r>
        <w:t xml:space="preserve"> Dieser Ablehnungsgrenzwert (50,7) errechnet sich gemäß DIN EN ISO 4259 aus dem Grenzwert (51,0), abzüglich 0,59 x Reproduktionsbarkeit und zusätzlich der Korrektur (1,2) zur Umrechnung auf das Prüfergebnis für den CFR-Motor (d. h. 51,0 - 1,5 + 1,2 = 50,7)</w:t>
      </w:r>
    </w:p>
  </w:footnote>
  <w:footnote w:id="6">
    <w:p>
      <w:pPr>
        <w:pStyle w:val="Funotentext"/>
      </w:pPr>
      <w:r>
        <w:rPr>
          <w:rStyle w:val="Funotenzeichen"/>
        </w:rPr>
        <w:t>2</w:t>
      </w:r>
      <w:r>
        <w:t xml:space="preserve"> Im Streitfall sind die in DIN EN 590 genannten Referenz-Prüfverfahren anzuwenden.</w:t>
      </w:r>
    </w:p>
  </w:footnote>
  <w:footnote w:id="7">
    <w:p>
      <w:pPr>
        <w:pStyle w:val="Funotentext"/>
      </w:pPr>
      <w:r>
        <w:rPr>
          <w:rStyle w:val="Funotenzeichen"/>
        </w:rPr>
        <w:t>3</w:t>
      </w:r>
      <w:r>
        <w:t xml:space="preserve"> Der Grenzwert für den Koksrückstand in der Tabelle dieses Prüfprotokolls gilt für Produkte ohne Zündwilligkeitsverbesserer. Falls für einen Fertigkraftstoff ein höherer Wert ermittelt wird, ist die EN ISO 13 759 als Indikator für die Gegenwart von nitrathaltigen Komponenten anzuwenden. Für den Fall, dass dabei ein Zündwilligkeitsverbesserer nachgewiesen wird, ist der Grenzwert für den Koksrückstand für das geprüfte Produkt nicht anwendbar. Der Einsatz von Additiven befreit den Hersteller nicht davon, den Grenzwert von max. 0,3 % (Ablehnungsgrenzwert 0,37 %) Massenanteil Koksrückstand zur Zugabe von Additiven zu erfüllen.</w:t>
      </w:r>
    </w:p>
  </w:footnote>
  <w:footnote w:id="8">
    <w:p>
      <w:pPr>
        <w:pStyle w:val="Funotentext"/>
      </w:pPr>
      <w:r>
        <w:rPr>
          <w:rStyle w:val="Funotenzeichen"/>
          <w:sz w:val="16"/>
        </w:rPr>
        <w:t>4</w:t>
      </w:r>
      <w:r>
        <w:t xml:space="preserve"> Es ist anzumerken, dass die Angaben für 10 %, 50 % und 90 % Volumenanteil zur Berechnung des Cetanindexes auch erforderlich sind.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Archiv6.43</w:t>
    </w:r>
  </w:p>
  <w:p>
    <w:pPr>
      <w:pStyle w:val="Kopfzeile"/>
    </w:pPr>
    <w:r>
      <w:t>VV 10.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E8D26E6B-8A9C-420E-BB61-D590E795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11</Pages>
  <Words>2949</Words>
  <Characters>18377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VV 10. BImSchV</vt:lpstr>
    </vt:vector>
  </TitlesOfParts>
  <Company>LANUV NRW</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10. BImSchV</dc:title>
  <dc:creator>natrop</dc:creator>
  <dc:description>durchgesehen 02.2005</dc:description>
  <cp:lastModifiedBy>Rüter, Dr., Ingo</cp:lastModifiedBy>
  <cp:revision>3</cp:revision>
  <cp:lastPrinted>2411-12-31T22:59:00Z</cp:lastPrinted>
  <dcterms:created xsi:type="dcterms:W3CDTF">2016-11-16T14:28:00Z</dcterms:created>
  <dcterms:modified xsi:type="dcterms:W3CDTF">2024-07-03T12:25:00Z</dcterms:modified>
</cp:coreProperties>
</file>