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2C" w:rsidRPr="00561109" w:rsidRDefault="00B5062C" w:rsidP="00561109">
      <w:pPr>
        <w:pStyle w:val="berschrift1"/>
      </w:pPr>
      <w:bookmarkStart w:id="0" w:name="_Toc22541898"/>
      <w:r w:rsidRPr="00561109">
        <w:t>Zulässigkeit von Biogasanlagen,</w:t>
      </w:r>
      <w:r w:rsidRPr="00561109">
        <w:br/>
        <w:t>Immissionsschutzrechtliches und Bau- Genehmigungsverfahren</w:t>
      </w:r>
      <w:bookmarkEnd w:id="0"/>
    </w:p>
    <w:p w:rsidR="00B5062C" w:rsidRDefault="00B5062C">
      <w:pPr>
        <w:pStyle w:val="GesAbsatz"/>
        <w:jc w:val="center"/>
        <w:rPr>
          <w:rFonts w:cs="Arial"/>
        </w:rPr>
      </w:pPr>
      <w:r>
        <w:rPr>
          <w:rFonts w:cs="Arial"/>
        </w:rPr>
        <w:t>Gem. RdErl. d. Ministeriums f</w:t>
      </w:r>
      <w:bookmarkStart w:id="1" w:name="_GoBack"/>
      <w:bookmarkEnd w:id="1"/>
      <w:r>
        <w:rPr>
          <w:rFonts w:cs="Arial"/>
        </w:rPr>
        <w:t xml:space="preserve">ür Umwelt und Naturschutz, Landwirtschaft und Verbraucherschutz </w:t>
      </w:r>
      <w:r>
        <w:rPr>
          <w:rFonts w:cs="Arial"/>
        </w:rPr>
        <w:br/>
        <w:t>– II-5 –2289.64.10 / V-7 – 8851.1.6/4</w:t>
      </w:r>
      <w:r>
        <w:rPr>
          <w:rFonts w:cs="Arial"/>
        </w:rPr>
        <w:br/>
        <w:t>u. d. Ministeriums für Städtebau und Wohnen, Kultur und Sport</w:t>
      </w:r>
      <w:r>
        <w:rPr>
          <w:rFonts w:cs="Arial"/>
        </w:rPr>
        <w:br/>
        <w:t>- II A 1.901.34 – v. 23.</w:t>
      </w:r>
      <w:r w:rsidR="00561109">
        <w:rPr>
          <w:rFonts w:cs="Arial"/>
        </w:rPr>
        <w:t>0</w:t>
      </w:r>
      <w:r>
        <w:rPr>
          <w:rFonts w:cs="Arial"/>
        </w:rPr>
        <w:t>1.2002</w:t>
      </w:r>
    </w:p>
    <w:p w:rsidR="00FF3A3D" w:rsidRPr="00FF3A3D" w:rsidRDefault="00FF3A3D" w:rsidP="00FF3A3D">
      <w:pPr>
        <w:pStyle w:val="GesAbsatz"/>
        <w:jc w:val="left"/>
        <w:rPr>
          <w:rFonts w:cs="Arial"/>
          <w:b/>
          <w:i/>
          <w:color w:val="FF0000"/>
          <w:sz w:val="22"/>
          <w:szCs w:val="22"/>
        </w:rPr>
      </w:pPr>
      <w:r w:rsidRPr="00FF3A3D">
        <w:rPr>
          <w:rFonts w:cs="Arial"/>
          <w:b/>
          <w:i/>
          <w:color w:val="FF0000"/>
          <w:sz w:val="22"/>
          <w:szCs w:val="22"/>
        </w:rPr>
        <w:t xml:space="preserve">Aufgehoben durch RdErl. v. </w:t>
      </w:r>
      <w:r w:rsidR="00561109">
        <w:rPr>
          <w:rFonts w:cs="Arial"/>
          <w:b/>
          <w:i/>
          <w:color w:val="FF0000"/>
          <w:sz w:val="22"/>
          <w:szCs w:val="22"/>
        </w:rPr>
        <w:t>0</w:t>
      </w:r>
      <w:r w:rsidRPr="00FF3A3D">
        <w:rPr>
          <w:rFonts w:cs="Arial"/>
          <w:b/>
          <w:i/>
          <w:color w:val="FF0000"/>
          <w:sz w:val="22"/>
          <w:szCs w:val="22"/>
        </w:rPr>
        <w:t>8.10.2004 (MBl. NRW. 2004 S. 945)</w:t>
      </w:r>
    </w:p>
    <w:p w:rsidR="00B5062C" w:rsidRDefault="00B5062C" w:rsidP="00F51837">
      <w:hyperlink r:id="rId8" w:tooltip="LINK zur Vorschrift im SMBl. NRW. 7129 =&gt; nur für NRW-Behörden über das Landesverwaltungsnetz NRW (LVN) erreichbar!" w:history="1">
        <w:r>
          <w:rPr>
            <w:rStyle w:val="Hyperlink"/>
            <w:rFonts w:cs="Arial"/>
          </w:rPr>
          <w:t>LINK zur V</w:t>
        </w:r>
        <w:r>
          <w:rPr>
            <w:rStyle w:val="Hyperlink"/>
            <w:rFonts w:cs="Arial"/>
          </w:rPr>
          <w:t>o</w:t>
        </w:r>
        <w:r>
          <w:rPr>
            <w:rStyle w:val="Hyperlink"/>
            <w:rFonts w:cs="Arial"/>
          </w:rPr>
          <w:t>rschrift im S</w:t>
        </w:r>
        <w:r>
          <w:rPr>
            <w:rStyle w:val="Hyperlink"/>
            <w:rFonts w:cs="Arial"/>
          </w:rPr>
          <w:t>M</w:t>
        </w:r>
        <w:r>
          <w:rPr>
            <w:rStyle w:val="Hyperlink"/>
            <w:rFonts w:cs="Arial"/>
          </w:rPr>
          <w:t>Bl</w:t>
        </w:r>
        <w:r>
          <w:rPr>
            <w:rStyle w:val="Hyperlink"/>
            <w:rFonts w:cs="Arial"/>
          </w:rPr>
          <w:t>.</w:t>
        </w:r>
        <w:r>
          <w:rPr>
            <w:rStyle w:val="Hyperlink"/>
            <w:rFonts w:cs="Arial"/>
          </w:rPr>
          <w:t xml:space="preserve"> N</w:t>
        </w:r>
        <w:r>
          <w:rPr>
            <w:rStyle w:val="Hyperlink"/>
            <w:rFonts w:cs="Arial"/>
          </w:rPr>
          <w:t>R</w:t>
        </w:r>
        <w:r>
          <w:rPr>
            <w:rStyle w:val="Hyperlink"/>
            <w:rFonts w:cs="Arial"/>
          </w:rPr>
          <w:t>W. 7129:</w:t>
        </w:r>
      </w:hyperlink>
    </w:p>
    <w:p w:rsidR="00B5062C" w:rsidRDefault="00B5062C">
      <w:pPr>
        <w:pStyle w:val="GesAbsatz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Inhalt:</w:t>
      </w:r>
    </w:p>
    <w:p w:rsidR="00B5062C" w:rsidRDefault="00B5062C">
      <w:pPr>
        <w:pStyle w:val="Verzeichnis1"/>
        <w:tabs>
          <w:tab w:val="clear" w:pos="9638"/>
          <w:tab w:val="right" w:leader="dot" w:pos="9627"/>
        </w:tabs>
        <w:rPr>
          <w:b w:val="0"/>
          <w:bCs/>
          <w:caps w:val="0"/>
          <w:noProof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22541898" w:history="1">
        <w:r>
          <w:rPr>
            <w:rStyle w:val="Hyperlink"/>
            <w:noProof/>
            <w:szCs w:val="28"/>
          </w:rPr>
          <w:t>Zulässigkeit von Biogasanlagen, Immissionsschutzrechtliches und Bau- Genehmigungsverfahren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_Toc22541898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56110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062C" w:rsidRDefault="00B5062C">
      <w:pPr>
        <w:pStyle w:val="Verzeichnis2"/>
        <w:tabs>
          <w:tab w:val="clear" w:pos="9638"/>
          <w:tab w:val="right" w:leader="dot" w:pos="9627"/>
        </w:tabs>
        <w:rPr>
          <w:smallCaps w:val="0"/>
          <w:noProof/>
          <w:sz w:val="24"/>
        </w:rPr>
      </w:pPr>
      <w:hyperlink w:anchor="_Toc22541899" w:history="1">
        <w:r>
          <w:rPr>
            <w:rStyle w:val="Hyperlink"/>
            <w:noProof/>
          </w:rPr>
          <w:t>1 Immissionsschutzrechtliches 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_Toc22541899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56110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5062C" w:rsidRDefault="00B5062C">
      <w:pPr>
        <w:pStyle w:val="Verzeichnis2"/>
        <w:tabs>
          <w:tab w:val="clear" w:pos="9638"/>
          <w:tab w:val="right" w:leader="dot" w:pos="9627"/>
        </w:tabs>
        <w:rPr>
          <w:smallCaps w:val="0"/>
          <w:noProof/>
          <w:sz w:val="24"/>
        </w:rPr>
      </w:pPr>
      <w:hyperlink w:anchor="_Toc22541900" w:history="1">
        <w:r>
          <w:rPr>
            <w:rStyle w:val="Hyperlink"/>
            <w:noProof/>
          </w:rPr>
          <w:t>2 Baugenehmigungsverfahren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_Toc22541900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56110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5062C" w:rsidRDefault="00B5062C">
      <w:pPr>
        <w:pStyle w:val="Verzeichnis2"/>
        <w:tabs>
          <w:tab w:val="clear" w:pos="9638"/>
          <w:tab w:val="right" w:leader="dot" w:pos="9627"/>
        </w:tabs>
        <w:rPr>
          <w:smallCaps w:val="0"/>
          <w:noProof/>
          <w:sz w:val="24"/>
        </w:rPr>
      </w:pPr>
      <w:hyperlink w:anchor="_Toc22541901" w:history="1">
        <w:r>
          <w:rPr>
            <w:rStyle w:val="Hyperlink"/>
            <w:noProof/>
          </w:rPr>
          <w:t>3 Bauplanungsrechtliche Zulässigkeit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_Toc22541901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56110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5062C" w:rsidRDefault="00B5062C">
      <w:pPr>
        <w:pStyle w:val="Verzeichnis3"/>
        <w:tabs>
          <w:tab w:val="clear" w:pos="9638"/>
          <w:tab w:val="right" w:leader="dot" w:pos="9627"/>
        </w:tabs>
        <w:rPr>
          <w:i w:val="0"/>
          <w:iCs/>
          <w:noProof/>
          <w:sz w:val="24"/>
        </w:rPr>
      </w:pPr>
      <w:hyperlink w:anchor="_Toc22541902" w:history="1">
        <w:r>
          <w:rPr>
            <w:rStyle w:val="Hyperlink"/>
            <w:noProof/>
          </w:rPr>
          <w:t>3.1 Errichtung von Biogasanlagen in Baugebieten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_Toc22541902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56110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5062C" w:rsidRDefault="00B5062C">
      <w:pPr>
        <w:pStyle w:val="Verzeichnis3"/>
        <w:tabs>
          <w:tab w:val="clear" w:pos="9638"/>
          <w:tab w:val="right" w:leader="dot" w:pos="9627"/>
        </w:tabs>
        <w:rPr>
          <w:i w:val="0"/>
          <w:iCs/>
          <w:noProof/>
          <w:sz w:val="24"/>
        </w:rPr>
      </w:pPr>
      <w:hyperlink w:anchor="_Toc22541903" w:history="1">
        <w:r>
          <w:rPr>
            <w:rStyle w:val="Hyperlink"/>
            <w:bCs/>
            <w:noProof/>
          </w:rPr>
          <w:t xml:space="preserve">3.2 </w:t>
        </w:r>
        <w:r>
          <w:rPr>
            <w:rStyle w:val="Hyperlink"/>
            <w:noProof/>
          </w:rPr>
          <w:t>im Außenbereich nach § 35 BauGB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_Toc22541903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56110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5062C" w:rsidRPr="00561109" w:rsidRDefault="00B5062C" w:rsidP="00561109">
      <w:pPr>
        <w:pStyle w:val="GesAbsatz"/>
      </w:pPr>
      <w:r>
        <w:fldChar w:fldCharType="end"/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Der energetischen Nutzung von Biomasse kommt unter den Aspekten des Klimaschutzes, der Ressource</w:t>
      </w:r>
      <w:r>
        <w:rPr>
          <w:rFonts w:cs="Arial"/>
        </w:rPr>
        <w:t>n</w:t>
      </w:r>
      <w:r>
        <w:rPr>
          <w:rFonts w:cs="Arial"/>
        </w:rPr>
        <w:t>schonung und der effizienten Energienutzung eine wachsende Bedeutung für die Energieversorgung zu.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Um übergeordnete Ziele der Energiepolitik und des Klimaschutzes auf europäischer und nationaler Ebene zu erreichen, muss die energetische Nutzung von Biomasse erheblich gesteigert werden. Die Erzeugung von Biogas und dessen U</w:t>
      </w:r>
      <w:r>
        <w:rPr>
          <w:rFonts w:cs="Arial"/>
        </w:rPr>
        <w:t>m</w:t>
      </w:r>
      <w:r>
        <w:rPr>
          <w:rFonts w:cs="Arial"/>
        </w:rPr>
        <w:t>wandlung in Strom und Wärme im Rahmen landwirtschaftlicher Tätigkeiten ist dazu in besonderem Maße geeignet.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 xml:space="preserve">Nachdem auf Bundesebene die dazu notwendigen Rahmenbedingungen durch das Erneuerbare-Energien-Gesetz vom 29. März 2000 (EEG) und die Biomasseverordnung sowie die Förderprogramme des Bundes und des Landes geschaffen wurden, gilt es nun, das in Nordrhein-Westfalen vorhandene Potenzial nutzbar zu machen. 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Dazu zählt auch die Schaffung transparenter und einheitlicher Genehmigungsvoraussetzungen für Bioga</w:t>
      </w:r>
      <w:r>
        <w:rPr>
          <w:rFonts w:cs="Arial"/>
        </w:rPr>
        <w:t>s</w:t>
      </w:r>
      <w:r>
        <w:rPr>
          <w:rFonts w:cs="Arial"/>
        </w:rPr>
        <w:t>anlagen.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Dabei ist darauf hinzuweisen, dass – unter Beachtung des Freiraumschutzes und der Belange des Natu</w:t>
      </w:r>
      <w:r>
        <w:rPr>
          <w:rFonts w:cs="Arial"/>
        </w:rPr>
        <w:t>r</w:t>
      </w:r>
      <w:r>
        <w:rPr>
          <w:rFonts w:cs="Arial"/>
        </w:rPr>
        <w:t>schutzes, des Immissionsschutzes und der Landschaftspflege sowie anderer Umweltbelange – eine re</w:t>
      </w:r>
      <w:r>
        <w:rPr>
          <w:rFonts w:cs="Arial"/>
        </w:rPr>
        <w:t>s</w:t>
      </w:r>
      <w:r>
        <w:rPr>
          <w:rFonts w:cs="Arial"/>
        </w:rPr>
        <w:t>sourcenschonende Energiee</w:t>
      </w:r>
      <w:r>
        <w:rPr>
          <w:rFonts w:cs="Arial"/>
        </w:rPr>
        <w:t>r</w:t>
      </w:r>
      <w:r>
        <w:rPr>
          <w:rFonts w:cs="Arial"/>
        </w:rPr>
        <w:t>zeugung aus Biogas wesentlich zum Erhalt der natürlichen Lebensgrundlagen beiträgt und zugleich die wirtschaftlichen Grundlagen der heimischen Landwirtschaft verbessert.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Die Prüfung, ob eine Biogasanlage insbesondere den immissionsschutzrechtlichen, abfallrechtlichen, ba</w:t>
      </w:r>
      <w:r>
        <w:rPr>
          <w:rFonts w:cs="Arial"/>
        </w:rPr>
        <w:t>u</w:t>
      </w:r>
      <w:r>
        <w:rPr>
          <w:rFonts w:cs="Arial"/>
        </w:rPr>
        <w:t>rechtlichen u.a. Bestimmungen entspricht, erfolgt in einem Baugenehmigungsverfahren oder - soweit die Anlagen bestimmte Kriterien erfüllen - in einem immissionsschutzrechtlichen G</w:t>
      </w:r>
      <w:r>
        <w:rPr>
          <w:rFonts w:cs="Arial"/>
        </w:rPr>
        <w:t>e</w:t>
      </w:r>
      <w:r>
        <w:rPr>
          <w:rFonts w:cs="Arial"/>
        </w:rPr>
        <w:t>nehmigungsverfahren nach dem Bundes-Immissionsschutzgesetz (BImSchG). Die Genehmigung nach dem BImSchG schließt die Ba</w:t>
      </w:r>
      <w:r>
        <w:rPr>
          <w:rFonts w:cs="Arial"/>
        </w:rPr>
        <w:t>u</w:t>
      </w:r>
      <w:r>
        <w:rPr>
          <w:rFonts w:cs="Arial"/>
        </w:rPr>
        <w:t>genehmigung ein (§ 13 BImSchG, § 63 Abs. 2 BauO NRW); bei der Baugenehmigung hat die Bauaufsicht</w:t>
      </w:r>
      <w:r>
        <w:rPr>
          <w:rFonts w:cs="Arial"/>
        </w:rPr>
        <w:t>s</w:t>
      </w:r>
      <w:r>
        <w:rPr>
          <w:rFonts w:cs="Arial"/>
        </w:rPr>
        <w:t>behörde sicherzustellen, dass von baulichen Anlagen keine Gefahren oder unzumutbaren Belästigungen ausgehen (§ 16 BauO NRW).</w:t>
      </w:r>
    </w:p>
    <w:p w:rsidR="00B5062C" w:rsidRPr="00F51837" w:rsidRDefault="00B5062C" w:rsidP="00F51837">
      <w:pPr>
        <w:pStyle w:val="berschrift2"/>
        <w:jc w:val="left"/>
      </w:pPr>
      <w:bookmarkStart w:id="2" w:name="_Toc22541899"/>
      <w:r w:rsidRPr="00F51837">
        <w:t>1 Immissionsschutzrechtliches Verfahren</w:t>
      </w:r>
      <w:bookmarkEnd w:id="2"/>
    </w:p>
    <w:p w:rsidR="00B5062C" w:rsidRDefault="00B5062C">
      <w:pPr>
        <w:pStyle w:val="GesAbsatz"/>
        <w:jc w:val="left"/>
        <w:rPr>
          <w:rFonts w:cs="Arial"/>
        </w:rPr>
      </w:pPr>
      <w:r>
        <w:rPr>
          <w:rFonts w:cs="Arial"/>
        </w:rPr>
        <w:t>Im Rahmen des immissionsschutzrechtlichen Genehmigungsverfahrens ist im Einzelfall zu en</w:t>
      </w:r>
      <w:r>
        <w:rPr>
          <w:rFonts w:cs="Arial"/>
        </w:rPr>
        <w:t>t</w:t>
      </w:r>
      <w:r>
        <w:rPr>
          <w:rFonts w:cs="Arial"/>
        </w:rPr>
        <w:t>scheiden, ob die Anlagen im förmlichen Verfahren mit Öffentlichkeitsbeteiligung oder im vereinfachten Verfahren zu g</w:t>
      </w:r>
      <w:r>
        <w:rPr>
          <w:rFonts w:cs="Arial"/>
        </w:rPr>
        <w:t>e</w:t>
      </w:r>
      <w:r>
        <w:rPr>
          <w:rFonts w:cs="Arial"/>
        </w:rPr>
        <w:t>nehmigen sind.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Biogasanlagen sind gem. Nr. 8.6 des Anhangs zur 4.BImschV nach deren Novellierung durch das Gesetz zur Umsetzung der UVP-Änderungsrichtlinie, der IVU-Richtlinie und weiterer EG-Richtlinien zum Umwel</w:t>
      </w:r>
      <w:r>
        <w:rPr>
          <w:rFonts w:cs="Arial"/>
        </w:rPr>
        <w:t>t</w:t>
      </w:r>
      <w:r>
        <w:rPr>
          <w:rFonts w:cs="Arial"/>
        </w:rPr>
        <w:t>schutz vom 27. Juli 2001 in einem immissionsschutzrechtlichen Genehm</w:t>
      </w:r>
      <w:r>
        <w:rPr>
          <w:rFonts w:cs="Arial"/>
        </w:rPr>
        <w:t>i</w:t>
      </w:r>
      <w:r>
        <w:rPr>
          <w:rFonts w:cs="Arial"/>
        </w:rPr>
        <w:t>gungsverfahren zu genehmigen, wenn die Durchsatzleistung von 10 Tonnen je Tag nicht besonders überwachungsbedürftiger Abfälle bzw. 1 Tonne je Tag besonders überwachungsbedürftiger Abfälle, auf die die Vorschriften des Kreislaufwir</w:t>
      </w:r>
      <w:r>
        <w:rPr>
          <w:rFonts w:cs="Arial"/>
        </w:rPr>
        <w:t>t</w:t>
      </w:r>
      <w:r>
        <w:rPr>
          <w:rFonts w:cs="Arial"/>
        </w:rPr>
        <w:t>schafts- und Abfallgesetzes (KrW-/AbfG) Anwendung finden, überschritten wird.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Biogasanlagen sind, auch bei Unterschreitung der vorgenannten Durchsatzleistungen, in einem immission</w:t>
      </w:r>
      <w:r>
        <w:rPr>
          <w:rFonts w:cs="Arial"/>
        </w:rPr>
        <w:t>s</w:t>
      </w:r>
      <w:r>
        <w:rPr>
          <w:rFonts w:cs="Arial"/>
        </w:rPr>
        <w:t>schutzrech</w:t>
      </w:r>
      <w:r>
        <w:rPr>
          <w:rFonts w:cs="Arial"/>
        </w:rPr>
        <w:t>t</w:t>
      </w:r>
      <w:r>
        <w:rPr>
          <w:rFonts w:cs="Arial"/>
        </w:rPr>
        <w:t>lichen Genehmigungsverfahren zu genehmigen, wenn sie als Nebeneinrichtung gem. § 1 Abs. 2 Nr. 2 der 4.BImSchV im Zusammenhang mit einer nach dem BImSchG genehm</w:t>
      </w:r>
      <w:r>
        <w:rPr>
          <w:rFonts w:cs="Arial"/>
        </w:rPr>
        <w:t>i</w:t>
      </w:r>
      <w:r>
        <w:rPr>
          <w:rFonts w:cs="Arial"/>
        </w:rPr>
        <w:t xml:space="preserve">gungsbedürftigen Anlage </w:t>
      </w:r>
      <w:r>
        <w:rPr>
          <w:rFonts w:cs="Arial"/>
        </w:rPr>
        <w:lastRenderedPageBreak/>
        <w:t>betrieben werden. In diesen Fällen ist im Einzelnen zu prüfen, ob ein förmliches oder ein vereinfachtes G</w:t>
      </w:r>
      <w:r>
        <w:rPr>
          <w:rFonts w:cs="Arial"/>
        </w:rPr>
        <w:t>e</w:t>
      </w:r>
      <w:r>
        <w:rPr>
          <w:rFonts w:cs="Arial"/>
        </w:rPr>
        <w:t>nehmigungsverfahren durchzuführen ist. Dies kann u.a. im Zusammenhang mit nachstehenden Anlagena</w:t>
      </w:r>
      <w:r>
        <w:rPr>
          <w:rFonts w:cs="Arial"/>
        </w:rPr>
        <w:t>r</w:t>
      </w:r>
      <w:r>
        <w:rPr>
          <w:rFonts w:cs="Arial"/>
        </w:rPr>
        <w:t xml:space="preserve">ten möglich sein: 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 xml:space="preserve">genehmigungsbedürftige Tierhaltungsbetriebe (Nr. 7.1 des Anhangs der 4.BImSchV) oder 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>genehmigungsbedürftige Anlagen zur Lagerung von Gülle mit einem Fassungsvermögen von 2500 Kubi</w:t>
      </w:r>
      <w:r w:rsidR="00B5062C" w:rsidRPr="00561109">
        <w:t>k</w:t>
      </w:r>
      <w:r w:rsidR="00B5062C" w:rsidRPr="00561109">
        <w:t xml:space="preserve">metern oder mehr (Nr. </w:t>
      </w:r>
      <w:smartTag w:uri="urn:schemas-microsoft-com:office:smarttags" w:element="time">
        <w:smartTagPr>
          <w:attr w:name="Minute" w:val="36"/>
          <w:attr w:name="Hour" w:val="9"/>
        </w:smartTagPr>
        <w:r w:rsidR="00B5062C" w:rsidRPr="00561109">
          <w:t>9.36</w:t>
        </w:r>
      </w:smartTag>
      <w:r w:rsidR="00B5062C" w:rsidRPr="00561109">
        <w:t xml:space="preserve"> des Anhangs der 4.BImSchV) oder 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>genehmigungsbedürftige Verbrennungsmotoranlagen mit einer Feuerungswärmeleistung von 1 Meg</w:t>
      </w:r>
      <w:r w:rsidR="00B5062C" w:rsidRPr="00561109">
        <w:t>a</w:t>
      </w:r>
      <w:r w:rsidR="00B5062C" w:rsidRPr="00561109">
        <w:t xml:space="preserve">watt oder mehr (Nr. 1.4 des Anhangs der 4.BImSchV) oder 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 xml:space="preserve">genehmigungsbedürftige Gasturbinenanlagen zur Erzeugung von Strom, Dampf, Warmwasser mit einer Feuerungswärmeleistung von 1 Megawatt oder mehr (Nr. 1.5 des Anhangs der 4.BImSchV) oder 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>genehmigungsbedürftige Anlagen zur zeitweiligen Lagerung von besonders überwachungsbedürftigen A</w:t>
      </w:r>
      <w:r w:rsidR="00B5062C" w:rsidRPr="00561109">
        <w:t>b</w:t>
      </w:r>
      <w:r w:rsidR="00B5062C" w:rsidRPr="00561109">
        <w:t>fällen, auf die die Vorschriften des Kreislaufwirtschafts- und Abfallgesetzes (KrW-/AbfG) Anwendung finden, mit einer Aufnahmekapazität von 1 Tonne oder mehr je Tag oder einer Gesamtlagerkapazität von 30 Tonnen oder mehr bzw. zur zeitweiligen Lagerung von nicht besonders überwachungsbedürft</w:t>
      </w:r>
      <w:r w:rsidR="00B5062C" w:rsidRPr="00561109">
        <w:t>i</w:t>
      </w:r>
      <w:r w:rsidR="00B5062C" w:rsidRPr="00561109">
        <w:t xml:space="preserve">gen Abfällen, auf die die Vorschriften des KrW-/AbfG Anwendung finden, mit einer Aufnahmekapazität von 10 Tonnen oder mehr je Tag oder einer Gesamtlagerkapazität von 100 Tonnen oder mehr (Nr. </w:t>
      </w:r>
      <w:smartTag w:uri="urn:schemas-microsoft-com:office:smarttags" w:element="time">
        <w:smartTagPr>
          <w:attr w:name="Minute" w:val="12"/>
          <w:attr w:name="Hour" w:val="8"/>
        </w:smartTagPr>
        <w:r w:rsidR="00B5062C" w:rsidRPr="00561109">
          <w:t>8.12</w:t>
        </w:r>
      </w:smartTag>
      <w:r w:rsidR="00B5062C" w:rsidRPr="00561109">
        <w:t xml:space="preserve"> des Anhangs der 4.BImSchV).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Auf Nr. 9 der Verwaltungsvorschriften zum Bundes-Immissionsschutzgesetz (Gem. RdErl. v. 01.09.2000, MBl. NRW. S. 1180 / SMBl. NRW. 7129) wird verwiesen.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Bei der Genehmigung sind die abfall- und düngerechtlichen Vorschriften zu beachten. Hierzu erfolgt geso</w:t>
      </w:r>
      <w:r>
        <w:rPr>
          <w:rFonts w:cs="Arial"/>
        </w:rPr>
        <w:t>n</w:t>
      </w:r>
      <w:r>
        <w:rPr>
          <w:rFonts w:cs="Arial"/>
        </w:rPr>
        <w:t>derte Reg</w:t>
      </w:r>
      <w:r>
        <w:rPr>
          <w:rFonts w:cs="Arial"/>
        </w:rPr>
        <w:t>e</w:t>
      </w:r>
      <w:r>
        <w:rPr>
          <w:rFonts w:cs="Arial"/>
        </w:rPr>
        <w:t>lung.</w:t>
      </w:r>
    </w:p>
    <w:p w:rsidR="00B5062C" w:rsidRPr="00F51837" w:rsidRDefault="00B5062C" w:rsidP="00F51837">
      <w:pPr>
        <w:pStyle w:val="berschrift2"/>
        <w:jc w:val="left"/>
      </w:pPr>
      <w:bookmarkStart w:id="3" w:name="_Toc22541900"/>
      <w:r w:rsidRPr="00F51837">
        <w:rPr>
          <w:bCs/>
        </w:rPr>
        <w:t>2 Baugenehmigungsverfahren</w:t>
      </w:r>
      <w:bookmarkEnd w:id="3"/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Soweit die beantragte Biogasanlage keine selbständig immissionsschutzrechtlich genehmigungsbedürftige Anlage da</w:t>
      </w:r>
      <w:r>
        <w:rPr>
          <w:rFonts w:cs="Arial"/>
        </w:rPr>
        <w:t>r</w:t>
      </w:r>
      <w:r>
        <w:rPr>
          <w:rFonts w:cs="Arial"/>
        </w:rPr>
        <w:t xml:space="preserve">stellt und die Anlage auch nicht als Nebeneinrichtung zu einer genehmigungsbedürftigen Anlage zu qualifizieren ist, ist ein Baugenehmigungsverfahren durchzuführen. 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Auf Nr. 54.35 der Verwaltungsvorschriften zur Landesbauordnung (RdErl. d. Ministeriums für Städtebau und Wohnen, Kultur und Sport v. 12.10.2000, MBl. NRW. S. 1432 / SMBl. NRW. 23210) wird verwiesen.</w:t>
      </w:r>
    </w:p>
    <w:p w:rsidR="00B5062C" w:rsidRPr="00F51837" w:rsidRDefault="00B5062C" w:rsidP="00F51837">
      <w:pPr>
        <w:pStyle w:val="berschrift2"/>
        <w:jc w:val="left"/>
      </w:pPr>
      <w:bookmarkStart w:id="4" w:name="_Toc22541901"/>
      <w:r w:rsidRPr="00F51837">
        <w:rPr>
          <w:bCs/>
        </w:rPr>
        <w:t>3 Bauplanungsrechtliche Zulässigkeit</w:t>
      </w:r>
      <w:bookmarkEnd w:id="4"/>
    </w:p>
    <w:p w:rsidR="00B5062C" w:rsidRPr="00F51837" w:rsidRDefault="00B5062C" w:rsidP="00F51837">
      <w:pPr>
        <w:pStyle w:val="berschrift3"/>
        <w:jc w:val="left"/>
      </w:pPr>
      <w:bookmarkStart w:id="5" w:name="_Toc22541902"/>
      <w:r w:rsidRPr="00F51837">
        <w:t>3.1 Errichtung von Biogasanlagen in Baugebieten</w:t>
      </w:r>
      <w:bookmarkEnd w:id="5"/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Die Errichtung von Biogasanlagen ist in einem ausgewiesenen Dorf-, Gewerbe- oder Industriegebiet (§§ 5, 8, 9 BauNVO) unter den Voraussetzungen des § 30 BauGB möglich (vgl. VG Arnsberg, Beschl. vom 04.12.1998 - 4 L 1898/98 - NVwZ-RR 2000, 12 ff.), gemäß § 34 BauGB, wenn sich das Vorhaben in die U</w:t>
      </w:r>
      <w:r>
        <w:rPr>
          <w:rFonts w:cs="Arial"/>
        </w:rPr>
        <w:t>m</w:t>
      </w:r>
      <w:r>
        <w:rPr>
          <w:rFonts w:cs="Arial"/>
        </w:rPr>
        <w:t>gebung einfügt oder die Eigenart der Umgebung einem der vorgenannten Gebiete entspricht. Die Herkunft des zur Vergärung eingesetzten Materials ist hie</w:t>
      </w:r>
      <w:r>
        <w:rPr>
          <w:rFonts w:cs="Arial"/>
        </w:rPr>
        <w:t>r</w:t>
      </w:r>
      <w:r>
        <w:rPr>
          <w:rFonts w:cs="Arial"/>
        </w:rPr>
        <w:t>bei für die bauplanungsrechtliche Beurteilung unerheblich.</w:t>
      </w:r>
    </w:p>
    <w:p w:rsidR="00B5062C" w:rsidRPr="00F51837" w:rsidRDefault="00B5062C" w:rsidP="00F51837">
      <w:pPr>
        <w:pStyle w:val="berschrift3"/>
        <w:jc w:val="left"/>
      </w:pPr>
      <w:bookmarkStart w:id="6" w:name="_Toc22541903"/>
      <w:r w:rsidRPr="00F51837">
        <w:rPr>
          <w:bCs/>
          <w:iCs/>
        </w:rPr>
        <w:t xml:space="preserve">3.2 </w:t>
      </w:r>
      <w:r w:rsidRPr="00F51837">
        <w:rPr>
          <w:bCs/>
        </w:rPr>
        <w:t>im Außenbereich nach § 35 BauGB</w:t>
      </w:r>
      <w:bookmarkEnd w:id="6"/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Im Außenbereich kann eine Biogasanlage gemäß § 35 Abs. 1 Nr. 1 BauGB als untergeordnete N</w:t>
      </w:r>
      <w:r>
        <w:rPr>
          <w:rFonts w:cs="Arial"/>
        </w:rPr>
        <w:t>e</w:t>
      </w:r>
      <w:r>
        <w:rPr>
          <w:rFonts w:cs="Arial"/>
        </w:rPr>
        <w:t xml:space="preserve">benanlage oder als durch die Hauptanlage mitgezogene privilegierte Anlage zulässig sein; sie muss der Hauptanlage (dem landwirtschaftlichen Betrieb) räumlich und funktional zugeordnet sein und nur einen untergeordneten Teil der Betriebsfläche einnehmen. 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Eine Biogasanlage kann im Einzelfall als untergeordnete Nebenanlage mehreren landwirtschaftlichen B</w:t>
      </w:r>
      <w:r>
        <w:rPr>
          <w:rFonts w:cs="Arial"/>
        </w:rPr>
        <w:t>e</w:t>
      </w:r>
      <w:r>
        <w:rPr>
          <w:rFonts w:cs="Arial"/>
        </w:rPr>
        <w:t>trieben dienen, wenn die räumlichen Voraussetzungen vorliegen. An einer räumlichen Z</w:t>
      </w:r>
      <w:r>
        <w:rPr>
          <w:rFonts w:cs="Arial"/>
        </w:rPr>
        <w:t>u</w:t>
      </w:r>
      <w:r>
        <w:rPr>
          <w:rFonts w:cs="Arial"/>
        </w:rPr>
        <w:t>ordnung fehlt es nicht, wenn die mit dem Vorhaben zu bebauende Fläche an die Hoffläche angrenzt (vgl. OVG Münster, B</w:t>
      </w:r>
      <w:r>
        <w:rPr>
          <w:rFonts w:cs="Arial"/>
        </w:rPr>
        <w:t>e</w:t>
      </w:r>
      <w:r>
        <w:rPr>
          <w:rFonts w:cs="Arial"/>
        </w:rPr>
        <w:t xml:space="preserve">schl. v. 26.03.1998 – 10 A 6263/96); in der Regel wird es ausreichen, wenn die beteiligten Betriebe eine gemeinsame Grenze haben. 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 xml:space="preserve">Die funktionale Zuordnung ist ggf. durch eine Nebenbestimmung zur Baugenehmigung nach § 36 Abs. 1, 2. Alt. Verwaltungsverfahrensgesetz (VwVfG NRW) auf Dauer sicherzustellen. 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Eine Biogasanlage kann auch untergeordnete Nebenanlage sonstiger im Außenbereich zulässige</w:t>
      </w:r>
      <w:r>
        <w:rPr>
          <w:rFonts w:cs="Arial"/>
        </w:rPr>
        <w:t>r</w:t>
      </w:r>
      <w:r>
        <w:rPr>
          <w:rFonts w:cs="Arial"/>
        </w:rPr>
        <w:t>weise gemäß § 35 Abs. 1 BauGB errichteter Betriebe sein, z.B.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>eines Gartenbaubetriebes nach § 35 Abs. 1 Nr. 2 BauGB,</w:t>
      </w:r>
    </w:p>
    <w:p w:rsidR="00B5062C" w:rsidRPr="00561109" w:rsidRDefault="00561109" w:rsidP="00561109">
      <w:pPr>
        <w:pStyle w:val="GesAbsatz"/>
        <w:ind w:left="426" w:hanging="426"/>
      </w:pPr>
      <w:r>
        <w:lastRenderedPageBreak/>
        <w:t>-</w:t>
      </w:r>
      <w:r>
        <w:tab/>
      </w:r>
      <w:r w:rsidR="00B5062C" w:rsidRPr="00561109">
        <w:t>eines nach § 35 Abs. 1 Nr. 4 BauGB ausnahmsweise im Außenbereich privilegiert zulässigen B</w:t>
      </w:r>
      <w:r w:rsidR="00B5062C" w:rsidRPr="00561109">
        <w:t>e</w:t>
      </w:r>
      <w:r w:rsidR="00B5062C" w:rsidRPr="00561109">
        <w:t>triebes (z.B. Landgasthof).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 xml:space="preserve">Die Biogasanlage kann im Einzelfall gemäß § 35 Abs. 1 Nr. 4 BauGB als selbständige Anlage oder gemäß § 35 Abs. 4 Nr. 1 BauGB im Wege der begünstigten Nutzungsänderung landwirtschaftlicher Gebäudeteile zulässig sein. 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 xml:space="preserve">Biogasanlagen sind im Außenbereich nur zulässig, wenn ihnen öffentliche Belange nicht entgegenstehen und eine ausreichende Erschließung gesichert ist. </w:t>
      </w:r>
    </w:p>
    <w:p w:rsidR="00B5062C" w:rsidRDefault="00B5062C"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3.2.1 Untergeordnete Nebenanlage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Eine dem landwirtschaftlichen Betrieb dienende Funktion einer Biogasanlage im Sinne von § 35 Absatz 1 Nr. 1 BauGB ist gegeben, wenn weniger als 50% der erzeugten Energie in das öffentliche Netz eingespeist wird. In die Berechnung der erzeugten Energie sind Strom- und Wärmeerzeugung einzubeziehen, jedoch nur mit den tatsächlich genutzten Anteilen. Nicht verbrauchte Energieanteile (insbesondere der Wärmeanteile) ble</w:t>
      </w:r>
      <w:r>
        <w:rPr>
          <w:rFonts w:cs="Arial"/>
        </w:rPr>
        <w:t>i</w:t>
      </w:r>
      <w:r>
        <w:rPr>
          <w:rFonts w:cs="Arial"/>
        </w:rPr>
        <w:t>ben unberücksichtigt. Der Betrieb des Antragstellers muss insgesamt noch als landwirtschaftlicher Betrieb angesehen werden können; das Vorhaben muss durch die Zuordnung zu dem konkreten Betrieb auch ä</w:t>
      </w:r>
      <w:r>
        <w:rPr>
          <w:rFonts w:cs="Arial"/>
        </w:rPr>
        <w:t>u</w:t>
      </w:r>
      <w:r>
        <w:rPr>
          <w:rFonts w:cs="Arial"/>
        </w:rPr>
        <w:t xml:space="preserve">ßerlich erkennbar geprägt sein (BVerwG, Urt. v. 03.11.1972 BauR 1973,101). Die Energiegewinnung muss gegenüber der Landwirtschaft bodenrechtliche Nebensache bleiben (vgl. BVerwG BauR 1985, 545; DÖV 1999,32). 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Da die Eigennutzung entscheidendes Kriterium ist, spielt die Frage der Art und Herkunft des Ausgangsmat</w:t>
      </w:r>
      <w:r>
        <w:rPr>
          <w:rFonts w:cs="Arial"/>
        </w:rPr>
        <w:t>e</w:t>
      </w:r>
      <w:r>
        <w:rPr>
          <w:rFonts w:cs="Arial"/>
        </w:rPr>
        <w:t>rials der Vergärung für die bauplanungsrechtliche Beurteilung keine Rolle.</w:t>
      </w:r>
    </w:p>
    <w:p w:rsidR="00B5062C" w:rsidRDefault="00B5062C"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3.2.2 Mitgezogene Privilegierung bei landwirtschaftseigenen Einsatzstoffen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Eine sog. "mitgezogene Privilegierung" setzt voraus, dass das zur Vergärung eingesetzte Material überwi</w:t>
      </w:r>
      <w:r>
        <w:rPr>
          <w:rFonts w:cs="Arial"/>
        </w:rPr>
        <w:t>e</w:t>
      </w:r>
      <w:r>
        <w:rPr>
          <w:rFonts w:cs="Arial"/>
        </w:rPr>
        <w:t>gend (mindestens 51%) betriebseigenen Ursprungs ist. Der Einsatz nicht-betriebseigener Stoffe landwir</w:t>
      </w:r>
      <w:r>
        <w:rPr>
          <w:rFonts w:cs="Arial"/>
        </w:rPr>
        <w:t>t</w:t>
      </w:r>
      <w:r>
        <w:rPr>
          <w:rFonts w:cs="Arial"/>
        </w:rPr>
        <w:t>schaftlichen Ursprungs (z.B. Gülle, Rübenschnitzel, Kartoffelsch</w:t>
      </w:r>
      <w:r w:rsidR="00FF3A3D">
        <w:rPr>
          <w:rFonts w:cs="Arial"/>
        </w:rPr>
        <w:t>l</w:t>
      </w:r>
      <w:r>
        <w:rPr>
          <w:rFonts w:cs="Arial"/>
        </w:rPr>
        <w:t>empe, sog. Ausputzgetreide) bis zu einem Anteil von 49% steht einer Privilegierung nicht entgegen. Die dem landwirtschaftlichen Betrieb dienende Funktion folgt aus dem Umstand, dass die Gärrückstände im Sinne eines weitgehend geschlossenen Näh</w:t>
      </w:r>
      <w:r>
        <w:rPr>
          <w:rFonts w:cs="Arial"/>
        </w:rPr>
        <w:t>r</w:t>
      </w:r>
      <w:r>
        <w:rPr>
          <w:rFonts w:cs="Arial"/>
        </w:rPr>
        <w:t xml:space="preserve">stoffkreislaufes auf den landwirtschaftlich genutzten Flächen als Düngemittel verwertet werden. Durch die Vorgänge wird der Düngewert erheblich verbessert (bessere Fließfähigkeit, Reduzierung von Geruchs- und Ammoniakemissionen). 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Die Zugabe nicht-betriebseigener Kofermente ohne landwirtschaftlichen Ursprung (z.B. Speiseabfälle, Inha</w:t>
      </w:r>
      <w:r>
        <w:rPr>
          <w:rFonts w:cs="Arial"/>
        </w:rPr>
        <w:t>l</w:t>
      </w:r>
      <w:r>
        <w:rPr>
          <w:rFonts w:cs="Arial"/>
        </w:rPr>
        <w:t>te von Fettabscheidern und Flotate) steht einer mitgezogenen Privilegierung dann nicht entgegen, wenn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>sie in einer unbedeutenden Menge erfolgt (vgl. VG Arnsberg, Beschl. vom 04.12.1998 - 4 L 1898/98 - NVwZ-RR 2000, 12 ff),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>ein vernünftiger Landwirt unter Berücksichtigung des Gebots größtmöglicher Schonung des Außenb</w:t>
      </w:r>
      <w:r w:rsidR="00B5062C" w:rsidRPr="00561109">
        <w:t>e</w:t>
      </w:r>
      <w:r w:rsidR="00B5062C" w:rsidRPr="00561109">
        <w:t>reichs dieses Vorhaben mit etwa gleicher Gestaltung und Ausstattung für einen entsprechenden Betrieb e</w:t>
      </w:r>
      <w:r w:rsidR="00B5062C" w:rsidRPr="00561109">
        <w:t>r</w:t>
      </w:r>
      <w:r w:rsidR="00B5062C" w:rsidRPr="00561109">
        <w:t xml:space="preserve">richten würde (vgl. BVerwG, </w:t>
      </w:r>
      <w:proofErr w:type="spellStart"/>
      <w:r w:rsidR="00B5062C" w:rsidRPr="00561109">
        <w:t>DVBl</w:t>
      </w:r>
      <w:proofErr w:type="spellEnd"/>
      <w:r w:rsidR="00B5062C" w:rsidRPr="00561109">
        <w:t>. 1973, 643) und</w:t>
      </w:r>
    </w:p>
    <w:p w:rsidR="00B5062C" w:rsidRPr="00561109" w:rsidRDefault="00561109" w:rsidP="00561109">
      <w:pPr>
        <w:pStyle w:val="GesAbsatz"/>
        <w:ind w:left="426" w:hanging="426"/>
      </w:pPr>
      <w:r>
        <w:t>-</w:t>
      </w:r>
      <w:r>
        <w:tab/>
      </w:r>
      <w:r w:rsidR="00B5062C" w:rsidRPr="00561109">
        <w:t>die aus der Vergärung dieses Anteils resultierenden Einkünfte nicht überwiegend zum Einkommen des Landwirtes beitragen.</w:t>
      </w:r>
    </w:p>
    <w:p w:rsidR="00B5062C" w:rsidRDefault="00B5062C"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3.2.3 Selbständige Anlage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 xml:space="preserve">Eine Biogasanlage kann im Einzelfall als selbständige Anlage im Außenbereich gemäß § 35 Abs. 1 Nr. 4 BauGB zulässig sein. Erforderlich ist, dass das betreffende Vorhaben nach Lage der Dinge </w:t>
      </w:r>
      <w:r>
        <w:rPr>
          <w:rFonts w:cs="Arial"/>
          <w:bCs/>
        </w:rPr>
        <w:t>notwendige</w:t>
      </w:r>
      <w:r>
        <w:rPr>
          <w:rFonts w:cs="Arial"/>
          <w:bCs/>
        </w:rPr>
        <w:t>r</w:t>
      </w:r>
      <w:r>
        <w:rPr>
          <w:rFonts w:cs="Arial"/>
          <w:bCs/>
        </w:rPr>
        <w:t>weise</w:t>
      </w:r>
      <w:r>
        <w:rPr>
          <w:rFonts w:cs="Arial"/>
        </w:rPr>
        <w:t xml:space="preserve"> im Außenbereich auszuführen ist, d.h. wenn das Vorhaben wegen der erwarteten nachteiligen Wi</w:t>
      </w:r>
      <w:r>
        <w:rPr>
          <w:rFonts w:cs="Arial"/>
        </w:rPr>
        <w:t>r</w:t>
      </w:r>
      <w:r>
        <w:rPr>
          <w:rFonts w:cs="Arial"/>
        </w:rPr>
        <w:t>kung auf die Umgebung auf einen Standort im Außenbereich angewiesen ist. Immissionskonflikte, die ihre Urs</w:t>
      </w:r>
      <w:r>
        <w:rPr>
          <w:rFonts w:cs="Arial"/>
        </w:rPr>
        <w:t>a</w:t>
      </w:r>
      <w:r>
        <w:rPr>
          <w:rFonts w:cs="Arial"/>
        </w:rPr>
        <w:t>che im Kundenverkehr haben, sind dem Vorhaben zuzurechnen (vgl. BVerwG Beschl. v. 20.04.2000 – 4 B 25.00), also auch die Transporte von Gülle und anderen Einsatzstoffen landwirtschaftlichen Ursprungs, die in anderen Bereichen zu unzumutbaren Lärm- oder Geruchsbeei</w:t>
      </w:r>
      <w:r>
        <w:rPr>
          <w:rFonts w:cs="Arial"/>
        </w:rPr>
        <w:t>n</w:t>
      </w:r>
      <w:r>
        <w:rPr>
          <w:rFonts w:cs="Arial"/>
        </w:rPr>
        <w:t>trächtigungen führen.</w:t>
      </w:r>
    </w:p>
    <w:p w:rsidR="00B5062C" w:rsidRDefault="00B5062C"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3.2.4 Sonstiges Vorhaben gemäß § 35 Abs. 2 BauGB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Eine Biogasanlage kann als sonstiges Vorhaben gemäß § 35 Abs. 2 BauGB im Außenbereich im Einzelfall zulässig sein, wenn hierdurch öffentliche Belange nicht beeinträchtigt werden und die Erschließung gesichert ist.</w:t>
      </w:r>
    </w:p>
    <w:p w:rsidR="00B5062C" w:rsidRDefault="00B5062C">
      <w:pPr>
        <w:pStyle w:val="GesAbsatz"/>
        <w:rPr>
          <w:rFonts w:cs="Arial"/>
          <w:b/>
          <w:bCs/>
        </w:rPr>
      </w:pPr>
      <w:r>
        <w:rPr>
          <w:rFonts w:cs="Arial"/>
          <w:b/>
          <w:bCs/>
        </w:rPr>
        <w:t>3.2.5 Nutzungsänderung</w:t>
      </w:r>
    </w:p>
    <w:p w:rsidR="00B5062C" w:rsidRDefault="00B5062C">
      <w:pPr>
        <w:pStyle w:val="GesAbsatz"/>
        <w:rPr>
          <w:rFonts w:cs="Arial"/>
        </w:rPr>
      </w:pPr>
      <w:r>
        <w:rPr>
          <w:rFonts w:cs="Arial"/>
        </w:rPr>
        <w:t>Die Änderung landwirtschaftlich genutzter baulicher Anlagen in eine gewerbliche Nutzung (sofern die Bi</w:t>
      </w:r>
      <w:r>
        <w:rPr>
          <w:rFonts w:cs="Arial"/>
        </w:rPr>
        <w:t>o</w:t>
      </w:r>
      <w:r>
        <w:rPr>
          <w:rFonts w:cs="Arial"/>
        </w:rPr>
        <w:t>gasanlage nicht die unter den Nrn. 3.2.1 und 3.2.2 genannten Voraussetzungen erfüllt), ist unter den V</w:t>
      </w:r>
      <w:r>
        <w:rPr>
          <w:rFonts w:cs="Arial"/>
        </w:rPr>
        <w:t>o</w:t>
      </w:r>
      <w:r>
        <w:rPr>
          <w:rFonts w:cs="Arial"/>
        </w:rPr>
        <w:t>raussetzungen des § 35 Abs. 4 Nr. 1 BauGB im Einzelfall möglich, z.B. wenn der Landwirt einen Güllebehä</w:t>
      </w:r>
      <w:r>
        <w:rPr>
          <w:rFonts w:cs="Arial"/>
        </w:rPr>
        <w:t>l</w:t>
      </w:r>
      <w:r>
        <w:rPr>
          <w:rFonts w:cs="Arial"/>
        </w:rPr>
        <w:t>ter oder eine ähnliche Lagervorrichtung zur Nutzung der Gaserzeugung umbaut und den energieerzeuge</w:t>
      </w:r>
      <w:r>
        <w:rPr>
          <w:rFonts w:cs="Arial"/>
        </w:rPr>
        <w:t>n</w:t>
      </w:r>
      <w:r>
        <w:rPr>
          <w:rFonts w:cs="Arial"/>
        </w:rPr>
        <w:lastRenderedPageBreak/>
        <w:t>den Teil der Biogasanlage im Wege der U</w:t>
      </w:r>
      <w:r>
        <w:rPr>
          <w:rFonts w:cs="Arial"/>
        </w:rPr>
        <w:t>m</w:t>
      </w:r>
      <w:r>
        <w:rPr>
          <w:rFonts w:cs="Arial"/>
        </w:rPr>
        <w:t>nutzung in einem vorhandenen Gebäude, beispielsweise einer sonst nicht mehr benötigten Scheune, betreibt.</w:t>
      </w:r>
    </w:p>
    <w:p w:rsidR="00561109" w:rsidRDefault="00561109">
      <w:pPr>
        <w:pStyle w:val="GesAbsatz"/>
        <w:rPr>
          <w:rFonts w:cs="Arial"/>
        </w:rPr>
      </w:pPr>
    </w:p>
    <w:p w:rsidR="00561109" w:rsidRDefault="00561109">
      <w:pPr>
        <w:pStyle w:val="GesAbsatz"/>
        <w:rPr>
          <w:rFonts w:cs="Arial"/>
        </w:rPr>
      </w:pPr>
    </w:p>
    <w:p w:rsidR="00561109" w:rsidRDefault="00561109">
      <w:pPr>
        <w:pStyle w:val="GesAbsatz"/>
        <w:rPr>
          <w:rFonts w:cs="Arial"/>
        </w:rPr>
      </w:pPr>
    </w:p>
    <w:sectPr w:rsidR="00561109"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D6" w:rsidRDefault="007838D6">
      <w:r>
        <w:separator/>
      </w:r>
    </w:p>
  </w:endnote>
  <w:endnote w:type="continuationSeparator" w:id="0">
    <w:p w:rsidR="007838D6" w:rsidRDefault="0078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2C" w:rsidRDefault="00B5062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5062C" w:rsidRDefault="00B5062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2C" w:rsidRDefault="00FF3A3D" w:rsidP="00561109">
    <w:pPr>
      <w:pStyle w:val="Fuzeile"/>
    </w:pPr>
    <w:r>
      <w:tab/>
    </w:r>
    <w:r w:rsidR="00B5062C">
      <w:t xml:space="preserve">Stand 23.01.2002 (MBl. NRW. S. </w:t>
    </w:r>
    <w:r w:rsidR="00B5062C" w:rsidRPr="00561109">
      <w:t>1006</w:t>
    </w:r>
    <w:r w:rsidR="00B5062C">
      <w:t xml:space="preserve"> / SMBl</w:t>
    </w:r>
    <w:r>
      <w:t>. NRW.</w:t>
    </w:r>
    <w:r w:rsidR="00B5062C">
      <w:t xml:space="preserve"> 7129)</w:t>
    </w:r>
    <w:r w:rsidR="00B5062C">
      <w:tab/>
      <w:t xml:space="preserve">Seite </w:t>
    </w:r>
    <w:r w:rsidR="00B5062C">
      <w:fldChar w:fldCharType="begin"/>
    </w:r>
    <w:r w:rsidR="00B5062C">
      <w:instrText xml:space="preserve"> PAGE  \* MERGEFORMAT </w:instrText>
    </w:r>
    <w:r w:rsidR="00B5062C">
      <w:fldChar w:fldCharType="separate"/>
    </w:r>
    <w:r w:rsidR="00F51837">
      <w:rPr>
        <w:noProof/>
      </w:rPr>
      <w:t>1</w:t>
    </w:r>
    <w:r w:rsidR="00B506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D6" w:rsidRDefault="007838D6">
      <w:r>
        <w:separator/>
      </w:r>
    </w:p>
  </w:footnote>
  <w:footnote w:type="continuationSeparator" w:id="0">
    <w:p w:rsidR="007838D6" w:rsidRDefault="00783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2C" w:rsidRDefault="00B5062C" w:rsidP="00561109">
    <w:pPr>
      <w:pStyle w:val="Kopfzeile0"/>
    </w:pPr>
    <w:r>
      <w:t>Archiv6.30</w:t>
    </w:r>
  </w:p>
  <w:p w:rsidR="00561109" w:rsidRPr="00561109" w:rsidRDefault="00561109" w:rsidP="0056110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656"/>
    <w:multiLevelType w:val="hybridMultilevel"/>
    <w:tmpl w:val="25A0F694"/>
    <w:lvl w:ilvl="0" w:tplc="13D66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A64263"/>
    <w:multiLevelType w:val="hybridMultilevel"/>
    <w:tmpl w:val="2D72C570"/>
    <w:lvl w:ilvl="0" w:tplc="442809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895227"/>
    <w:multiLevelType w:val="hybridMultilevel"/>
    <w:tmpl w:val="CD862178"/>
    <w:lvl w:ilvl="0" w:tplc="442809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F176CD"/>
    <w:multiLevelType w:val="hybridMultilevel"/>
    <w:tmpl w:val="CA20E298"/>
    <w:lvl w:ilvl="0" w:tplc="4C3AA85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3D"/>
    <w:rsid w:val="00286052"/>
    <w:rsid w:val="00561109"/>
    <w:rsid w:val="007838D6"/>
    <w:rsid w:val="00B5062C"/>
    <w:rsid w:val="00F51837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1109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561109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561109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561109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561109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561109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unhideWhenUsed/>
    <w:rsid w:val="00561109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61109"/>
  </w:style>
  <w:style w:type="paragraph" w:customStyle="1" w:styleId="GesAbsatz">
    <w:name w:val="GesAbsatz"/>
    <w:basedOn w:val="Standard"/>
    <w:qFormat/>
    <w:rsid w:val="00561109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561109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561109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1">
    <w:name w:val="toc 1"/>
    <w:basedOn w:val="Verzeichnis3"/>
    <w:next w:val="Standard"/>
    <w:semiHidden/>
    <w:rsid w:val="00561109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561109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Funotentext">
    <w:name w:val="footnote text"/>
    <w:basedOn w:val="Standard"/>
    <w:qFormat/>
    <w:rsid w:val="00561109"/>
    <w:pPr>
      <w:spacing w:before="0" w:after="0"/>
    </w:pPr>
    <w:rPr>
      <w:sz w:val="16"/>
    </w:rPr>
  </w:style>
  <w:style w:type="character" w:styleId="Funotenzeichen">
    <w:name w:val="footnote reference"/>
    <w:qFormat/>
    <w:rsid w:val="00561109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561109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561109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56110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1109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561109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561109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561109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561109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561109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unhideWhenUsed/>
    <w:rsid w:val="00561109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61109"/>
  </w:style>
  <w:style w:type="paragraph" w:customStyle="1" w:styleId="GesAbsatz">
    <w:name w:val="GesAbsatz"/>
    <w:basedOn w:val="Standard"/>
    <w:qFormat/>
    <w:rsid w:val="00561109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561109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561109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1">
    <w:name w:val="toc 1"/>
    <w:basedOn w:val="Verzeichnis3"/>
    <w:next w:val="Standard"/>
    <w:semiHidden/>
    <w:rsid w:val="00561109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4">
    <w:name w:val="toc 4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561109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561109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Funotentext">
    <w:name w:val="footnote text"/>
    <w:basedOn w:val="Standard"/>
    <w:qFormat/>
    <w:rsid w:val="00561109"/>
    <w:pPr>
      <w:spacing w:before="0" w:after="0"/>
    </w:pPr>
    <w:rPr>
      <w:sz w:val="16"/>
    </w:rPr>
  </w:style>
  <w:style w:type="character" w:styleId="Funotenzeichen">
    <w:name w:val="footnote reference"/>
    <w:qFormat/>
    <w:rsid w:val="00561109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561109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561109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5611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recht.nrw.de/lmi/owa/br_bes_text?anw_nr=1&amp;gld_nr=7&amp;ugl_nr=7129&amp;bes_id=1001&amp;val=1001&amp;ver=7&amp;sg=0&amp;aufgehoben=J&amp;menu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1589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Zulässigkeit von Biogasanlagen, Immissionsschutzrechtliches und Bau-Genehmigungsverfahren</vt:lpstr>
    </vt:vector>
  </TitlesOfParts>
  <Company>LANUV NRW</Company>
  <LinksUpToDate>false</LinksUpToDate>
  <CharactersWithSpaces>13047</CharactersWithSpaces>
  <SharedDoc>false</SharedDoc>
  <HLinks>
    <vt:vector size="42" baseType="variant">
      <vt:variant>
        <vt:i4>1769526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_Toc22541903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_Toc22541902</vt:lpwstr>
      </vt:variant>
      <vt:variant>
        <vt:i4>1638454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_Toc22541901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_Toc22541900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_Toc22541899</vt:lpwstr>
      </vt:variant>
      <vt:variant>
        <vt:i4>1114175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_Toc22541898</vt:lpwstr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https://lv.recht.nrw.de/lmi/owa/br_bes_text?anw_nr=1&amp;gld_nr=7&amp;ugl_nr=7129&amp;bes_id=1001&amp;val=1001&amp;ver=7&amp;sg=0&amp;aufgehoben=J&amp;menu=1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Zulässigkeit von Biogasanlagen, Immissionsschutzrechtliches und Bau-Genehmigungsverfahren</dc:title>
  <dc:creator>LANUV NRW</dc:creator>
  <cp:lastModifiedBy>rueter</cp:lastModifiedBy>
  <cp:revision>2</cp:revision>
  <cp:lastPrinted>1601-01-01T00:00:00Z</cp:lastPrinted>
  <dcterms:created xsi:type="dcterms:W3CDTF">2015-04-21T13:03:00Z</dcterms:created>
  <dcterms:modified xsi:type="dcterms:W3CDTF">2015-04-21T13:03:00Z</dcterms:modified>
</cp:coreProperties>
</file>