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97" w:rsidRPr="00DE0277" w:rsidRDefault="000A0B97" w:rsidP="00DE0277">
      <w:pPr>
        <w:pStyle w:val="berschrift1"/>
      </w:pPr>
      <w:bookmarkStart w:id="0" w:name="_Toc399920470"/>
      <w:bookmarkStart w:id="1" w:name="_Toc460377086"/>
      <w:bookmarkStart w:id="2" w:name="_Toc512392616"/>
      <w:r w:rsidRPr="00DE0277">
        <w:t>Dreizehnte Verordnung zur Durchführung des Bundes-Immissionsschutzgesetzes - Verordn</w:t>
      </w:r>
      <w:bookmarkStart w:id="3" w:name="_GoBack"/>
      <w:bookmarkEnd w:id="3"/>
      <w:r w:rsidRPr="00DE0277">
        <w:t>ung über Großfeuerungsanlagen -</w:t>
      </w:r>
      <w:r w:rsidRPr="00DE0277">
        <w:br/>
        <w:t>13. BImSchV</w:t>
      </w:r>
      <w:bookmarkEnd w:id="0"/>
      <w:bookmarkEnd w:id="1"/>
      <w:bookmarkEnd w:id="2"/>
    </w:p>
    <w:p w:rsidR="000A0B97" w:rsidRDefault="000A0B97" w:rsidP="009B0776">
      <w:pPr>
        <w:pStyle w:val="GesAbsatz"/>
        <w:jc w:val="center"/>
      </w:pPr>
      <w:r>
        <w:t>vom 22. Juni 1983</w:t>
      </w:r>
    </w:p>
    <w:p w:rsidR="000A0B97" w:rsidRDefault="000A0B97" w:rsidP="00DE0277">
      <w:pPr>
        <w:pStyle w:val="GesAbsatz"/>
        <w:rPr>
          <w:b/>
          <w:i/>
          <w:color w:val="FF0000"/>
          <w:sz w:val="22"/>
          <w:szCs w:val="22"/>
        </w:rPr>
      </w:pPr>
      <w:r w:rsidRPr="00DE0277">
        <w:rPr>
          <w:b/>
          <w:i/>
          <w:color w:val="FF0000"/>
          <w:sz w:val="22"/>
          <w:szCs w:val="22"/>
        </w:rPr>
        <w:t>Gültig bis 23.</w:t>
      </w:r>
      <w:r w:rsidR="003B5FE9" w:rsidRPr="00DE0277">
        <w:rPr>
          <w:b/>
          <w:i/>
          <w:color w:val="FF0000"/>
          <w:sz w:val="22"/>
          <w:szCs w:val="22"/>
        </w:rPr>
        <w:t>0</w:t>
      </w:r>
      <w:r w:rsidRPr="00DE0277">
        <w:rPr>
          <w:b/>
          <w:i/>
          <w:color w:val="FF0000"/>
          <w:sz w:val="22"/>
          <w:szCs w:val="22"/>
        </w:rPr>
        <w:t xml:space="preserve">7.2004. Abgelöst </w:t>
      </w:r>
      <w:r w:rsidR="009B0776" w:rsidRPr="00DE0277">
        <w:rPr>
          <w:b/>
          <w:i/>
          <w:color w:val="FF0000"/>
          <w:sz w:val="22"/>
          <w:szCs w:val="22"/>
        </w:rPr>
        <w:t>durch Neufassung vom 20.</w:t>
      </w:r>
      <w:r w:rsidR="003B5FE9" w:rsidRPr="00DE0277">
        <w:rPr>
          <w:b/>
          <w:i/>
          <w:color w:val="FF0000"/>
          <w:sz w:val="22"/>
          <w:szCs w:val="22"/>
        </w:rPr>
        <w:t>0</w:t>
      </w:r>
      <w:r w:rsidR="009B0776" w:rsidRPr="00DE0277">
        <w:rPr>
          <w:b/>
          <w:i/>
          <w:color w:val="FF0000"/>
          <w:sz w:val="22"/>
          <w:szCs w:val="22"/>
        </w:rPr>
        <w:t>7.2004.</w:t>
      </w:r>
    </w:p>
    <w:p w:rsidR="00DE0277" w:rsidRPr="00DE0277" w:rsidRDefault="00DE0277" w:rsidP="00DE0277">
      <w:pPr>
        <w:pStyle w:val="GesAbsatz"/>
      </w:pPr>
    </w:p>
    <w:p w:rsidR="000A0B97" w:rsidRDefault="000A0B97">
      <w:pPr>
        <w:pStyle w:val="GesAbsatz"/>
        <w:jc w:val="center"/>
        <w:rPr>
          <w:b/>
          <w:bCs/>
          <w:sz w:val="22"/>
        </w:rPr>
      </w:pPr>
      <w:r>
        <w:rPr>
          <w:b/>
          <w:bCs/>
          <w:sz w:val="22"/>
        </w:rPr>
        <w:t>Inhalt:</w:t>
      </w:r>
    </w:p>
    <w:p w:rsidR="000A0B97" w:rsidRDefault="000A0B97">
      <w:pPr>
        <w:pStyle w:val="Verzeichnis1"/>
        <w:tabs>
          <w:tab w:val="clear" w:pos="9638"/>
          <w:tab w:val="right" w:leader="dot" w:pos="9628"/>
        </w:tabs>
        <w:rPr>
          <w:noProof/>
        </w:rPr>
      </w:pPr>
      <w:r>
        <w:fldChar w:fldCharType="begin"/>
      </w:r>
      <w:r>
        <w:instrText xml:space="preserve"> TOC \o "1-3" </w:instrText>
      </w:r>
      <w:r>
        <w:fldChar w:fldCharType="separate"/>
      </w:r>
      <w:r>
        <w:rPr>
          <w:noProof/>
        </w:rPr>
        <w:t>Verordnung über Großfeuerungsanlagen -13. BImSchV</w:t>
      </w:r>
      <w:r>
        <w:rPr>
          <w:noProof/>
        </w:rPr>
        <w:tab/>
      </w:r>
      <w:r>
        <w:rPr>
          <w:noProof/>
        </w:rPr>
        <w:fldChar w:fldCharType="begin"/>
      </w:r>
      <w:r>
        <w:rPr>
          <w:noProof/>
        </w:rPr>
        <w:instrText xml:space="preserve"> PAGEREF _Toc512392616 \h </w:instrText>
      </w:r>
      <w:r>
        <w:rPr>
          <w:noProof/>
        </w:rPr>
      </w:r>
      <w:r>
        <w:rPr>
          <w:noProof/>
        </w:rPr>
        <w:fldChar w:fldCharType="separate"/>
      </w:r>
      <w:r w:rsidR="005E4D97">
        <w:rPr>
          <w:noProof/>
        </w:rPr>
        <w:t>1</w:t>
      </w:r>
      <w:r>
        <w:rPr>
          <w:noProof/>
        </w:rPr>
        <w:fldChar w:fldCharType="end"/>
      </w:r>
    </w:p>
    <w:p w:rsidR="000A0B97" w:rsidRDefault="000A0B97">
      <w:pPr>
        <w:pStyle w:val="Verzeichnis2"/>
        <w:tabs>
          <w:tab w:val="clear" w:pos="9638"/>
          <w:tab w:val="right" w:leader="dot" w:pos="9628"/>
        </w:tabs>
        <w:rPr>
          <w:noProof/>
        </w:rPr>
      </w:pPr>
      <w:r>
        <w:rPr>
          <w:noProof/>
        </w:rPr>
        <w:t>Erster Teil Allgemeine Vorschriften</w:t>
      </w:r>
      <w:r>
        <w:rPr>
          <w:noProof/>
        </w:rPr>
        <w:tab/>
      </w:r>
      <w:r>
        <w:rPr>
          <w:noProof/>
        </w:rPr>
        <w:fldChar w:fldCharType="begin"/>
      </w:r>
      <w:r>
        <w:rPr>
          <w:noProof/>
        </w:rPr>
        <w:instrText xml:space="preserve"> PAGEREF _Toc512392617 \h </w:instrText>
      </w:r>
      <w:r>
        <w:rPr>
          <w:noProof/>
        </w:rPr>
      </w:r>
      <w:r>
        <w:rPr>
          <w:noProof/>
        </w:rPr>
        <w:fldChar w:fldCharType="separate"/>
      </w:r>
      <w:r w:rsidR="005E4D97">
        <w:rPr>
          <w:noProof/>
        </w:rPr>
        <w:t>2</w:t>
      </w:r>
      <w:r>
        <w:rPr>
          <w:noProof/>
        </w:rPr>
        <w:fldChar w:fldCharType="end"/>
      </w:r>
    </w:p>
    <w:p w:rsidR="000A0B97" w:rsidRDefault="000A0B97">
      <w:pPr>
        <w:pStyle w:val="Verzeichnis3"/>
        <w:tabs>
          <w:tab w:val="clear" w:pos="9638"/>
          <w:tab w:val="right" w:leader="dot" w:pos="9628"/>
        </w:tabs>
        <w:rPr>
          <w:noProof/>
        </w:rPr>
      </w:pPr>
      <w:r>
        <w:rPr>
          <w:noProof/>
        </w:rPr>
        <w:t>§ 1 Anwendungsbereich</w:t>
      </w:r>
      <w:r>
        <w:rPr>
          <w:noProof/>
        </w:rPr>
        <w:tab/>
      </w:r>
      <w:bookmarkStart w:id="4" w:name="_Hlt512392667"/>
      <w:r>
        <w:rPr>
          <w:noProof/>
        </w:rPr>
        <w:fldChar w:fldCharType="begin"/>
      </w:r>
      <w:r>
        <w:rPr>
          <w:noProof/>
        </w:rPr>
        <w:instrText xml:space="preserve"> PAGEREF _Toc512392618 \h </w:instrText>
      </w:r>
      <w:r>
        <w:rPr>
          <w:noProof/>
        </w:rPr>
      </w:r>
      <w:r>
        <w:rPr>
          <w:noProof/>
        </w:rPr>
        <w:fldChar w:fldCharType="separate"/>
      </w:r>
      <w:r w:rsidR="005E4D97">
        <w:rPr>
          <w:noProof/>
        </w:rPr>
        <w:t>2</w:t>
      </w:r>
      <w:r>
        <w:rPr>
          <w:noProof/>
        </w:rPr>
        <w:fldChar w:fldCharType="end"/>
      </w:r>
      <w:bookmarkEnd w:id="4"/>
    </w:p>
    <w:p w:rsidR="000A0B97" w:rsidRDefault="000A0B97">
      <w:pPr>
        <w:pStyle w:val="Verzeichnis3"/>
        <w:tabs>
          <w:tab w:val="clear" w:pos="9638"/>
          <w:tab w:val="right" w:leader="dot" w:pos="9628"/>
        </w:tabs>
        <w:rPr>
          <w:noProof/>
        </w:rPr>
      </w:pPr>
      <w:r>
        <w:rPr>
          <w:noProof/>
        </w:rPr>
        <w:t>§ 2 Begriffsbestimmungen</w:t>
      </w:r>
      <w:r>
        <w:rPr>
          <w:noProof/>
        </w:rPr>
        <w:tab/>
      </w:r>
      <w:r>
        <w:rPr>
          <w:noProof/>
        </w:rPr>
        <w:fldChar w:fldCharType="begin"/>
      </w:r>
      <w:r>
        <w:rPr>
          <w:noProof/>
        </w:rPr>
        <w:instrText xml:space="preserve"> PAGEREF _Toc512392619 \h </w:instrText>
      </w:r>
      <w:r>
        <w:rPr>
          <w:noProof/>
        </w:rPr>
      </w:r>
      <w:r>
        <w:rPr>
          <w:noProof/>
        </w:rPr>
        <w:fldChar w:fldCharType="separate"/>
      </w:r>
      <w:r w:rsidR="005E4D97">
        <w:rPr>
          <w:noProof/>
        </w:rPr>
        <w:t>2</w:t>
      </w:r>
      <w:r>
        <w:rPr>
          <w:noProof/>
        </w:rPr>
        <w:fldChar w:fldCharType="end"/>
      </w:r>
    </w:p>
    <w:p w:rsidR="000A0B97" w:rsidRDefault="000A0B97">
      <w:pPr>
        <w:pStyle w:val="Verzeichnis2"/>
        <w:tabs>
          <w:tab w:val="clear" w:pos="9638"/>
          <w:tab w:val="right" w:leader="dot" w:pos="9628"/>
        </w:tabs>
        <w:rPr>
          <w:noProof/>
        </w:rPr>
      </w:pPr>
      <w:r>
        <w:rPr>
          <w:noProof/>
        </w:rPr>
        <w:t>Zweiter Teil  Anforderungen an Errichtung und Betrieb</w:t>
      </w:r>
      <w:r>
        <w:rPr>
          <w:noProof/>
        </w:rPr>
        <w:tab/>
      </w:r>
      <w:r>
        <w:rPr>
          <w:noProof/>
        </w:rPr>
        <w:fldChar w:fldCharType="begin"/>
      </w:r>
      <w:r>
        <w:rPr>
          <w:noProof/>
        </w:rPr>
        <w:instrText xml:space="preserve"> PAGEREF _Toc512392620 \h </w:instrText>
      </w:r>
      <w:r>
        <w:rPr>
          <w:noProof/>
        </w:rPr>
      </w:r>
      <w:r>
        <w:rPr>
          <w:noProof/>
        </w:rPr>
        <w:fldChar w:fldCharType="separate"/>
      </w:r>
      <w:r w:rsidR="005E4D97">
        <w:rPr>
          <w:noProof/>
        </w:rPr>
        <w:t>3</w:t>
      </w:r>
      <w:r>
        <w:rPr>
          <w:noProof/>
        </w:rPr>
        <w:fldChar w:fldCharType="end"/>
      </w:r>
    </w:p>
    <w:p w:rsidR="000A0B97" w:rsidRDefault="000A0B97">
      <w:pPr>
        <w:pStyle w:val="Verzeichnis2"/>
        <w:tabs>
          <w:tab w:val="clear" w:pos="9638"/>
          <w:tab w:val="right" w:leader="dot" w:pos="9628"/>
        </w:tabs>
        <w:rPr>
          <w:noProof/>
        </w:rPr>
      </w:pPr>
      <w:r>
        <w:rPr>
          <w:noProof/>
        </w:rPr>
        <w:t>Erster Abschnitt Feuerungsanlagen für feste Brennstoffe</w:t>
      </w:r>
      <w:r>
        <w:rPr>
          <w:noProof/>
        </w:rPr>
        <w:tab/>
      </w:r>
      <w:r>
        <w:rPr>
          <w:noProof/>
        </w:rPr>
        <w:fldChar w:fldCharType="begin"/>
      </w:r>
      <w:r>
        <w:rPr>
          <w:noProof/>
        </w:rPr>
        <w:instrText xml:space="preserve"> PAGEREF _Toc512392621 \h </w:instrText>
      </w:r>
      <w:r>
        <w:rPr>
          <w:noProof/>
        </w:rPr>
      </w:r>
      <w:r>
        <w:rPr>
          <w:noProof/>
        </w:rPr>
        <w:fldChar w:fldCharType="separate"/>
      </w:r>
      <w:r w:rsidR="005E4D97">
        <w:rPr>
          <w:noProof/>
        </w:rPr>
        <w:t>3</w:t>
      </w:r>
      <w:r>
        <w:rPr>
          <w:noProof/>
        </w:rPr>
        <w:fldChar w:fldCharType="end"/>
      </w:r>
    </w:p>
    <w:p w:rsidR="000A0B97" w:rsidRDefault="000A0B97">
      <w:pPr>
        <w:pStyle w:val="Verzeichnis3"/>
        <w:tabs>
          <w:tab w:val="clear" w:pos="9638"/>
          <w:tab w:val="right" w:leader="dot" w:pos="9628"/>
        </w:tabs>
        <w:rPr>
          <w:noProof/>
        </w:rPr>
      </w:pPr>
      <w:r>
        <w:rPr>
          <w:noProof/>
        </w:rPr>
        <w:t>§ 3 Grenzwerte für staubförmige Emissionen</w:t>
      </w:r>
      <w:r>
        <w:rPr>
          <w:noProof/>
        </w:rPr>
        <w:tab/>
      </w:r>
      <w:r>
        <w:rPr>
          <w:noProof/>
        </w:rPr>
        <w:fldChar w:fldCharType="begin"/>
      </w:r>
      <w:r>
        <w:rPr>
          <w:noProof/>
        </w:rPr>
        <w:instrText xml:space="preserve"> PAGEREF _Toc512392622 \h </w:instrText>
      </w:r>
      <w:r>
        <w:rPr>
          <w:noProof/>
        </w:rPr>
      </w:r>
      <w:r>
        <w:rPr>
          <w:noProof/>
        </w:rPr>
        <w:fldChar w:fldCharType="separate"/>
      </w:r>
      <w:r w:rsidR="005E4D97">
        <w:rPr>
          <w:noProof/>
        </w:rPr>
        <w:t>3</w:t>
      </w:r>
      <w:r>
        <w:rPr>
          <w:noProof/>
        </w:rPr>
        <w:fldChar w:fldCharType="end"/>
      </w:r>
    </w:p>
    <w:p w:rsidR="000A0B97" w:rsidRDefault="000A0B97">
      <w:pPr>
        <w:pStyle w:val="Verzeichnis3"/>
        <w:tabs>
          <w:tab w:val="clear" w:pos="9638"/>
          <w:tab w:val="right" w:leader="dot" w:pos="9628"/>
        </w:tabs>
        <w:rPr>
          <w:noProof/>
        </w:rPr>
      </w:pPr>
      <w:r>
        <w:rPr>
          <w:noProof/>
        </w:rPr>
        <w:t>§ 4  Grenzwert für Kohlenmonoxid</w:t>
      </w:r>
      <w:r>
        <w:rPr>
          <w:noProof/>
        </w:rPr>
        <w:tab/>
      </w:r>
      <w:r>
        <w:rPr>
          <w:noProof/>
        </w:rPr>
        <w:fldChar w:fldCharType="begin"/>
      </w:r>
      <w:r>
        <w:rPr>
          <w:noProof/>
        </w:rPr>
        <w:instrText xml:space="preserve"> PAGEREF _Toc512392623 \h </w:instrText>
      </w:r>
      <w:r>
        <w:rPr>
          <w:noProof/>
        </w:rPr>
      </w:r>
      <w:r>
        <w:rPr>
          <w:noProof/>
        </w:rPr>
        <w:fldChar w:fldCharType="separate"/>
      </w:r>
      <w:r w:rsidR="005E4D97">
        <w:rPr>
          <w:noProof/>
        </w:rPr>
        <w:t>3</w:t>
      </w:r>
      <w:r>
        <w:rPr>
          <w:noProof/>
        </w:rPr>
        <w:fldChar w:fldCharType="end"/>
      </w:r>
    </w:p>
    <w:p w:rsidR="000A0B97" w:rsidRDefault="000A0B97">
      <w:pPr>
        <w:pStyle w:val="Verzeichnis3"/>
        <w:tabs>
          <w:tab w:val="clear" w:pos="9638"/>
          <w:tab w:val="right" w:leader="dot" w:pos="9628"/>
        </w:tabs>
        <w:rPr>
          <w:noProof/>
        </w:rPr>
      </w:pPr>
      <w:r>
        <w:rPr>
          <w:noProof/>
        </w:rPr>
        <w:t>§ 5 Grenzwerte für Stickstoffoxide</w:t>
      </w:r>
      <w:r>
        <w:rPr>
          <w:noProof/>
        </w:rPr>
        <w:tab/>
      </w:r>
      <w:r>
        <w:rPr>
          <w:noProof/>
        </w:rPr>
        <w:fldChar w:fldCharType="begin"/>
      </w:r>
      <w:r>
        <w:rPr>
          <w:noProof/>
        </w:rPr>
        <w:instrText xml:space="preserve"> PAGEREF _Toc512392624 \h </w:instrText>
      </w:r>
      <w:r>
        <w:rPr>
          <w:noProof/>
        </w:rPr>
      </w:r>
      <w:r>
        <w:rPr>
          <w:noProof/>
        </w:rPr>
        <w:fldChar w:fldCharType="separate"/>
      </w:r>
      <w:r w:rsidR="005E4D97">
        <w:rPr>
          <w:noProof/>
        </w:rPr>
        <w:t>3</w:t>
      </w:r>
      <w:r>
        <w:rPr>
          <w:noProof/>
        </w:rPr>
        <w:fldChar w:fldCharType="end"/>
      </w:r>
    </w:p>
    <w:p w:rsidR="000A0B97" w:rsidRDefault="000A0B97">
      <w:pPr>
        <w:pStyle w:val="Verzeichnis3"/>
        <w:tabs>
          <w:tab w:val="clear" w:pos="9638"/>
          <w:tab w:val="right" w:leader="dot" w:pos="9628"/>
        </w:tabs>
        <w:rPr>
          <w:noProof/>
        </w:rPr>
      </w:pPr>
      <w:r>
        <w:rPr>
          <w:noProof/>
        </w:rPr>
        <w:t>§ 6 Grenzewerte für Schwefeloxide</w:t>
      </w:r>
      <w:r>
        <w:rPr>
          <w:noProof/>
        </w:rPr>
        <w:tab/>
      </w:r>
      <w:r>
        <w:rPr>
          <w:noProof/>
        </w:rPr>
        <w:fldChar w:fldCharType="begin"/>
      </w:r>
      <w:r>
        <w:rPr>
          <w:noProof/>
        </w:rPr>
        <w:instrText xml:space="preserve"> PAGEREF _Toc512392625 \h </w:instrText>
      </w:r>
      <w:r>
        <w:rPr>
          <w:noProof/>
        </w:rPr>
      </w:r>
      <w:r>
        <w:rPr>
          <w:noProof/>
        </w:rPr>
        <w:fldChar w:fldCharType="separate"/>
      </w:r>
      <w:r w:rsidR="005E4D97">
        <w:rPr>
          <w:noProof/>
        </w:rPr>
        <w:t>4</w:t>
      </w:r>
      <w:r>
        <w:rPr>
          <w:noProof/>
        </w:rPr>
        <w:fldChar w:fldCharType="end"/>
      </w:r>
    </w:p>
    <w:p w:rsidR="000A0B97" w:rsidRDefault="000A0B97">
      <w:pPr>
        <w:pStyle w:val="Verzeichnis3"/>
        <w:tabs>
          <w:tab w:val="clear" w:pos="9638"/>
          <w:tab w:val="right" w:leader="dot" w:pos="9628"/>
        </w:tabs>
        <w:rPr>
          <w:noProof/>
        </w:rPr>
      </w:pPr>
      <w:r>
        <w:rPr>
          <w:noProof/>
        </w:rPr>
        <w:t>§ 7  Grenzwert für Halogenverbindungen</w:t>
      </w:r>
      <w:r>
        <w:rPr>
          <w:noProof/>
        </w:rPr>
        <w:tab/>
      </w:r>
      <w:r>
        <w:rPr>
          <w:noProof/>
        </w:rPr>
        <w:fldChar w:fldCharType="begin"/>
      </w:r>
      <w:r>
        <w:rPr>
          <w:noProof/>
        </w:rPr>
        <w:instrText xml:space="preserve"> PAGEREF _Toc512392626 \h </w:instrText>
      </w:r>
      <w:r>
        <w:rPr>
          <w:noProof/>
        </w:rPr>
      </w:r>
      <w:r>
        <w:rPr>
          <w:noProof/>
        </w:rPr>
        <w:fldChar w:fldCharType="separate"/>
      </w:r>
      <w:r w:rsidR="005E4D97">
        <w:rPr>
          <w:noProof/>
        </w:rPr>
        <w:t>4</w:t>
      </w:r>
      <w:r>
        <w:rPr>
          <w:noProof/>
        </w:rPr>
        <w:fldChar w:fldCharType="end"/>
      </w:r>
    </w:p>
    <w:p w:rsidR="000A0B97" w:rsidRDefault="000A0B97">
      <w:pPr>
        <w:pStyle w:val="Verzeichnis2"/>
        <w:tabs>
          <w:tab w:val="clear" w:pos="9638"/>
          <w:tab w:val="right" w:leader="dot" w:pos="9628"/>
        </w:tabs>
        <w:rPr>
          <w:noProof/>
        </w:rPr>
      </w:pPr>
      <w:r>
        <w:rPr>
          <w:noProof/>
        </w:rPr>
        <w:t>Zweiter Abschnitt  Feuerungsanlagen für flüssige Brennstoffe</w:t>
      </w:r>
      <w:r>
        <w:rPr>
          <w:noProof/>
        </w:rPr>
        <w:tab/>
      </w:r>
      <w:r>
        <w:rPr>
          <w:noProof/>
        </w:rPr>
        <w:fldChar w:fldCharType="begin"/>
      </w:r>
      <w:r>
        <w:rPr>
          <w:noProof/>
        </w:rPr>
        <w:instrText xml:space="preserve"> PAGEREF _Toc512392627 \h </w:instrText>
      </w:r>
      <w:r>
        <w:rPr>
          <w:noProof/>
        </w:rPr>
      </w:r>
      <w:r>
        <w:rPr>
          <w:noProof/>
        </w:rPr>
        <w:fldChar w:fldCharType="separate"/>
      </w:r>
      <w:r w:rsidR="005E4D97">
        <w:rPr>
          <w:noProof/>
        </w:rPr>
        <w:t>5</w:t>
      </w:r>
      <w:r>
        <w:rPr>
          <w:noProof/>
        </w:rPr>
        <w:fldChar w:fldCharType="end"/>
      </w:r>
    </w:p>
    <w:p w:rsidR="000A0B97" w:rsidRDefault="000A0B97">
      <w:pPr>
        <w:pStyle w:val="Verzeichnis3"/>
        <w:tabs>
          <w:tab w:val="clear" w:pos="9638"/>
          <w:tab w:val="right" w:leader="dot" w:pos="9628"/>
        </w:tabs>
        <w:rPr>
          <w:noProof/>
        </w:rPr>
      </w:pPr>
      <w:r>
        <w:rPr>
          <w:noProof/>
        </w:rPr>
        <w:t>§ 8  Grenzwerte für staubförmige Emissionen</w:t>
      </w:r>
      <w:r>
        <w:rPr>
          <w:noProof/>
        </w:rPr>
        <w:tab/>
      </w:r>
      <w:r>
        <w:rPr>
          <w:noProof/>
        </w:rPr>
        <w:fldChar w:fldCharType="begin"/>
      </w:r>
      <w:r>
        <w:rPr>
          <w:noProof/>
        </w:rPr>
        <w:instrText xml:space="preserve"> PAGEREF _Toc512392628 \h </w:instrText>
      </w:r>
      <w:r>
        <w:rPr>
          <w:noProof/>
        </w:rPr>
      </w:r>
      <w:r>
        <w:rPr>
          <w:noProof/>
        </w:rPr>
        <w:fldChar w:fldCharType="separate"/>
      </w:r>
      <w:r w:rsidR="005E4D97">
        <w:rPr>
          <w:noProof/>
        </w:rPr>
        <w:t>5</w:t>
      </w:r>
      <w:r>
        <w:rPr>
          <w:noProof/>
        </w:rPr>
        <w:fldChar w:fldCharType="end"/>
      </w:r>
    </w:p>
    <w:p w:rsidR="000A0B97" w:rsidRDefault="000A0B97">
      <w:pPr>
        <w:pStyle w:val="Verzeichnis3"/>
        <w:tabs>
          <w:tab w:val="clear" w:pos="9638"/>
          <w:tab w:val="right" w:leader="dot" w:pos="9628"/>
        </w:tabs>
        <w:rPr>
          <w:noProof/>
        </w:rPr>
      </w:pPr>
      <w:r>
        <w:rPr>
          <w:noProof/>
        </w:rPr>
        <w:t>§ 9  Grenzwert für Kohlenmonoxid</w:t>
      </w:r>
      <w:r>
        <w:rPr>
          <w:noProof/>
        </w:rPr>
        <w:tab/>
      </w:r>
      <w:r>
        <w:rPr>
          <w:noProof/>
        </w:rPr>
        <w:fldChar w:fldCharType="begin"/>
      </w:r>
      <w:r>
        <w:rPr>
          <w:noProof/>
        </w:rPr>
        <w:instrText xml:space="preserve"> PAGEREF _Toc512392629 \h </w:instrText>
      </w:r>
      <w:r>
        <w:rPr>
          <w:noProof/>
        </w:rPr>
      </w:r>
      <w:r>
        <w:rPr>
          <w:noProof/>
        </w:rPr>
        <w:fldChar w:fldCharType="separate"/>
      </w:r>
      <w:r w:rsidR="005E4D97">
        <w:rPr>
          <w:noProof/>
        </w:rPr>
        <w:t>5</w:t>
      </w:r>
      <w:r>
        <w:rPr>
          <w:noProof/>
        </w:rPr>
        <w:fldChar w:fldCharType="end"/>
      </w:r>
    </w:p>
    <w:p w:rsidR="000A0B97" w:rsidRDefault="000A0B97">
      <w:pPr>
        <w:pStyle w:val="Verzeichnis3"/>
        <w:tabs>
          <w:tab w:val="clear" w:pos="9638"/>
          <w:tab w:val="right" w:leader="dot" w:pos="9628"/>
        </w:tabs>
        <w:rPr>
          <w:noProof/>
        </w:rPr>
      </w:pPr>
      <w:r>
        <w:rPr>
          <w:noProof/>
        </w:rPr>
        <w:t>§ 10  Grenzwert für Stickstoffoxide</w:t>
      </w:r>
      <w:r>
        <w:rPr>
          <w:noProof/>
        </w:rPr>
        <w:tab/>
      </w:r>
      <w:r>
        <w:rPr>
          <w:noProof/>
        </w:rPr>
        <w:fldChar w:fldCharType="begin"/>
      </w:r>
      <w:r>
        <w:rPr>
          <w:noProof/>
        </w:rPr>
        <w:instrText xml:space="preserve"> PAGEREF _Toc512392630 \h </w:instrText>
      </w:r>
      <w:r>
        <w:rPr>
          <w:noProof/>
        </w:rPr>
      </w:r>
      <w:r>
        <w:rPr>
          <w:noProof/>
        </w:rPr>
        <w:fldChar w:fldCharType="separate"/>
      </w:r>
      <w:r w:rsidR="005E4D97">
        <w:rPr>
          <w:noProof/>
        </w:rPr>
        <w:t>5</w:t>
      </w:r>
      <w:r>
        <w:rPr>
          <w:noProof/>
        </w:rPr>
        <w:fldChar w:fldCharType="end"/>
      </w:r>
    </w:p>
    <w:p w:rsidR="000A0B97" w:rsidRDefault="000A0B97">
      <w:pPr>
        <w:pStyle w:val="Verzeichnis3"/>
        <w:tabs>
          <w:tab w:val="clear" w:pos="9638"/>
          <w:tab w:val="right" w:leader="dot" w:pos="9628"/>
        </w:tabs>
        <w:rPr>
          <w:noProof/>
        </w:rPr>
      </w:pPr>
      <w:r>
        <w:rPr>
          <w:noProof/>
        </w:rPr>
        <w:t>§ 11  Grenzwert für Schwefeloxide</w:t>
      </w:r>
      <w:r>
        <w:rPr>
          <w:noProof/>
        </w:rPr>
        <w:tab/>
      </w:r>
      <w:r>
        <w:rPr>
          <w:noProof/>
        </w:rPr>
        <w:fldChar w:fldCharType="begin"/>
      </w:r>
      <w:r>
        <w:rPr>
          <w:noProof/>
        </w:rPr>
        <w:instrText xml:space="preserve"> PAGEREF _Toc512392631 \h </w:instrText>
      </w:r>
      <w:r>
        <w:rPr>
          <w:noProof/>
        </w:rPr>
      </w:r>
      <w:r>
        <w:rPr>
          <w:noProof/>
        </w:rPr>
        <w:fldChar w:fldCharType="separate"/>
      </w:r>
      <w:r w:rsidR="005E4D97">
        <w:rPr>
          <w:noProof/>
        </w:rPr>
        <w:t>5</w:t>
      </w:r>
      <w:r>
        <w:rPr>
          <w:noProof/>
        </w:rPr>
        <w:fldChar w:fldCharType="end"/>
      </w:r>
    </w:p>
    <w:p w:rsidR="000A0B97" w:rsidRDefault="000A0B97">
      <w:pPr>
        <w:pStyle w:val="Verzeichnis3"/>
        <w:tabs>
          <w:tab w:val="clear" w:pos="9638"/>
          <w:tab w:val="right" w:leader="dot" w:pos="9628"/>
        </w:tabs>
        <w:rPr>
          <w:noProof/>
        </w:rPr>
      </w:pPr>
      <w:r>
        <w:rPr>
          <w:noProof/>
        </w:rPr>
        <w:t>§ 12  Grenzwerte für Halogenverbindungen</w:t>
      </w:r>
      <w:r>
        <w:rPr>
          <w:noProof/>
        </w:rPr>
        <w:tab/>
      </w:r>
      <w:r>
        <w:rPr>
          <w:noProof/>
        </w:rPr>
        <w:fldChar w:fldCharType="begin"/>
      </w:r>
      <w:r>
        <w:rPr>
          <w:noProof/>
        </w:rPr>
        <w:instrText xml:space="preserve"> PAGEREF _Toc512392632 \h </w:instrText>
      </w:r>
      <w:r>
        <w:rPr>
          <w:noProof/>
        </w:rPr>
      </w:r>
      <w:r>
        <w:rPr>
          <w:noProof/>
        </w:rPr>
        <w:fldChar w:fldCharType="separate"/>
      </w:r>
      <w:r w:rsidR="005E4D97">
        <w:rPr>
          <w:noProof/>
        </w:rPr>
        <w:t>6</w:t>
      </w:r>
      <w:r>
        <w:rPr>
          <w:noProof/>
        </w:rPr>
        <w:fldChar w:fldCharType="end"/>
      </w:r>
    </w:p>
    <w:p w:rsidR="000A0B97" w:rsidRDefault="000A0B97">
      <w:pPr>
        <w:pStyle w:val="Verzeichnis2"/>
        <w:tabs>
          <w:tab w:val="clear" w:pos="9638"/>
          <w:tab w:val="right" w:leader="dot" w:pos="9628"/>
        </w:tabs>
        <w:rPr>
          <w:noProof/>
        </w:rPr>
      </w:pPr>
      <w:r>
        <w:rPr>
          <w:noProof/>
        </w:rPr>
        <w:t>Dritter Abschnitt  Feuerungsanlagen für gasförmige Brennstoffe</w:t>
      </w:r>
      <w:r>
        <w:rPr>
          <w:noProof/>
        </w:rPr>
        <w:tab/>
      </w:r>
      <w:r>
        <w:rPr>
          <w:noProof/>
        </w:rPr>
        <w:fldChar w:fldCharType="begin"/>
      </w:r>
      <w:r>
        <w:rPr>
          <w:noProof/>
        </w:rPr>
        <w:instrText xml:space="preserve"> PAGEREF _Toc512392633 \h </w:instrText>
      </w:r>
      <w:r>
        <w:rPr>
          <w:noProof/>
        </w:rPr>
      </w:r>
      <w:r>
        <w:rPr>
          <w:noProof/>
        </w:rPr>
        <w:fldChar w:fldCharType="separate"/>
      </w:r>
      <w:r w:rsidR="005E4D97">
        <w:rPr>
          <w:noProof/>
        </w:rPr>
        <w:t>6</w:t>
      </w:r>
      <w:r>
        <w:rPr>
          <w:noProof/>
        </w:rPr>
        <w:fldChar w:fldCharType="end"/>
      </w:r>
    </w:p>
    <w:p w:rsidR="000A0B97" w:rsidRDefault="000A0B97">
      <w:pPr>
        <w:pStyle w:val="Verzeichnis3"/>
        <w:tabs>
          <w:tab w:val="clear" w:pos="9638"/>
          <w:tab w:val="right" w:leader="dot" w:pos="9628"/>
        </w:tabs>
        <w:rPr>
          <w:noProof/>
        </w:rPr>
      </w:pPr>
      <w:r>
        <w:rPr>
          <w:noProof/>
        </w:rPr>
        <w:t>§ 13  Grenzwerte für staubförmige Emissionen</w:t>
      </w:r>
      <w:r>
        <w:rPr>
          <w:noProof/>
        </w:rPr>
        <w:tab/>
      </w:r>
      <w:r>
        <w:rPr>
          <w:noProof/>
        </w:rPr>
        <w:fldChar w:fldCharType="begin"/>
      </w:r>
      <w:r>
        <w:rPr>
          <w:noProof/>
        </w:rPr>
        <w:instrText xml:space="preserve"> PAGEREF _Toc512392634 \h </w:instrText>
      </w:r>
      <w:r>
        <w:rPr>
          <w:noProof/>
        </w:rPr>
      </w:r>
      <w:r>
        <w:rPr>
          <w:noProof/>
        </w:rPr>
        <w:fldChar w:fldCharType="separate"/>
      </w:r>
      <w:r w:rsidR="005E4D97">
        <w:rPr>
          <w:noProof/>
        </w:rPr>
        <w:t>6</w:t>
      </w:r>
      <w:r>
        <w:rPr>
          <w:noProof/>
        </w:rPr>
        <w:fldChar w:fldCharType="end"/>
      </w:r>
    </w:p>
    <w:p w:rsidR="000A0B97" w:rsidRDefault="000A0B97">
      <w:pPr>
        <w:pStyle w:val="Verzeichnis3"/>
        <w:tabs>
          <w:tab w:val="clear" w:pos="9638"/>
          <w:tab w:val="right" w:leader="dot" w:pos="9628"/>
        </w:tabs>
        <w:rPr>
          <w:noProof/>
        </w:rPr>
      </w:pPr>
      <w:r>
        <w:rPr>
          <w:noProof/>
        </w:rPr>
        <w:t>§ 14  Grenzwert für Kohlenmonoxid</w:t>
      </w:r>
      <w:r>
        <w:rPr>
          <w:noProof/>
        </w:rPr>
        <w:tab/>
      </w:r>
      <w:r>
        <w:rPr>
          <w:noProof/>
        </w:rPr>
        <w:fldChar w:fldCharType="begin"/>
      </w:r>
      <w:r>
        <w:rPr>
          <w:noProof/>
        </w:rPr>
        <w:instrText xml:space="preserve"> PAGEREF _Toc512392635 \h </w:instrText>
      </w:r>
      <w:r>
        <w:rPr>
          <w:noProof/>
        </w:rPr>
      </w:r>
      <w:r>
        <w:rPr>
          <w:noProof/>
        </w:rPr>
        <w:fldChar w:fldCharType="separate"/>
      </w:r>
      <w:r w:rsidR="005E4D97">
        <w:rPr>
          <w:noProof/>
        </w:rPr>
        <w:t>6</w:t>
      </w:r>
      <w:r>
        <w:rPr>
          <w:noProof/>
        </w:rPr>
        <w:fldChar w:fldCharType="end"/>
      </w:r>
    </w:p>
    <w:p w:rsidR="000A0B97" w:rsidRDefault="000A0B97">
      <w:pPr>
        <w:pStyle w:val="Verzeichnis3"/>
        <w:tabs>
          <w:tab w:val="clear" w:pos="9638"/>
          <w:tab w:val="right" w:leader="dot" w:pos="9628"/>
        </w:tabs>
        <w:rPr>
          <w:noProof/>
        </w:rPr>
      </w:pPr>
      <w:r>
        <w:rPr>
          <w:noProof/>
        </w:rPr>
        <w:t>§ 15  Grenzwert für Stickstoffoxide</w:t>
      </w:r>
      <w:r>
        <w:rPr>
          <w:noProof/>
        </w:rPr>
        <w:tab/>
      </w:r>
      <w:r>
        <w:rPr>
          <w:noProof/>
        </w:rPr>
        <w:fldChar w:fldCharType="begin"/>
      </w:r>
      <w:r>
        <w:rPr>
          <w:noProof/>
        </w:rPr>
        <w:instrText xml:space="preserve"> PAGEREF _Toc512392636 \h </w:instrText>
      </w:r>
      <w:r>
        <w:rPr>
          <w:noProof/>
        </w:rPr>
      </w:r>
      <w:r>
        <w:rPr>
          <w:noProof/>
        </w:rPr>
        <w:fldChar w:fldCharType="separate"/>
      </w:r>
      <w:r w:rsidR="005E4D97">
        <w:rPr>
          <w:noProof/>
        </w:rPr>
        <w:t>7</w:t>
      </w:r>
      <w:r>
        <w:rPr>
          <w:noProof/>
        </w:rPr>
        <w:fldChar w:fldCharType="end"/>
      </w:r>
    </w:p>
    <w:p w:rsidR="000A0B97" w:rsidRDefault="000A0B97">
      <w:pPr>
        <w:pStyle w:val="Verzeichnis3"/>
        <w:tabs>
          <w:tab w:val="clear" w:pos="9638"/>
          <w:tab w:val="right" w:leader="dot" w:pos="9628"/>
        </w:tabs>
        <w:rPr>
          <w:noProof/>
        </w:rPr>
      </w:pPr>
      <w:r>
        <w:rPr>
          <w:noProof/>
        </w:rPr>
        <w:t>§ 16  Grenzwerte für Schwefeloxide</w:t>
      </w:r>
      <w:r>
        <w:rPr>
          <w:noProof/>
        </w:rPr>
        <w:tab/>
      </w:r>
      <w:r>
        <w:rPr>
          <w:noProof/>
        </w:rPr>
        <w:fldChar w:fldCharType="begin"/>
      </w:r>
      <w:r>
        <w:rPr>
          <w:noProof/>
        </w:rPr>
        <w:instrText xml:space="preserve"> PAGEREF _Toc512392637 \h </w:instrText>
      </w:r>
      <w:r>
        <w:rPr>
          <w:noProof/>
        </w:rPr>
      </w:r>
      <w:r>
        <w:rPr>
          <w:noProof/>
        </w:rPr>
        <w:fldChar w:fldCharType="separate"/>
      </w:r>
      <w:r w:rsidR="005E4D97">
        <w:rPr>
          <w:noProof/>
        </w:rPr>
        <w:t>7</w:t>
      </w:r>
      <w:r>
        <w:rPr>
          <w:noProof/>
        </w:rPr>
        <w:fldChar w:fldCharType="end"/>
      </w:r>
    </w:p>
    <w:p w:rsidR="000A0B97" w:rsidRDefault="000A0B97">
      <w:pPr>
        <w:pStyle w:val="Verzeichnis2"/>
        <w:tabs>
          <w:tab w:val="clear" w:pos="9638"/>
          <w:tab w:val="right" w:leader="dot" w:pos="9628"/>
        </w:tabs>
        <w:rPr>
          <w:noProof/>
        </w:rPr>
      </w:pPr>
      <w:r>
        <w:rPr>
          <w:noProof/>
        </w:rPr>
        <w:t>Dritter Teil  Anforderungen an Altanlagen</w:t>
      </w:r>
      <w:r>
        <w:rPr>
          <w:noProof/>
        </w:rPr>
        <w:tab/>
      </w:r>
      <w:r>
        <w:rPr>
          <w:noProof/>
        </w:rPr>
        <w:fldChar w:fldCharType="begin"/>
      </w:r>
      <w:r>
        <w:rPr>
          <w:noProof/>
        </w:rPr>
        <w:instrText xml:space="preserve"> PAGEREF _Toc512392638 \h </w:instrText>
      </w:r>
      <w:r>
        <w:rPr>
          <w:noProof/>
        </w:rPr>
      </w:r>
      <w:r>
        <w:rPr>
          <w:noProof/>
        </w:rPr>
        <w:fldChar w:fldCharType="separate"/>
      </w:r>
      <w:r w:rsidR="005E4D97">
        <w:rPr>
          <w:noProof/>
        </w:rPr>
        <w:t>7</w:t>
      </w:r>
      <w:r>
        <w:rPr>
          <w:noProof/>
        </w:rPr>
        <w:fldChar w:fldCharType="end"/>
      </w:r>
    </w:p>
    <w:p w:rsidR="000A0B97" w:rsidRDefault="000A0B97">
      <w:pPr>
        <w:pStyle w:val="Verzeichnis3"/>
        <w:tabs>
          <w:tab w:val="clear" w:pos="9638"/>
          <w:tab w:val="right" w:leader="dot" w:pos="9628"/>
        </w:tabs>
        <w:rPr>
          <w:noProof/>
        </w:rPr>
      </w:pPr>
      <w:r>
        <w:rPr>
          <w:noProof/>
        </w:rPr>
        <w:t>§ 17  Grenzwerte für staubförmige Emissionen</w:t>
      </w:r>
      <w:r>
        <w:rPr>
          <w:noProof/>
        </w:rPr>
        <w:tab/>
      </w:r>
      <w:r>
        <w:rPr>
          <w:noProof/>
        </w:rPr>
        <w:fldChar w:fldCharType="begin"/>
      </w:r>
      <w:r>
        <w:rPr>
          <w:noProof/>
        </w:rPr>
        <w:instrText xml:space="preserve"> PAGEREF _Toc512392639 \h </w:instrText>
      </w:r>
      <w:r>
        <w:rPr>
          <w:noProof/>
        </w:rPr>
      </w:r>
      <w:r>
        <w:rPr>
          <w:noProof/>
        </w:rPr>
        <w:fldChar w:fldCharType="separate"/>
      </w:r>
      <w:r w:rsidR="005E4D97">
        <w:rPr>
          <w:noProof/>
        </w:rPr>
        <w:t>7</w:t>
      </w:r>
      <w:r>
        <w:rPr>
          <w:noProof/>
        </w:rPr>
        <w:fldChar w:fldCharType="end"/>
      </w:r>
    </w:p>
    <w:p w:rsidR="000A0B97" w:rsidRDefault="000A0B97">
      <w:pPr>
        <w:pStyle w:val="Verzeichnis3"/>
        <w:tabs>
          <w:tab w:val="clear" w:pos="9638"/>
          <w:tab w:val="right" w:leader="dot" w:pos="9628"/>
        </w:tabs>
        <w:rPr>
          <w:noProof/>
        </w:rPr>
      </w:pPr>
      <w:r>
        <w:rPr>
          <w:noProof/>
        </w:rPr>
        <w:t>§ 18  Grenzwerte für Kohlenmonoxid</w:t>
      </w:r>
      <w:r>
        <w:rPr>
          <w:noProof/>
        </w:rPr>
        <w:tab/>
      </w:r>
      <w:r>
        <w:rPr>
          <w:noProof/>
        </w:rPr>
        <w:fldChar w:fldCharType="begin"/>
      </w:r>
      <w:r>
        <w:rPr>
          <w:noProof/>
        </w:rPr>
        <w:instrText xml:space="preserve"> PAGEREF _Toc512392640 \h </w:instrText>
      </w:r>
      <w:r>
        <w:rPr>
          <w:noProof/>
        </w:rPr>
      </w:r>
      <w:r>
        <w:rPr>
          <w:noProof/>
        </w:rPr>
        <w:fldChar w:fldCharType="separate"/>
      </w:r>
      <w:r w:rsidR="005E4D97">
        <w:rPr>
          <w:noProof/>
        </w:rPr>
        <w:t>8</w:t>
      </w:r>
      <w:r>
        <w:rPr>
          <w:noProof/>
        </w:rPr>
        <w:fldChar w:fldCharType="end"/>
      </w:r>
    </w:p>
    <w:p w:rsidR="000A0B97" w:rsidRDefault="000A0B97">
      <w:pPr>
        <w:pStyle w:val="Verzeichnis3"/>
        <w:tabs>
          <w:tab w:val="clear" w:pos="9638"/>
          <w:tab w:val="right" w:leader="dot" w:pos="9628"/>
        </w:tabs>
        <w:rPr>
          <w:noProof/>
        </w:rPr>
      </w:pPr>
      <w:r>
        <w:rPr>
          <w:noProof/>
        </w:rPr>
        <w:t>§ 19  Grenzwerte für Stickstoffoxide</w:t>
      </w:r>
      <w:r>
        <w:rPr>
          <w:noProof/>
        </w:rPr>
        <w:tab/>
      </w:r>
      <w:r>
        <w:rPr>
          <w:noProof/>
        </w:rPr>
        <w:fldChar w:fldCharType="begin"/>
      </w:r>
      <w:r>
        <w:rPr>
          <w:noProof/>
        </w:rPr>
        <w:instrText xml:space="preserve"> PAGEREF _Toc512392641 \h </w:instrText>
      </w:r>
      <w:r>
        <w:rPr>
          <w:noProof/>
        </w:rPr>
      </w:r>
      <w:r>
        <w:rPr>
          <w:noProof/>
        </w:rPr>
        <w:fldChar w:fldCharType="separate"/>
      </w:r>
      <w:r w:rsidR="005E4D97">
        <w:rPr>
          <w:noProof/>
        </w:rPr>
        <w:t>8</w:t>
      </w:r>
      <w:r>
        <w:rPr>
          <w:noProof/>
        </w:rPr>
        <w:fldChar w:fldCharType="end"/>
      </w:r>
    </w:p>
    <w:p w:rsidR="000A0B97" w:rsidRDefault="000A0B97">
      <w:pPr>
        <w:pStyle w:val="Verzeichnis3"/>
        <w:tabs>
          <w:tab w:val="clear" w:pos="9638"/>
          <w:tab w:val="right" w:leader="dot" w:pos="9628"/>
        </w:tabs>
        <w:rPr>
          <w:noProof/>
        </w:rPr>
      </w:pPr>
      <w:r>
        <w:rPr>
          <w:noProof/>
        </w:rPr>
        <w:t>§ 20  Grenzwerte für Schwefeloxide</w:t>
      </w:r>
      <w:r>
        <w:rPr>
          <w:noProof/>
        </w:rPr>
        <w:tab/>
      </w:r>
      <w:r>
        <w:rPr>
          <w:noProof/>
        </w:rPr>
        <w:fldChar w:fldCharType="begin"/>
      </w:r>
      <w:r>
        <w:rPr>
          <w:noProof/>
        </w:rPr>
        <w:instrText xml:space="preserve"> PAGEREF _Toc512392642 \h </w:instrText>
      </w:r>
      <w:r>
        <w:rPr>
          <w:noProof/>
        </w:rPr>
      </w:r>
      <w:r>
        <w:rPr>
          <w:noProof/>
        </w:rPr>
        <w:fldChar w:fldCharType="separate"/>
      </w:r>
      <w:r w:rsidR="005E4D97">
        <w:rPr>
          <w:noProof/>
        </w:rPr>
        <w:t>8</w:t>
      </w:r>
      <w:r>
        <w:rPr>
          <w:noProof/>
        </w:rPr>
        <w:fldChar w:fldCharType="end"/>
      </w:r>
    </w:p>
    <w:p w:rsidR="000A0B97" w:rsidRDefault="000A0B97">
      <w:pPr>
        <w:pStyle w:val="Verzeichnis2"/>
        <w:tabs>
          <w:tab w:val="clear" w:pos="9638"/>
          <w:tab w:val="right" w:leader="dot" w:pos="9628"/>
        </w:tabs>
        <w:rPr>
          <w:noProof/>
        </w:rPr>
      </w:pPr>
      <w:r>
        <w:rPr>
          <w:noProof/>
        </w:rPr>
        <w:t>Vierter Teil  Messung und Überwachung der Emissionen</w:t>
      </w:r>
      <w:r>
        <w:rPr>
          <w:noProof/>
        </w:rPr>
        <w:tab/>
      </w:r>
      <w:r>
        <w:rPr>
          <w:noProof/>
        </w:rPr>
        <w:fldChar w:fldCharType="begin"/>
      </w:r>
      <w:r>
        <w:rPr>
          <w:noProof/>
        </w:rPr>
        <w:instrText xml:space="preserve"> PAGEREF _Toc512392643 \h </w:instrText>
      </w:r>
      <w:r>
        <w:rPr>
          <w:noProof/>
        </w:rPr>
      </w:r>
      <w:r>
        <w:rPr>
          <w:noProof/>
        </w:rPr>
        <w:fldChar w:fldCharType="separate"/>
      </w:r>
      <w:r w:rsidR="005E4D97">
        <w:rPr>
          <w:noProof/>
        </w:rPr>
        <w:t>9</w:t>
      </w:r>
      <w:r>
        <w:rPr>
          <w:noProof/>
        </w:rPr>
        <w:fldChar w:fldCharType="end"/>
      </w:r>
    </w:p>
    <w:p w:rsidR="000A0B97" w:rsidRDefault="000A0B97">
      <w:pPr>
        <w:pStyle w:val="Verzeichnis3"/>
        <w:tabs>
          <w:tab w:val="clear" w:pos="9638"/>
          <w:tab w:val="right" w:leader="dot" w:pos="9628"/>
        </w:tabs>
        <w:rPr>
          <w:noProof/>
        </w:rPr>
      </w:pPr>
      <w:r>
        <w:rPr>
          <w:noProof/>
        </w:rPr>
        <w:t>§ 21  Meßstellen</w:t>
      </w:r>
      <w:r>
        <w:rPr>
          <w:noProof/>
        </w:rPr>
        <w:tab/>
      </w:r>
      <w:r>
        <w:rPr>
          <w:noProof/>
        </w:rPr>
        <w:fldChar w:fldCharType="begin"/>
      </w:r>
      <w:r>
        <w:rPr>
          <w:noProof/>
        </w:rPr>
        <w:instrText xml:space="preserve"> PAGEREF _Toc512392644 \h </w:instrText>
      </w:r>
      <w:r>
        <w:rPr>
          <w:noProof/>
        </w:rPr>
      </w:r>
      <w:r>
        <w:rPr>
          <w:noProof/>
        </w:rPr>
        <w:fldChar w:fldCharType="separate"/>
      </w:r>
      <w:r w:rsidR="005E4D97">
        <w:rPr>
          <w:noProof/>
        </w:rPr>
        <w:t>9</w:t>
      </w:r>
      <w:r>
        <w:rPr>
          <w:noProof/>
        </w:rPr>
        <w:fldChar w:fldCharType="end"/>
      </w:r>
    </w:p>
    <w:p w:rsidR="000A0B97" w:rsidRDefault="000A0B97">
      <w:pPr>
        <w:pStyle w:val="Verzeichnis3"/>
        <w:tabs>
          <w:tab w:val="clear" w:pos="9638"/>
          <w:tab w:val="right" w:leader="dot" w:pos="9628"/>
        </w:tabs>
        <w:rPr>
          <w:noProof/>
        </w:rPr>
      </w:pPr>
      <w:r>
        <w:rPr>
          <w:noProof/>
        </w:rPr>
        <w:t>§ 22  Erstmalige und wiederkehrende Messungen</w:t>
      </w:r>
      <w:r>
        <w:rPr>
          <w:noProof/>
        </w:rPr>
        <w:tab/>
      </w:r>
      <w:r>
        <w:rPr>
          <w:noProof/>
        </w:rPr>
        <w:fldChar w:fldCharType="begin"/>
      </w:r>
      <w:r>
        <w:rPr>
          <w:noProof/>
        </w:rPr>
        <w:instrText xml:space="preserve"> PAGEREF _Toc512392645 \h </w:instrText>
      </w:r>
      <w:r>
        <w:rPr>
          <w:noProof/>
        </w:rPr>
      </w:r>
      <w:r>
        <w:rPr>
          <w:noProof/>
        </w:rPr>
        <w:fldChar w:fldCharType="separate"/>
      </w:r>
      <w:r w:rsidR="005E4D97">
        <w:rPr>
          <w:noProof/>
        </w:rPr>
        <w:t>9</w:t>
      </w:r>
      <w:r>
        <w:rPr>
          <w:noProof/>
        </w:rPr>
        <w:fldChar w:fldCharType="end"/>
      </w:r>
    </w:p>
    <w:p w:rsidR="000A0B97" w:rsidRDefault="000A0B97">
      <w:pPr>
        <w:pStyle w:val="Verzeichnis3"/>
        <w:tabs>
          <w:tab w:val="clear" w:pos="9638"/>
          <w:tab w:val="right" w:leader="dot" w:pos="9628"/>
        </w:tabs>
        <w:rPr>
          <w:noProof/>
        </w:rPr>
      </w:pPr>
      <w:r>
        <w:rPr>
          <w:noProof/>
        </w:rPr>
        <w:t>§ 23  Meßprogramm für Einzelmessungen</w:t>
      </w:r>
      <w:r>
        <w:rPr>
          <w:noProof/>
        </w:rPr>
        <w:tab/>
      </w:r>
      <w:r>
        <w:rPr>
          <w:noProof/>
        </w:rPr>
        <w:fldChar w:fldCharType="begin"/>
      </w:r>
      <w:r>
        <w:rPr>
          <w:noProof/>
        </w:rPr>
        <w:instrText xml:space="preserve"> PAGEREF _Toc512392646 \h </w:instrText>
      </w:r>
      <w:r>
        <w:rPr>
          <w:noProof/>
        </w:rPr>
      </w:r>
      <w:r>
        <w:rPr>
          <w:noProof/>
        </w:rPr>
        <w:fldChar w:fldCharType="separate"/>
      </w:r>
      <w:r w:rsidR="005E4D97">
        <w:rPr>
          <w:noProof/>
        </w:rPr>
        <w:t>9</w:t>
      </w:r>
      <w:r>
        <w:rPr>
          <w:noProof/>
        </w:rPr>
        <w:fldChar w:fldCharType="end"/>
      </w:r>
    </w:p>
    <w:p w:rsidR="000A0B97" w:rsidRDefault="000A0B97">
      <w:pPr>
        <w:pStyle w:val="Verzeichnis3"/>
        <w:tabs>
          <w:tab w:val="clear" w:pos="9638"/>
          <w:tab w:val="right" w:leader="dot" w:pos="9628"/>
        </w:tabs>
        <w:rPr>
          <w:noProof/>
        </w:rPr>
      </w:pPr>
      <w:r>
        <w:rPr>
          <w:noProof/>
        </w:rPr>
        <w:t>§ 24  Berichte und Beurteilung von Einzelmessungen</w:t>
      </w:r>
      <w:r>
        <w:rPr>
          <w:noProof/>
        </w:rPr>
        <w:tab/>
      </w:r>
      <w:r>
        <w:rPr>
          <w:noProof/>
        </w:rPr>
        <w:fldChar w:fldCharType="begin"/>
      </w:r>
      <w:r>
        <w:rPr>
          <w:noProof/>
        </w:rPr>
        <w:instrText xml:space="preserve"> PAGEREF _Toc512392647 \h </w:instrText>
      </w:r>
      <w:r>
        <w:rPr>
          <w:noProof/>
        </w:rPr>
      </w:r>
      <w:r>
        <w:rPr>
          <w:noProof/>
        </w:rPr>
        <w:fldChar w:fldCharType="separate"/>
      </w:r>
      <w:r w:rsidR="005E4D97">
        <w:rPr>
          <w:noProof/>
        </w:rPr>
        <w:t>10</w:t>
      </w:r>
      <w:r>
        <w:rPr>
          <w:noProof/>
        </w:rPr>
        <w:fldChar w:fldCharType="end"/>
      </w:r>
    </w:p>
    <w:p w:rsidR="000A0B97" w:rsidRDefault="000A0B97">
      <w:pPr>
        <w:pStyle w:val="Verzeichnis3"/>
        <w:tabs>
          <w:tab w:val="clear" w:pos="9638"/>
          <w:tab w:val="right" w:leader="dot" w:pos="9628"/>
        </w:tabs>
        <w:rPr>
          <w:noProof/>
        </w:rPr>
      </w:pPr>
      <w:r>
        <w:rPr>
          <w:noProof/>
        </w:rPr>
        <w:t>§ 25  Kontinuierliche Messungen</w:t>
      </w:r>
      <w:r>
        <w:rPr>
          <w:noProof/>
        </w:rPr>
        <w:tab/>
      </w:r>
      <w:r>
        <w:rPr>
          <w:noProof/>
        </w:rPr>
        <w:fldChar w:fldCharType="begin"/>
      </w:r>
      <w:r>
        <w:rPr>
          <w:noProof/>
        </w:rPr>
        <w:instrText xml:space="preserve"> PAGEREF _Toc512392648 \h </w:instrText>
      </w:r>
      <w:r>
        <w:rPr>
          <w:noProof/>
        </w:rPr>
      </w:r>
      <w:r>
        <w:rPr>
          <w:noProof/>
        </w:rPr>
        <w:fldChar w:fldCharType="separate"/>
      </w:r>
      <w:r w:rsidR="005E4D97">
        <w:rPr>
          <w:noProof/>
        </w:rPr>
        <w:t>10</w:t>
      </w:r>
      <w:r>
        <w:rPr>
          <w:noProof/>
        </w:rPr>
        <w:fldChar w:fldCharType="end"/>
      </w:r>
    </w:p>
    <w:p w:rsidR="000A0B97" w:rsidRDefault="000A0B97">
      <w:pPr>
        <w:pStyle w:val="Verzeichnis3"/>
        <w:tabs>
          <w:tab w:val="clear" w:pos="9638"/>
          <w:tab w:val="right" w:leader="dot" w:pos="9628"/>
        </w:tabs>
        <w:rPr>
          <w:noProof/>
        </w:rPr>
      </w:pPr>
      <w:r>
        <w:rPr>
          <w:noProof/>
        </w:rPr>
        <w:t>§ 26  Aufzeichnungen und Auswertung</w:t>
      </w:r>
      <w:r>
        <w:rPr>
          <w:noProof/>
        </w:rPr>
        <w:tab/>
      </w:r>
      <w:r>
        <w:rPr>
          <w:noProof/>
        </w:rPr>
        <w:fldChar w:fldCharType="begin"/>
      </w:r>
      <w:r>
        <w:rPr>
          <w:noProof/>
        </w:rPr>
        <w:instrText xml:space="preserve"> PAGEREF _Toc512392649 \h </w:instrText>
      </w:r>
      <w:r>
        <w:rPr>
          <w:noProof/>
        </w:rPr>
      </w:r>
      <w:r>
        <w:rPr>
          <w:noProof/>
        </w:rPr>
        <w:fldChar w:fldCharType="separate"/>
      </w:r>
      <w:r w:rsidR="005E4D97">
        <w:rPr>
          <w:noProof/>
        </w:rPr>
        <w:t>10</w:t>
      </w:r>
      <w:r>
        <w:rPr>
          <w:noProof/>
        </w:rPr>
        <w:fldChar w:fldCharType="end"/>
      </w:r>
    </w:p>
    <w:p w:rsidR="000A0B97" w:rsidRDefault="000A0B97">
      <w:pPr>
        <w:pStyle w:val="Verzeichnis3"/>
        <w:tabs>
          <w:tab w:val="clear" w:pos="9638"/>
          <w:tab w:val="right" w:leader="dot" w:pos="9628"/>
        </w:tabs>
        <w:rPr>
          <w:noProof/>
        </w:rPr>
      </w:pPr>
      <w:r>
        <w:rPr>
          <w:noProof/>
        </w:rPr>
        <w:t>§ 27  Berichte und Beurteilung kontinuierlicher Messungen</w:t>
      </w:r>
      <w:r>
        <w:rPr>
          <w:noProof/>
        </w:rPr>
        <w:tab/>
      </w:r>
      <w:r>
        <w:rPr>
          <w:noProof/>
        </w:rPr>
        <w:fldChar w:fldCharType="begin"/>
      </w:r>
      <w:r>
        <w:rPr>
          <w:noProof/>
        </w:rPr>
        <w:instrText xml:space="preserve"> PAGEREF _Toc512392650 \h </w:instrText>
      </w:r>
      <w:r>
        <w:rPr>
          <w:noProof/>
        </w:rPr>
      </w:r>
      <w:r>
        <w:rPr>
          <w:noProof/>
        </w:rPr>
        <w:fldChar w:fldCharType="separate"/>
      </w:r>
      <w:r w:rsidR="005E4D97">
        <w:rPr>
          <w:noProof/>
        </w:rPr>
        <w:t>11</w:t>
      </w:r>
      <w:r>
        <w:rPr>
          <w:noProof/>
        </w:rPr>
        <w:fldChar w:fldCharType="end"/>
      </w:r>
    </w:p>
    <w:p w:rsidR="000A0B97" w:rsidRDefault="000A0B97">
      <w:pPr>
        <w:pStyle w:val="Verzeichnis3"/>
        <w:tabs>
          <w:tab w:val="clear" w:pos="9638"/>
          <w:tab w:val="right" w:leader="dot" w:pos="9628"/>
        </w:tabs>
        <w:rPr>
          <w:noProof/>
        </w:rPr>
      </w:pPr>
      <w:r>
        <w:rPr>
          <w:noProof/>
        </w:rPr>
        <w:t>§ 28  Kalibrierung und Funktionsprüfung von Meßeinrichtungen</w:t>
      </w:r>
      <w:r>
        <w:rPr>
          <w:noProof/>
        </w:rPr>
        <w:tab/>
      </w:r>
      <w:r>
        <w:rPr>
          <w:noProof/>
        </w:rPr>
        <w:fldChar w:fldCharType="begin"/>
      </w:r>
      <w:r>
        <w:rPr>
          <w:noProof/>
        </w:rPr>
        <w:instrText xml:space="preserve"> PAGEREF _Toc512392651 \h </w:instrText>
      </w:r>
      <w:r>
        <w:rPr>
          <w:noProof/>
        </w:rPr>
      </w:r>
      <w:r>
        <w:rPr>
          <w:noProof/>
        </w:rPr>
        <w:fldChar w:fldCharType="separate"/>
      </w:r>
      <w:r w:rsidR="005E4D97">
        <w:rPr>
          <w:noProof/>
        </w:rPr>
        <w:t>11</w:t>
      </w:r>
      <w:r>
        <w:rPr>
          <w:noProof/>
        </w:rPr>
        <w:fldChar w:fldCharType="end"/>
      </w:r>
    </w:p>
    <w:p w:rsidR="000A0B97" w:rsidRDefault="000A0B97">
      <w:pPr>
        <w:pStyle w:val="Verzeichnis2"/>
        <w:tabs>
          <w:tab w:val="clear" w:pos="9638"/>
          <w:tab w:val="right" w:leader="dot" w:pos="9628"/>
        </w:tabs>
        <w:rPr>
          <w:noProof/>
        </w:rPr>
      </w:pPr>
      <w:r>
        <w:rPr>
          <w:noProof/>
        </w:rPr>
        <w:t>Fünfter Teil  Gemeinsame Vorschriften</w:t>
      </w:r>
      <w:r>
        <w:rPr>
          <w:noProof/>
        </w:rPr>
        <w:tab/>
      </w:r>
      <w:r>
        <w:rPr>
          <w:noProof/>
        </w:rPr>
        <w:fldChar w:fldCharType="begin"/>
      </w:r>
      <w:r>
        <w:rPr>
          <w:noProof/>
        </w:rPr>
        <w:instrText xml:space="preserve"> PAGEREF _Toc512392652 \h </w:instrText>
      </w:r>
      <w:r>
        <w:rPr>
          <w:noProof/>
        </w:rPr>
      </w:r>
      <w:r>
        <w:rPr>
          <w:noProof/>
        </w:rPr>
        <w:fldChar w:fldCharType="separate"/>
      </w:r>
      <w:r w:rsidR="005E4D97">
        <w:rPr>
          <w:noProof/>
        </w:rPr>
        <w:t>11</w:t>
      </w:r>
      <w:r>
        <w:rPr>
          <w:noProof/>
        </w:rPr>
        <w:fldChar w:fldCharType="end"/>
      </w:r>
    </w:p>
    <w:p w:rsidR="000A0B97" w:rsidRDefault="000A0B97">
      <w:pPr>
        <w:pStyle w:val="Verzeichnis3"/>
        <w:tabs>
          <w:tab w:val="clear" w:pos="9638"/>
          <w:tab w:val="right" w:leader="dot" w:pos="9628"/>
        </w:tabs>
        <w:rPr>
          <w:noProof/>
        </w:rPr>
      </w:pPr>
      <w:r>
        <w:rPr>
          <w:noProof/>
        </w:rPr>
        <w:t>§ 29  Ableitbedingungen für Abgase</w:t>
      </w:r>
      <w:r>
        <w:rPr>
          <w:noProof/>
        </w:rPr>
        <w:tab/>
      </w:r>
      <w:r>
        <w:rPr>
          <w:noProof/>
        </w:rPr>
        <w:fldChar w:fldCharType="begin"/>
      </w:r>
      <w:r>
        <w:rPr>
          <w:noProof/>
        </w:rPr>
        <w:instrText xml:space="preserve"> PAGEREF _Toc512392653 \h </w:instrText>
      </w:r>
      <w:r>
        <w:rPr>
          <w:noProof/>
        </w:rPr>
      </w:r>
      <w:r>
        <w:rPr>
          <w:noProof/>
        </w:rPr>
        <w:fldChar w:fldCharType="separate"/>
      </w:r>
      <w:r w:rsidR="005E4D97">
        <w:rPr>
          <w:noProof/>
        </w:rPr>
        <w:t>11</w:t>
      </w:r>
      <w:r>
        <w:rPr>
          <w:noProof/>
        </w:rPr>
        <w:fldChar w:fldCharType="end"/>
      </w:r>
    </w:p>
    <w:p w:rsidR="000A0B97" w:rsidRDefault="000A0B97">
      <w:pPr>
        <w:pStyle w:val="Verzeichnis3"/>
        <w:tabs>
          <w:tab w:val="clear" w:pos="9638"/>
          <w:tab w:val="right" w:leader="dot" w:pos="9628"/>
        </w:tabs>
        <w:rPr>
          <w:noProof/>
        </w:rPr>
      </w:pPr>
      <w:r>
        <w:rPr>
          <w:noProof/>
        </w:rPr>
        <w:t>§ 30  Erweiterung von Anlagen</w:t>
      </w:r>
      <w:r>
        <w:rPr>
          <w:noProof/>
        </w:rPr>
        <w:tab/>
      </w:r>
      <w:r>
        <w:rPr>
          <w:noProof/>
        </w:rPr>
        <w:fldChar w:fldCharType="begin"/>
      </w:r>
      <w:r>
        <w:rPr>
          <w:noProof/>
        </w:rPr>
        <w:instrText xml:space="preserve"> PAGEREF _Toc512392654 \h </w:instrText>
      </w:r>
      <w:r>
        <w:rPr>
          <w:noProof/>
        </w:rPr>
      </w:r>
      <w:r>
        <w:rPr>
          <w:noProof/>
        </w:rPr>
        <w:fldChar w:fldCharType="separate"/>
      </w:r>
      <w:r w:rsidR="005E4D97">
        <w:rPr>
          <w:noProof/>
        </w:rPr>
        <w:t>11</w:t>
      </w:r>
      <w:r>
        <w:rPr>
          <w:noProof/>
        </w:rPr>
        <w:fldChar w:fldCharType="end"/>
      </w:r>
    </w:p>
    <w:p w:rsidR="000A0B97" w:rsidRDefault="000A0B97">
      <w:pPr>
        <w:pStyle w:val="Verzeichnis3"/>
        <w:tabs>
          <w:tab w:val="clear" w:pos="9638"/>
          <w:tab w:val="right" w:leader="dot" w:pos="9628"/>
        </w:tabs>
        <w:rPr>
          <w:noProof/>
        </w:rPr>
      </w:pPr>
      <w:r>
        <w:rPr>
          <w:noProof/>
        </w:rPr>
        <w:t>§ 31  Mischfeuerungen und Mehrstoffeuerungen</w:t>
      </w:r>
      <w:r>
        <w:rPr>
          <w:noProof/>
        </w:rPr>
        <w:tab/>
      </w:r>
      <w:r>
        <w:rPr>
          <w:noProof/>
        </w:rPr>
        <w:fldChar w:fldCharType="begin"/>
      </w:r>
      <w:r>
        <w:rPr>
          <w:noProof/>
        </w:rPr>
        <w:instrText xml:space="preserve"> PAGEREF _Toc512392655 \h </w:instrText>
      </w:r>
      <w:r>
        <w:rPr>
          <w:noProof/>
        </w:rPr>
      </w:r>
      <w:r>
        <w:rPr>
          <w:noProof/>
        </w:rPr>
        <w:fldChar w:fldCharType="separate"/>
      </w:r>
      <w:r w:rsidR="005E4D97">
        <w:rPr>
          <w:noProof/>
        </w:rPr>
        <w:t>12</w:t>
      </w:r>
      <w:r>
        <w:rPr>
          <w:noProof/>
        </w:rPr>
        <w:fldChar w:fldCharType="end"/>
      </w:r>
    </w:p>
    <w:p w:rsidR="000A0B97" w:rsidRDefault="000A0B97">
      <w:pPr>
        <w:pStyle w:val="Verzeichnis3"/>
        <w:tabs>
          <w:tab w:val="clear" w:pos="9638"/>
          <w:tab w:val="right" w:leader="dot" w:pos="9628"/>
        </w:tabs>
        <w:rPr>
          <w:noProof/>
        </w:rPr>
      </w:pPr>
      <w:r>
        <w:rPr>
          <w:noProof/>
        </w:rPr>
        <w:t>§ 32  Begrenzung staubförmiger Emissionen bei Lagerungs- und Transportvorgängen</w:t>
      </w:r>
      <w:r>
        <w:rPr>
          <w:noProof/>
        </w:rPr>
        <w:tab/>
      </w:r>
      <w:r>
        <w:rPr>
          <w:noProof/>
        </w:rPr>
        <w:fldChar w:fldCharType="begin"/>
      </w:r>
      <w:r>
        <w:rPr>
          <w:noProof/>
        </w:rPr>
        <w:instrText xml:space="preserve"> PAGEREF _Toc512392656 \h </w:instrText>
      </w:r>
      <w:r>
        <w:rPr>
          <w:noProof/>
        </w:rPr>
      </w:r>
      <w:r>
        <w:rPr>
          <w:noProof/>
        </w:rPr>
        <w:fldChar w:fldCharType="separate"/>
      </w:r>
      <w:r w:rsidR="005E4D97">
        <w:rPr>
          <w:noProof/>
        </w:rPr>
        <w:t>12</w:t>
      </w:r>
      <w:r>
        <w:rPr>
          <w:noProof/>
        </w:rPr>
        <w:fldChar w:fldCharType="end"/>
      </w:r>
    </w:p>
    <w:p w:rsidR="000A0B97" w:rsidRDefault="000A0B97">
      <w:pPr>
        <w:pStyle w:val="Verzeichnis3"/>
        <w:tabs>
          <w:tab w:val="clear" w:pos="9638"/>
          <w:tab w:val="right" w:leader="dot" w:pos="9628"/>
        </w:tabs>
        <w:rPr>
          <w:noProof/>
        </w:rPr>
      </w:pPr>
      <w:r>
        <w:rPr>
          <w:noProof/>
        </w:rPr>
        <w:t>§ 33  Zulassung von Ausnahmen</w:t>
      </w:r>
      <w:r>
        <w:rPr>
          <w:noProof/>
        </w:rPr>
        <w:tab/>
      </w:r>
      <w:r>
        <w:rPr>
          <w:noProof/>
        </w:rPr>
        <w:fldChar w:fldCharType="begin"/>
      </w:r>
      <w:r>
        <w:rPr>
          <w:noProof/>
        </w:rPr>
        <w:instrText xml:space="preserve"> PAGEREF _Toc512392657 \h </w:instrText>
      </w:r>
      <w:r>
        <w:rPr>
          <w:noProof/>
        </w:rPr>
      </w:r>
      <w:r>
        <w:rPr>
          <w:noProof/>
        </w:rPr>
        <w:fldChar w:fldCharType="separate"/>
      </w:r>
      <w:r w:rsidR="005E4D97">
        <w:rPr>
          <w:noProof/>
        </w:rPr>
        <w:t>12</w:t>
      </w:r>
      <w:r>
        <w:rPr>
          <w:noProof/>
        </w:rPr>
        <w:fldChar w:fldCharType="end"/>
      </w:r>
    </w:p>
    <w:p w:rsidR="000A0B97" w:rsidRDefault="000A0B97">
      <w:pPr>
        <w:pStyle w:val="Verzeichnis3"/>
        <w:tabs>
          <w:tab w:val="clear" w:pos="9638"/>
          <w:tab w:val="right" w:leader="dot" w:pos="9628"/>
        </w:tabs>
        <w:rPr>
          <w:noProof/>
        </w:rPr>
      </w:pPr>
      <w:r>
        <w:rPr>
          <w:noProof/>
        </w:rPr>
        <w:t>§ 34  Weitergehende Anforderungen</w:t>
      </w:r>
      <w:r>
        <w:rPr>
          <w:noProof/>
        </w:rPr>
        <w:tab/>
      </w:r>
      <w:r>
        <w:rPr>
          <w:noProof/>
        </w:rPr>
        <w:fldChar w:fldCharType="begin"/>
      </w:r>
      <w:r>
        <w:rPr>
          <w:noProof/>
        </w:rPr>
        <w:instrText xml:space="preserve"> PAGEREF _Toc512392658 \h </w:instrText>
      </w:r>
      <w:r>
        <w:rPr>
          <w:noProof/>
        </w:rPr>
      </w:r>
      <w:r>
        <w:rPr>
          <w:noProof/>
        </w:rPr>
        <w:fldChar w:fldCharType="separate"/>
      </w:r>
      <w:r w:rsidR="005E4D97">
        <w:rPr>
          <w:noProof/>
        </w:rPr>
        <w:t>13</w:t>
      </w:r>
      <w:r>
        <w:rPr>
          <w:noProof/>
        </w:rPr>
        <w:fldChar w:fldCharType="end"/>
      </w:r>
    </w:p>
    <w:p w:rsidR="000A0B97" w:rsidRDefault="000A0B97">
      <w:pPr>
        <w:pStyle w:val="Verzeichnis3"/>
        <w:tabs>
          <w:tab w:val="clear" w:pos="9638"/>
          <w:tab w:val="right" w:leader="dot" w:pos="9628"/>
        </w:tabs>
        <w:rPr>
          <w:noProof/>
        </w:rPr>
      </w:pPr>
      <w:r>
        <w:rPr>
          <w:noProof/>
        </w:rPr>
        <w:t>§ 35  Ordnungswidrigkeiten</w:t>
      </w:r>
      <w:r>
        <w:rPr>
          <w:noProof/>
        </w:rPr>
        <w:tab/>
      </w:r>
      <w:r>
        <w:rPr>
          <w:noProof/>
        </w:rPr>
        <w:fldChar w:fldCharType="begin"/>
      </w:r>
      <w:r>
        <w:rPr>
          <w:noProof/>
        </w:rPr>
        <w:instrText xml:space="preserve"> PAGEREF _Toc512392659 \h </w:instrText>
      </w:r>
      <w:r>
        <w:rPr>
          <w:noProof/>
        </w:rPr>
      </w:r>
      <w:r>
        <w:rPr>
          <w:noProof/>
        </w:rPr>
        <w:fldChar w:fldCharType="separate"/>
      </w:r>
      <w:r w:rsidR="005E4D97">
        <w:rPr>
          <w:noProof/>
        </w:rPr>
        <w:t>13</w:t>
      </w:r>
      <w:r>
        <w:rPr>
          <w:noProof/>
        </w:rPr>
        <w:fldChar w:fldCharType="end"/>
      </w:r>
    </w:p>
    <w:p w:rsidR="000A0B97" w:rsidRDefault="000A0B97">
      <w:pPr>
        <w:pStyle w:val="Verzeichnis2"/>
        <w:tabs>
          <w:tab w:val="clear" w:pos="9638"/>
          <w:tab w:val="right" w:leader="dot" w:pos="9628"/>
        </w:tabs>
        <w:rPr>
          <w:noProof/>
        </w:rPr>
      </w:pPr>
      <w:r>
        <w:rPr>
          <w:noProof/>
        </w:rPr>
        <w:t>Sechster Teil Schlußvorschriften</w:t>
      </w:r>
      <w:r>
        <w:rPr>
          <w:noProof/>
        </w:rPr>
        <w:tab/>
      </w:r>
      <w:r>
        <w:rPr>
          <w:noProof/>
        </w:rPr>
        <w:fldChar w:fldCharType="begin"/>
      </w:r>
      <w:r>
        <w:rPr>
          <w:noProof/>
        </w:rPr>
        <w:instrText xml:space="preserve"> PAGEREF _Toc512392660 \h </w:instrText>
      </w:r>
      <w:r>
        <w:rPr>
          <w:noProof/>
        </w:rPr>
      </w:r>
      <w:r>
        <w:rPr>
          <w:noProof/>
        </w:rPr>
        <w:fldChar w:fldCharType="separate"/>
      </w:r>
      <w:r w:rsidR="005E4D97">
        <w:rPr>
          <w:noProof/>
        </w:rPr>
        <w:t>14</w:t>
      </w:r>
      <w:r>
        <w:rPr>
          <w:noProof/>
        </w:rPr>
        <w:fldChar w:fldCharType="end"/>
      </w:r>
    </w:p>
    <w:p w:rsidR="000A0B97" w:rsidRDefault="000A0B97">
      <w:pPr>
        <w:pStyle w:val="Verzeichnis3"/>
        <w:tabs>
          <w:tab w:val="clear" w:pos="9638"/>
          <w:tab w:val="right" w:leader="dot" w:pos="9628"/>
        </w:tabs>
        <w:rPr>
          <w:noProof/>
        </w:rPr>
      </w:pPr>
      <w:r>
        <w:rPr>
          <w:noProof/>
        </w:rPr>
        <w:t>§ 36  Übergangsvorschriften</w:t>
      </w:r>
      <w:r>
        <w:rPr>
          <w:noProof/>
        </w:rPr>
        <w:tab/>
      </w:r>
      <w:r>
        <w:rPr>
          <w:noProof/>
        </w:rPr>
        <w:fldChar w:fldCharType="begin"/>
      </w:r>
      <w:r>
        <w:rPr>
          <w:noProof/>
        </w:rPr>
        <w:instrText xml:space="preserve"> PAGEREF _Toc512392661 \h </w:instrText>
      </w:r>
      <w:r>
        <w:rPr>
          <w:noProof/>
        </w:rPr>
      </w:r>
      <w:r>
        <w:rPr>
          <w:noProof/>
        </w:rPr>
        <w:fldChar w:fldCharType="separate"/>
      </w:r>
      <w:r w:rsidR="005E4D97">
        <w:rPr>
          <w:noProof/>
        </w:rPr>
        <w:t>14</w:t>
      </w:r>
      <w:r>
        <w:rPr>
          <w:noProof/>
        </w:rPr>
        <w:fldChar w:fldCharType="end"/>
      </w:r>
    </w:p>
    <w:p w:rsidR="000A0B97" w:rsidRDefault="000A0B97">
      <w:pPr>
        <w:pStyle w:val="Verzeichnis3"/>
        <w:tabs>
          <w:tab w:val="clear" w:pos="9638"/>
          <w:tab w:val="right" w:leader="dot" w:pos="9628"/>
        </w:tabs>
        <w:rPr>
          <w:noProof/>
        </w:rPr>
      </w:pPr>
      <w:r>
        <w:rPr>
          <w:noProof/>
        </w:rPr>
        <w:t>§ 37  Änderung der Vierten und Fünften Verordnung zur  Durchführung des Bundes-Immissionsschutzgesetzes</w:t>
      </w:r>
      <w:r>
        <w:rPr>
          <w:noProof/>
        </w:rPr>
        <w:tab/>
      </w:r>
      <w:r>
        <w:rPr>
          <w:noProof/>
        </w:rPr>
        <w:fldChar w:fldCharType="begin"/>
      </w:r>
      <w:r>
        <w:rPr>
          <w:noProof/>
        </w:rPr>
        <w:instrText xml:space="preserve"> PAGEREF _Toc512392662 \h </w:instrText>
      </w:r>
      <w:r>
        <w:rPr>
          <w:noProof/>
        </w:rPr>
      </w:r>
      <w:r>
        <w:rPr>
          <w:noProof/>
        </w:rPr>
        <w:fldChar w:fldCharType="separate"/>
      </w:r>
      <w:r w:rsidR="005E4D97">
        <w:rPr>
          <w:noProof/>
        </w:rPr>
        <w:t>14</w:t>
      </w:r>
      <w:r>
        <w:rPr>
          <w:noProof/>
        </w:rPr>
        <w:fldChar w:fldCharType="end"/>
      </w:r>
    </w:p>
    <w:p w:rsidR="000A0B97" w:rsidRDefault="000A0B97">
      <w:pPr>
        <w:pStyle w:val="Verzeichnis3"/>
        <w:tabs>
          <w:tab w:val="clear" w:pos="9638"/>
          <w:tab w:val="right" w:leader="dot" w:pos="9628"/>
        </w:tabs>
        <w:rPr>
          <w:noProof/>
        </w:rPr>
      </w:pPr>
      <w:r>
        <w:rPr>
          <w:noProof/>
        </w:rPr>
        <w:t>§ 38  Berlinklausel</w:t>
      </w:r>
      <w:r>
        <w:rPr>
          <w:noProof/>
        </w:rPr>
        <w:tab/>
      </w:r>
      <w:r>
        <w:rPr>
          <w:noProof/>
        </w:rPr>
        <w:fldChar w:fldCharType="begin"/>
      </w:r>
      <w:r>
        <w:rPr>
          <w:noProof/>
        </w:rPr>
        <w:instrText xml:space="preserve"> PAGEREF _Toc512392663 \h </w:instrText>
      </w:r>
      <w:r>
        <w:rPr>
          <w:noProof/>
        </w:rPr>
      </w:r>
      <w:r>
        <w:rPr>
          <w:noProof/>
        </w:rPr>
        <w:fldChar w:fldCharType="separate"/>
      </w:r>
      <w:r w:rsidR="005E4D97">
        <w:rPr>
          <w:noProof/>
        </w:rPr>
        <w:t>14</w:t>
      </w:r>
      <w:r>
        <w:rPr>
          <w:noProof/>
        </w:rPr>
        <w:fldChar w:fldCharType="end"/>
      </w:r>
    </w:p>
    <w:p w:rsidR="000A0B97" w:rsidRDefault="000A0B97">
      <w:pPr>
        <w:pStyle w:val="Verzeichnis3"/>
        <w:tabs>
          <w:tab w:val="clear" w:pos="9638"/>
          <w:tab w:val="right" w:leader="dot" w:pos="9628"/>
        </w:tabs>
        <w:rPr>
          <w:noProof/>
        </w:rPr>
      </w:pPr>
      <w:r>
        <w:rPr>
          <w:noProof/>
        </w:rPr>
        <w:t>§ 39  Inkrafttreten</w:t>
      </w:r>
      <w:r>
        <w:rPr>
          <w:noProof/>
        </w:rPr>
        <w:tab/>
      </w:r>
      <w:r>
        <w:rPr>
          <w:noProof/>
        </w:rPr>
        <w:fldChar w:fldCharType="begin"/>
      </w:r>
      <w:r>
        <w:rPr>
          <w:noProof/>
        </w:rPr>
        <w:instrText xml:space="preserve"> PAGEREF _Toc512392664 \h </w:instrText>
      </w:r>
      <w:r>
        <w:rPr>
          <w:noProof/>
        </w:rPr>
      </w:r>
      <w:r>
        <w:rPr>
          <w:noProof/>
        </w:rPr>
        <w:fldChar w:fldCharType="separate"/>
      </w:r>
      <w:r w:rsidR="005E4D97">
        <w:rPr>
          <w:noProof/>
        </w:rPr>
        <w:t>14</w:t>
      </w:r>
      <w:r>
        <w:rPr>
          <w:noProof/>
        </w:rPr>
        <w:fldChar w:fldCharType="end"/>
      </w:r>
    </w:p>
    <w:p w:rsidR="000A0B97" w:rsidRDefault="000A0B97">
      <w:pPr>
        <w:pStyle w:val="Verzeichnis2"/>
        <w:tabs>
          <w:tab w:val="clear" w:pos="9638"/>
          <w:tab w:val="right" w:leader="dot" w:pos="9628"/>
        </w:tabs>
        <w:rPr>
          <w:noProof/>
        </w:rPr>
      </w:pPr>
      <w:r>
        <w:rPr>
          <w:noProof/>
        </w:rPr>
        <w:t>Anlage 1 zu § 16 Abs. 2 Nr. 3</w:t>
      </w:r>
      <w:r>
        <w:rPr>
          <w:noProof/>
        </w:rPr>
        <w:tab/>
      </w:r>
      <w:r>
        <w:rPr>
          <w:noProof/>
        </w:rPr>
        <w:fldChar w:fldCharType="begin"/>
      </w:r>
      <w:r>
        <w:rPr>
          <w:noProof/>
        </w:rPr>
        <w:instrText xml:space="preserve"> PAGEREF _Toc512392665 \h </w:instrText>
      </w:r>
      <w:r>
        <w:rPr>
          <w:noProof/>
        </w:rPr>
      </w:r>
      <w:r>
        <w:rPr>
          <w:noProof/>
        </w:rPr>
        <w:fldChar w:fldCharType="separate"/>
      </w:r>
      <w:r w:rsidR="005E4D97">
        <w:rPr>
          <w:noProof/>
        </w:rPr>
        <w:t>15</w:t>
      </w:r>
      <w:r>
        <w:rPr>
          <w:noProof/>
        </w:rPr>
        <w:fldChar w:fldCharType="end"/>
      </w:r>
    </w:p>
    <w:p w:rsidR="000A0B97" w:rsidRDefault="000A0B97">
      <w:pPr>
        <w:pStyle w:val="Verzeichnis2"/>
        <w:tabs>
          <w:tab w:val="clear" w:pos="9638"/>
          <w:tab w:val="right" w:leader="dot" w:pos="9628"/>
        </w:tabs>
        <w:rPr>
          <w:noProof/>
        </w:rPr>
      </w:pPr>
      <w:r>
        <w:rPr>
          <w:noProof/>
        </w:rPr>
        <w:t>Anlage 2 zu § 17 Abs. 2</w:t>
      </w:r>
      <w:r>
        <w:rPr>
          <w:noProof/>
        </w:rPr>
        <w:tab/>
      </w:r>
      <w:r>
        <w:rPr>
          <w:noProof/>
        </w:rPr>
        <w:fldChar w:fldCharType="begin"/>
      </w:r>
      <w:r>
        <w:rPr>
          <w:noProof/>
        </w:rPr>
        <w:instrText xml:space="preserve"> PAGEREF _Toc512392666 \h </w:instrText>
      </w:r>
      <w:r>
        <w:rPr>
          <w:noProof/>
        </w:rPr>
      </w:r>
      <w:r>
        <w:rPr>
          <w:noProof/>
        </w:rPr>
        <w:fldChar w:fldCharType="separate"/>
      </w:r>
      <w:r w:rsidR="005E4D97">
        <w:rPr>
          <w:noProof/>
        </w:rPr>
        <w:t>16</w:t>
      </w:r>
      <w:r>
        <w:rPr>
          <w:noProof/>
        </w:rPr>
        <w:fldChar w:fldCharType="end"/>
      </w:r>
    </w:p>
    <w:p w:rsidR="000A0B97" w:rsidRDefault="000A0B97">
      <w:r>
        <w:rPr>
          <w:rFonts w:ascii="Times New Roman" w:hAnsi="Times New Roman"/>
        </w:rPr>
        <w:lastRenderedPageBreak/>
        <w:fldChar w:fldCharType="end"/>
      </w:r>
    </w:p>
    <w:p w:rsidR="000A0B97" w:rsidRDefault="000A0B97" w:rsidP="009B0776">
      <w:pPr>
        <w:pStyle w:val="GesAbsatz"/>
      </w:pPr>
      <w:r>
        <w:t>Auf Grund des § 7 Abs. 1 und des § 4 Abs. 1 Satz 3 in Verbindung mit § 19 Abs. 1 des Bundes-Immissions</w:t>
      </w:r>
      <w:r>
        <w:softHyphen/>
        <w:t>schutzgesetzes vom 15. März 1974 (BGBl. I S. 721, 1193) wird von der Bundesregierung und auf Grund des § 53 Abs. 1 Satz 2 des Bundes-Immissionsschutzgesetzes wird vom Bundesminister des Innern nach Anhö</w:t>
      </w:r>
      <w:r>
        <w:softHyphen/>
        <w:t>rung der beteiligten Kreise mit Zustimmung des Bundesrates verordnet:</w:t>
      </w:r>
    </w:p>
    <w:p w:rsidR="000A0B97" w:rsidRDefault="000A0B97">
      <w:pPr>
        <w:pStyle w:val="berschrift2"/>
      </w:pPr>
      <w:bookmarkStart w:id="5" w:name="_Toc399920471"/>
      <w:bookmarkStart w:id="6" w:name="_Toc460377087"/>
      <w:bookmarkStart w:id="7" w:name="_Toc512392617"/>
      <w:r>
        <w:t>Erster Teil</w:t>
      </w:r>
      <w:r>
        <w:br/>
        <w:t>Allgemeine Vorschriften</w:t>
      </w:r>
      <w:bookmarkEnd w:id="5"/>
      <w:bookmarkEnd w:id="6"/>
      <w:bookmarkEnd w:id="7"/>
    </w:p>
    <w:p w:rsidR="000A0B97" w:rsidRDefault="000A0B97">
      <w:pPr>
        <w:pStyle w:val="berschrift3"/>
      </w:pPr>
      <w:bookmarkStart w:id="8" w:name="_Toc399920472"/>
      <w:bookmarkStart w:id="9" w:name="_Toc460377088"/>
      <w:bookmarkStart w:id="10" w:name="_Toc512392618"/>
      <w:r>
        <w:t>§ 1</w:t>
      </w:r>
      <w:r>
        <w:br/>
        <w:t>Anwendungsbereich</w:t>
      </w:r>
      <w:bookmarkEnd w:id="8"/>
      <w:bookmarkEnd w:id="9"/>
      <w:bookmarkEnd w:id="10"/>
    </w:p>
    <w:p w:rsidR="000A0B97" w:rsidRDefault="000A0B97" w:rsidP="009B0776">
      <w:pPr>
        <w:pStyle w:val="GesAbsatz"/>
      </w:pPr>
      <w:r>
        <w:t>(1) Diese Verordnung gilt für die Errichtung, die Beschaffenheit und den Betrieb von Feuerungsanlagen mit einer Feuerungswärmeleistung von 50 Megawatt und mehr einschließlich ihrer Nebeneinrichtungen. Sie ent</w:t>
      </w:r>
      <w:r>
        <w:softHyphen/>
        <w:t>hält Anforderungen, die zur Vorsorge gegen schädliche Umwelteinwirkungen nach § 5 Nr. 2 des Bundes-Immissionsschutzgesetzes zu erfüllen sind.</w:t>
      </w:r>
    </w:p>
    <w:p w:rsidR="000A0B97" w:rsidRDefault="000A0B97" w:rsidP="009B0776">
      <w:pPr>
        <w:pStyle w:val="GesAbsatz"/>
      </w:pPr>
      <w:r>
        <w:t>(2) Abweichend von Absatz 1 gilt diese Verordnung bei ausschließlich Einsatz von gasförmigen Brennsto</w:t>
      </w:r>
      <w:r>
        <w:t>f</w:t>
      </w:r>
      <w:r>
        <w:t>fen für Feuerungsanlagen mit einer Feuerungswärmeleistung von 100 Megawatt und mehr.</w:t>
      </w:r>
    </w:p>
    <w:p w:rsidR="000A0B97" w:rsidRDefault="000A0B97" w:rsidP="009B0776">
      <w:pPr>
        <w:pStyle w:val="GesAbsatz"/>
      </w:pPr>
      <w:r>
        <w:t>(3) Diese Verordnung gilt nicht für Abfallverbrennungsanlagen, Koksofenunterfeuerungen, Gasturbinen und Nachverbrennungsanlagen sowie Feuerungsanlagen, mit deren Abgasen oder Flammen Güter in unmitte</w:t>
      </w:r>
      <w:r>
        <w:t>l</w:t>
      </w:r>
      <w:r>
        <w:t>ba</w:t>
      </w:r>
      <w:r>
        <w:softHyphen/>
        <w:t>rer Berührung erwärmt, getrocknet oder sonst behandelt werden.</w:t>
      </w:r>
    </w:p>
    <w:p w:rsidR="000A0B97" w:rsidRDefault="000A0B97" w:rsidP="009B0776">
      <w:pPr>
        <w:pStyle w:val="GesAbsatz"/>
      </w:pPr>
      <w:r>
        <w:t>(4) Die Vorschriften des Zweiten Teils dieser Verordnungen gelten nicht für die Altanlagen, soweit nicht auf Vorschriften dieses Teils verwiesen wird.</w:t>
      </w:r>
    </w:p>
    <w:p w:rsidR="000A0B97" w:rsidRDefault="000A0B97">
      <w:pPr>
        <w:pStyle w:val="berschrift3"/>
      </w:pPr>
      <w:bookmarkStart w:id="11" w:name="_Toc399920473"/>
      <w:bookmarkStart w:id="12" w:name="_Toc460377089"/>
      <w:bookmarkStart w:id="13" w:name="_Toc512392619"/>
      <w:r>
        <w:t>§ 2</w:t>
      </w:r>
      <w:r>
        <w:br/>
        <w:t>Begriffsbestimmungen</w:t>
      </w:r>
      <w:bookmarkEnd w:id="11"/>
      <w:bookmarkEnd w:id="12"/>
      <w:bookmarkEnd w:id="13"/>
    </w:p>
    <w:p w:rsidR="000A0B97" w:rsidRDefault="000A0B97" w:rsidP="009B0776">
      <w:pPr>
        <w:pStyle w:val="GesAbsatz"/>
      </w:pPr>
      <w:r>
        <w:t>Im Sinne dieser Verordnung sind:</w:t>
      </w:r>
    </w:p>
    <w:p w:rsidR="000A0B97" w:rsidRDefault="000A0B97" w:rsidP="009B0776">
      <w:pPr>
        <w:pStyle w:val="GesAbsatz"/>
      </w:pPr>
      <w:r>
        <w:t>1.</w:t>
      </w:r>
      <w:r>
        <w:tab/>
        <w:t>Abgase</w:t>
      </w:r>
    </w:p>
    <w:p w:rsidR="000A0B97" w:rsidRDefault="000A0B97" w:rsidP="009B0776">
      <w:pPr>
        <w:pStyle w:val="GesAbsatz"/>
        <w:ind w:left="426"/>
      </w:pPr>
      <w:r>
        <w:t>die Trägergase mit den festen, flüssigen oder gasförmigen Emissionen; der Abgasvolumenstrom ist be</w:t>
      </w:r>
      <w:r>
        <w:softHyphen/>
        <w:t>zogen auf das Abgasvolumen im Normzustand (273 K, 1013 mbar) nach Abzug des Feuchtegehaltes an Wasse</w:t>
      </w:r>
      <w:r>
        <w:t>r</w:t>
      </w:r>
      <w:r>
        <w:t>dampf;</w:t>
      </w:r>
    </w:p>
    <w:p w:rsidR="000A0B97" w:rsidRDefault="000A0B97" w:rsidP="009B0776">
      <w:pPr>
        <w:pStyle w:val="GesAbsatz"/>
      </w:pPr>
      <w:r>
        <w:t>2.</w:t>
      </w:r>
      <w:r>
        <w:tab/>
        <w:t>Abgasendreinigungsanlagen</w:t>
      </w:r>
    </w:p>
    <w:p w:rsidR="000A0B97" w:rsidRDefault="000A0B97" w:rsidP="009B0776">
      <w:pPr>
        <w:pStyle w:val="GesAbsatz"/>
        <w:ind w:left="426"/>
      </w:pPr>
      <w:r>
        <w:t>der Feuerungsanlage nachgeschaltete Einrichtungen zur Abscheidung gasförmiger Luftverunrein</w:t>
      </w:r>
      <w:r w:rsidR="009B0776">
        <w:t>i</w:t>
      </w:r>
      <w:r>
        <w:t>gun</w:t>
      </w:r>
      <w:r>
        <w:softHyphen/>
        <w:t>gen;</w:t>
      </w:r>
    </w:p>
    <w:p w:rsidR="000A0B97" w:rsidRDefault="000A0B97" w:rsidP="00DE0277">
      <w:pPr>
        <w:pStyle w:val="GesAbsatz"/>
      </w:pPr>
      <w:r>
        <w:t>3.</w:t>
      </w:r>
      <w:r>
        <w:tab/>
        <w:t>Altanlagen</w:t>
      </w:r>
    </w:p>
    <w:p w:rsidR="000A0B97" w:rsidRDefault="000A0B97" w:rsidP="00DE0277">
      <w:pPr>
        <w:pStyle w:val="GesAbsatz"/>
        <w:ind w:left="426"/>
      </w:pPr>
      <w:r>
        <w:t>Feuerungsanlagen, deren Errichtung und Betrieb zum Zeitpunkt des Inkrafttretens dieser Verordnung genehmigt sind oder die vor Inkrafttreten des Bundes-Immissionsschutzgesetzes nach § 16 Abs. 4</w:t>
      </w:r>
      <w:r w:rsidRPr="00DE0277">
        <w:t xml:space="preserve"> </w:t>
      </w:r>
      <w:r>
        <w:t>der Gewerbeordnung anzuzeigen waren; ferner Feuerungsanlagen, die zum Zeitpunkt des Inkrafttretens der Verordnung Gegenstand eines Genehmigungsverfahrens sind, soweit in einem die Genehmigung</w:t>
      </w:r>
      <w:r>
        <w:t>s</w:t>
      </w:r>
      <w:r>
        <w:t>be</w:t>
      </w:r>
      <w:r>
        <w:softHyphen/>
        <w:t>hörde bindenden Bescheid die Begrenzung von Emissionen bereits festgelegt worden ist;</w:t>
      </w:r>
    </w:p>
    <w:p w:rsidR="000A0B97" w:rsidRDefault="000A0B97" w:rsidP="00DE0277">
      <w:pPr>
        <w:pStyle w:val="GesAbsatz"/>
      </w:pPr>
      <w:r>
        <w:t>4.</w:t>
      </w:r>
      <w:r>
        <w:tab/>
        <w:t>Brennstoffe</w:t>
      </w:r>
    </w:p>
    <w:p w:rsidR="000A0B97" w:rsidRDefault="000A0B97" w:rsidP="00DE0277">
      <w:pPr>
        <w:pStyle w:val="GesAbsatz"/>
        <w:ind w:left="426"/>
      </w:pPr>
      <w:r>
        <w:t>alle einer Feuerungsanlage zugeführten brennbaren Stoffe einschließlich ihrer nicht brennbaren Be</w:t>
      </w:r>
      <w:r>
        <w:softHyphen/>
        <w:t>standteile;</w:t>
      </w:r>
    </w:p>
    <w:p w:rsidR="000A0B97" w:rsidRDefault="000A0B97" w:rsidP="00DE0277">
      <w:pPr>
        <w:pStyle w:val="GesAbsatz"/>
      </w:pPr>
      <w:r>
        <w:t>5.</w:t>
      </w:r>
      <w:r>
        <w:tab/>
        <w:t>Emissionen</w:t>
      </w:r>
    </w:p>
    <w:p w:rsidR="000A0B97" w:rsidRDefault="000A0B97" w:rsidP="00DE0277">
      <w:pPr>
        <w:pStyle w:val="GesAbsatz"/>
        <w:ind w:left="426"/>
      </w:pPr>
      <w:r>
        <w:t>die von einer Anlage ausgehenden Luftverunreinigungen; sie werden angegeben als Massenkonzentra</w:t>
      </w:r>
      <w:r>
        <w:softHyphen/>
        <w:t>tion in der Einheit Milligramm je Kubikmeter (mg/m³), bezogen auf das Abgasvolumen im Normzustand (273 K, 1013 mbar) nach Abzug des Feuchtegehaltes an Wasserdampf;</w:t>
      </w:r>
    </w:p>
    <w:p w:rsidR="000A0B97" w:rsidRDefault="000A0B97" w:rsidP="00DE0277">
      <w:pPr>
        <w:pStyle w:val="GesAbsatz"/>
      </w:pPr>
      <w:r>
        <w:t>6.</w:t>
      </w:r>
      <w:r>
        <w:tab/>
        <w:t>Emissionsgrenzwerte</w:t>
      </w:r>
    </w:p>
    <w:p w:rsidR="000A0B97" w:rsidRDefault="000A0B97" w:rsidP="00DE0277">
      <w:pPr>
        <w:pStyle w:val="GesAbsatz"/>
        <w:ind w:left="426"/>
      </w:pPr>
      <w:r>
        <w:t>zulässige Massenkonzentrationen von Luftverunreinigungen im Abgas, die nach den in § 27 Abs. 2 fest</w:t>
      </w:r>
      <w:r>
        <w:softHyphen/>
        <w:t>gelegten Kriterien beurteilt werden;</w:t>
      </w:r>
    </w:p>
    <w:p w:rsidR="000A0B97" w:rsidRDefault="000A0B97" w:rsidP="00DE0277">
      <w:pPr>
        <w:pStyle w:val="GesAbsatz"/>
      </w:pPr>
      <w:r>
        <w:t>7.</w:t>
      </w:r>
      <w:r>
        <w:tab/>
        <w:t>Feuerungsanlagen</w:t>
      </w:r>
    </w:p>
    <w:p w:rsidR="000A0B97" w:rsidRDefault="000A0B97" w:rsidP="00DE0277">
      <w:pPr>
        <w:pStyle w:val="GesAbsatz"/>
        <w:ind w:left="426"/>
      </w:pPr>
      <w:r>
        <w:t>Anlagen nach § 2 Nr. 1 der Vierten Verordnung zur Durchführung des Bundes-Immissionsschutzgeset</w:t>
      </w:r>
      <w:r>
        <w:softHyphen/>
        <w:t>zes, auch soweit sie Teil einer anderen genehmigungsbedürftigen Anlage sind;</w:t>
      </w:r>
    </w:p>
    <w:p w:rsidR="000A0B97" w:rsidRDefault="000A0B97" w:rsidP="00DE0277">
      <w:pPr>
        <w:pStyle w:val="GesAbsatz"/>
      </w:pPr>
      <w:r>
        <w:lastRenderedPageBreak/>
        <w:t>8.</w:t>
      </w:r>
      <w:r>
        <w:tab/>
        <w:t>Feuerungswärmeleistung</w:t>
      </w:r>
    </w:p>
    <w:p w:rsidR="000A0B97" w:rsidRDefault="000A0B97" w:rsidP="00DE0277">
      <w:pPr>
        <w:pStyle w:val="GesAbsatz"/>
        <w:ind w:left="426"/>
      </w:pPr>
      <w:r>
        <w:t>der auf den unteren Heizwert bezogene Wärmeinhalt des Brennstoffs, der einer Feuerungsanlage im Dauerbetrieb je Zeiteinheit zur Erzielung der genehmigten Leistung zugeführt wird;</w:t>
      </w:r>
    </w:p>
    <w:p w:rsidR="000A0B97" w:rsidRDefault="000A0B97" w:rsidP="00DE0277">
      <w:pPr>
        <w:pStyle w:val="GesAbsatz"/>
      </w:pPr>
      <w:r>
        <w:t>9.</w:t>
      </w:r>
      <w:r>
        <w:tab/>
        <w:t>Mehrstoffeuerungen</w:t>
      </w:r>
    </w:p>
    <w:p w:rsidR="000A0B97" w:rsidRDefault="000A0B97" w:rsidP="00DE0277">
      <w:pPr>
        <w:pStyle w:val="GesAbsatz"/>
        <w:ind w:left="426"/>
      </w:pPr>
      <w:r>
        <w:t>Einzelfeuerungen, die mit zwei oder mehr Brennstoffen wechselweise betrieben werden;</w:t>
      </w:r>
    </w:p>
    <w:p w:rsidR="000A0B97" w:rsidRDefault="000A0B97" w:rsidP="00DE0277">
      <w:pPr>
        <w:pStyle w:val="GesAbsatz"/>
      </w:pPr>
      <w:r>
        <w:t>10.</w:t>
      </w:r>
      <w:r>
        <w:tab/>
        <w:t>Mischfeuerungen</w:t>
      </w:r>
    </w:p>
    <w:p w:rsidR="000A0B97" w:rsidRDefault="000A0B97" w:rsidP="00DE0277">
      <w:pPr>
        <w:pStyle w:val="GesAbsatz"/>
        <w:ind w:left="426"/>
      </w:pPr>
      <w:r>
        <w:t>Einzelfeuerungen, die mit zwei oder mehr Brennstoffen gleichzeitig betrieben werden.</w:t>
      </w:r>
    </w:p>
    <w:p w:rsidR="000A0B97" w:rsidRDefault="000A0B97" w:rsidP="00DE0277">
      <w:pPr>
        <w:pStyle w:val="GesAbsatz"/>
      </w:pPr>
      <w:r>
        <w:t>11.</w:t>
      </w:r>
      <w:r>
        <w:tab/>
        <w:t>Nachverbrennungsanlagen</w:t>
      </w:r>
    </w:p>
    <w:p w:rsidR="000A0B97" w:rsidRDefault="000A0B97" w:rsidP="00DE0277">
      <w:pPr>
        <w:pStyle w:val="GesAbsatz"/>
        <w:ind w:left="426"/>
      </w:pPr>
      <w:r>
        <w:t>Einrichtungen zum Zwecke der Abgasreinigung, die nicht als selbständige Feuerungsanlagen betrieben werden;</w:t>
      </w:r>
    </w:p>
    <w:p w:rsidR="000A0B97" w:rsidRDefault="000A0B97" w:rsidP="00DE0277">
      <w:pPr>
        <w:pStyle w:val="GesAbsatz"/>
      </w:pPr>
      <w:r>
        <w:t>12.</w:t>
      </w:r>
      <w:r>
        <w:tab/>
        <w:t>Restnutzung</w:t>
      </w:r>
    </w:p>
    <w:p w:rsidR="000A0B97" w:rsidRDefault="000A0B97" w:rsidP="00DE0277">
      <w:pPr>
        <w:pStyle w:val="GesAbsatz"/>
        <w:ind w:left="426"/>
      </w:pPr>
      <w:r>
        <w:t>die restliche Betriebszeit einer Altanlage, angegeben in Stunden, die sich aus dem Verhältnis der mit dem Brennstoff zugeführten Energie, bezogen auf den unteren Heizwert, zu der Feuerungswärmelei</w:t>
      </w:r>
      <w:r>
        <w:softHyphen/>
        <w:t>stung der Anlage ergibt;</w:t>
      </w:r>
    </w:p>
    <w:p w:rsidR="000A0B97" w:rsidRDefault="000A0B97" w:rsidP="00DE0277">
      <w:pPr>
        <w:pStyle w:val="GesAbsatz"/>
      </w:pPr>
      <w:r>
        <w:t>13.</w:t>
      </w:r>
      <w:r>
        <w:tab/>
        <w:t>Schwefelemissionsgrad</w:t>
      </w:r>
    </w:p>
    <w:p w:rsidR="000A0B97" w:rsidRDefault="000A0B97" w:rsidP="00DE0277">
      <w:pPr>
        <w:pStyle w:val="GesAbsatz"/>
        <w:ind w:left="426"/>
      </w:pPr>
      <w:r>
        <w:t>das Verhältnis der im Abgas emittierten Schwefelmenge zu der mit dem Brennstoff zugeführten Schw</w:t>
      </w:r>
      <w:r>
        <w:t>e</w:t>
      </w:r>
      <w:r>
        <w:t xml:space="preserve">felmenge; er wird angegeben als Vomhundertsatz. </w:t>
      </w:r>
    </w:p>
    <w:p w:rsidR="000A0B97" w:rsidRDefault="000A0B97">
      <w:pPr>
        <w:pStyle w:val="berschrift2"/>
      </w:pPr>
      <w:bookmarkStart w:id="14" w:name="_Toc399920474"/>
      <w:bookmarkStart w:id="15" w:name="_Toc460377090"/>
      <w:bookmarkStart w:id="16" w:name="_Toc512392620"/>
      <w:r>
        <w:t xml:space="preserve">Zweiter Teil </w:t>
      </w:r>
      <w:r>
        <w:br/>
        <w:t>Anforderungen an Errichtung und Betrieb</w:t>
      </w:r>
      <w:bookmarkEnd w:id="14"/>
      <w:bookmarkEnd w:id="15"/>
      <w:bookmarkEnd w:id="16"/>
    </w:p>
    <w:p w:rsidR="000A0B97" w:rsidRDefault="000A0B97">
      <w:pPr>
        <w:pStyle w:val="berschrift2"/>
      </w:pPr>
      <w:bookmarkStart w:id="17" w:name="_Toc399920475"/>
      <w:bookmarkStart w:id="18" w:name="_Toc460377091"/>
      <w:bookmarkStart w:id="19" w:name="_Toc512392621"/>
      <w:r>
        <w:t>Erster Abschnitt</w:t>
      </w:r>
      <w:r>
        <w:br/>
        <w:t>Feuerungsanlagen für feste Brennstoffe</w:t>
      </w:r>
      <w:bookmarkEnd w:id="17"/>
      <w:bookmarkEnd w:id="18"/>
      <w:bookmarkEnd w:id="19"/>
    </w:p>
    <w:p w:rsidR="000A0B97" w:rsidRDefault="000A0B97">
      <w:pPr>
        <w:pStyle w:val="berschrift3"/>
      </w:pPr>
      <w:bookmarkStart w:id="20" w:name="_Toc399920476"/>
      <w:bookmarkStart w:id="21" w:name="_Toc460377092"/>
      <w:bookmarkStart w:id="22" w:name="_Toc512392622"/>
      <w:r>
        <w:t>§ 3</w:t>
      </w:r>
      <w:r>
        <w:br/>
        <w:t>Grenzwerte für staubförmige Emissionen</w:t>
      </w:r>
      <w:bookmarkEnd w:id="20"/>
      <w:bookmarkEnd w:id="21"/>
      <w:bookmarkEnd w:id="22"/>
    </w:p>
    <w:p w:rsidR="000A0B97" w:rsidRDefault="000A0B97" w:rsidP="00DE0277">
      <w:pPr>
        <w:pStyle w:val="GesAbsatz"/>
      </w:pPr>
      <w:r>
        <w:t>(1) Feuerungsanlagen für</w:t>
      </w:r>
      <w:r>
        <w:rPr>
          <w:b/>
        </w:rPr>
        <w:t xml:space="preserve"> </w:t>
      </w:r>
      <w:r>
        <w:t>feste Brennstoffe sind so zu errichten und zu betreiben, daß die staubförmigen Emissionen im Abgas eine Massenkonzentration von 50 Milligramm je Kubikmeter nicht überschreiten.</w:t>
      </w:r>
    </w:p>
    <w:p w:rsidR="000A0B97" w:rsidRDefault="000A0B97" w:rsidP="00DE0277">
      <w:pPr>
        <w:pStyle w:val="GesAbsatz"/>
      </w:pPr>
      <w:r>
        <w:t>(2) Werden andere feste Brennstoffe als Kohle oder Holz eingesetzt, so dürfen die staubförmigen Emissio</w:t>
      </w:r>
      <w:r>
        <w:softHyphen/>
        <w:t>nen an Arsen, Blei, Cadmium, Chrom, Kobalt, Nickel und deren Verbindungen, angegeben als Element, im Abgas eine Massenkonzentration von insgesamt 0,5 Milligramm je Kubikmeter Abgas nicht überschreiten.</w:t>
      </w:r>
    </w:p>
    <w:p w:rsidR="000A0B97" w:rsidRDefault="000A0B97" w:rsidP="00DE0277">
      <w:pPr>
        <w:pStyle w:val="GesAbsatz"/>
      </w:pPr>
      <w:r>
        <w:t>(3) Die Massenkonzentration bezieht sich</w:t>
      </w:r>
    </w:p>
    <w:p w:rsidR="000A0B97" w:rsidRDefault="00DE0277" w:rsidP="00DE0277">
      <w:pPr>
        <w:pStyle w:val="GesAbsatz"/>
        <w:ind w:left="426" w:hanging="426"/>
      </w:pPr>
      <w:r>
        <w:t>1.</w:t>
      </w:r>
      <w:r w:rsidR="000A0B97">
        <w:tab/>
        <w:t>bei Rostfeuerungen und Wirbelschichtfeuerungen auf einen Volumengehalt an Sauerstoff im Abgas von 7 vom Hundert,</w:t>
      </w:r>
    </w:p>
    <w:p w:rsidR="000A0B97" w:rsidRDefault="00DE0277" w:rsidP="00DE0277">
      <w:pPr>
        <w:pStyle w:val="GesAbsatz"/>
        <w:ind w:left="426" w:hanging="426"/>
      </w:pPr>
      <w:r>
        <w:t>2.</w:t>
      </w:r>
      <w:r w:rsidR="000A0B97">
        <w:tab/>
        <w:t>bei Staubfeuerungen mit trockenem Ascheabzug auf einen Volumengehalt an Sauerstoff im Abgas von 6 vom Hundert,</w:t>
      </w:r>
    </w:p>
    <w:p w:rsidR="000A0B97" w:rsidRDefault="00DE0277" w:rsidP="00DE0277">
      <w:pPr>
        <w:pStyle w:val="GesAbsatz"/>
        <w:ind w:left="426" w:hanging="426"/>
      </w:pPr>
      <w:r>
        <w:t>3.</w:t>
      </w:r>
      <w:r w:rsidR="000A0B97">
        <w:tab/>
        <w:t>bei Staufeuerungen mit flüssigem Ascheabzug auf einen Volumengehalt an Sauerstoff im Abgas von 5 vom Hundert.</w:t>
      </w:r>
    </w:p>
    <w:p w:rsidR="000A0B97" w:rsidRDefault="000A0B97" w:rsidP="00DE0277">
      <w:pPr>
        <w:pStyle w:val="GesAbsatz"/>
      </w:pPr>
      <w:r>
        <w:t>(4) Die Emissionsgrenzwerte nach den Absätzen 1 und 2 sind auch bei der Heizflächenreinigung einzuha</w:t>
      </w:r>
      <w:r>
        <w:t>l</w:t>
      </w:r>
      <w:r>
        <w:t>ten.</w:t>
      </w:r>
    </w:p>
    <w:p w:rsidR="000A0B97" w:rsidRDefault="000A0B97">
      <w:pPr>
        <w:pStyle w:val="berschrift3"/>
      </w:pPr>
      <w:bookmarkStart w:id="23" w:name="_Toc399920477"/>
      <w:bookmarkStart w:id="24" w:name="_Toc460377093"/>
      <w:bookmarkStart w:id="25" w:name="_Toc512392623"/>
      <w:r>
        <w:t xml:space="preserve">§ 4 </w:t>
      </w:r>
      <w:r>
        <w:br/>
        <w:t>Grenzwert für Kohlenmonoxid</w:t>
      </w:r>
      <w:bookmarkEnd w:id="23"/>
      <w:bookmarkEnd w:id="24"/>
      <w:bookmarkEnd w:id="25"/>
    </w:p>
    <w:p w:rsidR="000A0B97" w:rsidRDefault="000A0B97" w:rsidP="00DE0277">
      <w:pPr>
        <w:pStyle w:val="GesAbsatz"/>
      </w:pPr>
      <w:r>
        <w:t>Feuerungsanlagen für feste Brennstoffe sind so zu errichten und zu betreiben, daß die Emissionen an Koh</w:t>
      </w:r>
      <w:r>
        <w:softHyphen/>
        <w:t>lenmonoxid im Abgas, bezogen auf die in §3 Abs. 3 angegebenen Volumengehalte an Sauerstoff im Abgas, eine Massenkonzentration von 250 Milligramm je Kubikmeter Abgas nicht überschreiten.</w:t>
      </w:r>
    </w:p>
    <w:p w:rsidR="000A0B97" w:rsidRDefault="000A0B97">
      <w:pPr>
        <w:pStyle w:val="berschrift3"/>
      </w:pPr>
      <w:bookmarkStart w:id="26" w:name="_Toc399920478"/>
      <w:bookmarkStart w:id="27" w:name="_Toc460377094"/>
      <w:bookmarkStart w:id="28" w:name="_Toc512392624"/>
      <w:r>
        <w:t>§ 5</w:t>
      </w:r>
      <w:r>
        <w:br/>
        <w:t>Grenzwerte für Stickstoffoxide</w:t>
      </w:r>
      <w:bookmarkEnd w:id="26"/>
      <w:bookmarkEnd w:id="27"/>
      <w:bookmarkEnd w:id="28"/>
    </w:p>
    <w:p w:rsidR="000A0B97" w:rsidRDefault="000A0B97" w:rsidP="00DE0277">
      <w:pPr>
        <w:pStyle w:val="GesAbsatz"/>
      </w:pPr>
      <w:r>
        <w:t>(1) Feuerungsanlagen für feste Brennstoffe sind so zu errichten und zu betreiben, daß die Emissionen an Stickstoffmonoxid im Abgas eine Massenkonzentration von höchstens 800 Milligramm je Kubikmeter A</w:t>
      </w:r>
      <w:r>
        <w:t>b</w:t>
      </w:r>
      <w:r>
        <w:t xml:space="preserve">gas, </w:t>
      </w:r>
      <w:r>
        <w:lastRenderedPageBreak/>
        <w:t>angegeben als Stickstoffdioxid und bezogen auf die in § 3 Abs. 3 angegebenen Volumengehalte an Sauer</w:t>
      </w:r>
      <w:r>
        <w:softHyphen/>
        <w:t>stoff im Abgas, nicht überschreiten. Die Möglichkeiten, die Emissionen durch feuerungstechnische oder an</w:t>
      </w:r>
      <w:r>
        <w:softHyphen/>
        <w:t>dere dem Stand der Technik entsprechende Maßnahmen weiter zu vermindern, sind auszuschö</w:t>
      </w:r>
      <w:r>
        <w:t>p</w:t>
      </w:r>
      <w:r>
        <w:t>fen.</w:t>
      </w:r>
    </w:p>
    <w:p w:rsidR="000A0B97" w:rsidRDefault="000A0B97" w:rsidP="00DE0277">
      <w:pPr>
        <w:pStyle w:val="GesAbsatz"/>
      </w:pPr>
      <w:r>
        <w:t>(2) Für  Feuerungsanlagen mit Staubfeuerungen für Steinkohle und flüssigem Ascheabzug gilt Absatz 1 mit der Maßgabe, daß eine Massenkonzentration von höchstens 1800 Milligramm je Kubikmeter Abgas, ange</w:t>
      </w:r>
      <w:r>
        <w:softHyphen/>
        <w:t>geben als Stickstoffdioxid und bezogen auf einen Volumengehalt an Sauerstoff im Abgas von 5 vom Hu</w:t>
      </w:r>
      <w:r>
        <w:t>n</w:t>
      </w:r>
      <w:r>
        <w:t>dert, nicht überschritten wird.</w:t>
      </w:r>
    </w:p>
    <w:p w:rsidR="000A0B97" w:rsidRDefault="000A0B97">
      <w:pPr>
        <w:pStyle w:val="berschrift3"/>
      </w:pPr>
      <w:bookmarkStart w:id="29" w:name="_Toc399920479"/>
      <w:bookmarkStart w:id="30" w:name="_Toc460377095"/>
      <w:bookmarkStart w:id="31" w:name="_Toc512392625"/>
      <w:r>
        <w:t>§ 6</w:t>
      </w:r>
      <w:r>
        <w:br/>
        <w:t>Grenzewerte für Schwefeloxide</w:t>
      </w:r>
      <w:bookmarkEnd w:id="29"/>
      <w:bookmarkEnd w:id="30"/>
      <w:bookmarkEnd w:id="31"/>
    </w:p>
    <w:p w:rsidR="000A0B97" w:rsidRDefault="000A0B97" w:rsidP="00DE0277">
      <w:pPr>
        <w:pStyle w:val="GesAbsatz"/>
      </w:pPr>
      <w:r>
        <w:t>(1) Feuerungsanlagen für feste Brennstoffe sind so zu errichten und zu betreiben, daß die Emissionen an Schwefeldioxid und Schwefeltrioxid im Abgas, angegeben als Schwefeldioxid und bezogen auf die in § 3 Abs. 3 angegebenen Volumengehalte an Sauerstoff im Abgas, eine Massenkonzentration von 400 Mill</w:t>
      </w:r>
      <w:r>
        <w:t>i</w:t>
      </w:r>
      <w:r>
        <w:t>gramm je Kubikmeter Abgas nicht überschreiten und ein Schwefelemissionsgrad von 15 vom Hundert  nicht überschritten wird. Können die Anforderungen nach Satz 1 bei Einsatz von Brennstoffen mit besonders h</w:t>
      </w:r>
      <w:r>
        <w:t>o</w:t>
      </w:r>
      <w:r>
        <w:t xml:space="preserve">hem oder stark </w:t>
      </w:r>
      <w:proofErr w:type="gramStart"/>
      <w:r>
        <w:t>schwankenden</w:t>
      </w:r>
      <w:proofErr w:type="gramEnd"/>
      <w:r>
        <w:t xml:space="preserve"> Schwefelgehalt nach dem Stand der Technik nicht erfüllt werden, so ist die Entschwefe</w:t>
      </w:r>
      <w:r>
        <w:softHyphen/>
        <w:t>lungseinrichtung ständig mit der höchstmöglichen Abscheide</w:t>
      </w:r>
      <w:r w:rsidR="009B0776">
        <w:t>l</w:t>
      </w:r>
      <w:r>
        <w:t>eistung zu betreiben. Eine Masse</w:t>
      </w:r>
      <w:r>
        <w:t>n</w:t>
      </w:r>
      <w:r>
        <w:t>konzentrat</w:t>
      </w:r>
      <w:r>
        <w:t>i</w:t>
      </w:r>
      <w:r>
        <w:t>on von höchstens 650 Milligramm je Kubikmeter Abgas darf nicht überschritten werden.</w:t>
      </w:r>
    </w:p>
    <w:p w:rsidR="000A0B97" w:rsidRDefault="000A0B97" w:rsidP="00DE0277">
      <w:pPr>
        <w:pStyle w:val="GesAbsatz"/>
      </w:pPr>
      <w:r>
        <w:t>(2) Abweichend von Absatz 1 sind Feuerungsanlagen mit Rostfeuerungen oder Staubfeuerungen für Kohle mit einer Feuerungswärmeleistung von mehr als 100 Megawatt bis einschließlich 300 Megawatt so zu e</w:t>
      </w:r>
      <w:r>
        <w:t>r</w:t>
      </w:r>
      <w:r>
        <w:t>rich</w:t>
      </w:r>
      <w:r>
        <w:softHyphen/>
        <w:t>ten und zu betreiben, daß die Emissionen an Schwefeldioxid und Schwefeltrioxid im Abgas, angegeben als Schwefeldioxid und bezogen auf die in § 3 Abs. 3 angegebenen Volumengehalte an Sauerstoff im A</w:t>
      </w:r>
      <w:r>
        <w:t>b</w:t>
      </w:r>
      <w:r>
        <w:t>gas, eine Massenkonzentration von 2000 Milligramm je Kubikmeter Abgas nicht überschreiten und ein Schwefe</w:t>
      </w:r>
      <w:r>
        <w:softHyphen/>
        <w:t>lemissionsgrad von 40 vom hundert nicht überschritten wird.</w:t>
      </w:r>
    </w:p>
    <w:p w:rsidR="000A0B97" w:rsidRDefault="000A0B97" w:rsidP="00DE0277">
      <w:pPr>
        <w:pStyle w:val="GesAbsatz"/>
      </w:pPr>
      <w:r>
        <w:t>(3) Abweichend von Absatz 1 sind Feuerungsanlagen mit Rostfeuerungen oder Staubfeuerungen für Kohle mit einer Feuerungswärmeleistung bis einschließlich 100 Megawatt so zu errichten und zu betreiben, daß die Emissionen an Schwefeldioxid und Schwefeltrioxid im Abgas, angegeben als Schwefeldioxid und bez</w:t>
      </w:r>
      <w:r>
        <w:t>o</w:t>
      </w:r>
      <w:r>
        <w:t>gen auf</w:t>
      </w:r>
      <w:r>
        <w:rPr>
          <w:b/>
        </w:rPr>
        <w:t xml:space="preserve"> </w:t>
      </w:r>
      <w:r>
        <w:t xml:space="preserve"> die in § 3 Abs. 3 angegebenen Volumengehalte an Sauerstoff im Abgas, eine Massenkonzentration von 2000 Milligramm je Kubikmeter Abgas nicht überschreiten.</w:t>
      </w:r>
    </w:p>
    <w:p w:rsidR="000A0B97" w:rsidRDefault="000A0B97" w:rsidP="00DE0277">
      <w:pPr>
        <w:pStyle w:val="GesAbsatz"/>
      </w:pPr>
      <w:r>
        <w:t>(4) Abweichend von Absatz 1 sind Feuerungsanlagen mit Wirbelschichtfeuerungen für Kohle mit einer Fe</w:t>
      </w:r>
      <w:r>
        <w:t>u</w:t>
      </w:r>
      <w:r>
        <w:t>e</w:t>
      </w:r>
      <w:r>
        <w:softHyphen/>
        <w:t>rungswärmeleistung bis einschließlich 300 Megawatt so zu errichten und zu betreiben, daß die Emiss</w:t>
      </w:r>
      <w:r>
        <w:t>i</w:t>
      </w:r>
      <w:r>
        <w:t>onen an Schwefeldioxid und Schwefeltrioxid im Abgas, angegeben als Schwefeldioxid und bezogen auf einen Vo</w:t>
      </w:r>
      <w:r>
        <w:softHyphen/>
        <w:t>lumengehalt an Sauerstoff im Abgas von 7 vom Hundert, eine Massenkonzentration von 400 Mill</w:t>
      </w:r>
      <w:r>
        <w:t>i</w:t>
      </w:r>
      <w:r>
        <w:t>gramm je Kubikmeter Abgas nicht überschreiten oder ein Schwefelemissionsgrad von 25 vom Hundert nicht übe</w:t>
      </w:r>
      <w:r>
        <w:t>r</w:t>
      </w:r>
      <w:r>
        <w:t>schrit</w:t>
      </w:r>
      <w:r>
        <w:softHyphen/>
        <w:t>ten wird.</w:t>
      </w:r>
    </w:p>
    <w:p w:rsidR="000A0B97" w:rsidRDefault="000A0B97" w:rsidP="00DE0277">
      <w:pPr>
        <w:pStyle w:val="GesAbsatz"/>
      </w:pPr>
      <w:r>
        <w:t>(5) Abweichend von Absatz 3 kann die zuständige Behörde für einen Zeitraum von jeweils bis zu einem Jahr eine Massenkonzentration von höchstens 2500 Milligramm je Kubikmeter Abgas zulassen, wenn nac</w:t>
      </w:r>
      <w:r>
        <w:t>h</w:t>
      </w:r>
      <w:r>
        <w:t>gewie</w:t>
      </w:r>
      <w:r>
        <w:softHyphen/>
        <w:t>sen wird, daß</w:t>
      </w:r>
    </w:p>
    <w:p w:rsidR="000A0B97" w:rsidRDefault="00DE0277" w:rsidP="00DE0277">
      <w:pPr>
        <w:pStyle w:val="GesAbsatz"/>
        <w:ind w:left="426" w:hanging="426"/>
      </w:pPr>
      <w:r>
        <w:t>1.</w:t>
      </w:r>
      <w:r>
        <w:tab/>
      </w:r>
      <w:r w:rsidR="000A0B97">
        <w:t>für diesen Zeitraum für die Feuerungsanlage geeignete schwefelarme Kohle zur Erfüllung der Anford</w:t>
      </w:r>
      <w:r w:rsidR="000A0B97">
        <w:t>e</w:t>
      </w:r>
      <w:r w:rsidR="000A0B97">
        <w:t>rungen nicht zur Verfügung stehen wird und</w:t>
      </w:r>
    </w:p>
    <w:p w:rsidR="000A0B97" w:rsidRDefault="00DE0277" w:rsidP="00DE0277">
      <w:pPr>
        <w:pStyle w:val="GesAbsatz"/>
        <w:ind w:left="426" w:hanging="426"/>
      </w:pPr>
      <w:r>
        <w:t>2.</w:t>
      </w:r>
      <w:r>
        <w:tab/>
      </w:r>
      <w:r w:rsidR="000A0B97">
        <w:t xml:space="preserve">die Schornsteinhöhe nach Nummer 2.4 der Ersten </w:t>
      </w:r>
      <w:r w:rsidR="000A0B97" w:rsidRPr="00DE0277">
        <w:t>1)</w:t>
      </w:r>
      <w:r w:rsidR="000A0B97">
        <w:t xml:space="preserve"> Allgemeinen Verwaltungsvorschrift zum Bundes-Immissionsschutzgesetz vom 28. August 1974 (GMBl. S 426, 525), geändert durch die Allgemeine Verwaltungsvorschrift vom 23. Februar 1983 (GMBl. S 94), für den während des Ausnahmezeitra</w:t>
      </w:r>
      <w:r w:rsidR="000A0B97">
        <w:t>u</w:t>
      </w:r>
      <w:r w:rsidR="000A0B97">
        <w:t>mes zugelassenen Schwefelgehalt des Brennstoffes ausgelegt ist.</w:t>
      </w:r>
    </w:p>
    <w:p w:rsidR="000A0B97" w:rsidRDefault="000A0B97" w:rsidP="00DE0277">
      <w:pPr>
        <w:pStyle w:val="GesAbsatz"/>
      </w:pPr>
      <w:r>
        <w:t>(6) Eine Feuerungsanlage darf auch bei Ausfall der Einrichtung zur Verminderung der Schwefeldioxidemis</w:t>
      </w:r>
      <w:r>
        <w:softHyphen/>
        <w:t>sionen weiterbetrieben werden, wenn die Ausfallzeit 72 aufeinanderfolgende Stunde und innerhalb eines Kalenderjahres insgesamt 240 Stunden nicht überschreitet; der Ausfall ist der zuständigen Behörde unver</w:t>
      </w:r>
      <w:r>
        <w:softHyphen/>
        <w:t>züglich anzuzeigen. Anfahrzeiten, in denen das Doppelte des Emissionsgrenzwertes aus technischen Grün</w:t>
      </w:r>
      <w:r>
        <w:softHyphen/>
        <w:t>den nicht eingehalten werden kann, bleiben unberücksichtigt.</w:t>
      </w:r>
    </w:p>
    <w:p w:rsidR="000A0B97" w:rsidRDefault="000A0B97">
      <w:pPr>
        <w:pStyle w:val="berschrift3"/>
      </w:pPr>
      <w:bookmarkStart w:id="32" w:name="_Toc399920480"/>
      <w:bookmarkStart w:id="33" w:name="_Toc460377096"/>
      <w:bookmarkStart w:id="34" w:name="_Toc512392626"/>
      <w:r>
        <w:t xml:space="preserve">§ 7 </w:t>
      </w:r>
      <w:r>
        <w:br/>
        <w:t>Grenzwert für Halogenverbindungen</w:t>
      </w:r>
      <w:bookmarkEnd w:id="32"/>
      <w:bookmarkEnd w:id="33"/>
      <w:bookmarkEnd w:id="34"/>
    </w:p>
    <w:p w:rsidR="000A0B97" w:rsidRDefault="000A0B97" w:rsidP="00DE0277">
      <w:pPr>
        <w:pStyle w:val="GesAbsatz"/>
      </w:pPr>
      <w:r>
        <w:t>(1) Feuerungsanlagen mit Rostfeuerungen oder Staubfeuerungen für feste Brennstoffe sind so zu errichten und zu betreiben, daß die Emissionen an anorganischen gasförmigen Halogenverbindungen im Abgas, be</w:t>
      </w:r>
      <w:r>
        <w:softHyphen/>
        <w:t>zogen auf die in § 3 Abs. 3 angegebenen Volumengehalte an Sauerstoff im Abgas,</w:t>
      </w:r>
    </w:p>
    <w:p w:rsidR="000A0B97" w:rsidRDefault="00DE0277" w:rsidP="00DE0277">
      <w:pPr>
        <w:pStyle w:val="GesAbsatz"/>
        <w:ind w:left="426" w:hanging="426"/>
      </w:pPr>
      <w:r>
        <w:t>1.</w:t>
      </w:r>
      <w:r>
        <w:tab/>
      </w:r>
      <w:r w:rsidR="000A0B97">
        <w:t>bei einer Feuerungswärmeleistung von mehr als 300 Megawatt Massenkonzentration von 100 Mill</w:t>
      </w:r>
      <w:r w:rsidR="000A0B97">
        <w:t>i</w:t>
      </w:r>
      <w:r w:rsidR="000A0B97">
        <w:t>gramm anorganische gasförmige Chlorverbindungen, angegeben als Chlorwasserstoff, und 15 Mill</w:t>
      </w:r>
      <w:r w:rsidR="000A0B97">
        <w:t>i</w:t>
      </w:r>
      <w:r w:rsidR="000A0B97">
        <w:lastRenderedPageBreak/>
        <w:t>gramm anorganische gasförmige Fluorverbindungen, angegeben als Fluorwasserstoff, je Kubikmeter Abgas,</w:t>
      </w:r>
    </w:p>
    <w:p w:rsidR="000A0B97" w:rsidRDefault="00DE0277" w:rsidP="00DE0277">
      <w:pPr>
        <w:pStyle w:val="GesAbsatz"/>
        <w:ind w:left="426" w:hanging="426"/>
      </w:pPr>
      <w:r>
        <w:t>2.</w:t>
      </w:r>
      <w:r>
        <w:tab/>
      </w:r>
      <w:r w:rsidR="000A0B97">
        <w:t>bei einer Feuerungswärmeleistung bis einschließlich 300 Megawatt Massenkonzentration von 200 Mill</w:t>
      </w:r>
      <w:r w:rsidR="000A0B97">
        <w:t>i</w:t>
      </w:r>
      <w:r w:rsidR="000A0B97">
        <w:t>gramm anorganische gasförmige Chlorverbindungen, angegeben als Chlorwasserstoff, und 30 Mill</w:t>
      </w:r>
      <w:r w:rsidR="000A0B97">
        <w:t>i</w:t>
      </w:r>
      <w:r w:rsidR="000A0B97">
        <w:t>gramm anorganische gasförmige Fluorverbindungen, angegeben als Fluorwasserstoff, je Kubikmeter Abgas,</w:t>
      </w:r>
    </w:p>
    <w:p w:rsidR="000A0B97" w:rsidRDefault="000A0B97" w:rsidP="00DE0277">
      <w:pPr>
        <w:pStyle w:val="GesAbsatz"/>
      </w:pPr>
      <w:r>
        <w:t>nicht überschreiten.</w:t>
      </w:r>
    </w:p>
    <w:p w:rsidR="000A0B97" w:rsidRDefault="000A0B97" w:rsidP="00DE0277">
      <w:pPr>
        <w:pStyle w:val="GesAbsatz"/>
      </w:pPr>
      <w:r>
        <w:t>(2) § 6 Abs. 6 gilt entsprechend.</w:t>
      </w:r>
    </w:p>
    <w:p w:rsidR="000A0B97" w:rsidRDefault="000A0B97">
      <w:pPr>
        <w:pStyle w:val="berschrift2"/>
      </w:pPr>
      <w:bookmarkStart w:id="35" w:name="_Toc399920481"/>
      <w:bookmarkStart w:id="36" w:name="_Toc460377097"/>
      <w:bookmarkStart w:id="37" w:name="_Toc512392627"/>
      <w:r>
        <w:t xml:space="preserve">Zweiter Abschnitt </w:t>
      </w:r>
      <w:r>
        <w:br/>
        <w:t>Feuerungsanlagen für flüssige Brennstoffe</w:t>
      </w:r>
      <w:bookmarkEnd w:id="35"/>
      <w:bookmarkEnd w:id="36"/>
      <w:bookmarkEnd w:id="37"/>
    </w:p>
    <w:p w:rsidR="000A0B97" w:rsidRDefault="000A0B97">
      <w:pPr>
        <w:pStyle w:val="berschrift3"/>
      </w:pPr>
      <w:bookmarkStart w:id="38" w:name="_Toc399920482"/>
      <w:bookmarkStart w:id="39" w:name="_Toc460377098"/>
      <w:bookmarkStart w:id="40" w:name="_Toc512392628"/>
      <w:r>
        <w:t xml:space="preserve">§ 8 </w:t>
      </w:r>
      <w:r>
        <w:br/>
        <w:t>Grenzwerte für staubförmige Emissionen</w:t>
      </w:r>
      <w:bookmarkEnd w:id="38"/>
      <w:bookmarkEnd w:id="39"/>
      <w:bookmarkEnd w:id="40"/>
    </w:p>
    <w:p w:rsidR="000A0B97" w:rsidRDefault="000A0B97" w:rsidP="00DE0277">
      <w:pPr>
        <w:pStyle w:val="GesAbsatz"/>
      </w:pPr>
      <w:r>
        <w:t>(1) Feuerungsanlagen für flüssige Brennstoffe sind so zu errichten und zu betreiben, daß die staubförmigen Emissionen im Abgas, bezogen auf einen Volumengehalt an Sauerstoff im Abgas von 3 vom Hundert und nach Abzug der adsorbierten Schwefelsäure, eine Massenkonzentration von 50 Milligramm je Kubikmeter Abgas nicht überschreiten.</w:t>
      </w:r>
    </w:p>
    <w:p w:rsidR="000A0B97" w:rsidRDefault="000A0B97" w:rsidP="00DE0277">
      <w:pPr>
        <w:pStyle w:val="GesAbsatz"/>
      </w:pPr>
      <w:r>
        <w:t>(2) Werden Heizöle nach DIN 51 603 Teil 1 (Ausgabe Dezember 1981) oder DIN 51 603 Teil 2 (Ausgabe Oktober 1976) mit einem Nickelgehalt von mehr als 12 Milligramm je Kilogramm Brennstoff oder andere flü</w:t>
      </w:r>
      <w:r>
        <w:t>s</w:t>
      </w:r>
      <w:r>
        <w:t>sige Brennstoffe als Heizöl nach DIN 51 603 eingesetzt, so dürfen die staubförmigen Emissionen an Arsen, Blei, Cadmium, Chrom, Kobalt, Nickel und deren Verbindungen, angegeben als Elemente, im Abgas eine Massenkonzentration von insgesamt 2 Milligramm je Kubikmeter Abgas, bezogen auf einen Volume</w:t>
      </w:r>
      <w:r>
        <w:t>n</w:t>
      </w:r>
      <w:r>
        <w:t>gehalt an Sauerstoff im Abgas von 3 vom Hundert, nicht überschreiten. Die Normblätter, erschienen in der Beuth-Ver</w:t>
      </w:r>
      <w:r w:rsidR="009B0776">
        <w:t>lag</w:t>
      </w:r>
      <w:r>
        <w:t xml:space="preserve"> GmbH, Berlin und Köln, sind beim Deutschen Patentamt archivmäßig gesichert niederg</w:t>
      </w:r>
      <w:r>
        <w:t>e</w:t>
      </w:r>
      <w:r>
        <w:t>legt.</w:t>
      </w:r>
    </w:p>
    <w:p w:rsidR="000A0B97" w:rsidRDefault="000A0B97" w:rsidP="00DE0277">
      <w:pPr>
        <w:pStyle w:val="GesAbsatz"/>
      </w:pPr>
      <w:r>
        <w:t>(3) Die Emissionsgrenzwerte nach den Absätzen 1 und 2 sind auch bei der Heizflächenreinigung einzuha</w:t>
      </w:r>
      <w:r>
        <w:t>l</w:t>
      </w:r>
      <w:r>
        <w:t>ten.</w:t>
      </w:r>
    </w:p>
    <w:p w:rsidR="000A0B97" w:rsidRDefault="000A0B97">
      <w:pPr>
        <w:pStyle w:val="berschrift3"/>
      </w:pPr>
      <w:bookmarkStart w:id="41" w:name="_Toc399920483"/>
      <w:bookmarkStart w:id="42" w:name="_Toc460377099"/>
      <w:bookmarkStart w:id="43" w:name="_Toc512392629"/>
      <w:r>
        <w:t xml:space="preserve">§ 9 </w:t>
      </w:r>
      <w:r>
        <w:br/>
        <w:t>Grenzwert für Kohlenmonoxid</w:t>
      </w:r>
      <w:bookmarkEnd w:id="41"/>
      <w:bookmarkEnd w:id="42"/>
      <w:bookmarkEnd w:id="43"/>
    </w:p>
    <w:p w:rsidR="000A0B97" w:rsidRDefault="000A0B97" w:rsidP="00DE0277">
      <w:pPr>
        <w:pStyle w:val="GesAbsatz"/>
      </w:pPr>
      <w:r>
        <w:t>Feuerungsanlagen für flüssige Brennstoffe sind so zu errichten und zu betreiben, daß die Emissionen an Kohlenmonoxid im Abgas, bezogen auf einen Volumengehalt an Sauerstoff im Abgas von 3 vom Hundert, eine Massenkonzentration von 175 Milligramm je Kubikmeter Abgas nicht überschreiten.</w:t>
      </w:r>
    </w:p>
    <w:p w:rsidR="000A0B97" w:rsidRDefault="000A0B97">
      <w:pPr>
        <w:pStyle w:val="berschrift3"/>
      </w:pPr>
      <w:bookmarkStart w:id="44" w:name="_Toc399920484"/>
      <w:bookmarkStart w:id="45" w:name="_Toc460377100"/>
      <w:bookmarkStart w:id="46" w:name="_Toc512392630"/>
      <w:r>
        <w:t xml:space="preserve">§ 10 </w:t>
      </w:r>
      <w:r>
        <w:br/>
        <w:t>Grenzwert für Stickstoffoxide</w:t>
      </w:r>
      <w:bookmarkEnd w:id="44"/>
      <w:bookmarkEnd w:id="45"/>
      <w:bookmarkEnd w:id="46"/>
    </w:p>
    <w:p w:rsidR="000A0B97" w:rsidRDefault="000A0B97" w:rsidP="00DE0277">
      <w:pPr>
        <w:pStyle w:val="GesAbsatz"/>
      </w:pPr>
      <w:r>
        <w:t>Feuerungsanlagen für flüssige Brennstoffe sind so zu errichten und zu betreiben, daß die Emissionen an Stickstoffmonoxid und Stickstoffdioxid im Abgas eine Massenkonzentration von höchstens 450 Milligramm je Kubikmeter Abgas, angegeben als Stickstoffdioxid und bezogen auf einen Volumengehalt an Sauerstoff im Abgas von 3 vom Hundert, nicht überschreiten. Die Möglichkeiten, die Emissionen durch feuerungstec</w:t>
      </w:r>
      <w:r>
        <w:t>h</w:t>
      </w:r>
      <w:r>
        <w:t>ni</w:t>
      </w:r>
      <w:r>
        <w:softHyphen/>
        <w:t>sche oder andere dem Stand der Technik entsprechende Maßnahmen weiter zu vermindern, sind auszu</w:t>
      </w:r>
      <w:r>
        <w:softHyphen/>
        <w:t>schöpfen.</w:t>
      </w:r>
    </w:p>
    <w:p w:rsidR="000A0B97" w:rsidRDefault="000A0B97">
      <w:pPr>
        <w:pStyle w:val="berschrift3"/>
      </w:pPr>
      <w:bookmarkStart w:id="47" w:name="_Toc399920485"/>
      <w:bookmarkStart w:id="48" w:name="_Toc460377101"/>
      <w:bookmarkStart w:id="49" w:name="_Toc512392631"/>
      <w:r>
        <w:t xml:space="preserve">§ 11 </w:t>
      </w:r>
      <w:r>
        <w:br/>
        <w:t>Grenzwert für Schwefeloxide</w:t>
      </w:r>
      <w:bookmarkEnd w:id="47"/>
      <w:bookmarkEnd w:id="48"/>
      <w:bookmarkEnd w:id="49"/>
    </w:p>
    <w:p w:rsidR="000A0B97" w:rsidRDefault="000A0B97" w:rsidP="00DE0277">
      <w:pPr>
        <w:pStyle w:val="GesAbsatz"/>
      </w:pPr>
      <w:r>
        <w:t>(1) Feuerungsanlagen für flüssige Brennstoffe sind so zu errichten und zu betreiben, daß die Emissionen an Schwefeldioxid und Schwefeltrioxid im Abgas, angegeben als Schwefeldioxid und bezogen auf einen Volu</w:t>
      </w:r>
      <w:r>
        <w:softHyphen/>
        <w:t>mengehalt an Sauerstoff im Abgas von 3 vom Hundert, eine Massenkonzentration von 400 Milligramm je Kubikmeter Abgas nicht überschreiten und ein Schwefe</w:t>
      </w:r>
      <w:r w:rsidR="009B0776">
        <w:t>l</w:t>
      </w:r>
      <w:r>
        <w:t>emissionsgrad von 15 vom Hundert nicht übe</w:t>
      </w:r>
      <w:r>
        <w:t>r</w:t>
      </w:r>
      <w:r>
        <w:t>schrit</w:t>
      </w:r>
      <w:r>
        <w:softHyphen/>
        <w:t>ten wird. Können die Anforderungen nach Satz 1 bei Einsatz von Brennstoffen mit besonders hohem oder stark schwankendem Schwefelgehalt nach dem Stand der Technik nicht erfüllt werden, so ist die Entschw</w:t>
      </w:r>
      <w:r>
        <w:t>e</w:t>
      </w:r>
      <w:r>
        <w:t>felungseinrichtung ständig mit der höchstmöglichen Abscheideleistung zu betreiben; eine Massen</w:t>
      </w:r>
      <w:r>
        <w:softHyphen/>
        <w:t>konzentration von höchstens 650 Milligramm je Kubikmeter Abgas darf nicht überschritten werden.</w:t>
      </w:r>
    </w:p>
    <w:p w:rsidR="000A0B97" w:rsidRDefault="000A0B97" w:rsidP="00DE0277">
      <w:pPr>
        <w:pStyle w:val="GesAbsatz"/>
      </w:pPr>
      <w:r>
        <w:t>(2) Abweichend von Absatz 1 sind Feuerungsanlagen für flüssige Brennstoffe mit einer Feuerungswärmelei</w:t>
      </w:r>
      <w:r>
        <w:softHyphen/>
        <w:t xml:space="preserve">stung von mehr als 100 Megawatt bis einschließlich 300 Megawatt so zu errichten und zu betreiben, daß die Emissionen an Schwefeldioxid und Schwefeltrioxid im Abgas, angegeben als Schwefeldioxid und bezogen </w:t>
      </w:r>
      <w:r>
        <w:lastRenderedPageBreak/>
        <w:t>auf einen Volumengehalt an Sauerstoff im Abgas von 3 vom Hundert, eine Massenkonzentration von 1700 Milligramm je Kubikmeter Abgas nicht überschreiten und ein Schwefelemissionsgrad von 40 vom Hundert nicht überschritten wird.</w:t>
      </w:r>
    </w:p>
    <w:p w:rsidR="000A0B97" w:rsidRDefault="000A0B97" w:rsidP="00DE0277">
      <w:pPr>
        <w:pStyle w:val="GesAbsatz"/>
      </w:pPr>
      <w:r>
        <w:t>(3) Abweichend von den Absätzen 1 und 2 darf eine Feuerungsanlage betrieben werden, wenn ein Bren</w:t>
      </w:r>
      <w:r>
        <w:t>n</w:t>
      </w:r>
      <w:r>
        <w:t>stoff eingesetzt wird, der den Anforderungen der §§ 3 und 4 der Dritten Verordnung zur Durchführung des Bun</w:t>
      </w:r>
      <w:r>
        <w:softHyphen/>
        <w:t>des-Immissionsschutzgesetzes entspricht.</w:t>
      </w:r>
    </w:p>
    <w:p w:rsidR="000A0B97" w:rsidRDefault="000A0B97" w:rsidP="00DE0277">
      <w:pPr>
        <w:pStyle w:val="GesAbsatz"/>
      </w:pPr>
      <w:r>
        <w:t>(4) Abweichend von Absatz 1 sind Feuerungsanlagen für flüssige Brennstoffe mit einer Feuerungswärmelei</w:t>
      </w:r>
      <w:r>
        <w:softHyphen/>
        <w:t>stung bis einschließlich 100 Megawatt so zu errichten und zu betreiben, daß die Emissionen an Schwefeldi</w:t>
      </w:r>
      <w:r>
        <w:softHyphen/>
        <w:t>oxid und Schwefeltrioxid im Abgas, angegeben als Schwefeldioxid und bezogen auf einen Volumengehalt an Sauerstoff im Abgas von 3 vom Hundert, eine Massenkonzentration von 1700 Milligramm je Kubikmeter Ab</w:t>
      </w:r>
      <w:r>
        <w:softHyphen/>
        <w:t>gas nicht überschreiten.</w:t>
      </w:r>
    </w:p>
    <w:p w:rsidR="000A0B97" w:rsidRDefault="000A0B97" w:rsidP="00DE0277">
      <w:pPr>
        <w:pStyle w:val="GesAbsatz"/>
      </w:pPr>
      <w:r>
        <w:t>(5) Abweichend von Absatz 4 kann die zuständige Behörde für einen Zeitraum von jeweils bis zu 6 Monaten eine Massenkonzentration von höchstens 3400 Milligramm je Kubikmeter Abgas zulassen, wenn nachg</w:t>
      </w:r>
      <w:r>
        <w:t>e</w:t>
      </w:r>
      <w:r>
        <w:t>wie</w:t>
      </w:r>
      <w:r>
        <w:softHyphen/>
        <w:t>sen wird, daß</w:t>
      </w:r>
    </w:p>
    <w:p w:rsidR="000A0B97" w:rsidRDefault="00DE0277" w:rsidP="00DE0277">
      <w:pPr>
        <w:pStyle w:val="GesAbsatz"/>
        <w:ind w:left="426" w:hanging="426"/>
      </w:pPr>
      <w:r>
        <w:t>1.</w:t>
      </w:r>
      <w:r>
        <w:tab/>
      </w:r>
      <w:r w:rsidR="000A0B97">
        <w:t>für diesen Zeitraum schwefelarmes Heizöl zur Erfüllung der Anforderungen nicht zur Verfügung st</w:t>
      </w:r>
      <w:r w:rsidR="000A0B97">
        <w:t>e</w:t>
      </w:r>
      <w:r w:rsidR="000A0B97">
        <w:t>hen wird und</w:t>
      </w:r>
    </w:p>
    <w:p w:rsidR="000A0B97" w:rsidRDefault="00DE0277" w:rsidP="00DE0277">
      <w:pPr>
        <w:pStyle w:val="GesAbsatz"/>
        <w:ind w:left="426" w:hanging="426"/>
      </w:pPr>
      <w:r>
        <w:t>2.</w:t>
      </w:r>
      <w:r>
        <w:tab/>
      </w:r>
      <w:r w:rsidR="000A0B97">
        <w:t>die Schornsteinhöhe nach Nummer 2.4 der Ersten Allgemeinen Verwaltungsvorschrift zum Bundes-Immissionsschutzgesetz vom 28. August 1974 (GMBl.</w:t>
      </w:r>
      <w:r>
        <w:t xml:space="preserve"> </w:t>
      </w:r>
      <w:r w:rsidR="000A0B97">
        <w:t>S.426, 525), geändert durch die Allgemeine Verwaltungsvorschrift vom 23. Februar 1983 (GMBl. S.94), für den während des Ausnahme</w:t>
      </w:r>
      <w:r w:rsidR="000A0B97">
        <w:softHyphen/>
        <w:t>zeitraumes zugelass</w:t>
      </w:r>
      <w:r w:rsidR="000A0B97">
        <w:t>e</w:t>
      </w:r>
      <w:r w:rsidR="000A0B97">
        <w:t>nen Schwefelgehalt des Brennstoffes ausgelegt ist.</w:t>
      </w:r>
    </w:p>
    <w:p w:rsidR="000A0B97" w:rsidRDefault="000A0B97" w:rsidP="00DE0277">
      <w:pPr>
        <w:pStyle w:val="GesAbsatz"/>
      </w:pPr>
      <w:r>
        <w:t>(6) § 6 Abs. 6 gilt entsprechend.</w:t>
      </w:r>
    </w:p>
    <w:p w:rsidR="000A0B97" w:rsidRDefault="000A0B97">
      <w:pPr>
        <w:pStyle w:val="berschrift3"/>
      </w:pPr>
      <w:bookmarkStart w:id="50" w:name="_Toc399920486"/>
      <w:bookmarkStart w:id="51" w:name="_Toc460377102"/>
      <w:bookmarkStart w:id="52" w:name="_Toc512392632"/>
      <w:r>
        <w:t xml:space="preserve">§ 12 </w:t>
      </w:r>
      <w:r>
        <w:br/>
        <w:t>Grenzwerte für Halogenverbindungen</w:t>
      </w:r>
      <w:bookmarkEnd w:id="50"/>
      <w:bookmarkEnd w:id="51"/>
      <w:bookmarkEnd w:id="52"/>
    </w:p>
    <w:p w:rsidR="000A0B97" w:rsidRDefault="000A0B97" w:rsidP="00DE0277">
      <w:pPr>
        <w:pStyle w:val="GesAbsatz"/>
      </w:pPr>
      <w:r>
        <w:t>(1) Werden in Feuerungsanlagen für flüssige Brennstoffe andere flüssige Brennstoffe als Heizöl nach DIN 51603 Teil 1 (Ausgabe Dezember 1981) oder DIN 51 603 Teil 2 (Ausgabe Oktober 1976) eingesetzt, so dür</w:t>
      </w:r>
      <w:r>
        <w:softHyphen/>
        <w:t>fen die Emissionen an anorganischen gasförmigen Chlorverbindungen, angegeben als Chlorwasserstoff, eine Massenkonzentration von 30 Milligramm je Kubikmeter Abgas, und die Emissionen an anorganischen gasförmigen Fluorverbindungen, angegeben als Fluorwasserstoff, eine Massenkonzentration von 5 Milli</w:t>
      </w:r>
      <w:r>
        <w:softHyphen/>
        <w:t>gramm je Kubikmeter, bezogen auf einen Volumengehalt an Sauerstoff im Abgas von 3 vom Hundert, nicht überschreiten. Die Normblätter, erschienen in der Beuth-</w:t>
      </w:r>
      <w:r w:rsidR="009B0776">
        <w:t>Verlag</w:t>
      </w:r>
      <w:r>
        <w:t xml:space="preserve"> GmbH, Berlin und Köln, sind beim Deut</w:t>
      </w:r>
      <w:r>
        <w:softHyphen/>
        <w:t>schen Patentamt archivmäßig gesichert niedergelegt.</w:t>
      </w:r>
    </w:p>
    <w:p w:rsidR="000A0B97" w:rsidRDefault="000A0B97" w:rsidP="00DE0277">
      <w:pPr>
        <w:pStyle w:val="GesAbsatz"/>
      </w:pPr>
      <w:r>
        <w:t>(2) § 6 Abs. 6 gilt entsprechend.</w:t>
      </w:r>
    </w:p>
    <w:p w:rsidR="000A0B97" w:rsidRDefault="000A0B97">
      <w:pPr>
        <w:pStyle w:val="berschrift2"/>
      </w:pPr>
      <w:bookmarkStart w:id="53" w:name="_Toc399920487"/>
      <w:bookmarkStart w:id="54" w:name="_Toc460377103"/>
      <w:bookmarkStart w:id="55" w:name="_Toc512392633"/>
      <w:r>
        <w:t xml:space="preserve">Dritter Abschnitt </w:t>
      </w:r>
      <w:r>
        <w:br/>
        <w:t>Feuerungsanlagen für gasförmige Brennstoffe</w:t>
      </w:r>
      <w:bookmarkEnd w:id="53"/>
      <w:bookmarkEnd w:id="54"/>
      <w:bookmarkEnd w:id="55"/>
    </w:p>
    <w:p w:rsidR="000A0B97" w:rsidRDefault="000A0B97">
      <w:pPr>
        <w:pStyle w:val="berschrift3"/>
      </w:pPr>
      <w:bookmarkStart w:id="56" w:name="_Toc399920488"/>
      <w:bookmarkStart w:id="57" w:name="_Toc460377104"/>
      <w:bookmarkStart w:id="58" w:name="_Toc512392634"/>
      <w:r>
        <w:t xml:space="preserve">§ 13 </w:t>
      </w:r>
      <w:r>
        <w:br/>
        <w:t>Grenzwerte für staubförmige Emissionen</w:t>
      </w:r>
      <w:bookmarkEnd w:id="56"/>
      <w:bookmarkEnd w:id="57"/>
      <w:bookmarkEnd w:id="58"/>
    </w:p>
    <w:p w:rsidR="000A0B97" w:rsidRDefault="000A0B97" w:rsidP="00DE0277">
      <w:pPr>
        <w:pStyle w:val="GesAbsatz"/>
      </w:pPr>
      <w:r>
        <w:t>(1) Feuerungsanlagen für gasförmige Brennstoffe sind so zu errichten und zu betreiben, daß die staubförmi</w:t>
      </w:r>
      <w:r>
        <w:softHyphen/>
        <w:t>gen Emissionen im Abgas, bezogen auf einen Volumengehalt an Sauerstoff im Abgas von 3 vom Hundert, eine Massenkonzentration von 5 Milligramm je Kubikmeter Abgas nicht überschreiten.</w:t>
      </w:r>
    </w:p>
    <w:p w:rsidR="000A0B97" w:rsidRDefault="000A0B97" w:rsidP="00DE0277">
      <w:pPr>
        <w:pStyle w:val="GesAbsatz"/>
      </w:pPr>
      <w:r>
        <w:t>(2) Abweichend von Absatz 1 dürfen die staubförmigen Emissionen im Abgas, bezogen auf einen Volumen</w:t>
      </w:r>
      <w:r>
        <w:softHyphen/>
        <w:t>gehalt an Sauerstoff im Abgas von 3 vom Hundert, bei Verwendungen von</w:t>
      </w:r>
    </w:p>
    <w:tbl>
      <w:tblPr>
        <w:tblW w:w="0" w:type="auto"/>
        <w:tblInd w:w="354" w:type="dxa"/>
        <w:tblLayout w:type="fixed"/>
        <w:tblCellMar>
          <w:left w:w="70" w:type="dxa"/>
          <w:right w:w="70" w:type="dxa"/>
        </w:tblCellMar>
        <w:tblLook w:val="0000" w:firstRow="0" w:lastRow="0" w:firstColumn="0" w:lastColumn="0" w:noHBand="0" w:noVBand="0"/>
      </w:tblPr>
      <w:tblGrid>
        <w:gridCol w:w="4523"/>
        <w:gridCol w:w="2583"/>
      </w:tblGrid>
      <w:tr w:rsidR="000A0B97">
        <w:tblPrEx>
          <w:tblCellMar>
            <w:top w:w="0" w:type="dxa"/>
            <w:bottom w:w="0" w:type="dxa"/>
          </w:tblCellMar>
        </w:tblPrEx>
        <w:tc>
          <w:tcPr>
            <w:tcW w:w="4523" w:type="dxa"/>
          </w:tcPr>
          <w:p w:rsidR="000A0B97" w:rsidRDefault="000A0B97" w:rsidP="00DE0277">
            <w:pPr>
              <w:pStyle w:val="GesAbsatz"/>
            </w:pPr>
            <w:r>
              <w:t>1.</w:t>
            </w:r>
            <w:r w:rsidR="00DE0277">
              <w:tab/>
            </w:r>
            <w:r>
              <w:t>Gichtgas (Hochofengas)</w:t>
            </w:r>
          </w:p>
        </w:tc>
        <w:tc>
          <w:tcPr>
            <w:tcW w:w="2583" w:type="dxa"/>
          </w:tcPr>
          <w:p w:rsidR="000A0B97" w:rsidRDefault="000A0B97" w:rsidP="00DE0277">
            <w:pPr>
              <w:pStyle w:val="GesAbsatz"/>
            </w:pPr>
            <w:r>
              <w:t>10 mg/m³</w:t>
            </w:r>
          </w:p>
        </w:tc>
      </w:tr>
      <w:tr w:rsidR="000A0B97">
        <w:tblPrEx>
          <w:tblCellMar>
            <w:top w:w="0" w:type="dxa"/>
            <w:bottom w:w="0" w:type="dxa"/>
          </w:tblCellMar>
        </w:tblPrEx>
        <w:tc>
          <w:tcPr>
            <w:tcW w:w="4523" w:type="dxa"/>
          </w:tcPr>
          <w:p w:rsidR="000A0B97" w:rsidRDefault="000A0B97" w:rsidP="00DE0277">
            <w:pPr>
              <w:pStyle w:val="GesAbsatz"/>
            </w:pPr>
            <w:r>
              <w:t>2.</w:t>
            </w:r>
            <w:r w:rsidR="00DE0277">
              <w:tab/>
            </w:r>
            <w:r>
              <w:t>Industriegasen der Stahlerzeugung</w:t>
            </w:r>
          </w:p>
        </w:tc>
        <w:tc>
          <w:tcPr>
            <w:tcW w:w="2583" w:type="dxa"/>
          </w:tcPr>
          <w:p w:rsidR="000A0B97" w:rsidRDefault="000A0B97" w:rsidP="00DE0277">
            <w:pPr>
              <w:pStyle w:val="GesAbsatz"/>
            </w:pPr>
            <w:r>
              <w:t>100 mg/m³</w:t>
            </w:r>
          </w:p>
        </w:tc>
      </w:tr>
    </w:tbl>
    <w:p w:rsidR="000A0B97" w:rsidRDefault="000A0B97" w:rsidP="00DE0277">
      <w:pPr>
        <w:pStyle w:val="GesAbsatz"/>
      </w:pPr>
      <w:r>
        <w:t>nicht übersteigen.</w:t>
      </w:r>
    </w:p>
    <w:p w:rsidR="000A0B97" w:rsidRDefault="000A0B97">
      <w:pPr>
        <w:pStyle w:val="berschrift3"/>
      </w:pPr>
      <w:bookmarkStart w:id="59" w:name="_Toc399920489"/>
      <w:bookmarkStart w:id="60" w:name="_Toc460377105"/>
      <w:bookmarkStart w:id="61" w:name="_Toc512392635"/>
      <w:r>
        <w:t xml:space="preserve">§ 14 </w:t>
      </w:r>
      <w:r>
        <w:br/>
        <w:t>Grenzwert für Kohlenmonoxid</w:t>
      </w:r>
      <w:bookmarkEnd w:id="59"/>
      <w:bookmarkEnd w:id="60"/>
      <w:bookmarkEnd w:id="61"/>
    </w:p>
    <w:p w:rsidR="000A0B97" w:rsidRDefault="000A0B97" w:rsidP="00DE0277">
      <w:pPr>
        <w:pStyle w:val="GesAbsatz"/>
      </w:pPr>
      <w:r>
        <w:t>Feuerungsanlagen für gasförmige Brennstoffe sind so zu errichten und zu betreiben, daß die Emissionen an Kohlenmonoxid im Abgas, bezogen auf einen Volumengehalt an Sauerstoff im Abgas von 3 vom Hundert, eine Massenkonzentration von 100 Milligramm je Kubikmeter Abgas nicht überschreiten.</w:t>
      </w:r>
    </w:p>
    <w:p w:rsidR="000A0B97" w:rsidRDefault="000A0B97">
      <w:pPr>
        <w:pStyle w:val="berschrift3"/>
      </w:pPr>
      <w:bookmarkStart w:id="62" w:name="_Toc399920490"/>
      <w:bookmarkStart w:id="63" w:name="_Toc460377106"/>
      <w:bookmarkStart w:id="64" w:name="_Toc512392636"/>
      <w:r>
        <w:lastRenderedPageBreak/>
        <w:t xml:space="preserve">§ 15 </w:t>
      </w:r>
      <w:r>
        <w:br/>
        <w:t>Grenzwert für Stickstoffoxide</w:t>
      </w:r>
      <w:bookmarkEnd w:id="62"/>
      <w:bookmarkEnd w:id="63"/>
      <w:bookmarkEnd w:id="64"/>
    </w:p>
    <w:p w:rsidR="000A0B97" w:rsidRDefault="000A0B97" w:rsidP="00DE0277">
      <w:pPr>
        <w:pStyle w:val="GesAbsatz"/>
      </w:pPr>
      <w:r>
        <w:t>Feuerungsanlagen für gasförmige Brennstoffe sind so zu errichten und zu betreiben, daß die Emissionen an Stickstoffmonoxid und Stickstoffdioxid im Abgas eine Massenkonzentration von höchstens 350 Milligramm je Kubikmeter Abgas, angegeben als Stickstoffdioxid und bezogen auf einen Volumengehalt an Sauerstoff im Abgas von 3 vom Hundert, nicht überschreiten. Die Möglichkeiten, die Emissionen durch feuerungstec</w:t>
      </w:r>
      <w:r>
        <w:t>h</w:t>
      </w:r>
      <w:r>
        <w:t>ni</w:t>
      </w:r>
      <w:r>
        <w:softHyphen/>
        <w:t>sche oder andere dem Stand der Technik entsprechende Maßnahmen weiter zu vermindern, sind auszu</w:t>
      </w:r>
      <w:r>
        <w:softHyphen/>
        <w:t>schöpfen.</w:t>
      </w:r>
    </w:p>
    <w:p w:rsidR="000A0B97" w:rsidRDefault="000A0B97">
      <w:pPr>
        <w:pStyle w:val="berschrift3"/>
      </w:pPr>
      <w:bookmarkStart w:id="65" w:name="_Toc399920491"/>
      <w:bookmarkStart w:id="66" w:name="_Toc460377107"/>
      <w:bookmarkStart w:id="67" w:name="_Toc512392637"/>
      <w:r>
        <w:t xml:space="preserve">§ 16 </w:t>
      </w:r>
      <w:r>
        <w:br/>
        <w:t>Grenzwerte für Schwefeloxide</w:t>
      </w:r>
      <w:bookmarkEnd w:id="65"/>
      <w:bookmarkEnd w:id="66"/>
      <w:bookmarkEnd w:id="67"/>
    </w:p>
    <w:p w:rsidR="000A0B97" w:rsidRDefault="000A0B97" w:rsidP="00DE0277">
      <w:pPr>
        <w:pStyle w:val="GesAbsatz"/>
      </w:pPr>
      <w:r>
        <w:t>(1) Feuerungsanlagen für gasförmige Brennstoffe sind zu errichten und zu betreiben, daß die Emissionen an Schwefeldioxid und Schwefeltrioxid im Abgas, angegeben als Schwefeldioxid und bezogen auf einen Volu</w:t>
      </w:r>
      <w:r>
        <w:softHyphen/>
        <w:t>mengehalt an Sauerstoff im Abgas von 3 vom Hundert, eine Massenkonzentration von 35 Milligramm je Ku</w:t>
      </w:r>
      <w:r>
        <w:softHyphen/>
        <w:t>bikmeter nicht überschreiten.</w:t>
      </w:r>
    </w:p>
    <w:p w:rsidR="000A0B97" w:rsidRDefault="000A0B97" w:rsidP="00DE0277">
      <w:pPr>
        <w:pStyle w:val="GesAbsatz"/>
      </w:pPr>
      <w:r>
        <w:t>(2) Abweichend von Absatz 1 dürfen die Emissionen an Schwefeldioxid und Schwefeltrioxid im Abgas, a</w:t>
      </w:r>
      <w:r>
        <w:t>n</w:t>
      </w:r>
      <w:r>
        <w:t>ge</w:t>
      </w:r>
      <w:r>
        <w:softHyphen/>
        <w:t>geben als Schwefeldioxid und bezogen auf einen Volumengehalt an Sauerstoff im Abgas von 3 vom Hu</w:t>
      </w:r>
      <w:r>
        <w:t>n</w:t>
      </w:r>
      <w:r>
        <w:t>dert, bei Verwendung von</w:t>
      </w:r>
    </w:p>
    <w:tbl>
      <w:tblPr>
        <w:tblW w:w="0" w:type="auto"/>
        <w:tblInd w:w="212" w:type="dxa"/>
        <w:tblLayout w:type="fixed"/>
        <w:tblCellMar>
          <w:left w:w="70" w:type="dxa"/>
          <w:right w:w="70" w:type="dxa"/>
        </w:tblCellMar>
        <w:tblLook w:val="0000" w:firstRow="0" w:lastRow="0" w:firstColumn="0" w:lastColumn="0" w:noHBand="0" w:noVBand="0"/>
      </w:tblPr>
      <w:tblGrid>
        <w:gridCol w:w="4783"/>
        <w:gridCol w:w="4783"/>
      </w:tblGrid>
      <w:tr w:rsidR="000A0B97">
        <w:tblPrEx>
          <w:tblCellMar>
            <w:top w:w="0" w:type="dxa"/>
            <w:bottom w:w="0" w:type="dxa"/>
          </w:tblCellMar>
        </w:tblPrEx>
        <w:tc>
          <w:tcPr>
            <w:tcW w:w="4783" w:type="dxa"/>
          </w:tcPr>
          <w:p w:rsidR="000A0B97" w:rsidRDefault="000A0B97" w:rsidP="00DE0277">
            <w:pPr>
              <w:pStyle w:val="GesAbsatz"/>
            </w:pPr>
            <w:r>
              <w:t>1. Kokereigas</w:t>
            </w:r>
          </w:p>
        </w:tc>
        <w:tc>
          <w:tcPr>
            <w:tcW w:w="4783" w:type="dxa"/>
          </w:tcPr>
          <w:p w:rsidR="000A0B97" w:rsidRDefault="000A0B97" w:rsidP="00DE0277">
            <w:pPr>
              <w:pStyle w:val="GesAbsatz"/>
            </w:pPr>
            <w:r>
              <w:t>100 mg/m³</w:t>
            </w:r>
          </w:p>
        </w:tc>
      </w:tr>
      <w:tr w:rsidR="000A0B97">
        <w:tblPrEx>
          <w:tblCellMar>
            <w:top w:w="0" w:type="dxa"/>
            <w:bottom w:w="0" w:type="dxa"/>
          </w:tblCellMar>
        </w:tblPrEx>
        <w:tc>
          <w:tcPr>
            <w:tcW w:w="4783" w:type="dxa"/>
          </w:tcPr>
          <w:p w:rsidR="000A0B97" w:rsidRDefault="000A0B97" w:rsidP="00DE0277">
            <w:pPr>
              <w:pStyle w:val="GesAbsatz"/>
            </w:pPr>
            <w:r>
              <w:t>2. Flüssiggas</w:t>
            </w:r>
          </w:p>
        </w:tc>
        <w:tc>
          <w:tcPr>
            <w:tcW w:w="4783" w:type="dxa"/>
          </w:tcPr>
          <w:p w:rsidR="000A0B97" w:rsidRDefault="000A0B97" w:rsidP="00DE0277">
            <w:pPr>
              <w:pStyle w:val="GesAbsatz"/>
            </w:pPr>
            <w:r>
              <w:t>5 mg/m³</w:t>
            </w:r>
          </w:p>
        </w:tc>
      </w:tr>
      <w:tr w:rsidR="000A0B97">
        <w:tblPrEx>
          <w:tblCellMar>
            <w:top w:w="0" w:type="dxa"/>
            <w:bottom w:w="0" w:type="dxa"/>
          </w:tblCellMar>
        </w:tblPrEx>
        <w:tc>
          <w:tcPr>
            <w:tcW w:w="4783" w:type="dxa"/>
          </w:tcPr>
          <w:p w:rsidR="000A0B97" w:rsidRDefault="000A0B97" w:rsidP="00DE0277">
            <w:pPr>
              <w:pStyle w:val="GesAbsatz"/>
            </w:pPr>
            <w:r>
              <w:t>3. Brenngasen, die im Verbund zwischen Eisenhü</w:t>
            </w:r>
            <w:r>
              <w:t>t</w:t>
            </w:r>
            <w:r>
              <w:t>tenwerk und Kokerei eingesetzt werden,</w:t>
            </w:r>
          </w:p>
        </w:tc>
        <w:tc>
          <w:tcPr>
            <w:tcW w:w="4783" w:type="dxa"/>
          </w:tcPr>
          <w:p w:rsidR="000A0B97" w:rsidRDefault="000A0B97" w:rsidP="00DE0277">
            <w:pPr>
              <w:pStyle w:val="GesAbsatz"/>
            </w:pPr>
            <w:r>
              <w:t>die sich aus dem Diagramm (Anlage 1) ergebende Massenkonzentration</w:t>
            </w:r>
          </w:p>
        </w:tc>
      </w:tr>
    </w:tbl>
    <w:p w:rsidR="000A0B97" w:rsidRDefault="000A0B97" w:rsidP="00DE0277">
      <w:pPr>
        <w:pStyle w:val="GesAbsatz"/>
      </w:pPr>
      <w:r>
        <w:t>nicht überschreiten.</w:t>
      </w:r>
    </w:p>
    <w:p w:rsidR="000A0B97" w:rsidRDefault="000A0B97">
      <w:pPr>
        <w:pStyle w:val="berschrift2"/>
      </w:pPr>
      <w:bookmarkStart w:id="68" w:name="_Toc399920492"/>
      <w:bookmarkStart w:id="69" w:name="_Toc460377108"/>
      <w:bookmarkStart w:id="70" w:name="_Toc512392638"/>
      <w:r>
        <w:t xml:space="preserve">Dritter Teil </w:t>
      </w:r>
      <w:r>
        <w:br/>
        <w:t>Anforderungen an Altanlagen</w:t>
      </w:r>
      <w:bookmarkEnd w:id="68"/>
      <w:bookmarkEnd w:id="69"/>
      <w:bookmarkEnd w:id="70"/>
    </w:p>
    <w:p w:rsidR="000A0B97" w:rsidRDefault="000A0B97">
      <w:pPr>
        <w:pStyle w:val="berschrift3"/>
      </w:pPr>
      <w:bookmarkStart w:id="71" w:name="_Toc399920493"/>
      <w:bookmarkStart w:id="72" w:name="_Toc460377109"/>
      <w:bookmarkStart w:id="73" w:name="_Toc512392639"/>
      <w:r>
        <w:t xml:space="preserve">§ 17 </w:t>
      </w:r>
      <w:r>
        <w:br/>
        <w:t>Grenzwerte für staubförmige Emissionen</w:t>
      </w:r>
      <w:bookmarkEnd w:id="71"/>
      <w:bookmarkEnd w:id="72"/>
      <w:bookmarkEnd w:id="73"/>
    </w:p>
    <w:p w:rsidR="000A0B97" w:rsidRDefault="000A0B97" w:rsidP="00DE0277">
      <w:pPr>
        <w:pStyle w:val="GesAbsatz"/>
      </w:pPr>
      <w:r>
        <w:t>(1) Bei Altanlagen für feste Brennstoffe dürfen die staubförmigen Emissionen im Abgas</w:t>
      </w:r>
    </w:p>
    <w:tbl>
      <w:tblPr>
        <w:tblW w:w="0" w:type="auto"/>
        <w:tblInd w:w="354" w:type="dxa"/>
        <w:tblLayout w:type="fixed"/>
        <w:tblCellMar>
          <w:left w:w="70" w:type="dxa"/>
          <w:right w:w="70" w:type="dxa"/>
        </w:tblCellMar>
        <w:tblLook w:val="0000" w:firstRow="0" w:lastRow="0" w:firstColumn="0" w:lastColumn="0" w:noHBand="0" w:noVBand="0"/>
      </w:tblPr>
      <w:tblGrid>
        <w:gridCol w:w="6804"/>
        <w:gridCol w:w="1701"/>
      </w:tblGrid>
      <w:tr w:rsidR="000A0B97">
        <w:tblPrEx>
          <w:tblCellMar>
            <w:top w:w="0" w:type="dxa"/>
            <w:bottom w:w="0" w:type="dxa"/>
          </w:tblCellMar>
        </w:tblPrEx>
        <w:tc>
          <w:tcPr>
            <w:tcW w:w="6804" w:type="dxa"/>
          </w:tcPr>
          <w:p w:rsidR="000A0B97" w:rsidRDefault="000A0B97" w:rsidP="00DE0277">
            <w:pPr>
              <w:pStyle w:val="GesAbsatz"/>
            </w:pPr>
            <w:r>
              <w:t>1. bei Einsatz von Braunkohle eine Massenkonzentration von</w:t>
            </w:r>
          </w:p>
        </w:tc>
        <w:tc>
          <w:tcPr>
            <w:tcW w:w="1701" w:type="dxa"/>
          </w:tcPr>
          <w:p w:rsidR="000A0B97" w:rsidRDefault="000A0B97" w:rsidP="00DE0277">
            <w:pPr>
              <w:pStyle w:val="GesAbsatz"/>
            </w:pPr>
            <w:r>
              <w:t>80 mg/m³ und</w:t>
            </w:r>
          </w:p>
        </w:tc>
      </w:tr>
      <w:tr w:rsidR="000A0B97">
        <w:tblPrEx>
          <w:tblCellMar>
            <w:top w:w="0" w:type="dxa"/>
            <w:bottom w:w="0" w:type="dxa"/>
          </w:tblCellMar>
        </w:tblPrEx>
        <w:tc>
          <w:tcPr>
            <w:tcW w:w="6804" w:type="dxa"/>
          </w:tcPr>
          <w:p w:rsidR="000A0B97" w:rsidRDefault="000A0B97" w:rsidP="00DE0277">
            <w:pPr>
              <w:pStyle w:val="GesAbsatz"/>
            </w:pPr>
            <w:r>
              <w:t>2. bei Einsatz sonstiger fester Brennstoffe eine Massenkonzentration von</w:t>
            </w:r>
          </w:p>
        </w:tc>
        <w:tc>
          <w:tcPr>
            <w:tcW w:w="1701" w:type="dxa"/>
          </w:tcPr>
          <w:p w:rsidR="000A0B97" w:rsidRDefault="000A0B97" w:rsidP="00DE0277">
            <w:pPr>
              <w:pStyle w:val="GesAbsatz"/>
            </w:pPr>
            <w:r>
              <w:t>125 mg/m³</w:t>
            </w:r>
          </w:p>
        </w:tc>
      </w:tr>
    </w:tbl>
    <w:p w:rsidR="000A0B97" w:rsidRDefault="000A0B97" w:rsidP="00DE0277">
      <w:pPr>
        <w:pStyle w:val="GesAbsatz"/>
      </w:pPr>
      <w:r>
        <w:t>nicht überschreiten.</w:t>
      </w:r>
    </w:p>
    <w:p w:rsidR="000A0B97" w:rsidRDefault="000A0B97" w:rsidP="00DE0277">
      <w:pPr>
        <w:pStyle w:val="GesAbsatz"/>
      </w:pPr>
      <w:r>
        <w:t>(2) Bei Altanlagen für flüssige Brennstoffe dürfen die staubförmigen Emissionen im Abgas die sich aus dem Diagramm (Anlage 2) ergebende Massenkonzentration nicht überschreiten.</w:t>
      </w:r>
    </w:p>
    <w:p w:rsidR="000A0B97" w:rsidRDefault="000A0B97" w:rsidP="00DE0277">
      <w:pPr>
        <w:pStyle w:val="GesAbsatz"/>
      </w:pPr>
      <w:r>
        <w:t>(3) Werden in Altanlagen für feste Brennstoffe andere feste Brennstoffe als Kohle oder Holz eingesetzt, so dürfen die staubförmigen Emissionen an Arsen, Blei, Cadmium, Chrom, Kobalt, Nickel und deren Verbi</w:t>
      </w:r>
      <w:r>
        <w:t>n</w:t>
      </w:r>
      <w:r>
        <w:t>dun</w:t>
      </w:r>
      <w:r>
        <w:softHyphen/>
        <w:t>gen, angegeben als Elemente, im Abgas eine Massenkonzentration von insgesamt 1,5 Milligramm je Kubik</w:t>
      </w:r>
      <w:r>
        <w:softHyphen/>
        <w:t>meter Abgas nicht überschreiten.</w:t>
      </w:r>
    </w:p>
    <w:p w:rsidR="000A0B97" w:rsidRDefault="000A0B97" w:rsidP="00DE0277">
      <w:pPr>
        <w:pStyle w:val="GesAbsatz"/>
      </w:pPr>
      <w:r>
        <w:t>(4) Werden in Altanlagen für flüssige Brennstoffe Heizöle nach DIN 51 603 Teil 1 (Ausgabe Dezember 1981) oder DIN 51 603 Teil 2 (Ausgabe Oktober 1976) mit einem Nickelgehalt von mehr als 12 Milligramm je Kilo</w:t>
      </w:r>
      <w:r>
        <w:softHyphen/>
        <w:t>gramm Brennstoff oder andere flüssige Brennstoffe als Heizöl nach DIN 51 603 eingesetzt, so dürfen die staubförmigen Emissionen an Arsen, Blei, Cadmium, Chrom, Kobalt, Nickel und deren Verbindungen, ange</w:t>
      </w:r>
      <w:r>
        <w:softHyphen/>
        <w:t>geben als Elemente, im Abgas eine Massenkonzentration von insgesamt 2 Milligramm Abgas nicht über</w:t>
      </w:r>
      <w:r>
        <w:softHyphen/>
        <w:t>schreiten. Die Normblätter, erschienen in der Beuth-</w:t>
      </w:r>
      <w:r w:rsidR="009B0776">
        <w:t>Verlag</w:t>
      </w:r>
      <w:r>
        <w:t xml:space="preserve"> GmbH, Berlin und Köln, sind beim Deutschen P</w:t>
      </w:r>
      <w:r>
        <w:t>a</w:t>
      </w:r>
      <w:r>
        <w:t>tentamt archivmäßig gesichert niedergelegt.</w:t>
      </w:r>
    </w:p>
    <w:p w:rsidR="000A0B97" w:rsidRDefault="000A0B97" w:rsidP="00DE0277">
      <w:pPr>
        <w:pStyle w:val="GesAbsatz"/>
      </w:pPr>
      <w:r>
        <w:t>(5) Die Massenkonzentrationen beziehen sich auf die in § 3 Abs. 3 und § 8 Abs. 1 und 2 angegebenen Volu</w:t>
      </w:r>
      <w:r>
        <w:softHyphen/>
        <w:t>mengehalte an Sauerstoff im Abgas.</w:t>
      </w:r>
    </w:p>
    <w:p w:rsidR="000A0B97" w:rsidRDefault="000A0B97" w:rsidP="00DE0277">
      <w:pPr>
        <w:pStyle w:val="GesAbsatz"/>
      </w:pPr>
      <w:r>
        <w:t>(6) Die Emissionsgrenzwerte nach den Absätzen 1 bis 4 sind auch bei der Heizflächenreinigung einzuhalten.</w:t>
      </w:r>
    </w:p>
    <w:p w:rsidR="000A0B97" w:rsidRDefault="000A0B97">
      <w:pPr>
        <w:pStyle w:val="berschrift3"/>
      </w:pPr>
      <w:bookmarkStart w:id="74" w:name="_Toc399920494"/>
      <w:bookmarkStart w:id="75" w:name="_Toc460377110"/>
      <w:bookmarkStart w:id="76" w:name="_Toc512392640"/>
      <w:r>
        <w:lastRenderedPageBreak/>
        <w:t xml:space="preserve">§ 18 </w:t>
      </w:r>
      <w:r>
        <w:br/>
        <w:t>Grenzwerte für Kohlenmonoxid</w:t>
      </w:r>
      <w:bookmarkEnd w:id="74"/>
      <w:bookmarkEnd w:id="75"/>
      <w:bookmarkEnd w:id="76"/>
    </w:p>
    <w:p w:rsidR="000A0B97" w:rsidRDefault="000A0B97" w:rsidP="00DE0277">
      <w:pPr>
        <w:pStyle w:val="GesAbsatz"/>
      </w:pPr>
      <w:r>
        <w:t>Die §§ 4,9 und 14 gelten entsprechend</w:t>
      </w:r>
    </w:p>
    <w:p w:rsidR="000A0B97" w:rsidRDefault="000A0B97">
      <w:pPr>
        <w:pStyle w:val="berschrift3"/>
      </w:pPr>
      <w:bookmarkStart w:id="77" w:name="_Toc399920495"/>
      <w:bookmarkStart w:id="78" w:name="_Toc460377111"/>
      <w:bookmarkStart w:id="79" w:name="_Toc512392641"/>
      <w:r>
        <w:t xml:space="preserve">§ 19 </w:t>
      </w:r>
      <w:r>
        <w:br/>
        <w:t>Grenzwerte für Stickstoffoxide</w:t>
      </w:r>
      <w:bookmarkEnd w:id="77"/>
      <w:bookmarkEnd w:id="78"/>
      <w:bookmarkEnd w:id="79"/>
    </w:p>
    <w:p w:rsidR="000A0B97" w:rsidRDefault="000A0B97" w:rsidP="00DE0277">
      <w:pPr>
        <w:pStyle w:val="GesAbsatz"/>
      </w:pPr>
      <w:r>
        <w:t>(1) Bei Altanlagen sind die Emissionen an Stickstoffmonoxid und Stickstoffdioxid im Abgas so zu begre</w:t>
      </w:r>
      <w:r>
        <w:t>n</w:t>
      </w:r>
      <w:r>
        <w:t>zen, daß folgende Massenkonzentrationen im Abgas, angegeben als Stickstoffdioxid, nicht überschritten werden:</w:t>
      </w:r>
    </w:p>
    <w:tbl>
      <w:tblPr>
        <w:tblW w:w="0" w:type="auto"/>
        <w:tblInd w:w="354" w:type="dxa"/>
        <w:tblLayout w:type="fixed"/>
        <w:tblCellMar>
          <w:left w:w="70" w:type="dxa"/>
          <w:right w:w="70" w:type="dxa"/>
        </w:tblCellMar>
        <w:tblLook w:val="0000" w:firstRow="0" w:lastRow="0" w:firstColumn="0" w:lastColumn="0" w:noHBand="0" w:noVBand="0"/>
      </w:tblPr>
      <w:tblGrid>
        <w:gridCol w:w="6804"/>
        <w:gridCol w:w="1701"/>
      </w:tblGrid>
      <w:tr w:rsidR="000A0B97">
        <w:tblPrEx>
          <w:tblCellMar>
            <w:top w:w="0" w:type="dxa"/>
            <w:bottom w:w="0" w:type="dxa"/>
          </w:tblCellMar>
        </w:tblPrEx>
        <w:tc>
          <w:tcPr>
            <w:tcW w:w="6804" w:type="dxa"/>
          </w:tcPr>
          <w:p w:rsidR="000A0B97" w:rsidRDefault="000A0B97" w:rsidP="00DE0277">
            <w:pPr>
              <w:pStyle w:val="GesAbsatz"/>
              <w:ind w:left="213" w:hanging="213"/>
            </w:pPr>
            <w:r>
              <w:t>1. bei Altanlagen mit Staubfeuerungen</w:t>
            </w:r>
            <w:r w:rsidR="009B0776">
              <w:t xml:space="preserve"> </w:t>
            </w:r>
            <w:r>
              <w:t>für Steinkohle mit trockenem Ascheabzug</w:t>
            </w:r>
          </w:p>
        </w:tc>
        <w:tc>
          <w:tcPr>
            <w:tcW w:w="1701" w:type="dxa"/>
          </w:tcPr>
          <w:p w:rsidR="000A0B97" w:rsidRDefault="000A0B97" w:rsidP="00DE0277">
            <w:pPr>
              <w:pStyle w:val="GesAbsatz"/>
            </w:pPr>
            <w:r>
              <w:t>1300 mg/m³</w:t>
            </w:r>
          </w:p>
        </w:tc>
      </w:tr>
      <w:tr w:rsidR="000A0B97">
        <w:tblPrEx>
          <w:tblCellMar>
            <w:top w:w="0" w:type="dxa"/>
            <w:bottom w:w="0" w:type="dxa"/>
          </w:tblCellMar>
        </w:tblPrEx>
        <w:tc>
          <w:tcPr>
            <w:tcW w:w="6804" w:type="dxa"/>
          </w:tcPr>
          <w:p w:rsidR="000A0B97" w:rsidRDefault="000A0B97" w:rsidP="00DE0277">
            <w:pPr>
              <w:pStyle w:val="GesAbsatz"/>
              <w:ind w:left="213" w:hanging="213"/>
            </w:pPr>
            <w:r>
              <w:t>2. bei Altanlagen mit Staubfeuerungen für Steinkohle mit flüssigem Asch</w:t>
            </w:r>
            <w:r>
              <w:t>e</w:t>
            </w:r>
            <w:r>
              <w:t>abzug</w:t>
            </w:r>
          </w:p>
        </w:tc>
        <w:tc>
          <w:tcPr>
            <w:tcW w:w="1701" w:type="dxa"/>
          </w:tcPr>
          <w:p w:rsidR="000A0B97" w:rsidRDefault="000A0B97" w:rsidP="00DE0277">
            <w:pPr>
              <w:pStyle w:val="GesAbsatz"/>
            </w:pPr>
            <w:r>
              <w:t>2000 mg/m³</w:t>
            </w:r>
          </w:p>
        </w:tc>
      </w:tr>
      <w:tr w:rsidR="000A0B97">
        <w:tblPrEx>
          <w:tblCellMar>
            <w:top w:w="0" w:type="dxa"/>
            <w:bottom w:w="0" w:type="dxa"/>
          </w:tblCellMar>
        </w:tblPrEx>
        <w:tc>
          <w:tcPr>
            <w:tcW w:w="6804" w:type="dxa"/>
          </w:tcPr>
          <w:p w:rsidR="000A0B97" w:rsidRDefault="000A0B97" w:rsidP="00DE0277">
            <w:pPr>
              <w:pStyle w:val="GesAbsatz"/>
            </w:pPr>
            <w:r>
              <w:t>3. bei sonstigen Altanlagen für feste Brennstoffe</w:t>
            </w:r>
          </w:p>
        </w:tc>
        <w:tc>
          <w:tcPr>
            <w:tcW w:w="1701" w:type="dxa"/>
          </w:tcPr>
          <w:p w:rsidR="000A0B97" w:rsidRDefault="000A0B97" w:rsidP="00DE0277">
            <w:pPr>
              <w:pStyle w:val="GesAbsatz"/>
            </w:pPr>
            <w:r>
              <w:t>1000 mg/m³</w:t>
            </w:r>
          </w:p>
        </w:tc>
      </w:tr>
      <w:tr w:rsidR="000A0B97">
        <w:tblPrEx>
          <w:tblCellMar>
            <w:top w:w="0" w:type="dxa"/>
            <w:bottom w:w="0" w:type="dxa"/>
          </w:tblCellMar>
        </w:tblPrEx>
        <w:tc>
          <w:tcPr>
            <w:tcW w:w="6804" w:type="dxa"/>
          </w:tcPr>
          <w:p w:rsidR="000A0B97" w:rsidRDefault="000A0B97" w:rsidP="00DE0277">
            <w:pPr>
              <w:pStyle w:val="GesAbsatz"/>
            </w:pPr>
            <w:r>
              <w:t>4. bei Altanlagen für flüssige Brennstoffe</w:t>
            </w:r>
          </w:p>
        </w:tc>
        <w:tc>
          <w:tcPr>
            <w:tcW w:w="1701" w:type="dxa"/>
          </w:tcPr>
          <w:p w:rsidR="000A0B97" w:rsidRDefault="000A0B97" w:rsidP="00DE0277">
            <w:pPr>
              <w:pStyle w:val="GesAbsatz"/>
            </w:pPr>
            <w:r>
              <w:t>700 mg/m³</w:t>
            </w:r>
          </w:p>
        </w:tc>
      </w:tr>
      <w:tr w:rsidR="000A0B97">
        <w:tblPrEx>
          <w:tblCellMar>
            <w:top w:w="0" w:type="dxa"/>
            <w:bottom w:w="0" w:type="dxa"/>
          </w:tblCellMar>
        </w:tblPrEx>
        <w:tc>
          <w:tcPr>
            <w:tcW w:w="6804" w:type="dxa"/>
          </w:tcPr>
          <w:p w:rsidR="000A0B97" w:rsidRDefault="000A0B97" w:rsidP="00DE0277">
            <w:pPr>
              <w:pStyle w:val="GesAbsatz"/>
            </w:pPr>
            <w:r>
              <w:t>5. bei Altanlagen für gasförmige Brennstoffe</w:t>
            </w:r>
          </w:p>
        </w:tc>
        <w:tc>
          <w:tcPr>
            <w:tcW w:w="1701" w:type="dxa"/>
          </w:tcPr>
          <w:p w:rsidR="000A0B97" w:rsidRDefault="000A0B97" w:rsidP="00DE0277">
            <w:pPr>
              <w:pStyle w:val="GesAbsatz"/>
            </w:pPr>
            <w:r>
              <w:t>500 mg/m³</w:t>
            </w:r>
          </w:p>
        </w:tc>
      </w:tr>
    </w:tbl>
    <w:p w:rsidR="000A0B97" w:rsidRDefault="000A0B97" w:rsidP="00DE0277">
      <w:pPr>
        <w:pStyle w:val="GesAbsatz"/>
      </w:pPr>
      <w:r>
        <w:t>Die Möglichkeiten, die Emissionen durch feuerungstechnische oder andere dem Stand der Technik entspre</w:t>
      </w:r>
      <w:r>
        <w:softHyphen/>
        <w:t>chende Maßnahmen weiter zu vermindern, sind auszuschöpfen.</w:t>
      </w:r>
    </w:p>
    <w:p w:rsidR="000A0B97" w:rsidRDefault="000A0B97" w:rsidP="00DE0277">
      <w:pPr>
        <w:pStyle w:val="GesAbsatz"/>
      </w:pPr>
      <w:r>
        <w:t>(2) Die Massenkonzentrationen beziehen sich auf die in § 3 Abs. 3, §10 und §15 angegebenen Volumenge</w:t>
      </w:r>
      <w:r>
        <w:softHyphen/>
        <w:t>halte an Sauerstoff im Abgas.</w:t>
      </w:r>
    </w:p>
    <w:p w:rsidR="000A0B97" w:rsidRDefault="000A0B97">
      <w:pPr>
        <w:pStyle w:val="berschrift3"/>
      </w:pPr>
      <w:bookmarkStart w:id="80" w:name="_Toc399920496"/>
      <w:bookmarkStart w:id="81" w:name="_Toc460377112"/>
      <w:bookmarkStart w:id="82" w:name="_Toc512392642"/>
      <w:r>
        <w:t xml:space="preserve">§ 20 </w:t>
      </w:r>
      <w:r>
        <w:br/>
        <w:t>Grenzwerte für Schwefeloxide</w:t>
      </w:r>
      <w:bookmarkEnd w:id="80"/>
      <w:bookmarkEnd w:id="81"/>
      <w:bookmarkEnd w:id="82"/>
    </w:p>
    <w:p w:rsidR="000A0B97" w:rsidRDefault="000A0B97" w:rsidP="00DE0277">
      <w:pPr>
        <w:pStyle w:val="GesAbsatz"/>
      </w:pPr>
      <w:r>
        <w:t>(1) Bei Altanlagen für feste oder flüssige Brennstoffe dürfen die Emissionen an Schwefeldioxid und Schw</w:t>
      </w:r>
      <w:r>
        <w:t>e</w:t>
      </w:r>
      <w:r>
        <w:t>fel</w:t>
      </w:r>
      <w:r>
        <w:softHyphen/>
        <w:t>trioxid im Abgas folgende Emissionsbegrenzungen nicht überschreiten:</w:t>
      </w:r>
    </w:p>
    <w:p w:rsidR="000A0B97" w:rsidRDefault="00DE0277" w:rsidP="00DE0277">
      <w:pPr>
        <w:pStyle w:val="GesAbsatz"/>
      </w:pPr>
      <w:r>
        <w:t>1.</w:t>
      </w:r>
      <w:r>
        <w:tab/>
      </w:r>
      <w:r w:rsidR="000A0B97">
        <w:t>bei Anlagen mit einer Feuerungswärmeleistung von mehr als 300 Megawatt und einer Restnutzung</w:t>
      </w:r>
    </w:p>
    <w:p w:rsidR="000A0B97" w:rsidRDefault="000A0B97" w:rsidP="00DE0277">
      <w:pPr>
        <w:pStyle w:val="GesAbsatz"/>
        <w:ind w:left="426"/>
      </w:pPr>
      <w:r>
        <w:t>a) von höchstens 10 000 Stunden</w:t>
      </w:r>
    </w:p>
    <w:p w:rsidR="000A0B97" w:rsidRDefault="000A0B97" w:rsidP="00DE0277">
      <w:pPr>
        <w:pStyle w:val="GesAbsatz"/>
        <w:ind w:left="426"/>
      </w:pPr>
      <w:r>
        <w:t>die Emissionsbegrenzung entsprechend der erteilten Genehmigung,</w:t>
      </w:r>
    </w:p>
    <w:p w:rsidR="000A0B97" w:rsidRDefault="000A0B97" w:rsidP="00DE0277">
      <w:pPr>
        <w:pStyle w:val="GesAbsatz"/>
        <w:ind w:left="426"/>
      </w:pPr>
      <w:r>
        <w:t>b) von mehr als 10 000 Stunden und höchstens 30 000 Stunden</w:t>
      </w:r>
    </w:p>
    <w:p w:rsidR="000A0B97" w:rsidRDefault="000A0B97" w:rsidP="00DE0277">
      <w:pPr>
        <w:pStyle w:val="GesAbsatz"/>
        <w:ind w:left="426"/>
      </w:pPr>
      <w:r>
        <w:t>eine Massenkonzentration von 2 500 Milligramm je Kubikmeter Abgas,</w:t>
      </w:r>
    </w:p>
    <w:p w:rsidR="000A0B97" w:rsidRDefault="000A0B97" w:rsidP="00DE0277">
      <w:pPr>
        <w:pStyle w:val="GesAbsatz"/>
        <w:ind w:left="426"/>
      </w:pPr>
      <w:r>
        <w:t>c) von mehr als 30 000 Stunden</w:t>
      </w:r>
    </w:p>
    <w:p w:rsidR="000A0B97" w:rsidRDefault="000A0B97" w:rsidP="00DE0277">
      <w:pPr>
        <w:pStyle w:val="GesAbsatz"/>
        <w:ind w:left="426"/>
      </w:pPr>
      <w:r>
        <w:t xml:space="preserve">die Emissionsbegrenzungen entsprechend § 6 Abs. 1 sowie § 11 Abs. 1 und 3; </w:t>
      </w:r>
    </w:p>
    <w:p w:rsidR="000A0B97" w:rsidRDefault="000A0B97" w:rsidP="00DE0277">
      <w:pPr>
        <w:pStyle w:val="GesAbsatz"/>
      </w:pPr>
      <w:r>
        <w:t>2.</w:t>
      </w:r>
      <w:r w:rsidR="00DE0277">
        <w:tab/>
      </w:r>
      <w:r>
        <w:t>bei Anlagen mit einer Feuerungswärmeleistung bis einschließlich 300 Megawatt und einer Restnutzung</w:t>
      </w:r>
    </w:p>
    <w:p w:rsidR="000A0B97" w:rsidRDefault="000A0B97" w:rsidP="00DE0277">
      <w:pPr>
        <w:pStyle w:val="GesAbsatz"/>
        <w:ind w:left="426"/>
      </w:pPr>
      <w:r>
        <w:t>a) von höchstens 10 000 Stunden</w:t>
      </w:r>
    </w:p>
    <w:p w:rsidR="000A0B97" w:rsidRDefault="000A0B97" w:rsidP="00DE0277">
      <w:pPr>
        <w:pStyle w:val="GesAbsatz"/>
        <w:ind w:left="426"/>
      </w:pPr>
      <w:r>
        <w:t>die Emissionsbegrenzung entsprechend der erteilten Genehmigung,</w:t>
      </w:r>
    </w:p>
    <w:p w:rsidR="000A0B97" w:rsidRDefault="000A0B97" w:rsidP="00DE0277">
      <w:pPr>
        <w:pStyle w:val="GesAbsatz"/>
        <w:ind w:left="426"/>
      </w:pPr>
      <w:r>
        <w:t>b) von mehr als 10 000 Stunden</w:t>
      </w:r>
    </w:p>
    <w:p w:rsidR="000A0B97" w:rsidRDefault="000A0B97" w:rsidP="00DE0277">
      <w:pPr>
        <w:pStyle w:val="GesAbsatz"/>
        <w:ind w:left="426"/>
      </w:pPr>
      <w:r>
        <w:t>eine Massenkonzentration von 2 500 Milligramm je Kubikmeter Abgas.</w:t>
      </w:r>
    </w:p>
    <w:p w:rsidR="000A0B97" w:rsidRDefault="000A0B97" w:rsidP="00DE0277">
      <w:pPr>
        <w:pStyle w:val="GesAbsatz"/>
      </w:pPr>
      <w:r>
        <w:t>(2) Absatz 1 Nr. 1 Buchstabe a und b sowie Nr. 2 Buchstabe a gilt längstens bis zum 1. April 1993. Nach diesem Zeitpunkt finden für alle Altanlagen die Emissionsbegrenzungen nach Absatz 1 Nr. 1 Buchstabe C oder § 6 Abs. 2 Satz 1, Abs. 3 und 4 sowie § 11 Abs. 2 bis 4 Anwendung.</w:t>
      </w:r>
    </w:p>
    <w:p w:rsidR="000A0B97" w:rsidRDefault="000A0B97" w:rsidP="00DE0277">
      <w:pPr>
        <w:pStyle w:val="GesAbsatz"/>
      </w:pPr>
      <w:r>
        <w:t xml:space="preserve">(3) Die Massenkonzentration </w:t>
      </w:r>
      <w:proofErr w:type="gramStart"/>
      <w:r>
        <w:t>beziehen</w:t>
      </w:r>
      <w:proofErr w:type="gramEnd"/>
      <w:r>
        <w:t xml:space="preserve"> sich auf Schwefeldioxid und die in § 3 Abs. 3 und § 11 Abs. 1 ange</w:t>
      </w:r>
      <w:r>
        <w:softHyphen/>
        <w:t>gebenen Volumengehalte an Sauerstoff im Abgas.</w:t>
      </w:r>
    </w:p>
    <w:p w:rsidR="000A0B97" w:rsidRDefault="000A0B97" w:rsidP="00DE0277">
      <w:pPr>
        <w:pStyle w:val="GesAbsatz"/>
      </w:pPr>
      <w:r>
        <w:t>(4) Bei Altanlagen für feste Brennstoffe nach Absatz 1 Nr. 1 Buchstabe b und Nr. 2 Buchstabe b gilt § 6 Abs. 5 entsprechend mit der Maßgabe, daß für höchstens 30 000 Stunden der Restnutzung eine Massenkonzen</w:t>
      </w:r>
      <w:r>
        <w:softHyphen/>
        <w:t>tration von höchstens 3 200 Milligramm je Kubikmeter Abgas zugelassen werden kann. Bei Altanlagen für flüssige Brennstoffe nach Absatz 1 Nr. 2 Buchstabe b gilt § 11 Abs. 5 entsprechend.</w:t>
      </w:r>
    </w:p>
    <w:p w:rsidR="000A0B97" w:rsidRDefault="000A0B97" w:rsidP="00DE0277">
      <w:pPr>
        <w:pStyle w:val="GesAbsatz"/>
      </w:pPr>
      <w:r>
        <w:t>(5) § 6 Abs. 6 gilt entsprechend.</w:t>
      </w:r>
    </w:p>
    <w:p w:rsidR="000A0B97" w:rsidRDefault="000A0B97" w:rsidP="00DE0277">
      <w:pPr>
        <w:pStyle w:val="GesAbsatz"/>
      </w:pPr>
      <w:r>
        <w:t>(6) Der Betreiber einer Altanlage kann innerhalb eines Jahres nach Inkrafttreten der Verordnung durch schriftliche Erklärung gegenüber der zuständigen Behörde die Feuerungswärmeleistung und die Restnu</w:t>
      </w:r>
      <w:r>
        <w:t>t</w:t>
      </w:r>
      <w:r>
        <w:lastRenderedPageBreak/>
        <w:t>zung unter Verzicht auf weitgehende Berechtigungen aus der Genehmigung beschränken. Die Feuerung</w:t>
      </w:r>
      <w:r>
        <w:t>s</w:t>
      </w:r>
      <w:r>
        <w:t>wärme</w:t>
      </w:r>
      <w:r>
        <w:softHyphen/>
        <w:t>leistung muß 15 Monate nach Inkrafttreten der Verordnung entsprechend der Erklärung herabgesetzt sein. Die Restnutzung beginnt ein Jahr nach Inkrafttreten der Verordnung; sie endet mit der Stillegung der Feue</w:t>
      </w:r>
      <w:r>
        <w:softHyphen/>
        <w:t>rungsanlage. Gibt der Betreiber keine Erklärung ab, so gelten die Anforderungen für einen uneing</w:t>
      </w:r>
      <w:r>
        <w:t>e</w:t>
      </w:r>
      <w:r>
        <w:t>schränk</w:t>
      </w:r>
      <w:r>
        <w:softHyphen/>
        <w:t>ten Betrieb.</w:t>
      </w:r>
    </w:p>
    <w:p w:rsidR="000A0B97" w:rsidRDefault="000A0B97" w:rsidP="00DE0277">
      <w:pPr>
        <w:pStyle w:val="GesAbsatz"/>
      </w:pPr>
      <w:r>
        <w:t>(7) Bilden mehrere Einzelfeuerungen eine gemeinsame Altanlage, so sind bei der Ermittlung der maßgebli</w:t>
      </w:r>
      <w:r>
        <w:softHyphen/>
        <w:t>chen Feuerungswärmeleistung nur die Einzelfeuerungen zu berücksichtigen, in denen feste oder flüssige Brennstoffe eingesetzt werden. Der Betreiber kann die Restnutzung für jede Einzelfeuerung festlegen. Vor Anwendung des Absatzes 1 Nr. 1 oder 2 sind die Einzelfeuerungen Restnutzungsklassen nach Absatz 1 Nr. 1 Buchstabe a bis c zuzuordnen. Die für die Anforderungen des Absatzes 1 maßgebliche Feuerungswärme</w:t>
      </w:r>
      <w:r>
        <w:softHyphen/>
        <w:t>leistung ergibt sich aus der Summe der Feuerungswärmeleistungen der der gemeinsamen Altanlage zuge</w:t>
      </w:r>
      <w:r>
        <w:softHyphen/>
        <w:t xml:space="preserve">ordneten Einzelfeuerungen. </w:t>
      </w:r>
    </w:p>
    <w:p w:rsidR="000A0B97" w:rsidRDefault="000A0B97" w:rsidP="00DE0277">
      <w:pPr>
        <w:pStyle w:val="GesAbsatz"/>
      </w:pPr>
      <w:r>
        <w:t>(8) Bei Mehrstoffeuerungen sind Betriebszeiten, in denen ausschließlich gasförmige Brennstoffe eingesetzt werden, nicht auf die Restnutzung anzurechnen.</w:t>
      </w:r>
    </w:p>
    <w:p w:rsidR="000A0B97" w:rsidRDefault="000A0B97">
      <w:pPr>
        <w:pStyle w:val="berschrift2"/>
      </w:pPr>
      <w:bookmarkStart w:id="83" w:name="_Toc399920497"/>
      <w:bookmarkStart w:id="84" w:name="_Toc460377113"/>
      <w:bookmarkStart w:id="85" w:name="_Toc512392643"/>
      <w:r>
        <w:t xml:space="preserve">Vierter Teil </w:t>
      </w:r>
      <w:r>
        <w:br/>
        <w:t>Messung und Überwachung der Emissionen</w:t>
      </w:r>
      <w:bookmarkEnd w:id="83"/>
      <w:bookmarkEnd w:id="84"/>
      <w:bookmarkEnd w:id="85"/>
    </w:p>
    <w:p w:rsidR="000A0B97" w:rsidRDefault="000A0B97">
      <w:pPr>
        <w:pStyle w:val="berschrift3"/>
      </w:pPr>
      <w:bookmarkStart w:id="86" w:name="_Toc399920498"/>
      <w:bookmarkStart w:id="87" w:name="_Toc460377114"/>
      <w:bookmarkStart w:id="88" w:name="_Toc512392644"/>
      <w:r>
        <w:t xml:space="preserve">§ 21 </w:t>
      </w:r>
      <w:r>
        <w:br/>
        <w:t>Meßstellen</w:t>
      </w:r>
      <w:bookmarkEnd w:id="86"/>
      <w:bookmarkEnd w:id="87"/>
      <w:bookmarkEnd w:id="88"/>
    </w:p>
    <w:p w:rsidR="000A0B97" w:rsidRDefault="000A0B97" w:rsidP="00DE0277">
      <w:pPr>
        <w:pStyle w:val="GesAbsatz"/>
      </w:pPr>
      <w:r>
        <w:t>Der Betreiber einer Feuerungsanlage hat zur Feststellung der Emissionen, für die Grenzwerte in dieser Ver</w:t>
      </w:r>
      <w:r>
        <w:softHyphen/>
        <w:t>ordnung festgelegt sind, Meßstellen nach näherer Bestimmung durch die zuständige Behörde einzurichten. Die Einrichtung der Meßstellen muß technisch einwandfreie und gefahrlose Emissionsmessungen gewäh</w:t>
      </w:r>
      <w:r>
        <w:t>r</w:t>
      </w:r>
      <w:r>
        <w:t>lei</w:t>
      </w:r>
      <w:r>
        <w:softHyphen/>
        <w:t>sten.</w:t>
      </w:r>
    </w:p>
    <w:p w:rsidR="000A0B97" w:rsidRDefault="000A0B97">
      <w:pPr>
        <w:pStyle w:val="berschrift3"/>
      </w:pPr>
      <w:bookmarkStart w:id="89" w:name="_Toc399920499"/>
      <w:bookmarkStart w:id="90" w:name="_Toc460377115"/>
      <w:bookmarkStart w:id="91" w:name="_Toc512392645"/>
      <w:r>
        <w:t xml:space="preserve">§ 22 </w:t>
      </w:r>
      <w:r>
        <w:br/>
        <w:t>Erstmalige und wiederkehrende Messungen</w:t>
      </w:r>
      <w:bookmarkEnd w:id="89"/>
      <w:bookmarkEnd w:id="90"/>
      <w:bookmarkEnd w:id="91"/>
    </w:p>
    <w:p w:rsidR="000A0B97" w:rsidRDefault="000A0B97" w:rsidP="00DE0277">
      <w:pPr>
        <w:pStyle w:val="GesAbsatz"/>
      </w:pPr>
      <w:r>
        <w:t>(1) Nach Errichtung oder wesentlicher Änderung von Feuerungsanlagen hat der Betreiber die Einhaltung der Anforderungen des Zweiten und Dritten Teils der Verordnung durch Messungen einer nach § 26 des Bu</w:t>
      </w:r>
      <w:r>
        <w:t>n</w:t>
      </w:r>
      <w:r>
        <w:t>des-Immissionsschutzgesetzes bekanntgegebenen Stelle ermitteln zu lassen, und zwar</w:t>
      </w:r>
    </w:p>
    <w:p w:rsidR="000A0B97" w:rsidRDefault="00DE0277" w:rsidP="00DE0277">
      <w:pPr>
        <w:pStyle w:val="GesAbsatz"/>
      </w:pPr>
      <w:r>
        <w:t>1.</w:t>
      </w:r>
      <w:r>
        <w:tab/>
      </w:r>
      <w:r w:rsidR="000A0B97">
        <w:t>frühestens nach dreimonatigem Betrieb und spätestens 12 Monate nach Inbetriebnahme und</w:t>
      </w:r>
    </w:p>
    <w:p w:rsidR="000A0B97" w:rsidRDefault="00DE0277" w:rsidP="00DE0277">
      <w:pPr>
        <w:pStyle w:val="GesAbsatz"/>
      </w:pPr>
      <w:r>
        <w:t>2.</w:t>
      </w:r>
      <w:r>
        <w:tab/>
      </w:r>
      <w:r w:rsidR="000A0B97">
        <w:t>anschließend wiederkehrend jeweils nach Ablauf von 3 Jahren.</w:t>
      </w:r>
    </w:p>
    <w:p w:rsidR="000A0B97" w:rsidRDefault="000A0B97" w:rsidP="00DE0277">
      <w:pPr>
        <w:pStyle w:val="GesAbsatz"/>
      </w:pPr>
      <w:r>
        <w:t>(2) Absatz 1 findet keine Anwendung, soweit die Einhaltung der Anforderungen durch kontinuierliche Mes</w:t>
      </w:r>
      <w:r>
        <w:softHyphen/>
        <w:t>sungen nach § 25 unter Verwendung aufzeichnender Meßgeräte fortlaufend nachzuweisen ist.</w:t>
      </w:r>
    </w:p>
    <w:p w:rsidR="000A0B97" w:rsidRDefault="000A0B97" w:rsidP="00DE0277">
      <w:pPr>
        <w:pStyle w:val="GesAbsatz"/>
      </w:pPr>
      <w:r>
        <w:t>(3) Abweichend von Absatz 1 sind für Feuerungsanlagen für flüssige Brennstoffe Messungen zur Feststel</w:t>
      </w:r>
      <w:r>
        <w:softHyphen/>
        <w:t>lung der Emissionen nach § 11 Abs. 4 bis 6 sowie § 20 Abs. 1 nicht erforderlich, wenn die Emissionsgrenz</w:t>
      </w:r>
      <w:r>
        <w:softHyphen/>
        <w:t>werte ausschließlich durch den Einsatz eines entsprechenden Brennstoffes eingehalten werden. In diesem Fall sind Nachweise über den Schwefelgehalt und den unteren Heizwert des eingesetzten Brennstoffes zu führen und der zuständigen Behörde auf Verlangen vorzulegen. Die Nachweise sind drei Jahre lang aufzu</w:t>
      </w:r>
      <w:r>
        <w:softHyphen/>
        <w:t>bewahren.</w:t>
      </w:r>
    </w:p>
    <w:p w:rsidR="000A0B97" w:rsidRDefault="000A0B97" w:rsidP="00DE0277">
      <w:pPr>
        <w:pStyle w:val="GesAbsatz"/>
      </w:pPr>
      <w:r>
        <w:t>(4) Abweichend von Absatz 1 sind Messungen zur Feststellung der Emissionen nach § 3 Abs. 2, § 8 Abs. 2 und § 17 Abs. 3 und 4 im Rahmen der Kalibrierung der Meßeinrichtungen zur kontinuierlichen Messung staubförmiger Emissionen nach § 28 Abs. 2 durchzuführen.</w:t>
      </w:r>
    </w:p>
    <w:p w:rsidR="000A0B97" w:rsidRDefault="000A0B97">
      <w:pPr>
        <w:pStyle w:val="berschrift3"/>
      </w:pPr>
      <w:bookmarkStart w:id="92" w:name="_Toc399920500"/>
      <w:bookmarkStart w:id="93" w:name="_Toc460377116"/>
      <w:bookmarkStart w:id="94" w:name="_Toc512392646"/>
      <w:r>
        <w:t xml:space="preserve">§ 23 </w:t>
      </w:r>
      <w:r>
        <w:br/>
        <w:t>Meßprogramm für Einzelmessungen</w:t>
      </w:r>
      <w:bookmarkEnd w:id="92"/>
      <w:bookmarkEnd w:id="93"/>
      <w:bookmarkEnd w:id="94"/>
    </w:p>
    <w:p w:rsidR="000A0B97" w:rsidRDefault="000A0B97" w:rsidP="00DE0277">
      <w:pPr>
        <w:pStyle w:val="GesAbsatz"/>
      </w:pPr>
      <w:r>
        <w:t>(1) Messungen zur Feststellung der Emissionen nach § 22 sind unter Einsatz von Meßeinrichtungen und Meßverfahren durchzuführen, die dem Stand der Meßtechnik entsprechen. Es sind mindestens 3 Einze</w:t>
      </w:r>
      <w:r>
        <w:t>l</w:t>
      </w:r>
      <w:r>
        <w:t>mes</w:t>
      </w:r>
      <w:r>
        <w:softHyphen/>
        <w:t>sungen bei Betrieb der Anlage mit der Feuerungswärmeleistung durchzuführen.</w:t>
      </w:r>
    </w:p>
    <w:p w:rsidR="000A0B97" w:rsidRDefault="000A0B97" w:rsidP="00DE0277">
      <w:pPr>
        <w:pStyle w:val="GesAbsatz"/>
      </w:pPr>
      <w:r>
        <w:t>(2) Die Dauer der Einzelmessung soll eine halbe Stunde nicht überschreiten; das Ergebnis der Einzelmes</w:t>
      </w:r>
      <w:r>
        <w:softHyphen/>
        <w:t>sung ist als Halbstundenwert anzugeben.</w:t>
      </w:r>
    </w:p>
    <w:p w:rsidR="000A0B97" w:rsidRDefault="000A0B97" w:rsidP="00DE0277">
      <w:pPr>
        <w:pStyle w:val="GesAbsatz"/>
      </w:pPr>
      <w:r>
        <w:t>(3) Abweichend von Absatz 2 soll die Einzelmessung 2 Stunden nicht überschreiten, wenn die Zeit von einer halben Stunde in besonders schwierigen Fällen nicht eingehalten werden kann.</w:t>
      </w:r>
    </w:p>
    <w:p w:rsidR="000A0B97" w:rsidRDefault="000A0B97">
      <w:pPr>
        <w:pStyle w:val="berschrift3"/>
      </w:pPr>
      <w:bookmarkStart w:id="95" w:name="_Toc399920501"/>
      <w:bookmarkStart w:id="96" w:name="_Toc460377117"/>
      <w:bookmarkStart w:id="97" w:name="_Toc512392647"/>
      <w:r>
        <w:lastRenderedPageBreak/>
        <w:t xml:space="preserve">§ 24 </w:t>
      </w:r>
      <w:r>
        <w:br/>
        <w:t>Berichte und Beurteilung von Einzelmessungen</w:t>
      </w:r>
      <w:bookmarkEnd w:id="95"/>
      <w:bookmarkEnd w:id="96"/>
      <w:bookmarkEnd w:id="97"/>
    </w:p>
    <w:p w:rsidR="000A0B97" w:rsidRDefault="000A0B97" w:rsidP="00DE0277">
      <w:pPr>
        <w:pStyle w:val="GesAbsatz"/>
      </w:pPr>
      <w:r>
        <w:t>(1) Über die Ergebnisse der Messungen nach § 22 in Verbindung mit § 23 sind Meßberichte zu erstellen und der zuständigen Behörde unverzüglich vorzulegen.</w:t>
      </w:r>
    </w:p>
    <w:p w:rsidR="000A0B97" w:rsidRDefault="000A0B97" w:rsidP="00DE0277">
      <w:pPr>
        <w:pStyle w:val="GesAbsatz"/>
      </w:pPr>
      <w:r>
        <w:t>(2) Die Meßberichte müssen Angaben über das Ergebnis jeder Einzelmessung, über das verwendete Meß</w:t>
      </w:r>
      <w:r>
        <w:softHyphen/>
        <w:t>verfahren und über die Betriebsbedingungen, die für die Beurteilung des Meßergebnisses von Bedeutung sind, enthalten. Hierzu gehören auch Angaben über die eingesetzten Brennstoffe und den Betriebszustand der Emissionsminderungseinrichtungen.</w:t>
      </w:r>
    </w:p>
    <w:p w:rsidR="000A0B97" w:rsidRDefault="000A0B97" w:rsidP="00DE0277">
      <w:pPr>
        <w:pStyle w:val="GesAbsatz"/>
      </w:pPr>
      <w:r>
        <w:t>(3) Die Emissionsgrenzwerte gelten als eingehalten, wenn das Ergebnis jeder Einzelmessungen den festge</w:t>
      </w:r>
      <w:r>
        <w:softHyphen/>
        <w:t>legten Emissionsgrenzwert nicht überschreitet.</w:t>
      </w:r>
    </w:p>
    <w:p w:rsidR="000A0B97" w:rsidRDefault="000A0B97">
      <w:pPr>
        <w:pStyle w:val="berschrift3"/>
      </w:pPr>
      <w:bookmarkStart w:id="98" w:name="_Toc399920502"/>
      <w:bookmarkStart w:id="99" w:name="_Toc460377118"/>
      <w:bookmarkStart w:id="100" w:name="_Toc512392648"/>
      <w:r>
        <w:t xml:space="preserve">§ 25 </w:t>
      </w:r>
      <w:r>
        <w:br/>
        <w:t>Kontinuierliche Messungen</w:t>
      </w:r>
      <w:bookmarkEnd w:id="98"/>
      <w:bookmarkEnd w:id="99"/>
      <w:bookmarkEnd w:id="100"/>
    </w:p>
    <w:p w:rsidR="000A0B97" w:rsidRDefault="000A0B97" w:rsidP="00DE0277">
      <w:pPr>
        <w:pStyle w:val="GesAbsatz"/>
      </w:pPr>
      <w:r>
        <w:t>(1) Feuerungsanlagen für feste oder flüssige Brennstoffe sind mit einer Meßeinrichtung auszurüsten, die die Massenkonzentration der staubförmigen Emissionen im Abgas fortlaufend ermittelt.</w:t>
      </w:r>
    </w:p>
    <w:p w:rsidR="000A0B97" w:rsidRDefault="000A0B97" w:rsidP="00DE0277">
      <w:pPr>
        <w:pStyle w:val="GesAbsatz"/>
      </w:pPr>
      <w:r>
        <w:t>(2) Feuerungsanlagen sind mit einer Meßeinrichtung auszurüsten, die die Massenkonzentration von Kohlen</w:t>
      </w:r>
      <w:r>
        <w:softHyphen/>
        <w:t>monoxid im Abgas fortlaufend ermittelt.</w:t>
      </w:r>
    </w:p>
    <w:p w:rsidR="000A0B97" w:rsidRDefault="000A0B97" w:rsidP="00DE0277">
      <w:pPr>
        <w:pStyle w:val="GesAbsatz"/>
      </w:pPr>
      <w:r>
        <w:t>(3) Feuerungsanlagen für feste oder flüssige Brennstoffe sowie Feuerungsanlagen für gasförmige Brenn</w:t>
      </w:r>
      <w:r>
        <w:softHyphen/>
        <w:t>stoffe mit einer Feuerungswärmeleistung von mehr als 400 Megawatt sind mit einer Meßeinrichtung ausz</w:t>
      </w:r>
      <w:r>
        <w:t>u</w:t>
      </w:r>
      <w:r>
        <w:t>rü</w:t>
      </w:r>
      <w:r>
        <w:softHyphen/>
        <w:t>sten, die die Massenkonzentrationen von Stickstoffmonoxid und Stickstoffdioxid im Abgas fortlaufend ermit</w:t>
      </w:r>
      <w:r>
        <w:softHyphen/>
        <w:t>telt. Ergibt sich auf Grund von Messungen, daß der Anteil des Stickstoffdioxids an den Stickstoffemi</w:t>
      </w:r>
      <w:r>
        <w:t>s</w:t>
      </w:r>
      <w:r>
        <w:t>sionen unter 5 vom Hundert liegt, so kann auf die kontinuierliche Messung des Stickstoffdioxids verzichtet und des</w:t>
      </w:r>
      <w:r>
        <w:softHyphen/>
        <w:t>sen Anteil durch Berechnung berücksichtigt werden. Ist die kontinuierliche Messung des Stickstof</w:t>
      </w:r>
      <w:r>
        <w:t>f</w:t>
      </w:r>
      <w:r>
        <w:t>dioxids erforderlich, so muß die Feuerungsanlage spätestens 6 Monate nach der Inbetriebnahme mit einer entspre</w:t>
      </w:r>
      <w:r>
        <w:softHyphen/>
        <w:t>chenden Meßeinrichtung ausgerüstet sein.</w:t>
      </w:r>
    </w:p>
    <w:p w:rsidR="000A0B97" w:rsidRDefault="000A0B97" w:rsidP="00DE0277">
      <w:pPr>
        <w:pStyle w:val="GesAbsatz"/>
      </w:pPr>
      <w:r>
        <w:t>(4) Feuerungsanlagen für feste oder flüssige Brennstoffe sind mit einem Meßgerät auszurüsten, das die Massenkonzentrationen von Schwefeldioxid im Abgas fortlaufend ermittelt. Der bei der Kalibrierung zu e</w:t>
      </w:r>
      <w:r>
        <w:t>r</w:t>
      </w:r>
      <w:r>
        <w:t>mit</w:t>
      </w:r>
      <w:r>
        <w:softHyphen/>
        <w:t>telnde Anteil an Schwefeltrioxid ist durch Berechnung zu berücksichtigen. Satz 1 gilt nicht für Feuerungsa</w:t>
      </w:r>
      <w:r>
        <w:t>n</w:t>
      </w:r>
      <w:r>
        <w:t>la</w:t>
      </w:r>
      <w:r>
        <w:softHyphen/>
        <w:t>gen für flüssige Brennstoffe, die den Anforderungen nach den §§ 3 und 4 der Dritten Verordnung zur Durch</w:t>
      </w:r>
      <w:r>
        <w:softHyphen/>
        <w:t>führung des Bundes-Immissionsschutzgesetzes entsprechen.</w:t>
      </w:r>
    </w:p>
    <w:p w:rsidR="000A0B97" w:rsidRDefault="000A0B97" w:rsidP="00DE0277">
      <w:pPr>
        <w:pStyle w:val="GesAbsatz"/>
      </w:pPr>
      <w:r>
        <w:t>(5) Durch fortlaufende Aufzeichnung geeigneter Betriebsgrößen oder des Abscheidegrades von Abgas</w:t>
      </w:r>
      <w:r>
        <w:softHyphen/>
        <w:t>endreinigungsanlagen ist nachzuweisen, daß die in § 6 Abs. 1 und 2 sowie § 11 Abs. 1 und 2 festgelegten Schwefelemissionsgrade nicht überschritten werden. Die Art des Nachweises wird durch die zuständige Be</w:t>
      </w:r>
      <w:r>
        <w:softHyphen/>
        <w:t>hörde näher bestimmt.</w:t>
      </w:r>
    </w:p>
    <w:p w:rsidR="000A0B97" w:rsidRDefault="000A0B97" w:rsidP="00DE0277">
      <w:pPr>
        <w:pStyle w:val="GesAbsatz"/>
      </w:pPr>
      <w:r>
        <w:t>(6) Feuerungsanlagen sind mit einer Meßeinrichtung auszurüsten, die den Volumengehalt an Sauerstoff im Abgas fortlaufend ermittelt.</w:t>
      </w:r>
    </w:p>
    <w:p w:rsidR="000A0B97" w:rsidRDefault="000A0B97" w:rsidP="00DE0277">
      <w:pPr>
        <w:pStyle w:val="GesAbsatz"/>
      </w:pPr>
      <w:r>
        <w:t>(7) Abweichend von Absatz 1 bis 6 ist die Nachrüstung einer Altanlage nicht erforderlich, wenn durch Erklä</w:t>
      </w:r>
      <w:r>
        <w:softHyphen/>
        <w:t>rung nach § 20 Abs. 6 festgelegt ist, daß die Anlage mit einer Restnutzung von höchstens 10 000 Stunden betrieben wird.</w:t>
      </w:r>
    </w:p>
    <w:p w:rsidR="000A0B97" w:rsidRDefault="000A0B97">
      <w:pPr>
        <w:pStyle w:val="berschrift3"/>
      </w:pPr>
      <w:bookmarkStart w:id="101" w:name="_Toc399920503"/>
      <w:bookmarkStart w:id="102" w:name="_Toc460377119"/>
      <w:bookmarkStart w:id="103" w:name="_Toc512392649"/>
      <w:r>
        <w:t xml:space="preserve">§ 26 </w:t>
      </w:r>
      <w:r>
        <w:br/>
        <w:t>Aufzeichnungen und Auswertung</w:t>
      </w:r>
      <w:bookmarkEnd w:id="101"/>
      <w:bookmarkEnd w:id="102"/>
      <w:bookmarkEnd w:id="103"/>
    </w:p>
    <w:p w:rsidR="000A0B97" w:rsidRDefault="000A0B97" w:rsidP="008478A5">
      <w:pPr>
        <w:pStyle w:val="GesAbsatz"/>
      </w:pPr>
      <w:r>
        <w:t>(1) Bei kontinuierlichen Messungen sind während des Betriebes der Feuerungsanlage durch geeignete Meßeinrichtungen Momentanwerte für die nach § 25 zu messenden Größen und für die Leistung der Feue</w:t>
      </w:r>
      <w:r>
        <w:softHyphen/>
        <w:t>rungsanlage fortlaufend automatisch aufzuzeichnen. Für jede aufeinanderfolgende halbe Stunde ist der Halbstundenmittelwert und für jeden Kalendertag ist der Tagesmittelwert -bezogen auf die tägliche Betriebs</w:t>
      </w:r>
      <w:r>
        <w:softHyphen/>
        <w:t>zeit- zu bilden.</w:t>
      </w:r>
    </w:p>
    <w:p w:rsidR="000A0B97" w:rsidRDefault="000A0B97" w:rsidP="008478A5">
      <w:pPr>
        <w:pStyle w:val="GesAbsatz"/>
      </w:pPr>
      <w:r>
        <w:t>(2) Abweichend von Absatz 1 ist die Mittelungszeit für den Halbstundenmittelwert der minimalen Kalibrie</w:t>
      </w:r>
      <w:r>
        <w:t>r</w:t>
      </w:r>
      <w:r>
        <w:t>zeit anzupassen, wenn die Zeit von einer halben Stunde bei der Kalibrierung nach § 28 Abs. 1 nicht ei</w:t>
      </w:r>
      <w:r>
        <w:t>n</w:t>
      </w:r>
      <w:r>
        <w:t>gehalten werden kann. Die Mittelungszeit darf 2 Stunden nicht überschreiten.</w:t>
      </w:r>
    </w:p>
    <w:p w:rsidR="000A0B97" w:rsidRDefault="000A0B97" w:rsidP="008478A5">
      <w:pPr>
        <w:pStyle w:val="GesAbsatz"/>
      </w:pPr>
      <w:r>
        <w:t>(3) Die Mittelwerte nach Absatz 1 sind auf den jeweiligen Bezugssauerstoffgehalt umzurechnen, zu klassie</w:t>
      </w:r>
      <w:r>
        <w:softHyphen/>
        <w:t>ren und als Häufigkeitsverteilung zu speichern. Für die Halbstundenmittelwerte soll die Anzahl der Klassen mindestens 20 betragen; die zehnte Klasse soll im Bereich des Emissionsgrenzwertes liegen. Mit der Ermitt</w:t>
      </w:r>
      <w:r>
        <w:softHyphen/>
        <w:t>lung der Häufigkeitsverteilungen ist am Beginn eines Kalenderjahres jeweils neu zu beginnen. Die Häufig</w:t>
      </w:r>
      <w:r>
        <w:softHyphen/>
        <w:t>keitsverteilungen müssen jederzeit ablesbar sein und sind einmal täglich aufzuzeichnen.</w:t>
      </w:r>
    </w:p>
    <w:p w:rsidR="000A0B97" w:rsidRDefault="000A0B97" w:rsidP="008478A5">
      <w:pPr>
        <w:pStyle w:val="GesAbsatz"/>
      </w:pPr>
      <w:r>
        <w:lastRenderedPageBreak/>
        <w:t>(4) Die Aufzeichnungen der Meßeinrichtungen nach den Absätzen 1 bis 3 sind drei Jahre lang aufzubewah</w:t>
      </w:r>
      <w:r>
        <w:softHyphen/>
        <w:t>ren.</w:t>
      </w:r>
    </w:p>
    <w:p w:rsidR="000A0B97" w:rsidRDefault="000A0B97" w:rsidP="008478A5">
      <w:pPr>
        <w:pStyle w:val="GesAbsatz"/>
      </w:pPr>
      <w:r>
        <w:t xml:space="preserve">(5) Über den ordnungsgemäßen Einbau automatischer Meßeinrichtungen ist der zuständigen Behörde die Bescheinigung einer von der zuständigen obersten Landesbehörde oder der nach Landesrecht bestimmten Behörde </w:t>
      </w:r>
      <w:proofErr w:type="gramStart"/>
      <w:r>
        <w:t>bekanntgegebenen</w:t>
      </w:r>
      <w:proofErr w:type="gramEnd"/>
      <w:r>
        <w:t xml:space="preserve"> Stelle unverzüglich vorzulegen.</w:t>
      </w:r>
    </w:p>
    <w:p w:rsidR="000A0B97" w:rsidRDefault="000A0B97">
      <w:pPr>
        <w:pStyle w:val="berschrift3"/>
      </w:pPr>
      <w:bookmarkStart w:id="104" w:name="_Toc399920504"/>
      <w:bookmarkStart w:id="105" w:name="_Toc460377120"/>
      <w:bookmarkStart w:id="106" w:name="_Toc512392650"/>
      <w:r>
        <w:t xml:space="preserve">§ 27 </w:t>
      </w:r>
      <w:r>
        <w:br/>
        <w:t>Berichte und Beurteilung kontinuierlicher Messungen</w:t>
      </w:r>
      <w:bookmarkEnd w:id="104"/>
      <w:bookmarkEnd w:id="105"/>
      <w:bookmarkEnd w:id="106"/>
    </w:p>
    <w:p w:rsidR="000A0B97" w:rsidRDefault="000A0B97" w:rsidP="008478A5">
      <w:pPr>
        <w:pStyle w:val="GesAbsatz"/>
      </w:pPr>
      <w:r>
        <w:t>(1) Über die Ergebnisse der Messungen nach § 25 in Verbindung mit § 26 sind Meßberichte zu erstellen und der zuständigen Behörde innerhalb von 3 Monaten nach Ablauf eines jeden Kalenderjahres vorzulegen.</w:t>
      </w:r>
    </w:p>
    <w:p w:rsidR="000A0B97" w:rsidRDefault="000A0B97" w:rsidP="008478A5">
      <w:pPr>
        <w:pStyle w:val="GesAbsatz"/>
      </w:pPr>
      <w:r>
        <w:t>(2) Die Emissionsgrenzwerte gelten als eingehalten, wenn die Auswertung der Ergebnisse nach Absatz 1 für die Betriebsstunden innerhalb eines Kalenderjahres ergibt, daß</w:t>
      </w:r>
    </w:p>
    <w:p w:rsidR="000A0B97" w:rsidRDefault="008478A5" w:rsidP="008478A5">
      <w:pPr>
        <w:pStyle w:val="GesAbsatz"/>
      </w:pPr>
      <w:r>
        <w:t>1.</w:t>
      </w:r>
      <w:r w:rsidR="000A0B97">
        <w:tab/>
        <w:t>sämtliche Tagesmittelwerte den Emissionsgrenzwert,</w:t>
      </w:r>
    </w:p>
    <w:p w:rsidR="000A0B97" w:rsidRDefault="008478A5" w:rsidP="008478A5">
      <w:pPr>
        <w:pStyle w:val="GesAbsatz"/>
      </w:pPr>
      <w:r>
        <w:t>2.</w:t>
      </w:r>
      <w:r w:rsidR="000A0B97">
        <w:tab/>
        <w:t>97 vom Hundert aller Halbstundenmittelwerte Sechsfünftel des Emissionsgrenzwertes und</w:t>
      </w:r>
    </w:p>
    <w:p w:rsidR="000A0B97" w:rsidRDefault="008478A5" w:rsidP="008478A5">
      <w:pPr>
        <w:pStyle w:val="GesAbsatz"/>
      </w:pPr>
      <w:r>
        <w:t>3.</w:t>
      </w:r>
      <w:r w:rsidR="000A0B97">
        <w:tab/>
        <w:t>sämtliche Halbstundenmittelwerte das Zweifache des Emissionsgrenzwertes</w:t>
      </w:r>
    </w:p>
    <w:p w:rsidR="000A0B97" w:rsidRDefault="000A0B97" w:rsidP="008478A5">
      <w:pPr>
        <w:pStyle w:val="GesAbsatz"/>
      </w:pPr>
      <w:r>
        <w:t>nicht überschreiten. Zeiten nach § 6 Abs. 6, § 11 Abs. 6 und § 20 Abs. 5 bleiben unberücksichtigt.</w:t>
      </w:r>
    </w:p>
    <w:p w:rsidR="000A0B97" w:rsidRDefault="000A0B97" w:rsidP="008478A5">
      <w:pPr>
        <w:pStyle w:val="GesAbsatz"/>
      </w:pPr>
      <w:r>
        <w:t>(3) Die vorgeschriebenen Schwefelemissionsgrade gelten als eingesehen, wenn die Ergebnisse der Mes</w:t>
      </w:r>
      <w:r>
        <w:softHyphen/>
        <w:t>sungen nach § 25 Abs. 5 die Beurteilungskriterien des Absatzes 2 bei sinngemäßer Anwendung erfüllen.</w:t>
      </w:r>
    </w:p>
    <w:p w:rsidR="000A0B97" w:rsidRDefault="000A0B97">
      <w:pPr>
        <w:pStyle w:val="berschrift3"/>
      </w:pPr>
      <w:bookmarkStart w:id="107" w:name="_Toc399920505"/>
      <w:bookmarkStart w:id="108" w:name="_Toc460377121"/>
      <w:bookmarkStart w:id="109" w:name="_Toc512392651"/>
      <w:r>
        <w:t xml:space="preserve">§ 28 </w:t>
      </w:r>
      <w:r>
        <w:br/>
        <w:t>Kalibrierung und Funktionsprüfung von Meßeinrichtungen</w:t>
      </w:r>
      <w:bookmarkEnd w:id="107"/>
      <w:bookmarkEnd w:id="108"/>
      <w:bookmarkEnd w:id="109"/>
    </w:p>
    <w:p w:rsidR="000A0B97" w:rsidRDefault="000A0B97" w:rsidP="008478A5">
      <w:pPr>
        <w:pStyle w:val="GesAbsatz"/>
      </w:pPr>
      <w:r>
        <w:t>(1) Meßeinrichtungen, die die Massenkonzentration von staub- oder gasförmigen Emissionen fortlaufend ermitteln und aufzeichnen, sind durch eine von der zuständigen obersten Landesbehörde oder der nach Landesrecht bestimmten Behörde bekanntgegebenen Stelle kalibrieren und jährlich einmal auf Funktionsf</w:t>
      </w:r>
      <w:r>
        <w:t>ä</w:t>
      </w:r>
      <w:r>
        <w:t>higkeit prüfen zu lassen.</w:t>
      </w:r>
    </w:p>
    <w:p w:rsidR="000A0B97" w:rsidRDefault="000A0B97" w:rsidP="008478A5">
      <w:pPr>
        <w:pStyle w:val="GesAbsatz"/>
      </w:pPr>
      <w:r>
        <w:t xml:space="preserve">(2) Die Kalibrierung der Meßeinrichtungen ist bei Anlagen mit einer Feuerungswärmeleistung von mehr als 300 Megawatt im Abstand von drei Jahren, im </w:t>
      </w:r>
      <w:proofErr w:type="gramStart"/>
      <w:r>
        <w:t>übrigen</w:t>
      </w:r>
      <w:proofErr w:type="gramEnd"/>
      <w:r>
        <w:t xml:space="preserve"> im Abstand von fünf Jahren, wiederholen zu lassen.</w:t>
      </w:r>
    </w:p>
    <w:p w:rsidR="000A0B97" w:rsidRDefault="000A0B97" w:rsidP="008478A5">
      <w:pPr>
        <w:pStyle w:val="GesAbsatz"/>
      </w:pPr>
      <w:r>
        <w:t>(3) Die Berichte über das Ergebnis der Kalibrierung und der Prüfung der Funktionsfähigkeit sind der zustän</w:t>
      </w:r>
      <w:r>
        <w:softHyphen/>
        <w:t>digen Behörde innerhalb von vier Wochen vorzulegen.</w:t>
      </w:r>
    </w:p>
    <w:p w:rsidR="000A0B97" w:rsidRDefault="000A0B97">
      <w:pPr>
        <w:pStyle w:val="berschrift2"/>
      </w:pPr>
      <w:bookmarkStart w:id="110" w:name="_Toc399920506"/>
      <w:bookmarkStart w:id="111" w:name="_Toc460377122"/>
      <w:bookmarkStart w:id="112" w:name="_Toc512392652"/>
      <w:r>
        <w:t xml:space="preserve">Fünfter Teil </w:t>
      </w:r>
      <w:r>
        <w:br/>
        <w:t>Gemeinsame Vorschriften</w:t>
      </w:r>
      <w:bookmarkEnd w:id="110"/>
      <w:bookmarkEnd w:id="111"/>
      <w:bookmarkEnd w:id="112"/>
    </w:p>
    <w:p w:rsidR="000A0B97" w:rsidRDefault="000A0B97">
      <w:pPr>
        <w:pStyle w:val="berschrift3"/>
      </w:pPr>
      <w:bookmarkStart w:id="113" w:name="_Toc399920507"/>
      <w:bookmarkStart w:id="114" w:name="_Toc460377123"/>
      <w:bookmarkStart w:id="115" w:name="_Toc512392653"/>
      <w:r>
        <w:t xml:space="preserve">§ 29 </w:t>
      </w:r>
      <w:r>
        <w:br/>
        <w:t>Ableitbedingungen für Abgase</w:t>
      </w:r>
      <w:bookmarkEnd w:id="113"/>
      <w:bookmarkEnd w:id="114"/>
      <w:bookmarkEnd w:id="115"/>
    </w:p>
    <w:p w:rsidR="000A0B97" w:rsidRDefault="000A0B97" w:rsidP="008478A5">
      <w:pPr>
        <w:pStyle w:val="GesAbsatz"/>
      </w:pPr>
      <w:r>
        <w:t>(1) Die Abgase von Feuerungsanlagen sind zur Vorsorge gegen schädliche Umwelteinwirkungen über einen Schornstein abzuleiten. Die Schornsteinhöhe ist nach Nummer 2.4 der Ersten Allgemeinen Verwaltungsvor</w:t>
      </w:r>
      <w:r>
        <w:softHyphen/>
        <w:t>schrift zum Bundes-Immissionsschutzgesetz vom 28. August 1974 (GMBl. S. 426, 525), geändert durch die Allgemeine Verwaltungsvorschrift vom 23. Februar 1983 (GMBl. S. 94), auszulegen.</w:t>
      </w:r>
    </w:p>
    <w:p w:rsidR="000A0B97" w:rsidRDefault="000A0B97" w:rsidP="008478A5">
      <w:pPr>
        <w:pStyle w:val="GesAbsatz"/>
      </w:pPr>
      <w:r>
        <w:t>(2) Beim Betrieb einer Feuerungsanlage ist für die Abgase an der Schornsteinmündung eine Temperatur von mindestens 345 Kelvin einzuhalten. Satz 1 gilt nicht für Feuerungsanlagen in Kraftwerken, deren Abg</w:t>
      </w:r>
      <w:r>
        <w:t>a</w:t>
      </w:r>
      <w:r>
        <w:t>se über den Kühlturm abgeleitet werden.</w:t>
      </w:r>
    </w:p>
    <w:p w:rsidR="000A0B97" w:rsidRDefault="000A0B97" w:rsidP="008478A5">
      <w:pPr>
        <w:pStyle w:val="GesAbsatz"/>
      </w:pPr>
      <w:r>
        <w:t>(3) Abweichend von Absatz 1 ist die Nachrüstung einer Altanlage nicht erforderlich, wenn durch Erklärung nach § 20 Abs. 6 festgelegt ist, daß die Anlage mit einer Restnutzung von höchstens 10 000 Stunden betrie</w:t>
      </w:r>
      <w:r>
        <w:softHyphen/>
        <w:t>ben wird.</w:t>
      </w:r>
    </w:p>
    <w:p w:rsidR="000A0B97" w:rsidRDefault="000A0B97">
      <w:pPr>
        <w:pStyle w:val="berschrift3"/>
      </w:pPr>
      <w:bookmarkStart w:id="116" w:name="_Toc399920508"/>
      <w:bookmarkStart w:id="117" w:name="_Toc460377124"/>
      <w:bookmarkStart w:id="118" w:name="_Toc512392654"/>
      <w:r>
        <w:t xml:space="preserve">§ 30 </w:t>
      </w:r>
      <w:r>
        <w:br/>
        <w:t>Erweiterung von Anlagen</w:t>
      </w:r>
      <w:bookmarkEnd w:id="116"/>
      <w:bookmarkEnd w:id="117"/>
      <w:bookmarkEnd w:id="118"/>
    </w:p>
    <w:p w:rsidR="000A0B97" w:rsidRDefault="000A0B97" w:rsidP="008478A5">
      <w:pPr>
        <w:pStyle w:val="GesAbsatz"/>
      </w:pPr>
      <w:r>
        <w:t>(1) Wird eine Feuerungsanlage durch Zubau einer Einzelfeuerung in der Weise erweitert, daß die vorhan</w:t>
      </w:r>
      <w:r>
        <w:softHyphen/>
        <w:t>dene Anlage und die neu zu errichtende Einzelfeuerung eine gemeinsame Feuerungsanlage bilden, so be</w:t>
      </w:r>
      <w:r>
        <w:softHyphen/>
        <w:t>stimmen sich die Anforderungen</w:t>
      </w:r>
    </w:p>
    <w:p w:rsidR="000A0B97" w:rsidRDefault="000A0B97" w:rsidP="008478A5">
      <w:pPr>
        <w:pStyle w:val="GesAbsatz"/>
        <w:ind w:left="426" w:hanging="426"/>
      </w:pPr>
      <w:r>
        <w:t>1.</w:t>
      </w:r>
      <w:r>
        <w:tab/>
        <w:t xml:space="preserve">für die neu zu errichtende Einzelfeuerung nach den Vorschriften des Zweiten Teils dieser Verordnung, und zwar nach den Anforderungen für eine Feuerungsanlage mit einer Feuerungswärmeleistung, die </w:t>
      </w:r>
      <w:r>
        <w:lastRenderedPageBreak/>
        <w:t>der Summe der Feuerungswärmeleistungen der bestehenden Anlage und der neu zu errichtenden Ei</w:t>
      </w:r>
      <w:r>
        <w:t>n</w:t>
      </w:r>
      <w:r>
        <w:t>zelfeu</w:t>
      </w:r>
      <w:r>
        <w:t>e</w:t>
      </w:r>
      <w:r>
        <w:t>rung entspricht, und</w:t>
      </w:r>
    </w:p>
    <w:p w:rsidR="000A0B97" w:rsidRDefault="000A0B97" w:rsidP="008478A5">
      <w:pPr>
        <w:pStyle w:val="GesAbsatz"/>
      </w:pPr>
      <w:r>
        <w:t>2.</w:t>
      </w:r>
      <w:r>
        <w:tab/>
        <w:t>für die bestehende Anlage,</w:t>
      </w:r>
    </w:p>
    <w:p w:rsidR="000A0B97" w:rsidRDefault="008478A5" w:rsidP="008478A5">
      <w:pPr>
        <w:pStyle w:val="GesAbsatz"/>
        <w:tabs>
          <w:tab w:val="clear" w:pos="425"/>
        </w:tabs>
        <w:ind w:left="851" w:hanging="425"/>
      </w:pPr>
      <w:r>
        <w:t>a)</w:t>
      </w:r>
      <w:r>
        <w:tab/>
      </w:r>
      <w:r w:rsidR="000A0B97">
        <w:t>soweit es sich um eine Altanlage handelt nach den Vorschriften des Dritten Teils dieser Veror</w:t>
      </w:r>
      <w:r w:rsidR="000A0B97">
        <w:t>d</w:t>
      </w:r>
      <w:r w:rsidR="000A0B97">
        <w:t>nung,</w:t>
      </w:r>
    </w:p>
    <w:p w:rsidR="000A0B97" w:rsidRDefault="008478A5" w:rsidP="008478A5">
      <w:pPr>
        <w:pStyle w:val="GesAbsatz"/>
        <w:tabs>
          <w:tab w:val="clear" w:pos="425"/>
        </w:tabs>
        <w:ind w:left="851" w:hanging="425"/>
      </w:pPr>
      <w:r>
        <w:t>b)</w:t>
      </w:r>
      <w:r>
        <w:tab/>
      </w:r>
      <w:r w:rsidR="000A0B97">
        <w:t>soweit es sich um eine Feuerungsanlage handelt, die nach dem Inkrafttreten dieser Verordnung er</w:t>
      </w:r>
      <w:r w:rsidR="000A0B97">
        <w:softHyphen/>
        <w:t>richtet worden ist, nach den Vorschriften des Zweiten Teils dieser Verordnung.</w:t>
      </w:r>
    </w:p>
    <w:p w:rsidR="000A0B97" w:rsidRDefault="000A0B97" w:rsidP="008478A5">
      <w:pPr>
        <w:pStyle w:val="GesAbsatz"/>
      </w:pPr>
      <w:r>
        <w:t>(2) Wird die Feuerungswärmeleistung einer Anlage erhöht, für die eine Erklärung nach § 20 Abs. 6 abgege</w:t>
      </w:r>
      <w:r>
        <w:softHyphen/>
        <w:t>ben worden war, so gelten insgesamt die Vorschriften des Zweiten Teils dieser Verordnung.</w:t>
      </w:r>
    </w:p>
    <w:p w:rsidR="000A0B97" w:rsidRDefault="000A0B97">
      <w:pPr>
        <w:pStyle w:val="berschrift3"/>
      </w:pPr>
      <w:bookmarkStart w:id="119" w:name="_Toc399920509"/>
      <w:bookmarkStart w:id="120" w:name="_Toc460377125"/>
      <w:bookmarkStart w:id="121" w:name="_Toc512392655"/>
      <w:r>
        <w:t xml:space="preserve">§ 31 </w:t>
      </w:r>
      <w:r>
        <w:br/>
        <w:t>Mischfeuerungen und Mehrstoffeuerungen</w:t>
      </w:r>
      <w:bookmarkEnd w:id="119"/>
      <w:bookmarkEnd w:id="120"/>
      <w:bookmarkEnd w:id="121"/>
    </w:p>
    <w:p w:rsidR="000A0B97" w:rsidRDefault="000A0B97" w:rsidP="008478A5">
      <w:pPr>
        <w:pStyle w:val="GesAbsatz"/>
      </w:pPr>
      <w:r>
        <w:t>(1) Bei Mischfeuerungen sind die für den jeweiligen Brennstoff festgelegten Emissionsgrenzwerte nach dem Verhältnis des mit diesem Brennstoff zugeführten Wärmeinhalts zur insgesamt zugeführten Wärmemenge zu ermitteln. Die für die Feuerungsanlage maßgeblichen Emissionsgrenzwerte ergeben sich durch Addition der nach Satz 1 ermittelten Werte.</w:t>
      </w:r>
    </w:p>
    <w:p w:rsidR="000A0B97" w:rsidRDefault="000A0B97" w:rsidP="008478A5">
      <w:pPr>
        <w:pStyle w:val="GesAbsatz"/>
      </w:pPr>
      <w:r>
        <w:t>(2) Abweichend von Absatz 1 finden die Vorschriften für den Brennstoff Anwendung, für den der höchste Emissionsgrenzwert gilt, wenn während des Betriebes der Anlage der Anteil dieses Brennstoffes an der ins</w:t>
      </w:r>
      <w:r>
        <w:softHyphen/>
        <w:t>gesamt zugeführten Wärmemenge mindestens 50 vom Hundert beträgt. Der Anteil des maßgeblichen Brennstoffes darf bei Anlagen, die Destillations- und Konversionsrückstände der Erdölverarbeitung im E</w:t>
      </w:r>
      <w:r>
        <w:t>i</w:t>
      </w:r>
      <w:r>
        <w:t>gen</w:t>
      </w:r>
      <w:r>
        <w:softHyphen/>
        <w:t>verbrauch einsetzen, unterschritten werden, wenn die Emissionskonzentration in dem Abgas, das dem maß</w:t>
      </w:r>
      <w:r>
        <w:softHyphen/>
        <w:t>geblichen Brennbedarf zuzurechnen ist, den für diesen Brennstoff sich aus Satz 1 ergebenden Wert nicht überschreitet.</w:t>
      </w:r>
    </w:p>
    <w:p w:rsidR="000A0B97" w:rsidRDefault="000A0B97" w:rsidP="008478A5">
      <w:pPr>
        <w:pStyle w:val="GesAbsatz"/>
      </w:pPr>
      <w:r>
        <w:t>(3) Bei Mehrstoffeuerungen gelten die Anforderungen für den jeweils eingesetzten Brennstoff.</w:t>
      </w:r>
    </w:p>
    <w:p w:rsidR="000A0B97" w:rsidRDefault="000A0B97" w:rsidP="008478A5">
      <w:pPr>
        <w:pStyle w:val="GesAbsatz"/>
      </w:pPr>
      <w:r>
        <w:t>(4) Abweichend von Absatz 3 gelten bei einer Umstellung von festen Brennstoffen auf gasförmige für eine Zeit von 4 Stunden nach der Umstellung hinsichtlich der Begrenzung staubförmiger Emissionen die Anfor</w:t>
      </w:r>
      <w:r>
        <w:softHyphen/>
        <w:t>derungen für feste Brennstoffe.</w:t>
      </w:r>
    </w:p>
    <w:p w:rsidR="000A0B97" w:rsidRDefault="000A0B97">
      <w:pPr>
        <w:pStyle w:val="berschrift3"/>
      </w:pPr>
      <w:bookmarkStart w:id="122" w:name="_Toc399920510"/>
      <w:bookmarkStart w:id="123" w:name="_Toc460377126"/>
      <w:bookmarkStart w:id="124" w:name="_Toc512392656"/>
      <w:r>
        <w:t xml:space="preserve">§ 32 </w:t>
      </w:r>
      <w:r>
        <w:br/>
        <w:t>Begrenzung staubförmiger Emissionen bei Lagerungs- und Transportvorgängen</w:t>
      </w:r>
      <w:bookmarkEnd w:id="122"/>
      <w:bookmarkEnd w:id="123"/>
      <w:bookmarkEnd w:id="124"/>
    </w:p>
    <w:p w:rsidR="000A0B97" w:rsidRDefault="000A0B97" w:rsidP="005E66C8">
      <w:pPr>
        <w:pStyle w:val="GesAbsatz"/>
      </w:pPr>
      <w:r>
        <w:t>(1) Bei der Lagerung und beim Transport von festen Brennstoffen sind Maßnahmen zur Begrenzung  stau</w:t>
      </w:r>
      <w:r>
        <w:t>b</w:t>
      </w:r>
      <w:r>
        <w:t>förmiger Emissionen unter Berücksichtigung der besonderen Umstände des Einzelfalles nach näheren Bes</w:t>
      </w:r>
      <w:r>
        <w:t>t</w:t>
      </w:r>
      <w:r>
        <w:t>immungen der zuständigen Behörde zu treffen, namentlich</w:t>
      </w:r>
    </w:p>
    <w:p w:rsidR="000A0B97" w:rsidRDefault="005E66C8" w:rsidP="005E66C8">
      <w:pPr>
        <w:pStyle w:val="GesAbsatz"/>
        <w:ind w:left="426" w:hanging="426"/>
      </w:pPr>
      <w:r>
        <w:t>1.</w:t>
      </w:r>
      <w:r>
        <w:tab/>
      </w:r>
      <w:r w:rsidR="000A0B97">
        <w:t>durch Anlegen von begrünten Erdwällen, Windschutzbepflanzungen oder Windschutzzäunen;</w:t>
      </w:r>
    </w:p>
    <w:p w:rsidR="000A0B97" w:rsidRDefault="005E66C8" w:rsidP="005E66C8">
      <w:pPr>
        <w:pStyle w:val="GesAbsatz"/>
        <w:ind w:left="426" w:hanging="426"/>
      </w:pPr>
      <w:r>
        <w:t>2.</w:t>
      </w:r>
      <w:r>
        <w:tab/>
        <w:t>durch</w:t>
      </w:r>
      <w:r w:rsidR="000A0B97">
        <w:t xml:space="preserve"> Kapseln der Bandförderer oder sonstiger Transporteinrichtungen, Absaugungen staubhaltiger Abluft und Reinigen der Abluft mit filternden Entstaubern;</w:t>
      </w:r>
    </w:p>
    <w:p w:rsidR="000A0B97" w:rsidRDefault="005E66C8" w:rsidP="005E66C8">
      <w:pPr>
        <w:pStyle w:val="GesAbsatz"/>
        <w:ind w:left="426" w:hanging="426"/>
      </w:pPr>
      <w:r>
        <w:t>3.</w:t>
      </w:r>
      <w:r>
        <w:tab/>
      </w:r>
      <w:r w:rsidR="000A0B97">
        <w:t>durch kontinuierliches Anpassen der Abwurfhöhe an den Abwurf- und Übergabestellen an die wec</w:t>
      </w:r>
      <w:r w:rsidR="000A0B97">
        <w:t>h</w:t>
      </w:r>
      <w:r w:rsidR="000A0B97">
        <w:t>selnde Höhe der Schüttung;</w:t>
      </w:r>
    </w:p>
    <w:p w:rsidR="000A0B97" w:rsidRDefault="005E66C8" w:rsidP="005E66C8">
      <w:pPr>
        <w:pStyle w:val="GesAbsatz"/>
        <w:ind w:left="426" w:hanging="426"/>
      </w:pPr>
      <w:r>
        <w:t>4.</w:t>
      </w:r>
      <w:r>
        <w:tab/>
      </w:r>
      <w:r w:rsidR="000A0B97">
        <w:t>durch Abdecken der Oberfläche, insbesondere mit Matten oder grobkörnigem Material (größer als 10 mm Durchmesser), durch Verfestigen mit Bindemitteln oder durch ständiges Einhalten einer Feuchte entsprechend einem Massengehalt von 10 vom Hundert Wasser an der Oberfläche der Schüttungen oder durch Einhausung von Misch- und Lagerplätzen;</w:t>
      </w:r>
    </w:p>
    <w:p w:rsidR="000A0B97" w:rsidRDefault="005E66C8" w:rsidP="005E66C8">
      <w:pPr>
        <w:pStyle w:val="GesAbsatz"/>
        <w:ind w:left="426" w:hanging="426"/>
      </w:pPr>
      <w:r>
        <w:t>5.</w:t>
      </w:r>
      <w:r>
        <w:tab/>
      </w:r>
      <w:r w:rsidR="000A0B97">
        <w:t>durch Kombination von Maßnahmen nach den Nummern 1 bis 4.</w:t>
      </w:r>
    </w:p>
    <w:p w:rsidR="000A0B97" w:rsidRDefault="000A0B97" w:rsidP="005E66C8">
      <w:pPr>
        <w:pStyle w:val="GesAbsatz"/>
      </w:pPr>
      <w:r>
        <w:t>(2) Staubförmige Emissionen, die beim Entleeren von Filteranlagen entstehen können, sind dadurch zu ver</w:t>
      </w:r>
      <w:r>
        <w:softHyphen/>
        <w:t>mindern, daß die Stäube in geschlossene Behältnisse abgezogen oder an den Austragstellen befeuchtet werden.</w:t>
      </w:r>
    </w:p>
    <w:p w:rsidR="000A0B97" w:rsidRDefault="000A0B97" w:rsidP="005E66C8">
      <w:pPr>
        <w:pStyle w:val="GesAbsatz"/>
      </w:pPr>
      <w:r>
        <w:t>(3) Für staubförmige Verbrennungsrückstände sind geschlossene Transporteinrichtungen und geschlossene Zwischenlager zu verwenden. Bei der Lagerung anderer Rückstände gilt Absatz 1 entsprechend.</w:t>
      </w:r>
    </w:p>
    <w:p w:rsidR="000A0B97" w:rsidRDefault="000A0B97">
      <w:pPr>
        <w:pStyle w:val="berschrift3"/>
      </w:pPr>
      <w:bookmarkStart w:id="125" w:name="_Toc399920511"/>
      <w:bookmarkStart w:id="126" w:name="_Toc460377127"/>
      <w:bookmarkStart w:id="127" w:name="_Toc512392657"/>
      <w:r>
        <w:t xml:space="preserve">§ 33 </w:t>
      </w:r>
      <w:r>
        <w:br/>
        <w:t>Zulassung von Ausnahmen</w:t>
      </w:r>
      <w:bookmarkEnd w:id="125"/>
      <w:bookmarkEnd w:id="126"/>
      <w:bookmarkEnd w:id="127"/>
    </w:p>
    <w:p w:rsidR="000A0B97" w:rsidRDefault="000A0B97" w:rsidP="005E66C8">
      <w:pPr>
        <w:pStyle w:val="GesAbsatz"/>
      </w:pPr>
      <w:r>
        <w:t>(1) Die zuständige Behörde hat auf Antrag Ausnahmen von Vorschriften dieser Verordnung zuzulassen, so</w:t>
      </w:r>
      <w:r>
        <w:softHyphen/>
        <w:t>weit unter Berücksichtigung der besonderen Umstände des Einzelfalls</w:t>
      </w:r>
    </w:p>
    <w:p w:rsidR="000A0B97" w:rsidRDefault="005E66C8" w:rsidP="005E66C8">
      <w:pPr>
        <w:pStyle w:val="GesAbsatz"/>
        <w:ind w:left="426" w:hanging="426"/>
      </w:pPr>
      <w:r>
        <w:lastRenderedPageBreak/>
        <w:t>1.</w:t>
      </w:r>
      <w:r>
        <w:tab/>
      </w:r>
      <w:r w:rsidR="000A0B97">
        <w:t>einzelne Anforderungen der Verordnung nicht oder nur mit unverhältnismäßig hohem Aufwand erfül</w:t>
      </w:r>
      <w:r w:rsidR="000A0B97">
        <w:t>l</w:t>
      </w:r>
      <w:r w:rsidR="000A0B97">
        <w:t>bar sind,</w:t>
      </w:r>
    </w:p>
    <w:p w:rsidR="000A0B97" w:rsidRDefault="005E66C8" w:rsidP="005E66C8">
      <w:pPr>
        <w:pStyle w:val="GesAbsatz"/>
        <w:ind w:left="426" w:hanging="426"/>
      </w:pPr>
      <w:r>
        <w:t>2.</w:t>
      </w:r>
      <w:r>
        <w:tab/>
      </w:r>
      <w:r w:rsidR="000A0B97">
        <w:t xml:space="preserve">im </w:t>
      </w:r>
      <w:proofErr w:type="spellStart"/>
      <w:proofErr w:type="gramStart"/>
      <w:r w:rsidR="000A0B97">
        <w:t>übrigen</w:t>
      </w:r>
      <w:proofErr w:type="spellEnd"/>
      <w:proofErr w:type="gramEnd"/>
      <w:r w:rsidR="000A0B97">
        <w:t xml:space="preserve"> die dem Stand der Technik entsprechenden Maßnahmen zur Emissionsbegrenzung ang</w:t>
      </w:r>
      <w:r w:rsidR="000A0B97">
        <w:t>e</w:t>
      </w:r>
      <w:r w:rsidR="000A0B97">
        <w:t>wandt werden und</w:t>
      </w:r>
    </w:p>
    <w:p w:rsidR="000A0B97" w:rsidRDefault="005E66C8" w:rsidP="005E66C8">
      <w:pPr>
        <w:pStyle w:val="GesAbsatz"/>
        <w:ind w:left="426" w:hanging="426"/>
      </w:pPr>
      <w:r>
        <w:t>3.</w:t>
      </w:r>
      <w:r>
        <w:tab/>
      </w:r>
      <w:r w:rsidR="000A0B97">
        <w:t>die Schornsteinhöhe nach Nummer 2.4 der Ersten Allgemeinen Verwaltungsvorschrift zum Bundes-Immissionsschutzgesetz vom 28. August 1974 (GMBl. S. 426, 525), geändert durch die Allgemeine Verwaltungsvorschrift vom 23. Februar 1983 (GMBl. S.94), auch für den als Ausnahme zugelassenen Emissionsgrenzwert ausgelegt ist, es sei denn, auch insoweit liegen die Voraussetzungen der Nu</w:t>
      </w:r>
      <w:r w:rsidR="000A0B97">
        <w:t>m</w:t>
      </w:r>
      <w:r w:rsidR="000A0B97">
        <w:t>mer 1 vor.</w:t>
      </w:r>
    </w:p>
    <w:p w:rsidR="000A0B97" w:rsidRDefault="000A0B97" w:rsidP="005E66C8">
      <w:pPr>
        <w:pStyle w:val="GesAbsatz"/>
      </w:pPr>
      <w:r>
        <w:t>(2) Die zuständige Behörde kann die Ausnahmen mit Bedingungen erteilen, mit Auflagen verbinden  oder befristen.</w:t>
      </w:r>
    </w:p>
    <w:p w:rsidR="000A0B97" w:rsidRDefault="000A0B97">
      <w:pPr>
        <w:pStyle w:val="berschrift3"/>
      </w:pPr>
      <w:bookmarkStart w:id="128" w:name="_Toc399920512"/>
      <w:bookmarkStart w:id="129" w:name="_Toc460377128"/>
      <w:bookmarkStart w:id="130" w:name="_Toc512392658"/>
      <w:r>
        <w:t xml:space="preserve">§ 34 </w:t>
      </w:r>
      <w:r>
        <w:br/>
        <w:t>Weitergehende Anforderungen</w:t>
      </w:r>
      <w:bookmarkEnd w:id="128"/>
      <w:bookmarkEnd w:id="129"/>
      <w:bookmarkEnd w:id="130"/>
    </w:p>
    <w:p w:rsidR="000A0B97" w:rsidRDefault="000A0B97" w:rsidP="005E66C8">
      <w:pPr>
        <w:pStyle w:val="GesAbsatz"/>
      </w:pPr>
      <w:r>
        <w:t>Die Befugnis der zuständigen Behörde, andere oder weitergehende Anforderungen, insbesondere zur Ver</w:t>
      </w:r>
      <w:r>
        <w:softHyphen/>
        <w:t>meidung schädlicher Umwelteinwirkungen nach § 5 Nr. 1 des Bundes-Immissionsschutzgesetzes, zu treffen, bleibt unberührt.</w:t>
      </w:r>
    </w:p>
    <w:p w:rsidR="000A0B97" w:rsidRDefault="000A0B97">
      <w:pPr>
        <w:pStyle w:val="berschrift3"/>
      </w:pPr>
      <w:bookmarkStart w:id="131" w:name="_Toc399920513"/>
      <w:bookmarkStart w:id="132" w:name="_Toc460377129"/>
      <w:bookmarkStart w:id="133" w:name="_Toc512392659"/>
      <w:r>
        <w:t xml:space="preserve">§ 35 </w:t>
      </w:r>
      <w:r>
        <w:br/>
        <w:t>Ordnungswidrigkeiten</w:t>
      </w:r>
      <w:bookmarkEnd w:id="131"/>
      <w:bookmarkEnd w:id="132"/>
      <w:bookmarkEnd w:id="133"/>
    </w:p>
    <w:p w:rsidR="000A0B97" w:rsidRDefault="000A0B97" w:rsidP="005E66C8">
      <w:pPr>
        <w:pStyle w:val="GesAbsatz"/>
      </w:pPr>
      <w:r>
        <w:t>Ordnungswidrig im Sinne des § 62 Abs. 1 Nr. 2 des Bundes-Immissionsschutzgesetzes handelt, wer vo</w:t>
      </w:r>
      <w:r>
        <w:t>r</w:t>
      </w:r>
      <w:r>
        <w:t>sätz</w:t>
      </w:r>
      <w:r>
        <w:softHyphen/>
        <w:t>lich oder fahrlässig</w:t>
      </w:r>
    </w:p>
    <w:p w:rsidR="000A0B97" w:rsidRDefault="000A0B97" w:rsidP="005E66C8">
      <w:pPr>
        <w:pStyle w:val="GesAbsatz"/>
        <w:ind w:left="426" w:hanging="426"/>
      </w:pPr>
      <w:r>
        <w:t>1.</w:t>
      </w:r>
      <w:r>
        <w:tab/>
        <w:t>bei dem Betrieb einer Feuerzungsanlage für feste, flüssige oder gasförmige Brennstoffe</w:t>
      </w:r>
    </w:p>
    <w:p w:rsidR="000A0B97" w:rsidRDefault="005E4D97" w:rsidP="005E4D97">
      <w:pPr>
        <w:pStyle w:val="GesAbsatz"/>
        <w:tabs>
          <w:tab w:val="clear" w:pos="425"/>
        </w:tabs>
        <w:ind w:left="851" w:hanging="425"/>
      </w:pPr>
      <w:r>
        <w:t>a)</w:t>
      </w:r>
      <w:r>
        <w:tab/>
      </w:r>
      <w:r w:rsidR="000A0B97">
        <w:t>die für staubförmige Emissionen nach den §§ 3, 8, 13, 17,</w:t>
      </w:r>
    </w:p>
    <w:p w:rsidR="000A0B97" w:rsidRDefault="005E4D97" w:rsidP="005E4D97">
      <w:pPr>
        <w:pStyle w:val="GesAbsatz"/>
        <w:tabs>
          <w:tab w:val="clear" w:pos="425"/>
        </w:tabs>
        <w:ind w:left="851" w:hanging="425"/>
      </w:pPr>
      <w:r>
        <w:t>b)</w:t>
      </w:r>
      <w:r>
        <w:tab/>
      </w:r>
      <w:r w:rsidR="000A0B97">
        <w:t>die für Kohlenmonoxid nach den §§ 4, 9, 14, jeweils auch in Verbindung mit § 18</w:t>
      </w:r>
    </w:p>
    <w:p w:rsidR="000A0B97" w:rsidRDefault="005E4D97" w:rsidP="005E4D97">
      <w:pPr>
        <w:pStyle w:val="GesAbsatz"/>
        <w:tabs>
          <w:tab w:val="clear" w:pos="425"/>
        </w:tabs>
        <w:ind w:left="851" w:hanging="425"/>
      </w:pPr>
      <w:r>
        <w:t>c)</w:t>
      </w:r>
      <w:r>
        <w:tab/>
      </w:r>
      <w:r w:rsidR="000A0B97">
        <w:t>die für Stickstoffoxide nach den §§ 5, 10, 15, 19 Abs. 1,</w:t>
      </w:r>
    </w:p>
    <w:p w:rsidR="000A0B97" w:rsidRDefault="005E4D97" w:rsidP="005E4D97">
      <w:pPr>
        <w:pStyle w:val="GesAbsatz"/>
        <w:tabs>
          <w:tab w:val="clear" w:pos="425"/>
        </w:tabs>
        <w:ind w:left="851" w:hanging="425"/>
      </w:pPr>
      <w:r>
        <w:t>d)</w:t>
      </w:r>
      <w:r>
        <w:tab/>
      </w:r>
      <w:r w:rsidR="000A0B97">
        <w:t>die für Schwefeloxide nach § 6 Abs. 1 bis 5, § 11 Abs. 1, 2, 4 oder 5, den §§ 16, 10 Abs. 1, 2 oder 4 in Verbindung mit § 6 Abs. 5 oder</w:t>
      </w:r>
    </w:p>
    <w:p w:rsidR="000A0B97" w:rsidRDefault="005E4D97" w:rsidP="005E4D97">
      <w:pPr>
        <w:pStyle w:val="GesAbsatz"/>
        <w:tabs>
          <w:tab w:val="clear" w:pos="425"/>
        </w:tabs>
        <w:ind w:left="851" w:hanging="425"/>
      </w:pPr>
      <w:r>
        <w:t>e)</w:t>
      </w:r>
      <w:r>
        <w:tab/>
      </w:r>
      <w:r w:rsidR="000A0B97">
        <w:t>die für Halogenverbindungen nach § 7 Abs. 1, § 12 Abs. 1</w:t>
      </w:r>
    </w:p>
    <w:p w:rsidR="000A0B97" w:rsidRDefault="000A0B97" w:rsidP="005E4D97">
      <w:pPr>
        <w:pStyle w:val="GesAbsatz"/>
        <w:ind w:left="426"/>
      </w:pPr>
      <w:proofErr w:type="gramStart"/>
      <w:r>
        <w:t>festgelegten oder zugelassenen Grenzwerte</w:t>
      </w:r>
      <w:proofErr w:type="gramEnd"/>
      <w:r>
        <w:t xml:space="preserve"> überschreitet,</w:t>
      </w:r>
    </w:p>
    <w:p w:rsidR="000A0B97" w:rsidRDefault="000A0B97" w:rsidP="005E4D97">
      <w:pPr>
        <w:pStyle w:val="GesAbsatz"/>
        <w:ind w:left="426" w:hanging="426"/>
      </w:pPr>
      <w:r>
        <w:t>2.</w:t>
      </w:r>
      <w:r>
        <w:tab/>
        <w:t>entgegen § 6 Abs. 6 Satz 1 oder entgegen § 7 Abs. 2, § 11 Abs. 6, § 12 Abs. 2, § 20 Abs. 5, jeweils in Verbindungen mit § 6 Abs. 6 Satz 1, den Ausfall der Abgaseinrichtung nicht oder nicht rechtzeitig a</w:t>
      </w:r>
      <w:r>
        <w:t>n</w:t>
      </w:r>
      <w:r>
        <w:t>zeigt,</w:t>
      </w:r>
    </w:p>
    <w:p w:rsidR="000A0B97" w:rsidRDefault="000A0B97" w:rsidP="005E4D97">
      <w:pPr>
        <w:pStyle w:val="GesAbsatz"/>
        <w:ind w:left="426" w:hanging="426"/>
      </w:pPr>
      <w:r>
        <w:t>3.</w:t>
      </w:r>
      <w:r>
        <w:tab/>
        <w:t>entgegen § 22 Abs. 1 die Einhaltung der Anforderungen nicht oder nicht rechtzeitig ermitteln läßt,</w:t>
      </w:r>
    </w:p>
    <w:p w:rsidR="000A0B97" w:rsidRDefault="000A0B97" w:rsidP="005E4D97">
      <w:pPr>
        <w:pStyle w:val="GesAbsatz"/>
        <w:ind w:left="426" w:hanging="426"/>
      </w:pPr>
      <w:r>
        <w:t>4.</w:t>
      </w:r>
      <w:r>
        <w:tab/>
        <w:t>entgegen § 22 Abs.3 Satz 2 oder 3 den vorgeschriebenen Nachweis nicht, nicht richtig oder nicht vol</w:t>
      </w:r>
      <w:r>
        <w:t>l</w:t>
      </w:r>
      <w:r>
        <w:t>ständig führt oder nicht aufbewahrt,</w:t>
      </w:r>
    </w:p>
    <w:p w:rsidR="000A0B97" w:rsidRDefault="000A0B97" w:rsidP="005E4D97">
      <w:pPr>
        <w:pStyle w:val="GesAbsatz"/>
        <w:ind w:left="426" w:hanging="426"/>
      </w:pPr>
      <w:r>
        <w:t>5.</w:t>
      </w:r>
      <w:r>
        <w:tab/>
        <w:t>entgegen § 24  Abs. 1 und 2 oder § 27 Abs. 1 Meßberichte mit den dort bezeichneten Angaben nicht erstellt oder nicht rechtzeitig vorlegt.</w:t>
      </w:r>
    </w:p>
    <w:p w:rsidR="000A0B97" w:rsidRDefault="000A0B97" w:rsidP="005E4D97">
      <w:pPr>
        <w:pStyle w:val="GesAbsatz"/>
        <w:ind w:left="426" w:hanging="426"/>
      </w:pPr>
      <w:r>
        <w:t>6.</w:t>
      </w:r>
      <w:r>
        <w:tab/>
        <w:t>entgegen § 25 Abs. 1 bis 3 Satz 1 oder 3, Abs. 4 Satz 1 oder Abs. 6 Feuerungsanlagen nicht oder nicht rechtzeitig mit der vorgeschriebenen Meßeinrichtung ausrüstet,</w:t>
      </w:r>
      <w:r>
        <w:tab/>
      </w:r>
    </w:p>
    <w:p w:rsidR="000A0B97" w:rsidRDefault="000A0B97" w:rsidP="005E4D97">
      <w:pPr>
        <w:pStyle w:val="GesAbsatz"/>
        <w:ind w:left="426" w:hanging="426"/>
      </w:pPr>
      <w:r>
        <w:t>7.</w:t>
      </w:r>
      <w:r>
        <w:tab/>
        <w:t>einer Vorschrift des § 26 Abs. 1 bis 3 über die Aufzeichnung oder Auswertung bei kontinuierlicher Me</w:t>
      </w:r>
      <w:r>
        <w:t>s</w:t>
      </w:r>
      <w:r>
        <w:t>sung zuwiderhandelt oder entgegen § 26 Abs. 4 Aufzeichnungen der Messungen nicht aufbewahrt,</w:t>
      </w:r>
    </w:p>
    <w:p w:rsidR="000A0B97" w:rsidRDefault="000A0B97" w:rsidP="005E4D97">
      <w:pPr>
        <w:pStyle w:val="GesAbsatz"/>
        <w:ind w:left="426" w:hanging="426"/>
      </w:pPr>
      <w:r>
        <w:t>8.</w:t>
      </w:r>
      <w:r>
        <w:tab/>
        <w:t>entgegen § 28 Abs. 1 Meßeinrichtungen nicht kalibrieren oder nicht auf ihre Funktionsfähigkeit überpr</w:t>
      </w:r>
      <w:r>
        <w:t>ü</w:t>
      </w:r>
      <w:r>
        <w:t>fen oder entgegen § 28 Abs.2 die Kalibrierung der Meßeinrichtungen nicht oder nicht rechtzeitig wi</w:t>
      </w:r>
      <w:r>
        <w:t>e</w:t>
      </w:r>
      <w:r>
        <w:t>derholen läßt oder entgegen § 28 Abs. 3 die dort genannten Berichte nicht oder nicht rechtzeitig vorlegt oder</w:t>
      </w:r>
    </w:p>
    <w:p w:rsidR="000A0B97" w:rsidRDefault="000A0B97" w:rsidP="005E4D97">
      <w:pPr>
        <w:pStyle w:val="GesAbsatz"/>
        <w:ind w:left="426" w:hanging="426"/>
      </w:pPr>
      <w:r>
        <w:t>9.</w:t>
      </w:r>
      <w:r>
        <w:tab/>
        <w:t>einer Vorschrift des § 29 Abs. 1 oder 2 Satz 1 über die Ableitbedingungen für Abgase zuwiderhandelt.</w:t>
      </w:r>
    </w:p>
    <w:p w:rsidR="000A0B97" w:rsidRDefault="000A0B97" w:rsidP="005E4D97">
      <w:pPr>
        <w:pStyle w:val="GesAbsatz"/>
      </w:pPr>
      <w:r>
        <w:t>Die Bußgeldvorschriften des Satzes 1 finden im Falle einer Erweiterung von Anlagen nach § 30 Anwe</w:t>
      </w:r>
      <w:r>
        <w:t>n</w:t>
      </w:r>
      <w:r>
        <w:t>dung.</w:t>
      </w:r>
    </w:p>
    <w:p w:rsidR="000A0B97" w:rsidRDefault="000A0B97">
      <w:pPr>
        <w:pStyle w:val="berschrift2"/>
      </w:pPr>
      <w:bookmarkStart w:id="134" w:name="_Toc399920514"/>
      <w:bookmarkStart w:id="135" w:name="_Toc460377130"/>
      <w:bookmarkStart w:id="136" w:name="_Toc512392660"/>
      <w:r>
        <w:lastRenderedPageBreak/>
        <w:t>Sechster Teil</w:t>
      </w:r>
      <w:r>
        <w:br/>
        <w:t>Schlußvorschriften</w:t>
      </w:r>
      <w:bookmarkEnd w:id="134"/>
      <w:bookmarkEnd w:id="135"/>
      <w:bookmarkEnd w:id="136"/>
    </w:p>
    <w:p w:rsidR="000A0B97" w:rsidRDefault="000A0B97">
      <w:pPr>
        <w:pStyle w:val="berschrift3"/>
      </w:pPr>
      <w:bookmarkStart w:id="137" w:name="_Toc399920515"/>
      <w:bookmarkStart w:id="138" w:name="_Toc460377131"/>
      <w:bookmarkStart w:id="139" w:name="_Toc512392661"/>
      <w:r>
        <w:t xml:space="preserve">§ 36 </w:t>
      </w:r>
      <w:r>
        <w:br/>
        <w:t>Übergangsvorschriften</w:t>
      </w:r>
      <w:bookmarkEnd w:id="137"/>
      <w:bookmarkEnd w:id="138"/>
      <w:bookmarkEnd w:id="139"/>
    </w:p>
    <w:p w:rsidR="000A0B97" w:rsidRDefault="000A0B97" w:rsidP="005E66C8">
      <w:pPr>
        <w:pStyle w:val="GesAbsatz"/>
      </w:pPr>
      <w:r>
        <w:t>(1) Die vorbereitenden Maßnahmen zur Einhaltung der Anforderungen bei Altanlagen müssen unverzüglich eingeleitet werden.</w:t>
      </w:r>
    </w:p>
    <w:p w:rsidR="000A0B97" w:rsidRDefault="000A0B97" w:rsidP="005E66C8">
      <w:pPr>
        <w:pStyle w:val="GesAbsatz"/>
      </w:pPr>
      <w:r>
        <w:t>(2) Die Anforderungen der §§ 21, 25, 26 und 29 sind nach Ablauf von zwei Jahren seit Inkrafttreten dieser Verordnung, die Anforderungen der §§ 17 und 19 und des § 20 Abs. 1 nach Ablauf von fünf Jahren seit In</w:t>
      </w:r>
      <w:r>
        <w:softHyphen/>
        <w:t>krafttreten dieser Verordnung einzuhalten. Abweichend von Satz 1 sind die Anforderungen des § 20 Abs. 1 nach Ablauf von zwei Jahren seit Inkrafttreten der Verordnung einzuhalten, falls der Betreiber sich verpflich</w:t>
      </w:r>
      <w:r>
        <w:softHyphen/>
        <w:t>tet, den Emissionsgrenzwert ausschließlich durch den Einsatz eines entsprechenden Brennstoffes einzuhal</w:t>
      </w:r>
      <w:r>
        <w:softHyphen/>
        <w:t>ten.</w:t>
      </w:r>
    </w:p>
    <w:p w:rsidR="000A0B97" w:rsidRDefault="000A0B97" w:rsidP="005E66C8">
      <w:pPr>
        <w:pStyle w:val="GesAbsatz"/>
      </w:pPr>
      <w:r>
        <w:t>(3) Kann die Nachrüstung einer Altanlage aus Gründen, die der Anlagenbetreiber nicht zu vertreten hat, vor Ablauf von fünf Jahren nach Inkrafttreten der Verordnung nicht abgeschlossen werden, so kann die zustän</w:t>
      </w:r>
      <w:r>
        <w:softHyphen/>
        <w:t>dige Behörde eine Ausnahme zulassen; die Ausnahme ist zu befristen.</w:t>
      </w:r>
    </w:p>
    <w:p w:rsidR="000A0B97" w:rsidRDefault="000A0B97">
      <w:pPr>
        <w:pStyle w:val="berschrift3"/>
      </w:pPr>
      <w:bookmarkStart w:id="140" w:name="_Toc399920516"/>
      <w:bookmarkStart w:id="141" w:name="_Toc460377132"/>
      <w:bookmarkStart w:id="142" w:name="_Toc512392662"/>
      <w:r>
        <w:t xml:space="preserve">§ 37 </w:t>
      </w:r>
      <w:r>
        <w:br/>
        <w:t xml:space="preserve">Änderung der Vierten und Fünften Verordnung zur </w:t>
      </w:r>
      <w:r>
        <w:br/>
        <w:t>Durchführung des Bundes-Immissionsschutzge</w:t>
      </w:r>
      <w:r>
        <w:softHyphen/>
        <w:t>setzes</w:t>
      </w:r>
      <w:bookmarkEnd w:id="140"/>
      <w:bookmarkEnd w:id="141"/>
      <w:bookmarkEnd w:id="142"/>
    </w:p>
    <w:p w:rsidR="000A0B97" w:rsidRDefault="000A0B97">
      <w:pPr>
        <w:jc w:val="center"/>
      </w:pPr>
      <w:r>
        <w:t>(gegenstandslos)</w:t>
      </w:r>
    </w:p>
    <w:p w:rsidR="000A0B97" w:rsidRDefault="000A0B97">
      <w:pPr>
        <w:pStyle w:val="berschrift3"/>
      </w:pPr>
      <w:bookmarkStart w:id="143" w:name="_Toc399920517"/>
      <w:bookmarkStart w:id="144" w:name="_Toc460377133"/>
      <w:bookmarkStart w:id="145" w:name="_Toc512392663"/>
      <w:r>
        <w:t xml:space="preserve">§ 38 </w:t>
      </w:r>
      <w:r>
        <w:br/>
        <w:t>Berlinklausel</w:t>
      </w:r>
      <w:bookmarkEnd w:id="143"/>
      <w:bookmarkEnd w:id="144"/>
      <w:bookmarkEnd w:id="145"/>
    </w:p>
    <w:p w:rsidR="000A0B97" w:rsidRDefault="000A0B97">
      <w:pPr>
        <w:jc w:val="center"/>
      </w:pPr>
      <w:r>
        <w:t>(gegenstandslos)</w:t>
      </w:r>
    </w:p>
    <w:p w:rsidR="000A0B97" w:rsidRDefault="000A0B97">
      <w:pPr>
        <w:pStyle w:val="berschrift3"/>
      </w:pPr>
      <w:bookmarkStart w:id="146" w:name="_Toc399920518"/>
      <w:bookmarkStart w:id="147" w:name="_Toc460377134"/>
      <w:bookmarkStart w:id="148" w:name="_Toc512392664"/>
      <w:r>
        <w:t xml:space="preserve">§ 39 </w:t>
      </w:r>
      <w:r>
        <w:br/>
        <w:t>Inkrafttreten</w:t>
      </w:r>
      <w:bookmarkEnd w:id="146"/>
      <w:bookmarkEnd w:id="147"/>
      <w:bookmarkEnd w:id="148"/>
    </w:p>
    <w:p w:rsidR="000A0B97" w:rsidRDefault="000A0B97" w:rsidP="005E66C8">
      <w:pPr>
        <w:pStyle w:val="GesAbsatz"/>
      </w:pPr>
      <w:r>
        <w:t>Diese Verordnung tritt am ersten Tag des auf die Verkündung folgenden Kalendermonats in Kraft.</w:t>
      </w:r>
    </w:p>
    <w:p w:rsidR="000A0B97" w:rsidRDefault="000A0B97" w:rsidP="005E66C8">
      <w:pPr>
        <w:pStyle w:val="GesAbsatz"/>
      </w:pPr>
    </w:p>
    <w:p w:rsidR="000A0B97" w:rsidRDefault="000A0B97" w:rsidP="005E66C8">
      <w:pPr>
        <w:pStyle w:val="GesAbsatz"/>
      </w:pPr>
    </w:p>
    <w:p w:rsidR="000A0B97" w:rsidRDefault="000A0B97">
      <w:pPr>
        <w:pStyle w:val="berschrift2"/>
        <w:jc w:val="left"/>
      </w:pPr>
      <w:r>
        <w:br w:type="page"/>
      </w:r>
      <w:bookmarkStart w:id="149" w:name="_Toc399920519"/>
      <w:bookmarkStart w:id="150" w:name="_Toc460377135"/>
      <w:bookmarkStart w:id="151" w:name="_Toc512392665"/>
      <w:r>
        <w:lastRenderedPageBreak/>
        <w:t>Anlage 1</w:t>
      </w:r>
      <w:r>
        <w:br/>
        <w:t>zu § 16 Abs. 2 Nr. 3</w:t>
      </w:r>
      <w:bookmarkEnd w:id="149"/>
      <w:bookmarkEnd w:id="150"/>
      <w:bookmarkEnd w:id="151"/>
    </w:p>
    <w:p w:rsidR="000A0B97" w:rsidRDefault="00DE0277">
      <w:r>
        <w:rPr>
          <w:noProof/>
        </w:rPr>
        <w:drawing>
          <wp:inline distT="0" distB="0" distL="0" distR="0" wp14:anchorId="3B951D91" wp14:editId="629C120D">
            <wp:extent cx="6096000" cy="613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6134100"/>
                    </a:xfrm>
                    <a:prstGeom prst="rect">
                      <a:avLst/>
                    </a:prstGeom>
                    <a:noFill/>
                    <a:ln>
                      <a:noFill/>
                    </a:ln>
                  </pic:spPr>
                </pic:pic>
              </a:graphicData>
            </a:graphic>
          </wp:inline>
        </w:drawing>
      </w:r>
    </w:p>
    <w:p w:rsidR="000A0B97" w:rsidRDefault="000A0B97">
      <w:pPr>
        <w:pStyle w:val="berschrift2"/>
        <w:jc w:val="left"/>
      </w:pPr>
      <w:r>
        <w:br w:type="page"/>
      </w:r>
      <w:bookmarkStart w:id="152" w:name="_Toc399920520"/>
      <w:bookmarkStart w:id="153" w:name="_Toc460377136"/>
      <w:bookmarkStart w:id="154" w:name="_Toc512392666"/>
      <w:r>
        <w:lastRenderedPageBreak/>
        <w:t>Anlage 2</w:t>
      </w:r>
      <w:r>
        <w:br/>
        <w:t>zu § 17 Abs. 2</w:t>
      </w:r>
      <w:bookmarkEnd w:id="152"/>
      <w:bookmarkEnd w:id="153"/>
      <w:bookmarkEnd w:id="154"/>
    </w:p>
    <w:p w:rsidR="000A0B97" w:rsidRDefault="00DE0277">
      <w:r>
        <w:rPr>
          <w:noProof/>
        </w:rPr>
        <mc:AlternateContent>
          <mc:Choice Requires="wps">
            <w:drawing>
              <wp:anchor distT="0" distB="0" distL="114300" distR="114300" simplePos="0" relativeHeight="251657728" behindDoc="0" locked="0" layoutInCell="0" allowOverlap="1" wp14:anchorId="186D566A" wp14:editId="3598E43E">
                <wp:simplePos x="0" y="0"/>
                <wp:positionH relativeFrom="column">
                  <wp:posOffset>5319395</wp:posOffset>
                </wp:positionH>
                <wp:positionV relativeFrom="paragraph">
                  <wp:posOffset>574675</wp:posOffset>
                </wp:positionV>
                <wp:extent cx="635" cy="295338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338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45.25pt" to="418.9pt,2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" o:allowincell="f" strokeweight="1pt"/>
            </w:pict>
          </mc:Fallback>
        </mc:AlternateContent>
      </w:r>
      <w:r>
        <w:rPr>
          <w:noProof/>
        </w:rPr>
        <w:drawing>
          <wp:inline distT="0" distB="0" distL="0" distR="0" wp14:anchorId="45790028" wp14:editId="4E07CC02">
            <wp:extent cx="5311140" cy="4114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140" cy="4114800"/>
                    </a:xfrm>
                    <a:prstGeom prst="rect">
                      <a:avLst/>
                    </a:prstGeom>
                    <a:noFill/>
                    <a:ln>
                      <a:noFill/>
                    </a:ln>
                  </pic:spPr>
                </pic:pic>
              </a:graphicData>
            </a:graphic>
          </wp:inline>
        </w:drawing>
      </w:r>
    </w:p>
    <w:sectPr w:rsidR="000A0B97">
      <w:headerReference w:type="default" r:id="rId10"/>
      <w:footerReference w:type="default" r:id="rId11"/>
      <w:footnotePr>
        <w:numRestart w:val="eachPage"/>
      </w:footnote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97" w:rsidRDefault="000A0B97">
      <w:r>
        <w:separator/>
      </w:r>
    </w:p>
  </w:endnote>
  <w:endnote w:type="continuationSeparator" w:id="0">
    <w:p w:rsidR="000A0B97" w:rsidRDefault="000A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97" w:rsidRPr="00DE0277" w:rsidRDefault="000A0B97" w:rsidP="00DE0277">
    <w:pPr>
      <w:pStyle w:val="Fuzeile"/>
    </w:pPr>
    <w:r>
      <w:tab/>
      <w:t>22.06.</w:t>
    </w:r>
    <w:r w:rsidRPr="00DE0277">
      <w:t>1983 (BGBl. I S. 719)</w:t>
    </w:r>
    <w:r w:rsidRPr="00DE0277">
      <w:tab/>
      <w:t xml:space="preserve">Seite </w:t>
    </w:r>
    <w:r w:rsidRPr="00DE0277">
      <w:fldChar w:fldCharType="begin"/>
    </w:r>
    <w:r w:rsidRPr="00DE0277">
      <w:instrText xml:space="preserve"> PAGE  \* MERGEFORMAT </w:instrText>
    </w:r>
    <w:r w:rsidRPr="00DE0277">
      <w:fldChar w:fldCharType="separate"/>
    </w:r>
    <w:r w:rsidR="005E4D97">
      <w:rPr>
        <w:noProof/>
      </w:rPr>
      <w:t>1</w:t>
    </w:r>
    <w:r w:rsidRPr="00DE0277">
      <w:fldChar w:fldCharType="end"/>
    </w:r>
  </w:p>
  <w:p w:rsidR="000A0B97" w:rsidRDefault="000A0B97" w:rsidP="00DE0277">
    <w:pPr>
      <w:pStyle w:val="Fuzeile"/>
    </w:pPr>
    <w:r w:rsidRPr="00DE0277">
      <w:tab/>
      <w:t>Stand 03.05.2000</w:t>
    </w:r>
    <w:r>
      <w:t xml:space="preserve"> (BGBl. I S. 632)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97" w:rsidRDefault="000A0B97">
      <w:r>
        <w:separator/>
      </w:r>
    </w:p>
  </w:footnote>
  <w:footnote w:type="continuationSeparator" w:id="0">
    <w:p w:rsidR="000A0B97" w:rsidRDefault="000A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97" w:rsidRDefault="000A0B97" w:rsidP="00DE0277">
    <w:pPr>
      <w:pStyle w:val="Kopfzeile0"/>
    </w:pPr>
    <w:r>
      <w:t>Archiv6.29</w:t>
    </w:r>
  </w:p>
  <w:p w:rsidR="000A0B97" w:rsidRDefault="000A0B97">
    <w:pPr>
      <w:pStyle w:val="Kopfzeile"/>
    </w:pPr>
    <w:r>
      <w:t>13. 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45A"/>
    <w:multiLevelType w:val="singleLevel"/>
    <w:tmpl w:val="43D83080"/>
    <w:lvl w:ilvl="0">
      <w:start w:val="1"/>
      <w:numFmt w:val="decimal"/>
      <w:lvlText w:val="%1."/>
      <w:legacy w:legacy="1" w:legacySpace="0" w:legacyIndent="283"/>
      <w:lvlJc w:val="left"/>
      <w:pPr>
        <w:ind w:left="568" w:hanging="283"/>
      </w:pPr>
    </w:lvl>
  </w:abstractNum>
  <w:abstractNum w:abstractNumId="1">
    <w:nsid w:val="0CBF372B"/>
    <w:multiLevelType w:val="singleLevel"/>
    <w:tmpl w:val="511AB058"/>
    <w:lvl w:ilvl="0">
      <w:start w:val="1"/>
      <w:numFmt w:val="lowerLetter"/>
      <w:lvlText w:val="%1)"/>
      <w:legacy w:legacy="1" w:legacySpace="0" w:legacyIndent="283"/>
      <w:lvlJc w:val="left"/>
      <w:pPr>
        <w:ind w:left="850" w:hanging="283"/>
      </w:pPr>
    </w:lvl>
  </w:abstractNum>
  <w:abstractNum w:abstractNumId="2">
    <w:nsid w:val="24A0577C"/>
    <w:multiLevelType w:val="singleLevel"/>
    <w:tmpl w:val="43D83080"/>
    <w:lvl w:ilvl="0">
      <w:start w:val="1"/>
      <w:numFmt w:val="decimal"/>
      <w:lvlText w:val="%1."/>
      <w:legacy w:legacy="1" w:legacySpace="0" w:legacyIndent="283"/>
      <w:lvlJc w:val="left"/>
      <w:pPr>
        <w:ind w:left="567" w:hanging="283"/>
      </w:pPr>
    </w:lvl>
  </w:abstractNum>
  <w:abstractNum w:abstractNumId="3">
    <w:nsid w:val="345552FB"/>
    <w:multiLevelType w:val="singleLevel"/>
    <w:tmpl w:val="43D83080"/>
    <w:lvl w:ilvl="0">
      <w:start w:val="1"/>
      <w:numFmt w:val="decimal"/>
      <w:lvlText w:val="%1."/>
      <w:legacy w:legacy="1" w:legacySpace="0" w:legacyIndent="283"/>
      <w:lvlJc w:val="left"/>
      <w:pPr>
        <w:ind w:left="567" w:hanging="283"/>
      </w:pPr>
    </w:lvl>
  </w:abstractNum>
  <w:abstractNum w:abstractNumId="4">
    <w:nsid w:val="433F193E"/>
    <w:multiLevelType w:val="singleLevel"/>
    <w:tmpl w:val="43D83080"/>
    <w:lvl w:ilvl="0">
      <w:start w:val="1"/>
      <w:numFmt w:val="decimal"/>
      <w:lvlText w:val="%1."/>
      <w:legacy w:legacy="1" w:legacySpace="0" w:legacyIndent="283"/>
      <w:lvlJc w:val="left"/>
      <w:pPr>
        <w:ind w:left="567" w:hanging="283"/>
      </w:pPr>
    </w:lvl>
  </w:abstractNum>
  <w:abstractNum w:abstractNumId="5">
    <w:nsid w:val="4B6F2114"/>
    <w:multiLevelType w:val="singleLevel"/>
    <w:tmpl w:val="43D83080"/>
    <w:lvl w:ilvl="0">
      <w:start w:val="1"/>
      <w:numFmt w:val="decimal"/>
      <w:lvlText w:val="%1."/>
      <w:legacy w:legacy="1" w:legacySpace="0" w:legacyIndent="283"/>
      <w:lvlJc w:val="left"/>
      <w:pPr>
        <w:ind w:left="567" w:hanging="283"/>
      </w:pPr>
    </w:lvl>
  </w:abstractNum>
  <w:abstractNum w:abstractNumId="6">
    <w:nsid w:val="56C22BCC"/>
    <w:multiLevelType w:val="singleLevel"/>
    <w:tmpl w:val="43D83080"/>
    <w:lvl w:ilvl="0">
      <w:start w:val="1"/>
      <w:numFmt w:val="decimal"/>
      <w:lvlText w:val="%1."/>
      <w:legacy w:legacy="1" w:legacySpace="0" w:legacyIndent="283"/>
      <w:lvlJc w:val="left"/>
      <w:pPr>
        <w:ind w:left="567" w:hanging="283"/>
      </w:pPr>
    </w:lvl>
  </w:abstractNum>
  <w:abstractNum w:abstractNumId="7">
    <w:nsid w:val="5E3C7191"/>
    <w:multiLevelType w:val="singleLevel"/>
    <w:tmpl w:val="43D83080"/>
    <w:lvl w:ilvl="0">
      <w:start w:val="1"/>
      <w:numFmt w:val="decimal"/>
      <w:lvlText w:val="%1."/>
      <w:legacy w:legacy="1" w:legacySpace="0" w:legacyIndent="283"/>
      <w:lvlJc w:val="left"/>
      <w:pPr>
        <w:ind w:left="567" w:hanging="283"/>
      </w:pPr>
    </w:lvl>
  </w:abstractNum>
  <w:abstractNum w:abstractNumId="8">
    <w:nsid w:val="64584E8F"/>
    <w:multiLevelType w:val="singleLevel"/>
    <w:tmpl w:val="43D83080"/>
    <w:lvl w:ilvl="0">
      <w:start w:val="1"/>
      <w:numFmt w:val="decimal"/>
      <w:lvlText w:val="%1."/>
      <w:legacy w:legacy="1" w:legacySpace="0" w:legacyIndent="283"/>
      <w:lvlJc w:val="left"/>
      <w:pPr>
        <w:ind w:left="567" w:hanging="283"/>
      </w:pPr>
    </w:lvl>
  </w:abstractNum>
  <w:abstractNum w:abstractNumId="9">
    <w:nsid w:val="6BCB1980"/>
    <w:multiLevelType w:val="singleLevel"/>
    <w:tmpl w:val="511AB058"/>
    <w:lvl w:ilvl="0">
      <w:start w:val="1"/>
      <w:numFmt w:val="lowerLetter"/>
      <w:lvlText w:val="%1)"/>
      <w:legacy w:legacy="1" w:legacySpace="0" w:legacyIndent="283"/>
      <w:lvlJc w:val="left"/>
      <w:pPr>
        <w:ind w:left="850" w:hanging="283"/>
      </w:pPr>
    </w:lvl>
  </w:abstractNum>
  <w:num w:numId="1">
    <w:abstractNumId w:val="5"/>
  </w:num>
  <w:num w:numId="2">
    <w:abstractNumId w:val="0"/>
  </w:num>
  <w:num w:numId="3">
    <w:abstractNumId w:val="3"/>
  </w:num>
  <w:num w:numId="4">
    <w:abstractNumId w:val="7"/>
  </w:num>
  <w:num w:numId="5">
    <w:abstractNumId w:val="8"/>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76"/>
    <w:rsid w:val="000A0B97"/>
    <w:rsid w:val="003B5FE9"/>
    <w:rsid w:val="005E4D97"/>
    <w:rsid w:val="005E66C8"/>
    <w:rsid w:val="008478A5"/>
    <w:rsid w:val="009B0776"/>
    <w:rsid w:val="00DE0277"/>
    <w:rsid w:val="00F54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027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E0277"/>
    <w:pPr>
      <w:keepNext/>
      <w:spacing w:after="120"/>
      <w:jc w:val="center"/>
      <w:outlineLvl w:val="0"/>
    </w:pPr>
    <w:rPr>
      <w:b/>
      <w:kern w:val="28"/>
      <w:sz w:val="28"/>
    </w:rPr>
  </w:style>
  <w:style w:type="paragraph" w:styleId="berschrift2">
    <w:name w:val="heading 2"/>
    <w:basedOn w:val="Standard"/>
    <w:next w:val="GesAbsatz"/>
    <w:qFormat/>
    <w:rsid w:val="00DE0277"/>
    <w:pPr>
      <w:keepNext/>
      <w:spacing w:before="240"/>
      <w:jc w:val="center"/>
      <w:outlineLvl w:val="1"/>
    </w:pPr>
    <w:rPr>
      <w:b/>
      <w:sz w:val="24"/>
    </w:rPr>
  </w:style>
  <w:style w:type="paragraph" w:styleId="berschrift3">
    <w:name w:val="heading 3"/>
    <w:basedOn w:val="Standard"/>
    <w:next w:val="GesAbsatz"/>
    <w:qFormat/>
    <w:rsid w:val="00DE0277"/>
    <w:pPr>
      <w:keepNext/>
      <w:spacing w:before="240" w:after="180"/>
      <w:jc w:val="center"/>
      <w:outlineLvl w:val="2"/>
    </w:pPr>
    <w:rPr>
      <w:b/>
    </w:rPr>
  </w:style>
  <w:style w:type="paragraph" w:styleId="berschrift4">
    <w:name w:val="heading 4"/>
    <w:basedOn w:val="Standard"/>
    <w:next w:val="Standard"/>
    <w:rsid w:val="00DE0277"/>
    <w:pPr>
      <w:keepNext/>
      <w:spacing w:before="240"/>
      <w:outlineLvl w:val="3"/>
    </w:pPr>
  </w:style>
  <w:style w:type="paragraph" w:styleId="berschrift5">
    <w:name w:val="heading 5"/>
    <w:basedOn w:val="Standard"/>
    <w:next w:val="Standard"/>
    <w:link w:val="berschrift5Zchn"/>
    <w:rsid w:val="00DE0277"/>
    <w:pPr>
      <w:spacing w:before="120"/>
      <w:ind w:left="709" w:hanging="709"/>
      <w:outlineLvl w:val="4"/>
    </w:pPr>
  </w:style>
  <w:style w:type="character" w:default="1" w:styleId="Absatz-Standardschriftart">
    <w:name w:val="Default Paragraph Font"/>
    <w:uiPriority w:val="1"/>
    <w:semiHidden/>
    <w:unhideWhenUsed/>
    <w:rsid w:val="00DE027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DE0277"/>
  </w:style>
  <w:style w:type="paragraph" w:styleId="Kopfzeile">
    <w:name w:val="header"/>
    <w:basedOn w:val="Standard"/>
    <w:qFormat/>
    <w:rsid w:val="00DE0277"/>
    <w:pPr>
      <w:tabs>
        <w:tab w:val="center" w:pos="4536"/>
        <w:tab w:val="right" w:pos="9072"/>
      </w:tabs>
      <w:spacing w:before="0" w:after="120"/>
      <w:jc w:val="right"/>
    </w:pPr>
  </w:style>
  <w:style w:type="paragraph" w:styleId="Fuzeile">
    <w:name w:val="footer"/>
    <w:basedOn w:val="Standard"/>
    <w:qFormat/>
    <w:rsid w:val="00DE0277"/>
    <w:pPr>
      <w:tabs>
        <w:tab w:val="clear" w:pos="425"/>
        <w:tab w:val="right" w:pos="8505"/>
        <w:tab w:val="right" w:pos="9639"/>
      </w:tabs>
      <w:spacing w:before="0" w:after="0"/>
      <w:jc w:val="left"/>
    </w:pPr>
    <w:rPr>
      <w:sz w:val="16"/>
    </w:rPr>
  </w:style>
  <w:style w:type="character" w:styleId="Seitenzahl">
    <w:name w:val="page number"/>
    <w:rsid w:val="00DE0277"/>
    <w:rPr>
      <w:rFonts w:ascii="Arial" w:hAnsi="Arial"/>
      <w:sz w:val="16"/>
    </w:rPr>
  </w:style>
  <w:style w:type="paragraph" w:styleId="Verzeichnis2">
    <w:name w:val="toc 2"/>
    <w:basedOn w:val="Standard"/>
    <w:next w:val="Standard"/>
    <w:semiHidden/>
    <w:rsid w:val="00DE0277"/>
    <w:pPr>
      <w:tabs>
        <w:tab w:val="clear" w:pos="425"/>
        <w:tab w:val="right" w:leader="dot" w:pos="9638"/>
      </w:tabs>
      <w:spacing w:before="0" w:after="0"/>
      <w:jc w:val="left"/>
    </w:pPr>
    <w:rPr>
      <w:rFonts w:ascii="Times New Roman" w:hAnsi="Times New Roman"/>
      <w:smallCaps/>
    </w:rPr>
  </w:style>
  <w:style w:type="character" w:styleId="Hyperlink">
    <w:name w:val="Hyperlink"/>
    <w:rsid w:val="00DE0277"/>
    <w:rPr>
      <w:color w:val="0000FF"/>
      <w:u w:val="single"/>
    </w:rPr>
  </w:style>
  <w:style w:type="paragraph" w:styleId="Verzeichnis3">
    <w:name w:val="toc 3"/>
    <w:basedOn w:val="Standard"/>
    <w:next w:val="Standard"/>
    <w:semiHidden/>
    <w:rsid w:val="00DE027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E0277"/>
    <w:pPr>
      <w:spacing w:before="0" w:after="0"/>
    </w:pPr>
    <w:rPr>
      <w:sz w:val="16"/>
    </w:rPr>
  </w:style>
  <w:style w:type="paragraph" w:styleId="Verzeichnis1">
    <w:name w:val="toc 1"/>
    <w:basedOn w:val="Verzeichnis3"/>
    <w:next w:val="Standard"/>
    <w:semiHidden/>
    <w:rsid w:val="00DE0277"/>
    <w:pPr>
      <w:spacing w:before="120" w:after="120"/>
      <w:ind w:left="0"/>
    </w:pPr>
    <w:rPr>
      <w:b/>
      <w:i w:val="0"/>
      <w:caps/>
    </w:rPr>
  </w:style>
  <w:style w:type="paragraph" w:customStyle="1" w:styleId="Kopfzeile0">
    <w:name w:val="Kopfzeile0"/>
    <w:basedOn w:val="Standard"/>
    <w:next w:val="Kopfzeile"/>
    <w:qFormat/>
    <w:rsid w:val="00DE0277"/>
    <w:pPr>
      <w:spacing w:before="0" w:after="0"/>
      <w:jc w:val="right"/>
    </w:pPr>
    <w:rPr>
      <w:b/>
      <w:sz w:val="24"/>
    </w:rPr>
  </w:style>
  <w:style w:type="paragraph" w:customStyle="1" w:styleId="GesAbsatz">
    <w:name w:val="GesAbsatz"/>
    <w:basedOn w:val="Standard"/>
    <w:qFormat/>
    <w:rsid w:val="00DE0277"/>
    <w:pPr>
      <w:spacing w:before="100"/>
    </w:pPr>
    <w:rPr>
      <w:color w:val="000000"/>
    </w:rPr>
  </w:style>
  <w:style w:type="character" w:customStyle="1" w:styleId="berschrift5Zchn">
    <w:name w:val="Überschrift 5 Zchn"/>
    <w:basedOn w:val="Absatz-Standardschriftart"/>
    <w:link w:val="berschrift5"/>
    <w:rsid w:val="00DE0277"/>
    <w:rPr>
      <w:rFonts w:ascii="Arial" w:hAnsi="Arial"/>
    </w:rPr>
  </w:style>
  <w:style w:type="paragraph" w:styleId="Verzeichnis4">
    <w:name w:val="toc 4"/>
    <w:basedOn w:val="Standard"/>
    <w:next w:val="Standard"/>
    <w:semiHidden/>
    <w:rsid w:val="00DE0277"/>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E027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E027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E027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E027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E0277"/>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DE0277"/>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0277"/>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E0277"/>
    <w:pPr>
      <w:keepNext/>
      <w:spacing w:after="120"/>
      <w:jc w:val="center"/>
      <w:outlineLvl w:val="0"/>
    </w:pPr>
    <w:rPr>
      <w:b/>
      <w:kern w:val="28"/>
      <w:sz w:val="28"/>
    </w:rPr>
  </w:style>
  <w:style w:type="paragraph" w:styleId="berschrift2">
    <w:name w:val="heading 2"/>
    <w:basedOn w:val="Standard"/>
    <w:next w:val="GesAbsatz"/>
    <w:qFormat/>
    <w:rsid w:val="00DE0277"/>
    <w:pPr>
      <w:keepNext/>
      <w:spacing w:before="240"/>
      <w:jc w:val="center"/>
      <w:outlineLvl w:val="1"/>
    </w:pPr>
    <w:rPr>
      <w:b/>
      <w:sz w:val="24"/>
    </w:rPr>
  </w:style>
  <w:style w:type="paragraph" w:styleId="berschrift3">
    <w:name w:val="heading 3"/>
    <w:basedOn w:val="Standard"/>
    <w:next w:val="GesAbsatz"/>
    <w:qFormat/>
    <w:rsid w:val="00DE0277"/>
    <w:pPr>
      <w:keepNext/>
      <w:spacing w:before="240" w:after="180"/>
      <w:jc w:val="center"/>
      <w:outlineLvl w:val="2"/>
    </w:pPr>
    <w:rPr>
      <w:b/>
    </w:rPr>
  </w:style>
  <w:style w:type="paragraph" w:styleId="berschrift4">
    <w:name w:val="heading 4"/>
    <w:basedOn w:val="Standard"/>
    <w:next w:val="Standard"/>
    <w:rsid w:val="00DE0277"/>
    <w:pPr>
      <w:keepNext/>
      <w:spacing w:before="240"/>
      <w:outlineLvl w:val="3"/>
    </w:pPr>
  </w:style>
  <w:style w:type="paragraph" w:styleId="berschrift5">
    <w:name w:val="heading 5"/>
    <w:basedOn w:val="Standard"/>
    <w:next w:val="Standard"/>
    <w:link w:val="berschrift5Zchn"/>
    <w:rsid w:val="00DE0277"/>
    <w:pPr>
      <w:spacing w:before="120"/>
      <w:ind w:left="709" w:hanging="709"/>
      <w:outlineLvl w:val="4"/>
    </w:pPr>
  </w:style>
  <w:style w:type="character" w:default="1" w:styleId="Absatz-Standardschriftart">
    <w:name w:val="Default Paragraph Font"/>
    <w:uiPriority w:val="1"/>
    <w:semiHidden/>
    <w:unhideWhenUsed/>
    <w:rsid w:val="00DE0277"/>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DE0277"/>
  </w:style>
  <w:style w:type="paragraph" w:styleId="Kopfzeile">
    <w:name w:val="header"/>
    <w:basedOn w:val="Standard"/>
    <w:qFormat/>
    <w:rsid w:val="00DE0277"/>
    <w:pPr>
      <w:tabs>
        <w:tab w:val="center" w:pos="4536"/>
        <w:tab w:val="right" w:pos="9072"/>
      </w:tabs>
      <w:spacing w:before="0" w:after="120"/>
      <w:jc w:val="right"/>
    </w:pPr>
  </w:style>
  <w:style w:type="paragraph" w:styleId="Fuzeile">
    <w:name w:val="footer"/>
    <w:basedOn w:val="Standard"/>
    <w:qFormat/>
    <w:rsid w:val="00DE0277"/>
    <w:pPr>
      <w:tabs>
        <w:tab w:val="clear" w:pos="425"/>
        <w:tab w:val="right" w:pos="8505"/>
        <w:tab w:val="right" w:pos="9639"/>
      </w:tabs>
      <w:spacing w:before="0" w:after="0"/>
      <w:jc w:val="left"/>
    </w:pPr>
    <w:rPr>
      <w:sz w:val="16"/>
    </w:rPr>
  </w:style>
  <w:style w:type="character" w:styleId="Seitenzahl">
    <w:name w:val="page number"/>
    <w:rsid w:val="00DE0277"/>
    <w:rPr>
      <w:rFonts w:ascii="Arial" w:hAnsi="Arial"/>
      <w:sz w:val="16"/>
    </w:rPr>
  </w:style>
  <w:style w:type="paragraph" w:styleId="Verzeichnis2">
    <w:name w:val="toc 2"/>
    <w:basedOn w:val="Standard"/>
    <w:next w:val="Standard"/>
    <w:semiHidden/>
    <w:rsid w:val="00DE0277"/>
    <w:pPr>
      <w:tabs>
        <w:tab w:val="clear" w:pos="425"/>
        <w:tab w:val="right" w:leader="dot" w:pos="9638"/>
      </w:tabs>
      <w:spacing w:before="0" w:after="0"/>
      <w:jc w:val="left"/>
    </w:pPr>
    <w:rPr>
      <w:rFonts w:ascii="Times New Roman" w:hAnsi="Times New Roman"/>
      <w:smallCaps/>
    </w:rPr>
  </w:style>
  <w:style w:type="character" w:styleId="Hyperlink">
    <w:name w:val="Hyperlink"/>
    <w:rsid w:val="00DE0277"/>
    <w:rPr>
      <w:color w:val="0000FF"/>
      <w:u w:val="single"/>
    </w:rPr>
  </w:style>
  <w:style w:type="paragraph" w:styleId="Verzeichnis3">
    <w:name w:val="toc 3"/>
    <w:basedOn w:val="Standard"/>
    <w:next w:val="Standard"/>
    <w:semiHidden/>
    <w:rsid w:val="00DE0277"/>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E0277"/>
    <w:pPr>
      <w:spacing w:before="0" w:after="0"/>
    </w:pPr>
    <w:rPr>
      <w:sz w:val="16"/>
    </w:rPr>
  </w:style>
  <w:style w:type="paragraph" w:styleId="Verzeichnis1">
    <w:name w:val="toc 1"/>
    <w:basedOn w:val="Verzeichnis3"/>
    <w:next w:val="Standard"/>
    <w:semiHidden/>
    <w:rsid w:val="00DE0277"/>
    <w:pPr>
      <w:spacing w:before="120" w:after="120"/>
      <w:ind w:left="0"/>
    </w:pPr>
    <w:rPr>
      <w:b/>
      <w:i w:val="0"/>
      <w:caps/>
    </w:rPr>
  </w:style>
  <w:style w:type="paragraph" w:customStyle="1" w:styleId="Kopfzeile0">
    <w:name w:val="Kopfzeile0"/>
    <w:basedOn w:val="Standard"/>
    <w:next w:val="Kopfzeile"/>
    <w:qFormat/>
    <w:rsid w:val="00DE0277"/>
    <w:pPr>
      <w:spacing w:before="0" w:after="0"/>
      <w:jc w:val="right"/>
    </w:pPr>
    <w:rPr>
      <w:b/>
      <w:sz w:val="24"/>
    </w:rPr>
  </w:style>
  <w:style w:type="paragraph" w:customStyle="1" w:styleId="GesAbsatz">
    <w:name w:val="GesAbsatz"/>
    <w:basedOn w:val="Standard"/>
    <w:qFormat/>
    <w:rsid w:val="00DE0277"/>
    <w:pPr>
      <w:spacing w:before="100"/>
    </w:pPr>
    <w:rPr>
      <w:color w:val="000000"/>
    </w:rPr>
  </w:style>
  <w:style w:type="character" w:customStyle="1" w:styleId="berschrift5Zchn">
    <w:name w:val="Überschrift 5 Zchn"/>
    <w:basedOn w:val="Absatz-Standardschriftart"/>
    <w:link w:val="berschrift5"/>
    <w:rsid w:val="00DE0277"/>
    <w:rPr>
      <w:rFonts w:ascii="Arial" w:hAnsi="Arial"/>
    </w:rPr>
  </w:style>
  <w:style w:type="paragraph" w:styleId="Verzeichnis4">
    <w:name w:val="toc 4"/>
    <w:basedOn w:val="Standard"/>
    <w:next w:val="Standard"/>
    <w:semiHidden/>
    <w:rsid w:val="00DE0277"/>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E0277"/>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E0277"/>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E0277"/>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E0277"/>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E0277"/>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DE0277"/>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16</Pages>
  <Words>6212</Words>
  <Characters>41034</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Verordnung über Großfeuerungsanlagen - 13. BImSchV</vt:lpstr>
    </vt:vector>
  </TitlesOfParts>
  <Company>LANUV NRW</Company>
  <LinksUpToDate>false</LinksUpToDate>
  <CharactersWithSpaces>47152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Großfeuerungsanlagen - 13. BImSchV</dc:title>
  <dc:creator>LANUV NRW</dc:creator>
  <cp:lastModifiedBy>rueter</cp:lastModifiedBy>
  <cp:revision>2</cp:revision>
  <cp:lastPrinted>2004-08-13T12:01:00Z</cp:lastPrinted>
  <dcterms:created xsi:type="dcterms:W3CDTF">2015-07-14T08:42:00Z</dcterms:created>
  <dcterms:modified xsi:type="dcterms:W3CDTF">2015-07-14T08:42:00Z</dcterms:modified>
</cp:coreProperties>
</file>