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432" w:rsidRPr="00822D7C" w:rsidRDefault="00371432" w:rsidP="00822D7C">
      <w:pPr>
        <w:pStyle w:val="berschrift1"/>
      </w:pPr>
      <w:bookmarkStart w:id="0" w:name="_Toc398972278"/>
      <w:bookmarkStart w:id="1" w:name="_Toc448029353"/>
      <w:r w:rsidRPr="00822D7C">
        <w:t>Dreiundzwanzigste Verordnung</w:t>
      </w:r>
      <w:r w:rsidRPr="00822D7C">
        <w:br/>
        <w:t>zur Durchführung des Bu</w:t>
      </w:r>
      <w:r w:rsidR="00CA51F9">
        <w:t xml:space="preserve">ndes-Immissionsschutzgesetzes - </w:t>
      </w:r>
      <w:r w:rsidR="00CA51F9">
        <w:br/>
      </w:r>
      <w:r w:rsidRPr="00822D7C">
        <w:t xml:space="preserve">Verordnung über die Festlegung von Konzentrationswerten - </w:t>
      </w:r>
      <w:r w:rsidRPr="00822D7C">
        <w:br/>
        <w:t>23. BImSchV)</w:t>
      </w:r>
      <w:bookmarkEnd w:id="0"/>
      <w:bookmarkEnd w:id="1"/>
    </w:p>
    <w:p w:rsidR="00371432" w:rsidRDefault="00371432" w:rsidP="00822D7C">
      <w:pPr>
        <w:pStyle w:val="GesAbsatz"/>
        <w:jc w:val="center"/>
      </w:pPr>
      <w:r>
        <w:t>vom 16. Dezember 1996</w:t>
      </w:r>
    </w:p>
    <w:p w:rsidR="00371432" w:rsidRPr="00822D7C" w:rsidRDefault="00755D87" w:rsidP="00822D7C">
      <w:pPr>
        <w:pStyle w:val="GesAbsatz"/>
        <w:rPr>
          <w:b/>
          <w:i/>
          <w:color w:val="FF0000"/>
          <w:sz w:val="22"/>
          <w:szCs w:val="22"/>
        </w:rPr>
      </w:pPr>
      <w:r>
        <w:rPr>
          <w:b/>
          <w:i/>
          <w:color w:val="FF0000"/>
          <w:sz w:val="22"/>
          <w:szCs w:val="22"/>
        </w:rPr>
        <w:t>Gültig bis</w:t>
      </w:r>
      <w:r w:rsidR="00371432" w:rsidRPr="00822D7C">
        <w:rPr>
          <w:b/>
          <w:i/>
          <w:color w:val="FF0000"/>
          <w:sz w:val="22"/>
          <w:szCs w:val="22"/>
        </w:rPr>
        <w:t xml:space="preserve"> 2</w:t>
      </w:r>
      <w:r>
        <w:rPr>
          <w:b/>
          <w:i/>
          <w:color w:val="FF0000"/>
          <w:sz w:val="22"/>
          <w:szCs w:val="22"/>
        </w:rPr>
        <w:t>0</w:t>
      </w:r>
      <w:r w:rsidR="00371432" w:rsidRPr="00822D7C">
        <w:rPr>
          <w:b/>
          <w:i/>
          <w:color w:val="FF0000"/>
          <w:sz w:val="22"/>
          <w:szCs w:val="22"/>
        </w:rPr>
        <w:t>.</w:t>
      </w:r>
      <w:r w:rsidR="00346377">
        <w:rPr>
          <w:b/>
          <w:i/>
          <w:color w:val="FF0000"/>
          <w:sz w:val="22"/>
          <w:szCs w:val="22"/>
        </w:rPr>
        <w:t>0</w:t>
      </w:r>
      <w:r w:rsidR="00371432" w:rsidRPr="00822D7C">
        <w:rPr>
          <w:b/>
          <w:i/>
          <w:color w:val="FF0000"/>
          <w:sz w:val="22"/>
          <w:szCs w:val="22"/>
        </w:rPr>
        <w:t>7.2004</w:t>
      </w:r>
      <w:r>
        <w:rPr>
          <w:b/>
          <w:i/>
          <w:color w:val="FF0000"/>
          <w:sz w:val="22"/>
          <w:szCs w:val="22"/>
        </w:rPr>
        <w:t xml:space="preserve"> -</w:t>
      </w:r>
      <w:r w:rsidR="00371432" w:rsidRPr="00822D7C">
        <w:rPr>
          <w:b/>
          <w:i/>
          <w:color w:val="FF0000"/>
          <w:sz w:val="22"/>
          <w:szCs w:val="22"/>
        </w:rPr>
        <w:t xml:space="preserve"> </w:t>
      </w:r>
      <w:r>
        <w:rPr>
          <w:b/>
          <w:i/>
          <w:color w:val="FF0000"/>
          <w:sz w:val="22"/>
          <w:szCs w:val="22"/>
        </w:rPr>
        <w:t>a</w:t>
      </w:r>
      <w:r w:rsidR="00371432" w:rsidRPr="00822D7C">
        <w:rPr>
          <w:b/>
          <w:i/>
          <w:color w:val="FF0000"/>
          <w:sz w:val="22"/>
          <w:szCs w:val="22"/>
        </w:rPr>
        <w:t>ufgehoben durch Verordnung vom 13.</w:t>
      </w:r>
      <w:r w:rsidR="00346377">
        <w:rPr>
          <w:b/>
          <w:i/>
          <w:color w:val="FF0000"/>
          <w:sz w:val="22"/>
          <w:szCs w:val="22"/>
        </w:rPr>
        <w:t>0</w:t>
      </w:r>
      <w:r w:rsidR="00371432" w:rsidRPr="00822D7C">
        <w:rPr>
          <w:b/>
          <w:i/>
          <w:color w:val="FF0000"/>
          <w:sz w:val="22"/>
          <w:szCs w:val="22"/>
        </w:rPr>
        <w:t>7.2004 (BGBl. I. S. 1612)</w:t>
      </w:r>
    </w:p>
    <w:p w:rsidR="00371432" w:rsidRPr="00822D7C" w:rsidRDefault="00371432" w:rsidP="00822D7C">
      <w:pPr>
        <w:pStyle w:val="GesAbsatz"/>
        <w:jc w:val="center"/>
        <w:rPr>
          <w:b/>
          <w:sz w:val="22"/>
          <w:szCs w:val="22"/>
        </w:rPr>
      </w:pPr>
      <w:r w:rsidRPr="00822D7C">
        <w:rPr>
          <w:b/>
          <w:sz w:val="22"/>
          <w:szCs w:val="22"/>
        </w:rPr>
        <w:t>Inhalt:</w:t>
      </w:r>
    </w:p>
    <w:p w:rsidR="00371432" w:rsidRDefault="00371432">
      <w:pPr>
        <w:pStyle w:val="Verzeichnis1"/>
        <w:rPr>
          <w:noProof/>
        </w:rPr>
      </w:pPr>
      <w:r>
        <w:rPr>
          <w:caps w:val="0"/>
        </w:rPr>
        <w:fldChar w:fldCharType="begin"/>
      </w:r>
      <w:r>
        <w:rPr>
          <w:caps w:val="0"/>
        </w:rPr>
        <w:instrText xml:space="preserve"> TOC \o "1-3" </w:instrText>
      </w:r>
      <w:r>
        <w:rPr>
          <w:caps w:val="0"/>
        </w:rPr>
        <w:fldChar w:fldCharType="separate"/>
      </w:r>
      <w:r>
        <w:rPr>
          <w:noProof/>
        </w:rPr>
        <w:t>DVerordnung über die Festlegung von Konzentrationswerten -  23. BImSchV</w:t>
      </w:r>
      <w:r>
        <w:rPr>
          <w:noProof/>
        </w:rPr>
        <w:tab/>
      </w:r>
      <w:r>
        <w:rPr>
          <w:caps w:val="0"/>
          <w:noProof/>
        </w:rPr>
        <w:fldChar w:fldCharType="begin"/>
      </w:r>
      <w:r>
        <w:rPr>
          <w:caps w:val="0"/>
          <w:noProof/>
        </w:rPr>
        <w:instrText xml:space="preserve"> GOTOBUTTON _Toc448029353  </w:instrText>
      </w:r>
      <w:r>
        <w:rPr>
          <w:caps w:val="0"/>
          <w:noProof/>
        </w:rPr>
        <w:fldChar w:fldCharType="begin"/>
      </w:r>
      <w:r>
        <w:rPr>
          <w:caps w:val="0"/>
          <w:noProof/>
        </w:rPr>
        <w:instrText xml:space="preserve"> PAGEREF _Toc448029353 </w:instrText>
      </w:r>
      <w:r>
        <w:rPr>
          <w:caps w:val="0"/>
          <w:noProof/>
        </w:rPr>
        <w:fldChar w:fldCharType="separate"/>
      </w:r>
      <w:r w:rsidR="009F7068">
        <w:rPr>
          <w:caps w:val="0"/>
          <w:noProof/>
        </w:rPr>
        <w:instrText>1</w:instrText>
      </w:r>
      <w:r>
        <w:rPr>
          <w:caps w:val="0"/>
          <w:noProof/>
        </w:rPr>
        <w:fldChar w:fldCharType="end"/>
      </w:r>
      <w:r>
        <w:rPr>
          <w:caps w:val="0"/>
          <w:noProof/>
        </w:rPr>
        <w:fldChar w:fldCharType="end"/>
      </w:r>
    </w:p>
    <w:p w:rsidR="00371432" w:rsidRDefault="00371432">
      <w:pPr>
        <w:pStyle w:val="Verzeichnis3"/>
        <w:rPr>
          <w:noProof/>
        </w:rPr>
      </w:pPr>
      <w:r>
        <w:rPr>
          <w:noProof/>
        </w:rPr>
        <w:t>§ 1 Zweck</w:t>
      </w:r>
      <w:r>
        <w:rPr>
          <w:noProof/>
        </w:rPr>
        <w:tab/>
      </w:r>
      <w:r>
        <w:rPr>
          <w:noProof/>
        </w:rPr>
        <w:fldChar w:fldCharType="begin"/>
      </w:r>
      <w:r>
        <w:rPr>
          <w:noProof/>
        </w:rPr>
        <w:instrText xml:space="preserve"> GOTOBUTTON _Toc448029354  </w:instrText>
      </w:r>
      <w:r>
        <w:rPr>
          <w:noProof/>
        </w:rPr>
        <w:fldChar w:fldCharType="begin"/>
      </w:r>
      <w:r>
        <w:rPr>
          <w:noProof/>
        </w:rPr>
        <w:instrText xml:space="preserve"> PAGEREF _Toc448029354 </w:instrText>
      </w:r>
      <w:r>
        <w:rPr>
          <w:noProof/>
        </w:rPr>
        <w:fldChar w:fldCharType="separate"/>
      </w:r>
      <w:r w:rsidR="009F7068">
        <w:rPr>
          <w:noProof/>
        </w:rPr>
        <w:instrText>1</w:instrText>
      </w:r>
      <w:r>
        <w:rPr>
          <w:noProof/>
        </w:rPr>
        <w:fldChar w:fldCharType="end"/>
      </w:r>
      <w:r>
        <w:rPr>
          <w:noProof/>
        </w:rPr>
        <w:fldChar w:fldCharType="end"/>
      </w:r>
    </w:p>
    <w:p w:rsidR="00371432" w:rsidRDefault="00371432">
      <w:pPr>
        <w:pStyle w:val="Verzeichnis3"/>
        <w:rPr>
          <w:noProof/>
        </w:rPr>
      </w:pPr>
      <w:r>
        <w:rPr>
          <w:noProof/>
        </w:rPr>
        <w:t>§ 2 Konzentrationswerte für Luftverunreinigungen</w:t>
      </w:r>
      <w:r>
        <w:rPr>
          <w:noProof/>
        </w:rPr>
        <w:tab/>
      </w:r>
      <w:r>
        <w:rPr>
          <w:noProof/>
        </w:rPr>
        <w:fldChar w:fldCharType="begin"/>
      </w:r>
      <w:r>
        <w:rPr>
          <w:noProof/>
        </w:rPr>
        <w:instrText xml:space="preserve"> GOTOBUTTON _Toc448029355  </w:instrText>
      </w:r>
      <w:r>
        <w:rPr>
          <w:noProof/>
        </w:rPr>
        <w:fldChar w:fldCharType="begin"/>
      </w:r>
      <w:r>
        <w:rPr>
          <w:noProof/>
        </w:rPr>
        <w:instrText xml:space="preserve"> PAGEREF _Toc448029355 </w:instrText>
      </w:r>
      <w:r>
        <w:rPr>
          <w:noProof/>
        </w:rPr>
        <w:fldChar w:fldCharType="separate"/>
      </w:r>
      <w:r w:rsidR="009F7068">
        <w:rPr>
          <w:noProof/>
        </w:rPr>
        <w:instrText>1</w:instrText>
      </w:r>
      <w:r>
        <w:rPr>
          <w:noProof/>
        </w:rPr>
        <w:fldChar w:fldCharType="end"/>
      </w:r>
      <w:r>
        <w:rPr>
          <w:noProof/>
        </w:rPr>
        <w:fldChar w:fldCharType="end"/>
      </w:r>
    </w:p>
    <w:p w:rsidR="00371432" w:rsidRDefault="00371432">
      <w:pPr>
        <w:pStyle w:val="Verzeichnis3"/>
        <w:rPr>
          <w:noProof/>
        </w:rPr>
      </w:pPr>
      <w:r>
        <w:rPr>
          <w:noProof/>
        </w:rPr>
        <w:t>§ 3 Meß- und Beurteilungsverfahren</w:t>
      </w:r>
      <w:r>
        <w:rPr>
          <w:noProof/>
        </w:rPr>
        <w:tab/>
      </w:r>
      <w:r>
        <w:rPr>
          <w:noProof/>
        </w:rPr>
        <w:fldChar w:fldCharType="begin"/>
      </w:r>
      <w:r>
        <w:rPr>
          <w:noProof/>
        </w:rPr>
        <w:instrText xml:space="preserve"> GOTOBUTTON _Toc448029356  </w:instrText>
      </w:r>
      <w:r>
        <w:rPr>
          <w:noProof/>
        </w:rPr>
        <w:fldChar w:fldCharType="begin"/>
      </w:r>
      <w:r>
        <w:rPr>
          <w:noProof/>
        </w:rPr>
        <w:instrText xml:space="preserve"> PAGEREF _Toc448029356 </w:instrText>
      </w:r>
      <w:r>
        <w:rPr>
          <w:noProof/>
        </w:rPr>
        <w:fldChar w:fldCharType="separate"/>
      </w:r>
      <w:r w:rsidR="009F7068">
        <w:rPr>
          <w:noProof/>
        </w:rPr>
        <w:instrText>2</w:instrText>
      </w:r>
      <w:r>
        <w:rPr>
          <w:noProof/>
        </w:rPr>
        <w:fldChar w:fldCharType="end"/>
      </w:r>
      <w:r>
        <w:rPr>
          <w:noProof/>
        </w:rPr>
        <w:fldChar w:fldCharType="end"/>
      </w:r>
    </w:p>
    <w:p w:rsidR="00371432" w:rsidRDefault="00371432">
      <w:pPr>
        <w:pStyle w:val="Verzeichnis3"/>
        <w:rPr>
          <w:noProof/>
        </w:rPr>
      </w:pPr>
      <w:r>
        <w:rPr>
          <w:noProof/>
        </w:rPr>
        <w:t>§ 4 Inkrafttreten</w:t>
      </w:r>
      <w:r>
        <w:rPr>
          <w:noProof/>
        </w:rPr>
        <w:tab/>
      </w:r>
      <w:r>
        <w:rPr>
          <w:noProof/>
        </w:rPr>
        <w:fldChar w:fldCharType="begin"/>
      </w:r>
      <w:r>
        <w:rPr>
          <w:noProof/>
        </w:rPr>
        <w:instrText xml:space="preserve"> GOTOBUTTON _Toc448029357  </w:instrText>
      </w:r>
      <w:r>
        <w:rPr>
          <w:noProof/>
        </w:rPr>
        <w:fldChar w:fldCharType="begin"/>
      </w:r>
      <w:r>
        <w:rPr>
          <w:noProof/>
        </w:rPr>
        <w:instrText xml:space="preserve"> PAGEREF _Toc448029357 </w:instrText>
      </w:r>
      <w:r>
        <w:rPr>
          <w:noProof/>
        </w:rPr>
        <w:fldChar w:fldCharType="separate"/>
      </w:r>
      <w:r w:rsidR="009F7068">
        <w:rPr>
          <w:noProof/>
        </w:rPr>
        <w:instrText>2</w:instrText>
      </w:r>
      <w:r>
        <w:rPr>
          <w:noProof/>
        </w:rPr>
        <w:fldChar w:fldCharType="end"/>
      </w:r>
      <w:r>
        <w:rPr>
          <w:noProof/>
        </w:rPr>
        <w:fldChar w:fldCharType="end"/>
      </w:r>
    </w:p>
    <w:p w:rsidR="00371432" w:rsidRDefault="00371432">
      <w:pPr>
        <w:pStyle w:val="Verzeichnis2"/>
        <w:rPr>
          <w:noProof/>
        </w:rPr>
      </w:pPr>
      <w:r>
        <w:rPr>
          <w:noProof/>
        </w:rPr>
        <w:t>Anhang I  Verfahren zur Bestimmung der Konzentrationen der Luftverunreinigungen</w:t>
      </w:r>
      <w:r>
        <w:rPr>
          <w:noProof/>
        </w:rPr>
        <w:tab/>
      </w:r>
      <w:r>
        <w:rPr>
          <w:smallCaps w:val="0"/>
          <w:noProof/>
        </w:rPr>
        <w:fldChar w:fldCharType="begin"/>
      </w:r>
      <w:r>
        <w:rPr>
          <w:smallCaps w:val="0"/>
          <w:noProof/>
        </w:rPr>
        <w:instrText xml:space="preserve"> GOTOBUTTON _Toc448029358  </w:instrText>
      </w:r>
      <w:r>
        <w:rPr>
          <w:smallCaps w:val="0"/>
          <w:noProof/>
        </w:rPr>
        <w:fldChar w:fldCharType="begin"/>
      </w:r>
      <w:r>
        <w:rPr>
          <w:smallCaps w:val="0"/>
          <w:noProof/>
        </w:rPr>
        <w:instrText xml:space="preserve"> PAGEREF _Toc448029358 </w:instrText>
      </w:r>
      <w:r>
        <w:rPr>
          <w:smallCaps w:val="0"/>
          <w:noProof/>
        </w:rPr>
        <w:fldChar w:fldCharType="separate"/>
      </w:r>
      <w:r w:rsidR="009F7068">
        <w:rPr>
          <w:smallCaps w:val="0"/>
          <w:noProof/>
        </w:rPr>
        <w:instrText>2</w:instrText>
      </w:r>
      <w:r>
        <w:rPr>
          <w:smallCaps w:val="0"/>
          <w:noProof/>
        </w:rPr>
        <w:fldChar w:fldCharType="end"/>
      </w:r>
      <w:r>
        <w:rPr>
          <w:smallCaps w:val="0"/>
          <w:noProof/>
        </w:rPr>
        <w:fldChar w:fldCharType="end"/>
      </w:r>
    </w:p>
    <w:p w:rsidR="00371432" w:rsidRDefault="00371432">
      <w:pPr>
        <w:pStyle w:val="Verzeichnis3"/>
        <w:rPr>
          <w:noProof/>
        </w:rPr>
      </w:pPr>
      <w:r>
        <w:rPr>
          <w:noProof/>
        </w:rPr>
        <w:t>1 Verfahren zur Bestimmung der Konzentrationen der Luftverunreinigungen</w:t>
      </w:r>
      <w:r>
        <w:rPr>
          <w:noProof/>
        </w:rPr>
        <w:tab/>
      </w:r>
      <w:r>
        <w:rPr>
          <w:noProof/>
        </w:rPr>
        <w:fldChar w:fldCharType="begin"/>
      </w:r>
      <w:r>
        <w:rPr>
          <w:noProof/>
        </w:rPr>
        <w:instrText xml:space="preserve"> GOTOBUTTON _Toc448029359  </w:instrText>
      </w:r>
      <w:r>
        <w:rPr>
          <w:noProof/>
        </w:rPr>
        <w:fldChar w:fldCharType="begin"/>
      </w:r>
      <w:r>
        <w:rPr>
          <w:noProof/>
        </w:rPr>
        <w:instrText xml:space="preserve"> PAGEREF _Toc448029359 </w:instrText>
      </w:r>
      <w:r>
        <w:rPr>
          <w:noProof/>
        </w:rPr>
        <w:fldChar w:fldCharType="separate"/>
      </w:r>
      <w:r w:rsidR="009F7068">
        <w:rPr>
          <w:noProof/>
        </w:rPr>
        <w:instrText>2</w:instrText>
      </w:r>
      <w:r>
        <w:rPr>
          <w:noProof/>
        </w:rPr>
        <w:fldChar w:fldCharType="end"/>
      </w:r>
      <w:r>
        <w:rPr>
          <w:noProof/>
        </w:rPr>
        <w:fldChar w:fldCharType="end"/>
      </w:r>
    </w:p>
    <w:p w:rsidR="00371432" w:rsidRDefault="00371432">
      <w:pPr>
        <w:pStyle w:val="Verzeichnis3"/>
        <w:rPr>
          <w:noProof/>
        </w:rPr>
      </w:pPr>
      <w:r>
        <w:rPr>
          <w:noProof/>
        </w:rPr>
        <w:t>2. Meßorte</w:t>
      </w:r>
      <w:r>
        <w:rPr>
          <w:noProof/>
        </w:rPr>
        <w:tab/>
      </w:r>
      <w:r>
        <w:rPr>
          <w:noProof/>
        </w:rPr>
        <w:fldChar w:fldCharType="begin"/>
      </w:r>
      <w:r>
        <w:rPr>
          <w:noProof/>
        </w:rPr>
        <w:instrText xml:space="preserve"> GOTOBUTTON _Toc448029360  </w:instrText>
      </w:r>
      <w:r>
        <w:rPr>
          <w:noProof/>
        </w:rPr>
        <w:fldChar w:fldCharType="begin"/>
      </w:r>
      <w:r>
        <w:rPr>
          <w:noProof/>
        </w:rPr>
        <w:instrText xml:space="preserve"> PAGEREF _Toc448029360 </w:instrText>
      </w:r>
      <w:r>
        <w:rPr>
          <w:noProof/>
        </w:rPr>
        <w:fldChar w:fldCharType="separate"/>
      </w:r>
      <w:r w:rsidR="009F7068">
        <w:rPr>
          <w:noProof/>
        </w:rPr>
        <w:instrText>3</w:instrText>
      </w:r>
      <w:r>
        <w:rPr>
          <w:noProof/>
        </w:rPr>
        <w:fldChar w:fldCharType="end"/>
      </w:r>
      <w:r>
        <w:rPr>
          <w:noProof/>
        </w:rPr>
        <w:fldChar w:fldCharType="end"/>
      </w:r>
    </w:p>
    <w:p w:rsidR="00371432" w:rsidRDefault="00371432">
      <w:pPr>
        <w:pStyle w:val="Verzeichnis3"/>
        <w:rPr>
          <w:noProof/>
        </w:rPr>
      </w:pPr>
      <w:r>
        <w:rPr>
          <w:noProof/>
        </w:rPr>
        <w:t>3. Kriterien zum Aufstellen der Meßeinrichtungen</w:t>
      </w:r>
      <w:r>
        <w:rPr>
          <w:noProof/>
        </w:rPr>
        <w:tab/>
      </w:r>
      <w:r>
        <w:rPr>
          <w:noProof/>
        </w:rPr>
        <w:fldChar w:fldCharType="begin"/>
      </w:r>
      <w:r>
        <w:rPr>
          <w:noProof/>
        </w:rPr>
        <w:instrText xml:space="preserve"> GOTOBUTTON _Toc448029361  </w:instrText>
      </w:r>
      <w:r>
        <w:rPr>
          <w:noProof/>
        </w:rPr>
        <w:fldChar w:fldCharType="begin"/>
      </w:r>
      <w:r>
        <w:rPr>
          <w:noProof/>
        </w:rPr>
        <w:instrText xml:space="preserve"> PAGEREF _Toc448029361 </w:instrText>
      </w:r>
      <w:r>
        <w:rPr>
          <w:noProof/>
        </w:rPr>
        <w:fldChar w:fldCharType="separate"/>
      </w:r>
      <w:r w:rsidR="009F7068">
        <w:rPr>
          <w:noProof/>
        </w:rPr>
        <w:instrText>3</w:instrText>
      </w:r>
      <w:r>
        <w:rPr>
          <w:noProof/>
        </w:rPr>
        <w:fldChar w:fldCharType="end"/>
      </w:r>
      <w:r>
        <w:rPr>
          <w:noProof/>
        </w:rPr>
        <w:fldChar w:fldCharType="end"/>
      </w:r>
    </w:p>
    <w:p w:rsidR="00371432" w:rsidRDefault="00371432">
      <w:pPr>
        <w:pStyle w:val="Verzeichnis3"/>
        <w:rPr>
          <w:noProof/>
        </w:rPr>
      </w:pPr>
      <w:r>
        <w:rPr>
          <w:noProof/>
        </w:rPr>
        <w:t>4. Bildungen von Kenngrößen</w:t>
      </w:r>
      <w:r>
        <w:rPr>
          <w:noProof/>
        </w:rPr>
        <w:tab/>
      </w:r>
      <w:r>
        <w:rPr>
          <w:noProof/>
        </w:rPr>
        <w:fldChar w:fldCharType="begin"/>
      </w:r>
      <w:r>
        <w:rPr>
          <w:noProof/>
        </w:rPr>
        <w:instrText xml:space="preserve"> GOTOBUTTON _Toc448029362  </w:instrText>
      </w:r>
      <w:r>
        <w:rPr>
          <w:noProof/>
        </w:rPr>
        <w:fldChar w:fldCharType="begin"/>
      </w:r>
      <w:r>
        <w:rPr>
          <w:noProof/>
        </w:rPr>
        <w:instrText xml:space="preserve"> PAGEREF _Toc448029362 </w:instrText>
      </w:r>
      <w:r>
        <w:rPr>
          <w:noProof/>
        </w:rPr>
        <w:fldChar w:fldCharType="separate"/>
      </w:r>
      <w:r w:rsidR="009F7068">
        <w:rPr>
          <w:noProof/>
        </w:rPr>
        <w:instrText>3</w:instrText>
      </w:r>
      <w:r>
        <w:rPr>
          <w:noProof/>
        </w:rPr>
        <w:fldChar w:fldCharType="end"/>
      </w:r>
      <w:r>
        <w:rPr>
          <w:noProof/>
        </w:rPr>
        <w:fldChar w:fldCharType="end"/>
      </w:r>
    </w:p>
    <w:p w:rsidR="00371432" w:rsidRDefault="00371432">
      <w:pPr>
        <w:pStyle w:val="Verzeichnis3"/>
        <w:rPr>
          <w:noProof/>
        </w:rPr>
      </w:pPr>
      <w:r>
        <w:rPr>
          <w:noProof/>
        </w:rPr>
        <w:t>5. Beurteilungsverfahren</w:t>
      </w:r>
      <w:r>
        <w:rPr>
          <w:noProof/>
        </w:rPr>
        <w:tab/>
      </w:r>
      <w:r>
        <w:rPr>
          <w:noProof/>
        </w:rPr>
        <w:fldChar w:fldCharType="begin"/>
      </w:r>
      <w:r>
        <w:rPr>
          <w:noProof/>
        </w:rPr>
        <w:instrText xml:space="preserve"> GOTOBUTTON _Toc448029363  </w:instrText>
      </w:r>
      <w:r>
        <w:rPr>
          <w:noProof/>
        </w:rPr>
        <w:fldChar w:fldCharType="begin"/>
      </w:r>
      <w:r>
        <w:rPr>
          <w:noProof/>
        </w:rPr>
        <w:instrText xml:space="preserve"> PAGEREF _Toc448029363 </w:instrText>
      </w:r>
      <w:r>
        <w:rPr>
          <w:noProof/>
        </w:rPr>
        <w:fldChar w:fldCharType="separate"/>
      </w:r>
      <w:r w:rsidR="009F7068">
        <w:rPr>
          <w:noProof/>
        </w:rPr>
        <w:instrText>3</w:instrText>
      </w:r>
      <w:r>
        <w:rPr>
          <w:noProof/>
        </w:rPr>
        <w:fldChar w:fldCharType="end"/>
      </w:r>
      <w:r>
        <w:rPr>
          <w:noProof/>
        </w:rPr>
        <w:fldChar w:fldCharType="end"/>
      </w:r>
    </w:p>
    <w:p w:rsidR="00371432" w:rsidRDefault="00371432">
      <w:pPr>
        <w:pStyle w:val="Verzeichnis2"/>
        <w:rPr>
          <w:noProof/>
        </w:rPr>
      </w:pPr>
      <w:r>
        <w:rPr>
          <w:noProof/>
        </w:rPr>
        <w:t>Anhang II Verfahren zur Bestimmung von Ruß in der Außenluft</w:t>
      </w:r>
      <w:r>
        <w:rPr>
          <w:noProof/>
        </w:rPr>
        <w:tab/>
      </w:r>
      <w:r>
        <w:rPr>
          <w:smallCaps w:val="0"/>
          <w:noProof/>
        </w:rPr>
        <w:fldChar w:fldCharType="begin"/>
      </w:r>
      <w:r>
        <w:rPr>
          <w:smallCaps w:val="0"/>
          <w:noProof/>
        </w:rPr>
        <w:instrText xml:space="preserve"> GOTOBUTTON _Toc448029364  </w:instrText>
      </w:r>
      <w:r>
        <w:rPr>
          <w:smallCaps w:val="0"/>
          <w:noProof/>
        </w:rPr>
        <w:fldChar w:fldCharType="begin"/>
      </w:r>
      <w:r>
        <w:rPr>
          <w:smallCaps w:val="0"/>
          <w:noProof/>
        </w:rPr>
        <w:instrText xml:space="preserve"> PAGEREF _Toc448029364 </w:instrText>
      </w:r>
      <w:r>
        <w:rPr>
          <w:smallCaps w:val="0"/>
          <w:noProof/>
        </w:rPr>
        <w:fldChar w:fldCharType="separate"/>
      </w:r>
      <w:r w:rsidR="009F7068">
        <w:rPr>
          <w:smallCaps w:val="0"/>
          <w:noProof/>
        </w:rPr>
        <w:instrText>3</w:instrText>
      </w:r>
      <w:r>
        <w:rPr>
          <w:smallCaps w:val="0"/>
          <w:noProof/>
        </w:rPr>
        <w:fldChar w:fldCharType="end"/>
      </w:r>
      <w:r>
        <w:rPr>
          <w:smallCaps w:val="0"/>
          <w:noProof/>
        </w:rPr>
        <w:fldChar w:fldCharType="end"/>
      </w:r>
    </w:p>
    <w:p w:rsidR="00371432" w:rsidRDefault="00371432">
      <w:pPr>
        <w:pStyle w:val="Verzeichnis3"/>
        <w:rPr>
          <w:noProof/>
        </w:rPr>
      </w:pPr>
      <w:r>
        <w:rPr>
          <w:noProof/>
        </w:rPr>
        <w:t>1. Verfahrensgrundlagen</w:t>
      </w:r>
      <w:r>
        <w:rPr>
          <w:noProof/>
        </w:rPr>
        <w:tab/>
      </w:r>
      <w:r>
        <w:rPr>
          <w:noProof/>
        </w:rPr>
        <w:fldChar w:fldCharType="begin"/>
      </w:r>
      <w:r>
        <w:rPr>
          <w:noProof/>
        </w:rPr>
        <w:instrText xml:space="preserve"> GOTOBUTTON _Toc448029365  </w:instrText>
      </w:r>
      <w:r>
        <w:rPr>
          <w:noProof/>
        </w:rPr>
        <w:fldChar w:fldCharType="begin"/>
      </w:r>
      <w:r>
        <w:rPr>
          <w:noProof/>
        </w:rPr>
        <w:instrText xml:space="preserve"> PAGEREF _Toc448029365 </w:instrText>
      </w:r>
      <w:r>
        <w:rPr>
          <w:noProof/>
        </w:rPr>
        <w:fldChar w:fldCharType="separate"/>
      </w:r>
      <w:r w:rsidR="009F7068">
        <w:rPr>
          <w:noProof/>
        </w:rPr>
        <w:instrText>3</w:instrText>
      </w:r>
      <w:r>
        <w:rPr>
          <w:noProof/>
        </w:rPr>
        <w:fldChar w:fldCharType="end"/>
      </w:r>
      <w:r>
        <w:rPr>
          <w:noProof/>
        </w:rPr>
        <w:fldChar w:fldCharType="end"/>
      </w:r>
    </w:p>
    <w:p w:rsidR="00371432" w:rsidRDefault="00371432">
      <w:pPr>
        <w:pStyle w:val="Verzeichnis3"/>
        <w:rPr>
          <w:noProof/>
        </w:rPr>
      </w:pPr>
      <w:r>
        <w:rPr>
          <w:noProof/>
        </w:rPr>
        <w:t>2. Probenahme</w:t>
      </w:r>
      <w:r>
        <w:rPr>
          <w:noProof/>
        </w:rPr>
        <w:tab/>
      </w:r>
      <w:r>
        <w:rPr>
          <w:noProof/>
        </w:rPr>
        <w:fldChar w:fldCharType="begin"/>
      </w:r>
      <w:r>
        <w:rPr>
          <w:noProof/>
        </w:rPr>
        <w:instrText xml:space="preserve"> GOTOBUTTON _Toc448029366  </w:instrText>
      </w:r>
      <w:r>
        <w:rPr>
          <w:noProof/>
        </w:rPr>
        <w:fldChar w:fldCharType="begin"/>
      </w:r>
      <w:r>
        <w:rPr>
          <w:noProof/>
        </w:rPr>
        <w:instrText xml:space="preserve"> PAGEREF _Toc448029366 </w:instrText>
      </w:r>
      <w:r>
        <w:rPr>
          <w:noProof/>
        </w:rPr>
        <w:fldChar w:fldCharType="separate"/>
      </w:r>
      <w:r w:rsidR="009F7068">
        <w:rPr>
          <w:noProof/>
        </w:rPr>
        <w:instrText>4</w:instrText>
      </w:r>
      <w:r>
        <w:rPr>
          <w:noProof/>
        </w:rPr>
        <w:fldChar w:fldCharType="end"/>
      </w:r>
      <w:r>
        <w:rPr>
          <w:noProof/>
        </w:rPr>
        <w:fldChar w:fldCharType="end"/>
      </w:r>
    </w:p>
    <w:p w:rsidR="00371432" w:rsidRDefault="00371432">
      <w:pPr>
        <w:pStyle w:val="Verzeichnis3"/>
        <w:rPr>
          <w:noProof/>
        </w:rPr>
      </w:pPr>
      <w:r>
        <w:rPr>
          <w:noProof/>
        </w:rPr>
        <w:t>3. Abtrennung des organischen Kohlenstoffes</w:t>
      </w:r>
      <w:r>
        <w:rPr>
          <w:noProof/>
        </w:rPr>
        <w:tab/>
      </w:r>
      <w:r>
        <w:rPr>
          <w:noProof/>
        </w:rPr>
        <w:fldChar w:fldCharType="begin"/>
      </w:r>
      <w:r>
        <w:rPr>
          <w:noProof/>
        </w:rPr>
        <w:instrText xml:space="preserve"> GOTOBUTTON _Toc448029367  </w:instrText>
      </w:r>
      <w:r>
        <w:rPr>
          <w:noProof/>
        </w:rPr>
        <w:fldChar w:fldCharType="begin"/>
      </w:r>
      <w:r>
        <w:rPr>
          <w:noProof/>
        </w:rPr>
        <w:instrText xml:space="preserve"> PAGEREF _Toc448029367 </w:instrText>
      </w:r>
      <w:r>
        <w:rPr>
          <w:noProof/>
        </w:rPr>
        <w:fldChar w:fldCharType="separate"/>
      </w:r>
      <w:r w:rsidR="009F7068">
        <w:rPr>
          <w:noProof/>
        </w:rPr>
        <w:instrText>4</w:instrText>
      </w:r>
      <w:r>
        <w:rPr>
          <w:noProof/>
        </w:rPr>
        <w:fldChar w:fldCharType="end"/>
      </w:r>
      <w:r>
        <w:rPr>
          <w:noProof/>
        </w:rPr>
        <w:fldChar w:fldCharType="end"/>
      </w:r>
    </w:p>
    <w:p w:rsidR="00371432" w:rsidRDefault="00371432">
      <w:pPr>
        <w:pStyle w:val="Verzeichnis3"/>
        <w:rPr>
          <w:noProof/>
        </w:rPr>
      </w:pPr>
      <w:r>
        <w:rPr>
          <w:noProof/>
        </w:rPr>
        <w:t>3.1 Flüssigextraktion</w:t>
      </w:r>
      <w:r>
        <w:rPr>
          <w:noProof/>
        </w:rPr>
        <w:tab/>
      </w:r>
      <w:r>
        <w:rPr>
          <w:noProof/>
        </w:rPr>
        <w:fldChar w:fldCharType="begin"/>
      </w:r>
      <w:r>
        <w:rPr>
          <w:noProof/>
        </w:rPr>
        <w:instrText xml:space="preserve"> GOTOBUTTON _Toc448029368  </w:instrText>
      </w:r>
      <w:r>
        <w:rPr>
          <w:noProof/>
        </w:rPr>
        <w:fldChar w:fldCharType="begin"/>
      </w:r>
      <w:r>
        <w:rPr>
          <w:noProof/>
        </w:rPr>
        <w:instrText xml:space="preserve"> PAGEREF _Toc448029368 </w:instrText>
      </w:r>
      <w:r>
        <w:rPr>
          <w:noProof/>
        </w:rPr>
        <w:fldChar w:fldCharType="separate"/>
      </w:r>
      <w:r w:rsidR="009F7068">
        <w:rPr>
          <w:noProof/>
        </w:rPr>
        <w:instrText>4</w:instrText>
      </w:r>
      <w:r>
        <w:rPr>
          <w:noProof/>
        </w:rPr>
        <w:fldChar w:fldCharType="end"/>
      </w:r>
      <w:r>
        <w:rPr>
          <w:noProof/>
        </w:rPr>
        <w:fldChar w:fldCharType="end"/>
      </w:r>
    </w:p>
    <w:p w:rsidR="00371432" w:rsidRDefault="00371432">
      <w:pPr>
        <w:pStyle w:val="Verzeichnis3"/>
        <w:rPr>
          <w:noProof/>
        </w:rPr>
      </w:pPr>
      <w:r>
        <w:rPr>
          <w:noProof/>
        </w:rPr>
        <w:t>3.2 Thermodesorption</w:t>
      </w:r>
      <w:r>
        <w:rPr>
          <w:noProof/>
        </w:rPr>
        <w:tab/>
      </w:r>
      <w:r>
        <w:rPr>
          <w:noProof/>
        </w:rPr>
        <w:fldChar w:fldCharType="begin"/>
      </w:r>
      <w:r>
        <w:rPr>
          <w:noProof/>
        </w:rPr>
        <w:instrText xml:space="preserve"> GOTOBUTTON _Toc448029369  </w:instrText>
      </w:r>
      <w:r>
        <w:rPr>
          <w:noProof/>
        </w:rPr>
        <w:fldChar w:fldCharType="begin"/>
      </w:r>
      <w:r>
        <w:rPr>
          <w:noProof/>
        </w:rPr>
        <w:instrText xml:space="preserve"> PAGEREF _Toc448029369 </w:instrText>
      </w:r>
      <w:r>
        <w:rPr>
          <w:noProof/>
        </w:rPr>
        <w:fldChar w:fldCharType="separate"/>
      </w:r>
      <w:r w:rsidR="009F7068">
        <w:rPr>
          <w:noProof/>
        </w:rPr>
        <w:instrText>4</w:instrText>
      </w:r>
      <w:r>
        <w:rPr>
          <w:noProof/>
        </w:rPr>
        <w:fldChar w:fldCharType="end"/>
      </w:r>
      <w:r>
        <w:rPr>
          <w:noProof/>
        </w:rPr>
        <w:fldChar w:fldCharType="end"/>
      </w:r>
    </w:p>
    <w:p w:rsidR="00371432" w:rsidRDefault="00371432">
      <w:pPr>
        <w:pStyle w:val="Verzeichnis3"/>
        <w:rPr>
          <w:noProof/>
        </w:rPr>
      </w:pPr>
      <w:r>
        <w:rPr>
          <w:noProof/>
        </w:rPr>
        <w:t>4 Bestimmung des elementaren Kohlenstoffes</w:t>
      </w:r>
      <w:r>
        <w:rPr>
          <w:noProof/>
        </w:rPr>
        <w:tab/>
      </w:r>
      <w:r>
        <w:rPr>
          <w:noProof/>
        </w:rPr>
        <w:fldChar w:fldCharType="begin"/>
      </w:r>
      <w:r>
        <w:rPr>
          <w:noProof/>
        </w:rPr>
        <w:instrText xml:space="preserve"> GOTOBUTTON _Toc448029370  </w:instrText>
      </w:r>
      <w:r>
        <w:rPr>
          <w:noProof/>
        </w:rPr>
        <w:fldChar w:fldCharType="begin"/>
      </w:r>
      <w:r>
        <w:rPr>
          <w:noProof/>
        </w:rPr>
        <w:instrText xml:space="preserve"> PAGEREF _Toc448029370 </w:instrText>
      </w:r>
      <w:r>
        <w:rPr>
          <w:noProof/>
        </w:rPr>
        <w:fldChar w:fldCharType="separate"/>
      </w:r>
      <w:r w:rsidR="009F7068">
        <w:rPr>
          <w:noProof/>
        </w:rPr>
        <w:instrText>4</w:instrText>
      </w:r>
      <w:r>
        <w:rPr>
          <w:noProof/>
        </w:rPr>
        <w:fldChar w:fldCharType="end"/>
      </w:r>
      <w:r>
        <w:rPr>
          <w:noProof/>
        </w:rPr>
        <w:fldChar w:fldCharType="end"/>
      </w:r>
    </w:p>
    <w:p w:rsidR="00371432" w:rsidRDefault="00371432">
      <w:pPr>
        <w:pStyle w:val="Verzeichnis3"/>
        <w:rPr>
          <w:noProof/>
        </w:rPr>
      </w:pPr>
      <w:r>
        <w:rPr>
          <w:noProof/>
        </w:rPr>
        <w:t>5. Verfahrenskenngrößen</w:t>
      </w:r>
      <w:r>
        <w:rPr>
          <w:noProof/>
        </w:rPr>
        <w:tab/>
      </w:r>
      <w:r>
        <w:rPr>
          <w:noProof/>
        </w:rPr>
        <w:fldChar w:fldCharType="begin"/>
      </w:r>
      <w:r>
        <w:rPr>
          <w:noProof/>
        </w:rPr>
        <w:instrText xml:space="preserve"> GOTOBUTTON _Toc448029371  </w:instrText>
      </w:r>
      <w:r>
        <w:rPr>
          <w:noProof/>
        </w:rPr>
        <w:fldChar w:fldCharType="begin"/>
      </w:r>
      <w:r>
        <w:rPr>
          <w:noProof/>
        </w:rPr>
        <w:instrText xml:space="preserve"> PAGEREF _Toc448029371 </w:instrText>
      </w:r>
      <w:r>
        <w:rPr>
          <w:noProof/>
        </w:rPr>
        <w:fldChar w:fldCharType="separate"/>
      </w:r>
      <w:r w:rsidR="009F7068">
        <w:rPr>
          <w:noProof/>
        </w:rPr>
        <w:instrText>4</w:instrText>
      </w:r>
      <w:r>
        <w:rPr>
          <w:noProof/>
        </w:rPr>
        <w:fldChar w:fldCharType="end"/>
      </w:r>
      <w:r>
        <w:rPr>
          <w:noProof/>
        </w:rPr>
        <w:fldChar w:fldCharType="end"/>
      </w:r>
    </w:p>
    <w:p w:rsidR="00371432" w:rsidRDefault="00371432" w:rsidP="00822D7C">
      <w:pPr>
        <w:pStyle w:val="GesAbsatz"/>
      </w:pPr>
      <w:r>
        <w:rPr>
          <w:caps/>
        </w:rPr>
        <w:fldChar w:fldCharType="end"/>
      </w:r>
    </w:p>
    <w:p w:rsidR="00371432" w:rsidRDefault="00371432" w:rsidP="00822D7C">
      <w:pPr>
        <w:pStyle w:val="GesAbsatz"/>
      </w:pPr>
      <w:r>
        <w:t>Auf Grund des § 40 Abs. 2 Satz 2 des Bundes-Immissionsschutzgesetzes in der Fassung der Bekanntm</w:t>
      </w:r>
      <w:r>
        <w:t>a</w:t>
      </w:r>
      <w:r>
        <w:t>chung vom 14. Mai 1990 (BGBl. I S. 880) verordnet die Bundesregierung nach Anhörung der beteiligten Kreise:</w:t>
      </w:r>
    </w:p>
    <w:p w:rsidR="00371432" w:rsidRDefault="00371432">
      <w:pPr>
        <w:pStyle w:val="berschrift3"/>
        <w:tabs>
          <w:tab w:val="clear" w:pos="425"/>
        </w:tabs>
        <w:rPr>
          <w:b w:val="0"/>
        </w:rPr>
      </w:pPr>
      <w:bookmarkStart w:id="2" w:name="_Toc398972279"/>
      <w:bookmarkStart w:id="3" w:name="_Toc448029354"/>
      <w:r>
        <w:t>§ 1</w:t>
      </w:r>
      <w:r>
        <w:br/>
        <w:t>Zweck</w:t>
      </w:r>
      <w:bookmarkEnd w:id="2"/>
      <w:bookmarkEnd w:id="3"/>
    </w:p>
    <w:p w:rsidR="00371432" w:rsidRDefault="00371432" w:rsidP="00822D7C">
      <w:pPr>
        <w:pStyle w:val="GesAbsatz"/>
      </w:pPr>
      <w:r>
        <w:t>Die Verordnung legt für bestimmte Straßen oder bestimmte Gebiete, in denen besonders hohe, vom Verkehr verursachte Immissionen zu erwarten sind, Konzentrationswerte für luftverunreinigende Stoffe fest, bei deren Überschreiten Maßnahmen nach § 40 Abs. 2 Satz 1 des Bundes-Immissionsschutzgesetzes zu prüfen sind, und bestimmt die anzuwendenden Me</w:t>
      </w:r>
      <w:r w:rsidR="00822D7C">
        <w:t>ss</w:t>
      </w:r>
      <w:r>
        <w:t>- und Beurteilungsverfahren.</w:t>
      </w:r>
    </w:p>
    <w:p w:rsidR="00371432" w:rsidRDefault="00371432">
      <w:pPr>
        <w:pStyle w:val="berschrift3"/>
      </w:pPr>
      <w:bookmarkStart w:id="4" w:name="_Toc398972280"/>
      <w:bookmarkStart w:id="5" w:name="_Toc448029355"/>
      <w:r>
        <w:t>§ 2</w:t>
      </w:r>
      <w:r>
        <w:br/>
        <w:t>Konzentrationswerte für Luftverunreinigungen</w:t>
      </w:r>
      <w:bookmarkEnd w:id="4"/>
      <w:bookmarkEnd w:id="5"/>
    </w:p>
    <w:p w:rsidR="00371432" w:rsidRDefault="00371432" w:rsidP="00D2091B">
      <w:pPr>
        <w:pStyle w:val="GesAbsatz"/>
      </w:pPr>
      <w:r>
        <w:t>Maßnahmen zur Verminderung oder zur Vermeidung des Entstehens schädlicher Umwelteinwirkungen durch Luftverunreinigungen sind zu prüfen, wenn eine Überschreitung eines der folgenden Konzentration</w:t>
      </w:r>
      <w:r>
        <w:t>s</w:t>
      </w:r>
      <w:r>
        <w:t>werte, angegeben in Mikrogramm je Kubikmeter (µg/m³) verunreinigte Luft, festgestellt wird:</w:t>
      </w:r>
    </w:p>
    <w:p w:rsidR="00371432" w:rsidRDefault="00371432" w:rsidP="00D2091B">
      <w:pPr>
        <w:pStyle w:val="GesAbsatz"/>
      </w:pPr>
      <w:r>
        <w:t>1.</w:t>
      </w:r>
      <w:r>
        <w:tab/>
        <w:t>Stickstoffdioxid:</w:t>
      </w:r>
    </w:p>
    <w:p w:rsidR="00371432" w:rsidRDefault="00371432" w:rsidP="00C86DCB">
      <w:pPr>
        <w:pStyle w:val="GesAbsatz"/>
        <w:ind w:left="426"/>
      </w:pPr>
      <w:r>
        <w:t>160 µg/m³ (98-Prozent-Wert aller Halbstundenmittelwerte eines Jahres);</w:t>
      </w:r>
    </w:p>
    <w:p w:rsidR="00371432" w:rsidRDefault="00371432" w:rsidP="00D2091B">
      <w:pPr>
        <w:pStyle w:val="GesAbsatz"/>
      </w:pPr>
      <w:r>
        <w:t>2.</w:t>
      </w:r>
      <w:r>
        <w:tab/>
        <w:t>Ruß:</w:t>
      </w:r>
    </w:p>
    <w:p w:rsidR="00371432" w:rsidRDefault="00371432" w:rsidP="00C86DCB">
      <w:pPr>
        <w:pStyle w:val="GesAbsatz"/>
        <w:ind w:left="426"/>
      </w:pPr>
      <w:r>
        <w:t>ab 1. Juli 1995:</w:t>
      </w:r>
    </w:p>
    <w:p w:rsidR="00371432" w:rsidRDefault="00371432" w:rsidP="00C86DCB">
      <w:pPr>
        <w:pStyle w:val="GesAbsatz"/>
        <w:ind w:left="426"/>
      </w:pPr>
      <w:r>
        <w:t>14</w:t>
      </w:r>
      <w:r w:rsidR="009F7068">
        <w:t xml:space="preserve"> </w:t>
      </w:r>
      <w:r>
        <w:t>µg/m³ (arithmetischer Jahresmittelwert);</w:t>
      </w:r>
    </w:p>
    <w:p w:rsidR="00371432" w:rsidRDefault="00371432" w:rsidP="00C86DCB">
      <w:pPr>
        <w:pStyle w:val="GesAbsatz"/>
        <w:ind w:left="426"/>
      </w:pPr>
      <w:r>
        <w:t>ab 1. Juli 1998:</w:t>
      </w:r>
    </w:p>
    <w:p w:rsidR="00371432" w:rsidRDefault="00371432" w:rsidP="00C86DCB">
      <w:pPr>
        <w:pStyle w:val="GesAbsatz"/>
        <w:ind w:left="426"/>
      </w:pPr>
      <w:r>
        <w:t>8 µg/m³ (arithmetischer Jahresmittelwert);</w:t>
      </w:r>
    </w:p>
    <w:p w:rsidR="00371432" w:rsidRDefault="00371432" w:rsidP="00D2091B">
      <w:pPr>
        <w:pStyle w:val="GesAbsatz"/>
      </w:pPr>
      <w:r>
        <w:t>3.</w:t>
      </w:r>
      <w:r>
        <w:tab/>
        <w:t>Benzol:</w:t>
      </w:r>
    </w:p>
    <w:p w:rsidR="00371432" w:rsidRDefault="00371432" w:rsidP="00C86DCB">
      <w:pPr>
        <w:pStyle w:val="GesAbsatz"/>
        <w:ind w:left="426"/>
      </w:pPr>
      <w:r>
        <w:t>ab 1. Juli 1995:</w:t>
      </w:r>
    </w:p>
    <w:p w:rsidR="00371432" w:rsidRDefault="00371432" w:rsidP="00C86DCB">
      <w:pPr>
        <w:pStyle w:val="GesAbsatz"/>
        <w:ind w:left="426"/>
      </w:pPr>
      <w:r>
        <w:lastRenderedPageBreak/>
        <w:t>15 µg/m³ (arithmetischer Jahresmittelwert);</w:t>
      </w:r>
    </w:p>
    <w:p w:rsidR="00371432" w:rsidRDefault="00371432" w:rsidP="00C86DCB">
      <w:pPr>
        <w:pStyle w:val="GesAbsatz"/>
        <w:ind w:left="426"/>
      </w:pPr>
      <w:r>
        <w:t>ab 1. Juli 1998:</w:t>
      </w:r>
    </w:p>
    <w:p w:rsidR="00371432" w:rsidRDefault="00371432" w:rsidP="00C86DCB">
      <w:pPr>
        <w:pStyle w:val="GesAbsatz"/>
        <w:ind w:left="426"/>
      </w:pPr>
      <w:r>
        <w:t>10 µg/m³ (arithmetischer Jahresmittelwert).</w:t>
      </w:r>
    </w:p>
    <w:p w:rsidR="00371432" w:rsidRDefault="00371432">
      <w:pPr>
        <w:pStyle w:val="berschrift3"/>
      </w:pPr>
      <w:bookmarkStart w:id="6" w:name="_Toc398972281"/>
      <w:bookmarkStart w:id="7" w:name="_Toc448029356"/>
      <w:r>
        <w:t>§ 3</w:t>
      </w:r>
      <w:r>
        <w:br/>
        <w:t>Me</w:t>
      </w:r>
      <w:r w:rsidR="00822D7C">
        <w:t>ss</w:t>
      </w:r>
      <w:r>
        <w:t>- und Beurteilungsverfahren</w:t>
      </w:r>
      <w:bookmarkEnd w:id="6"/>
      <w:bookmarkEnd w:id="7"/>
    </w:p>
    <w:p w:rsidR="00371432" w:rsidRDefault="00371432" w:rsidP="00D2091B">
      <w:pPr>
        <w:pStyle w:val="GesAbsatz"/>
      </w:pPr>
      <w:r>
        <w:t>Die Me</w:t>
      </w:r>
      <w:r w:rsidR="00822D7C">
        <w:t>ss</w:t>
      </w:r>
      <w:r>
        <w:t>- und Beurteilungsverfahren bestimmen sich nach Anhang I und Anhang II zu dieser Verordnung. Die in Nummer 1.3 des Anhangs I und Nummer 4 des Anhangs II genannten VDI-Richtlinien sind bei der Beuth Verlag GmbH, Berlin, zu beziehen und beim Deutschen Patentamt archivmäßig gesichert niederg</w:t>
      </w:r>
      <w:r>
        <w:t>e</w:t>
      </w:r>
      <w:r>
        <w:t>legt.</w:t>
      </w:r>
    </w:p>
    <w:p w:rsidR="00371432" w:rsidRDefault="00371432">
      <w:pPr>
        <w:pStyle w:val="berschrift3"/>
      </w:pPr>
      <w:bookmarkStart w:id="8" w:name="_Toc398972282"/>
      <w:bookmarkStart w:id="9" w:name="_Toc448029357"/>
      <w:r>
        <w:t>§ 4</w:t>
      </w:r>
      <w:r>
        <w:br/>
        <w:t>Inkrafttreten</w:t>
      </w:r>
      <w:bookmarkEnd w:id="8"/>
      <w:bookmarkEnd w:id="9"/>
    </w:p>
    <w:p w:rsidR="00371432" w:rsidRDefault="00371432" w:rsidP="00D2091B">
      <w:pPr>
        <w:pStyle w:val="GesAbsatz"/>
      </w:pPr>
      <w:r>
        <w:t>Diese Verordnung tritt am ersten Tage des dritten auf die Verkündung folgenden Kalendermonats in Kraft.</w:t>
      </w:r>
    </w:p>
    <w:p w:rsidR="00CA51F9" w:rsidRDefault="00CA51F9" w:rsidP="00D2091B">
      <w:pPr>
        <w:pStyle w:val="GesAbsatz"/>
      </w:pPr>
      <w:bookmarkStart w:id="10" w:name="_Toc398972283"/>
      <w:bookmarkStart w:id="11" w:name="_Toc448029358"/>
    </w:p>
    <w:p w:rsidR="00CA51F9" w:rsidRDefault="00CA51F9" w:rsidP="00D2091B">
      <w:pPr>
        <w:pStyle w:val="GesAbsatz"/>
      </w:pPr>
    </w:p>
    <w:p w:rsidR="00371432" w:rsidRDefault="00371432">
      <w:pPr>
        <w:pStyle w:val="berschrift2"/>
        <w:jc w:val="left"/>
      </w:pPr>
      <w:r>
        <w:t xml:space="preserve">Anhang I </w:t>
      </w:r>
      <w:r>
        <w:br/>
        <w:t>Verfahren zur Bestimmung der Konzentrationen der Luftverunreinigungen</w:t>
      </w:r>
      <w:bookmarkEnd w:id="10"/>
      <w:bookmarkEnd w:id="11"/>
    </w:p>
    <w:p w:rsidR="00371432" w:rsidRPr="00CA51F9" w:rsidRDefault="00371432" w:rsidP="00CA51F9">
      <w:pPr>
        <w:pStyle w:val="berschrift3"/>
        <w:jc w:val="left"/>
        <w:rPr>
          <w:bCs/>
        </w:rPr>
      </w:pPr>
      <w:bookmarkStart w:id="12" w:name="_Toc398972284"/>
      <w:bookmarkStart w:id="13" w:name="_Toc448029359"/>
      <w:r w:rsidRPr="00CA51F9">
        <w:rPr>
          <w:bCs/>
        </w:rPr>
        <w:t>1</w:t>
      </w:r>
      <w:r w:rsidR="00FD03B2">
        <w:rPr>
          <w:bCs/>
        </w:rPr>
        <w:t xml:space="preserve"> </w:t>
      </w:r>
      <w:r w:rsidRPr="00CA51F9">
        <w:rPr>
          <w:bCs/>
        </w:rPr>
        <w:t>Verfahren zur Bestimmung der Konzentrationen der Luftverunreinigungen</w:t>
      </w:r>
      <w:bookmarkEnd w:id="12"/>
      <w:bookmarkEnd w:id="13"/>
    </w:p>
    <w:p w:rsidR="00371432" w:rsidRDefault="00371432" w:rsidP="00C86DCB">
      <w:pPr>
        <w:pStyle w:val="GesAbsatz"/>
        <w:tabs>
          <w:tab w:val="clear" w:pos="425"/>
          <w:tab w:val="left" w:pos="709"/>
        </w:tabs>
        <w:ind w:left="709" w:hanging="709"/>
      </w:pPr>
      <w:r>
        <w:t>1.1</w:t>
      </w:r>
      <w:r w:rsidR="00C86DCB">
        <w:tab/>
      </w:r>
      <w:r>
        <w:t>Stickstoffdioxid ist mit Einrichtungen zu messen, die nach dem Prinzip der Chemilumineszenz oder einem gleichwertigen Verfahren arbeiten. Grundsätzlich sind Einrichtungen zu verwenden, die vom Bundesministerium für Umwelt, Naturschutz und Reaktorsicherheit im Gemeinsamen Ministerialblatt als geeignet bekanntgegeben wurden.</w:t>
      </w:r>
    </w:p>
    <w:p w:rsidR="00371432" w:rsidRDefault="00371432" w:rsidP="00C86DCB">
      <w:pPr>
        <w:pStyle w:val="GesAbsatz"/>
        <w:tabs>
          <w:tab w:val="clear" w:pos="425"/>
          <w:tab w:val="left" w:pos="709"/>
        </w:tabs>
        <w:ind w:left="709" w:hanging="709"/>
      </w:pPr>
      <w:r>
        <w:t>1.2</w:t>
      </w:r>
      <w:r>
        <w:tab/>
        <w:t xml:space="preserve">Ruß ist als elementarer Kohlenstoff im Schwebstaub zu messen. Als </w:t>
      </w:r>
      <w:r w:rsidR="00822D7C">
        <w:t>Messverfahren</w:t>
      </w:r>
      <w:r>
        <w:t xml:space="preserve"> ist das im A</w:t>
      </w:r>
      <w:r>
        <w:t>n</w:t>
      </w:r>
      <w:r>
        <w:t>hang II beschriebene oder ein gleichwertiges Verfahren, für das eine hinreichende Korrelation zu diesem nachgewiesen ist, anzuwenden.</w:t>
      </w:r>
    </w:p>
    <w:p w:rsidR="00371432" w:rsidRDefault="00371432" w:rsidP="00C86DCB">
      <w:pPr>
        <w:pStyle w:val="GesAbsatz"/>
        <w:tabs>
          <w:tab w:val="clear" w:pos="425"/>
          <w:tab w:val="left" w:pos="709"/>
        </w:tabs>
        <w:ind w:left="709" w:hanging="709"/>
      </w:pPr>
      <w:r>
        <w:t>1.3</w:t>
      </w:r>
      <w:r>
        <w:tab/>
        <w:t>Benzol ist nach der VDI-Richtlinie 3482 „Messen gasförmiger Immissionen“ Blatt 1 (Februar 1986), Blatt 3 (Februar 1979), Blatt 4 (November 1984), Blatt 5 (November 1984), Blatt 6 (Juli 1988) oder mit einem gleichwertigen Verfahren zu messen.</w:t>
      </w:r>
    </w:p>
    <w:p w:rsidR="00371432" w:rsidRDefault="00371432" w:rsidP="00C86DCB">
      <w:pPr>
        <w:pStyle w:val="GesAbsatz"/>
        <w:tabs>
          <w:tab w:val="clear" w:pos="425"/>
          <w:tab w:val="left" w:pos="709"/>
        </w:tabs>
        <w:ind w:left="709" w:hanging="709"/>
      </w:pPr>
      <w:r>
        <w:t>1.4.1</w:t>
      </w:r>
      <w:r>
        <w:tab/>
        <w:t>Der Me</w:t>
      </w:r>
      <w:r w:rsidR="00822D7C">
        <w:t>ss</w:t>
      </w:r>
      <w:r>
        <w:t>zeitraum beträgt in der Regel ein Jahr. Ein kürzerer Me</w:t>
      </w:r>
      <w:r w:rsidR="00822D7C">
        <w:t>ss</w:t>
      </w:r>
      <w:r>
        <w:t>zeitraum ist zulässig, wenn auch Messungen in einem kürzeren Zeitraum eine Beurteilung der im Laufe eines Jahres auftretenden Immissionen zulassen.</w:t>
      </w:r>
    </w:p>
    <w:p w:rsidR="00371432" w:rsidRDefault="00371432" w:rsidP="00C86DCB">
      <w:pPr>
        <w:pStyle w:val="GesAbsatz"/>
        <w:ind w:left="709"/>
      </w:pPr>
      <w:r>
        <w:t>Ein Zeitraum von sechs Monaten soll nicht unterschritten werden.</w:t>
      </w:r>
    </w:p>
    <w:p w:rsidR="00371432" w:rsidRDefault="00371432" w:rsidP="00C86DCB">
      <w:pPr>
        <w:pStyle w:val="GesAbsatz"/>
        <w:tabs>
          <w:tab w:val="clear" w:pos="425"/>
          <w:tab w:val="left" w:pos="709"/>
        </w:tabs>
        <w:ind w:left="709" w:hanging="709"/>
      </w:pPr>
      <w:r>
        <w:t>1.4.2</w:t>
      </w:r>
      <w:r>
        <w:tab/>
        <w:t>Zur Bestimmung der Konzentrationen von Stickstoffdioxid, Ruß und Benzol können kontinuierliche oder diskontinuierliche Me</w:t>
      </w:r>
      <w:r w:rsidR="00822D7C">
        <w:t>ssv</w:t>
      </w:r>
      <w:r>
        <w:t>erfahren eingesetzt werden.</w:t>
      </w:r>
    </w:p>
    <w:p w:rsidR="00371432" w:rsidRDefault="00371432" w:rsidP="00C86DCB">
      <w:pPr>
        <w:pStyle w:val="GesAbsatz"/>
        <w:ind w:left="709"/>
      </w:pPr>
      <w:r>
        <w:t>Bei der Anwendung diskontinuierliche Me</w:t>
      </w:r>
      <w:r w:rsidR="00822D7C">
        <w:t>ss</w:t>
      </w:r>
      <w:r>
        <w:t>verfahren sind, soweit Halbstundenmittelwerte geme</w:t>
      </w:r>
      <w:r>
        <w:t>s</w:t>
      </w:r>
      <w:r>
        <w:t>sen werden, zwei und soweit 24-Stundenmittelwerte gemessen werden, mindestens eine Messung pro Woche durchzuführen, wobei alle Wochentage und, soweit Halbstundenmittelwerte gemessen werden, auch alle Tageszeiten gleichmäßig zu berücksichtigen sind.</w:t>
      </w:r>
    </w:p>
    <w:p w:rsidR="00371432" w:rsidRDefault="00371432" w:rsidP="00C86DCB">
      <w:pPr>
        <w:pStyle w:val="GesAbsatz"/>
        <w:ind w:left="709"/>
      </w:pPr>
      <w:r>
        <w:t>Sofern verfahrensbedingt längere Me</w:t>
      </w:r>
      <w:r w:rsidR="00CA51F9">
        <w:t>ss</w:t>
      </w:r>
      <w:r>
        <w:t>zeiträume erforderlich sind, sind Wochen- oder Monatsmi</w:t>
      </w:r>
      <w:r>
        <w:t>t</w:t>
      </w:r>
      <w:r>
        <w:t>telwerte zu bilden.</w:t>
      </w:r>
    </w:p>
    <w:p w:rsidR="00371432" w:rsidRDefault="00371432" w:rsidP="00C86DCB">
      <w:pPr>
        <w:pStyle w:val="GesAbsatz"/>
        <w:ind w:left="709"/>
      </w:pPr>
      <w:r>
        <w:t>Bei Verkürzung des Me</w:t>
      </w:r>
      <w:r w:rsidR="00CA51F9">
        <w:t>ss</w:t>
      </w:r>
      <w:r>
        <w:t>zeitraumes mu</w:t>
      </w:r>
      <w:r w:rsidR="00CA51F9">
        <w:t>ss</w:t>
      </w:r>
      <w:r>
        <w:t xml:space="preserve"> die Zahl der für eine Jahresmessung vorgesehenen di</w:t>
      </w:r>
      <w:r>
        <w:t>s</w:t>
      </w:r>
      <w:r>
        <w:t>kontinuierlich ermittelten Me</w:t>
      </w:r>
      <w:r w:rsidR="00CA51F9">
        <w:t>ss</w:t>
      </w:r>
      <w:r>
        <w:t>werte erhalten bleiben.</w:t>
      </w:r>
    </w:p>
    <w:p w:rsidR="00371432" w:rsidRDefault="00371432" w:rsidP="00C86DCB">
      <w:pPr>
        <w:pStyle w:val="GesAbsatz"/>
        <w:tabs>
          <w:tab w:val="clear" w:pos="425"/>
          <w:tab w:val="left" w:pos="709"/>
        </w:tabs>
        <w:ind w:left="709" w:hanging="709"/>
      </w:pPr>
      <w:r>
        <w:t>1.5</w:t>
      </w:r>
      <w:r>
        <w:tab/>
        <w:t xml:space="preserve">Bei der Durchführung der Messungen sind die </w:t>
      </w:r>
      <w:r w:rsidR="00FD03B2">
        <w:t>„</w:t>
      </w:r>
      <w:r>
        <w:t>Richtlinien über die Festlegung von Referenzverfa</w:t>
      </w:r>
      <w:r>
        <w:t>h</w:t>
      </w:r>
      <w:r>
        <w:t>ren, die Auswahl von Äquivalenzme</w:t>
      </w:r>
      <w:r w:rsidR="00CA51F9">
        <w:t>ss</w:t>
      </w:r>
      <w:r>
        <w:t>verfahren und die Anwendung von Kalibrierverfahren</w:t>
      </w:r>
      <w:r w:rsidR="00FD03B2">
        <w:t>“</w:t>
      </w:r>
      <w:r>
        <w:t xml:space="preserve"> (G</w:t>
      </w:r>
      <w:r>
        <w:t>e</w:t>
      </w:r>
      <w:r>
        <w:t>meinsames Ministerialblatt 1988 S. 191) zu beachten.</w:t>
      </w:r>
    </w:p>
    <w:p w:rsidR="00371432" w:rsidRDefault="00371432" w:rsidP="00C86DCB">
      <w:pPr>
        <w:pStyle w:val="GesAbsatz"/>
        <w:tabs>
          <w:tab w:val="clear" w:pos="425"/>
          <w:tab w:val="left" w:pos="709"/>
        </w:tabs>
        <w:ind w:left="709" w:hanging="709"/>
      </w:pPr>
      <w:r>
        <w:t>1.6</w:t>
      </w:r>
      <w:r>
        <w:tab/>
        <w:t xml:space="preserve">Die Behörde kann in Einzelfällen an Stelle von Messungen nach den Nummern 1.4.1 und 1.4.2 das vorliegende Vorwissen über die Immissionsstruktur (z.B. bereits vorhandene </w:t>
      </w:r>
      <w:r w:rsidR="00CA51F9">
        <w:t>Messdaten</w:t>
      </w:r>
      <w:r>
        <w:t>, Übertr</w:t>
      </w:r>
      <w:r>
        <w:t>a</w:t>
      </w:r>
      <w:r>
        <w:t>gung von Erkenntnissen aus me</w:t>
      </w:r>
      <w:r w:rsidR="00CA51F9">
        <w:t>ss</w:t>
      </w:r>
      <w:r>
        <w:t xml:space="preserve">technisch oder durch Rechnungen </w:t>
      </w:r>
      <w:r w:rsidR="00CA51F9">
        <w:t>erfassten</w:t>
      </w:r>
      <w:r>
        <w:t xml:space="preserve"> ähnlichen Gebieten oder Straßenzügen, Ausbreitungsrechnungen) zur Beurteilung heranziehen, ob eine Überschreitung von Konzentrationswerten gemäß § 2 vorliegt, wenn die Qualität dieser Erkenntnisse eine ausre</w:t>
      </w:r>
      <w:r>
        <w:t>i</w:t>
      </w:r>
      <w:r>
        <w:t xml:space="preserve">chend genaue Aussage </w:t>
      </w:r>
      <w:r w:rsidR="00CA51F9">
        <w:t>zulässt</w:t>
      </w:r>
      <w:r>
        <w:t>; entsprechendes gilt für eine Verkürzung des Me</w:t>
      </w:r>
      <w:r w:rsidR="00CA51F9">
        <w:t>ss</w:t>
      </w:r>
      <w:r>
        <w:t>zeitraumes.</w:t>
      </w:r>
    </w:p>
    <w:p w:rsidR="00371432" w:rsidRPr="00CA51F9" w:rsidRDefault="00371432" w:rsidP="00CA51F9">
      <w:pPr>
        <w:pStyle w:val="berschrift3"/>
        <w:jc w:val="left"/>
        <w:rPr>
          <w:bCs/>
        </w:rPr>
      </w:pPr>
      <w:bookmarkStart w:id="14" w:name="_Toc398972285"/>
      <w:bookmarkStart w:id="15" w:name="_Toc448029360"/>
      <w:r w:rsidRPr="00CA51F9">
        <w:rPr>
          <w:bCs/>
        </w:rPr>
        <w:lastRenderedPageBreak/>
        <w:t>2.</w:t>
      </w:r>
      <w:r w:rsidR="00FD03B2">
        <w:rPr>
          <w:bCs/>
        </w:rPr>
        <w:t xml:space="preserve"> </w:t>
      </w:r>
      <w:r w:rsidRPr="00CA51F9">
        <w:rPr>
          <w:bCs/>
        </w:rPr>
        <w:t>Me</w:t>
      </w:r>
      <w:r w:rsidR="00CA51F9" w:rsidRPr="00CA51F9">
        <w:rPr>
          <w:bCs/>
        </w:rPr>
        <w:t>ss</w:t>
      </w:r>
      <w:r w:rsidRPr="00CA51F9">
        <w:rPr>
          <w:bCs/>
        </w:rPr>
        <w:t>orte</w:t>
      </w:r>
      <w:bookmarkEnd w:id="14"/>
      <w:bookmarkEnd w:id="15"/>
    </w:p>
    <w:p w:rsidR="00371432" w:rsidRDefault="00371432" w:rsidP="00C86DCB">
      <w:pPr>
        <w:pStyle w:val="GesAbsatz"/>
        <w:tabs>
          <w:tab w:val="clear" w:pos="425"/>
          <w:tab w:val="left" w:pos="709"/>
        </w:tabs>
        <w:ind w:left="709" w:hanging="709"/>
      </w:pPr>
      <w:r>
        <w:t>2.1</w:t>
      </w:r>
      <w:r>
        <w:tab/>
        <w:t>Zur Bestimmung der Me</w:t>
      </w:r>
      <w:r w:rsidR="00CA51F9">
        <w:t>ss</w:t>
      </w:r>
      <w:r>
        <w:t xml:space="preserve">orte sind für jede Luftverunreinigung nach § 2 die Straßen oder Gebiete zu ermitteln, in denen zu besorgen ist, </w:t>
      </w:r>
      <w:r w:rsidR="00CA51F9">
        <w:t>dass</w:t>
      </w:r>
      <w:r>
        <w:t xml:space="preserve"> mindestens eine Kenngröße nach Nummer 4 den en</w:t>
      </w:r>
      <w:r>
        <w:t>t</w:t>
      </w:r>
      <w:r>
        <w:t>sprechenden Konzentrationswert nach § 2 überschreitet und in oder an denen gleichzeitig Menschen nicht nur kurzzeitig exponiert sind. Hierbei sind insbesondere die aufgrund immissionsschutzrechtl</w:t>
      </w:r>
      <w:r>
        <w:t>i</w:t>
      </w:r>
      <w:r>
        <w:t xml:space="preserve">cher Vorschriften bereits durchgeführten </w:t>
      </w:r>
      <w:r w:rsidR="00CA51F9">
        <w:t>Messprogramme</w:t>
      </w:r>
      <w:r>
        <w:t>, vergleichbare Abschätzungen sowie M</w:t>
      </w:r>
      <w:r>
        <w:t>o</w:t>
      </w:r>
      <w:r>
        <w:t>dellrechnungen heranzuziehen, ebenso sind orographische Informationen, Verkehrsdaten, meteor</w:t>
      </w:r>
      <w:r>
        <w:t>o</w:t>
      </w:r>
      <w:r>
        <w:t>logische Daten, Bebauung</w:t>
      </w:r>
      <w:r w:rsidR="00CA51F9">
        <w:t>s</w:t>
      </w:r>
      <w:r>
        <w:t>struktur (z.B. Straßen</w:t>
      </w:r>
      <w:r w:rsidR="00CA51F9">
        <w:t>schl</w:t>
      </w:r>
      <w:r>
        <w:t>uchtcharakter) und Art der Nutzung im Hinblick auf den Schutz der menschlichen Gesundheit zu berücksichtigen. Reichen diese Unterlagen zur B</w:t>
      </w:r>
      <w:r>
        <w:t>e</w:t>
      </w:r>
      <w:r>
        <w:t>stimmung der Gebiete nicht aus, sind zeitlich befristete Messungen zur Orientierung durchzuführen.</w:t>
      </w:r>
    </w:p>
    <w:p w:rsidR="00371432" w:rsidRDefault="00371432" w:rsidP="00C86DCB">
      <w:pPr>
        <w:pStyle w:val="GesAbsatz"/>
        <w:tabs>
          <w:tab w:val="clear" w:pos="425"/>
          <w:tab w:val="left" w:pos="709"/>
        </w:tabs>
        <w:ind w:left="709" w:hanging="709"/>
      </w:pPr>
      <w:r>
        <w:t>2.2</w:t>
      </w:r>
      <w:r>
        <w:tab/>
        <w:t>In jeder Straße oder jedem Gebiet nach Nummer 2.1 ist die entsprechende Luftverunreinigung an dem Ort mit der mutmaßlich höchsten Exposition für Menschen nach den Kenngrößen der Nummer 4 zu messen. Soweit es zur Beurteilung der Belastungssituation im gesamten Gebiet erforderlich ist, sind weitere Me</w:t>
      </w:r>
      <w:r w:rsidR="00CA51F9">
        <w:t>ss</w:t>
      </w:r>
      <w:r>
        <w:t>orte in diesem Gebiet festzulegen.</w:t>
      </w:r>
    </w:p>
    <w:p w:rsidR="00371432" w:rsidRPr="00CA51F9" w:rsidRDefault="00371432" w:rsidP="00CA51F9">
      <w:pPr>
        <w:pStyle w:val="berschrift3"/>
        <w:jc w:val="left"/>
        <w:rPr>
          <w:bCs/>
        </w:rPr>
      </w:pPr>
      <w:bookmarkStart w:id="16" w:name="_Toc398972286"/>
      <w:bookmarkStart w:id="17" w:name="_Toc448029361"/>
      <w:r w:rsidRPr="00CA51F9">
        <w:rPr>
          <w:bCs/>
        </w:rPr>
        <w:t>3.</w:t>
      </w:r>
      <w:r w:rsidR="00FD03B2">
        <w:rPr>
          <w:bCs/>
        </w:rPr>
        <w:t xml:space="preserve"> </w:t>
      </w:r>
      <w:r w:rsidRPr="00CA51F9">
        <w:rPr>
          <w:bCs/>
        </w:rPr>
        <w:t xml:space="preserve">Kriterien zum Aufstellen der </w:t>
      </w:r>
      <w:bookmarkEnd w:id="16"/>
      <w:bookmarkEnd w:id="17"/>
      <w:r w:rsidR="00CA51F9" w:rsidRPr="00CA51F9">
        <w:rPr>
          <w:bCs/>
        </w:rPr>
        <w:t>Messeinrichtungen</w:t>
      </w:r>
    </w:p>
    <w:p w:rsidR="00371432" w:rsidRDefault="00371432" w:rsidP="00C86DCB">
      <w:pPr>
        <w:pStyle w:val="GesAbsatz"/>
        <w:ind w:left="709"/>
      </w:pPr>
      <w:r>
        <w:t>Der Probenahmeort sollte in mindestens 1 m Abstand von Gebäuden und in einer Höhe zwischen 1,5 m und 3,5 m liegen, wobei der diagonale Abstand zum Quellbereich (Mitte der zum Probena</w:t>
      </w:r>
      <w:r>
        <w:t>h</w:t>
      </w:r>
      <w:r>
        <w:t>meort nächstgelegenen Fahrspur) dabei nicht unter 4 m liegen soll.</w:t>
      </w:r>
    </w:p>
    <w:p w:rsidR="00371432" w:rsidRDefault="00371432" w:rsidP="00C86DCB">
      <w:pPr>
        <w:pStyle w:val="GesAbsatz"/>
        <w:ind w:left="709"/>
      </w:pPr>
      <w:r>
        <w:t xml:space="preserve">Befindet sich der </w:t>
      </w:r>
      <w:r w:rsidR="00CA51F9">
        <w:t>Messort</w:t>
      </w:r>
      <w:r>
        <w:t xml:space="preserve"> auf einem Gehweg, ist die </w:t>
      </w:r>
      <w:r w:rsidR="00CA51F9">
        <w:t>Messeinrichtung</w:t>
      </w:r>
      <w:r>
        <w:t xml:space="preserve"> so aufzustellen, </w:t>
      </w:r>
      <w:r w:rsidR="00CA51F9">
        <w:t>dass</w:t>
      </w:r>
      <w:r>
        <w:t xml:space="preserve"> sie mö</w:t>
      </w:r>
      <w:r>
        <w:t>g</w:t>
      </w:r>
      <w:r>
        <w:t>lichst 1 m Abstand zur Bordsteinkante hat.</w:t>
      </w:r>
    </w:p>
    <w:p w:rsidR="00371432" w:rsidRPr="00CA51F9" w:rsidRDefault="00371432" w:rsidP="00CA51F9">
      <w:pPr>
        <w:pStyle w:val="berschrift3"/>
        <w:jc w:val="left"/>
        <w:rPr>
          <w:bCs/>
        </w:rPr>
      </w:pPr>
      <w:bookmarkStart w:id="18" w:name="_Toc398972287"/>
      <w:bookmarkStart w:id="19" w:name="_Toc448029362"/>
      <w:r w:rsidRPr="00CA51F9">
        <w:rPr>
          <w:bCs/>
        </w:rPr>
        <w:t>4.</w:t>
      </w:r>
      <w:r w:rsidR="00FD03B2">
        <w:rPr>
          <w:bCs/>
        </w:rPr>
        <w:t xml:space="preserve"> </w:t>
      </w:r>
      <w:r w:rsidRPr="00CA51F9">
        <w:rPr>
          <w:bCs/>
        </w:rPr>
        <w:t>Bildungen von Kenngrößen</w:t>
      </w:r>
      <w:bookmarkEnd w:id="18"/>
      <w:bookmarkEnd w:id="19"/>
    </w:p>
    <w:p w:rsidR="00371432" w:rsidRDefault="00371432" w:rsidP="00C86DCB">
      <w:pPr>
        <w:pStyle w:val="GesAbsatz"/>
        <w:ind w:left="709"/>
      </w:pPr>
      <w:r>
        <w:t xml:space="preserve">Zur Beurteilung der gemessenen Konzentrationen der Luftverunreinigungen werden </w:t>
      </w:r>
      <w:r>
        <w:tab/>
        <w:t>Kenngrößen gebildet.</w:t>
      </w:r>
    </w:p>
    <w:p w:rsidR="00371432" w:rsidRDefault="00371432" w:rsidP="00C86DCB">
      <w:pPr>
        <w:pStyle w:val="GesAbsatz"/>
        <w:tabs>
          <w:tab w:val="clear" w:pos="425"/>
          <w:tab w:val="left" w:pos="709"/>
        </w:tabs>
        <w:ind w:left="709" w:hanging="709"/>
      </w:pPr>
      <w:r>
        <w:t>4.1</w:t>
      </w:r>
      <w:r>
        <w:tab/>
        <w:t xml:space="preserve">Die Kenngröße für Stickstoffdioxid an einer </w:t>
      </w:r>
      <w:r w:rsidR="00CA51F9">
        <w:t>Messstelle</w:t>
      </w:r>
      <w:r>
        <w:t xml:space="preserve"> ist der 98-Prozent-Wert der Summenhäufi</w:t>
      </w:r>
      <w:r>
        <w:t>g</w:t>
      </w:r>
      <w:r>
        <w:t>keitsverteilung aller gemessenen Halbstundenmittelwerte.</w:t>
      </w:r>
    </w:p>
    <w:p w:rsidR="00371432" w:rsidRDefault="00371432" w:rsidP="00C86DCB">
      <w:pPr>
        <w:pStyle w:val="GesAbsatz"/>
        <w:tabs>
          <w:tab w:val="clear" w:pos="425"/>
          <w:tab w:val="left" w:pos="709"/>
        </w:tabs>
        <w:ind w:left="709" w:hanging="709"/>
      </w:pPr>
      <w:r>
        <w:t>4.2</w:t>
      </w:r>
      <w:r>
        <w:tab/>
        <w:t xml:space="preserve">Die Kenngröße für Ruß an einer </w:t>
      </w:r>
      <w:r w:rsidR="00CA51F9">
        <w:t>Messstelle</w:t>
      </w:r>
      <w:r>
        <w:t xml:space="preserve"> ist der arithmetische Mittelwert aller gemessenen 24-Stundenmittelwerte oder Wochenmittelwerte oder Monatsmittelwerte.</w:t>
      </w:r>
    </w:p>
    <w:p w:rsidR="00371432" w:rsidRDefault="00371432" w:rsidP="00C86DCB">
      <w:pPr>
        <w:pStyle w:val="GesAbsatz"/>
        <w:tabs>
          <w:tab w:val="clear" w:pos="425"/>
          <w:tab w:val="left" w:pos="709"/>
        </w:tabs>
        <w:ind w:left="709" w:hanging="709"/>
      </w:pPr>
      <w:r>
        <w:t>4.3</w:t>
      </w:r>
      <w:r>
        <w:tab/>
        <w:t xml:space="preserve">Die Kenngröße für Benzol an einer </w:t>
      </w:r>
      <w:r w:rsidR="00CA51F9">
        <w:t>Messstelle</w:t>
      </w:r>
      <w:r>
        <w:t xml:space="preserve"> ist der arithmetische Mittelwert aller gemessenen Halbstundenmittelwerte oder 24-Stundenmittelwerte oder Wochenmittelwerte oder Monatsmittelwe</w:t>
      </w:r>
      <w:r>
        <w:t>r</w:t>
      </w:r>
      <w:r>
        <w:t>te.</w:t>
      </w:r>
    </w:p>
    <w:p w:rsidR="00371432" w:rsidRDefault="00371432" w:rsidP="00C86DCB">
      <w:pPr>
        <w:pStyle w:val="GesAbsatz"/>
        <w:tabs>
          <w:tab w:val="clear" w:pos="425"/>
          <w:tab w:val="left" w:pos="709"/>
        </w:tabs>
        <w:ind w:left="709" w:hanging="709"/>
      </w:pPr>
      <w:r>
        <w:t>4.4</w:t>
      </w:r>
      <w:r>
        <w:tab/>
        <w:t>Damit eine Kenngröße zur Beurteilung der in § 2 genannten Konzentrationswerte herangezogen werden kann, sollen bei kontinuierlichen Messungen bzw. bei der Ermittlung von Wochen- oder M</w:t>
      </w:r>
      <w:r>
        <w:t>o</w:t>
      </w:r>
      <w:r>
        <w:t xml:space="preserve">natsmittelwerte mindestens 75 vom Hundert der möglichen </w:t>
      </w:r>
      <w:r w:rsidR="00CA51F9">
        <w:t>Messwerte</w:t>
      </w:r>
      <w:r>
        <w:t xml:space="preserve"> vorliegen.</w:t>
      </w:r>
    </w:p>
    <w:p w:rsidR="00371432" w:rsidRPr="00CA51F9" w:rsidRDefault="00371432" w:rsidP="00CA51F9">
      <w:pPr>
        <w:pStyle w:val="berschrift3"/>
        <w:jc w:val="left"/>
        <w:rPr>
          <w:bCs/>
        </w:rPr>
      </w:pPr>
      <w:bookmarkStart w:id="20" w:name="_Toc398972288"/>
      <w:bookmarkStart w:id="21" w:name="_Toc448029363"/>
      <w:r w:rsidRPr="00CA51F9">
        <w:rPr>
          <w:bCs/>
        </w:rPr>
        <w:t>5.</w:t>
      </w:r>
      <w:r w:rsidR="00FD03B2">
        <w:rPr>
          <w:bCs/>
        </w:rPr>
        <w:t xml:space="preserve"> </w:t>
      </w:r>
      <w:r w:rsidRPr="00CA51F9">
        <w:rPr>
          <w:bCs/>
        </w:rPr>
        <w:t>Beurteilungsverfahren</w:t>
      </w:r>
      <w:bookmarkEnd w:id="20"/>
      <w:bookmarkEnd w:id="21"/>
    </w:p>
    <w:p w:rsidR="00371432" w:rsidRDefault="00371432" w:rsidP="00C86DCB">
      <w:pPr>
        <w:pStyle w:val="GesAbsatz"/>
        <w:ind w:left="709"/>
      </w:pPr>
      <w:r>
        <w:t>Überschreitet eine Kenngröße den entsprechenden Konzentrationswert nach § 2 oder liegen sonst</w:t>
      </w:r>
      <w:r>
        <w:t>i</w:t>
      </w:r>
      <w:r>
        <w:t>ge Erkenntnisse nach Nummer 1.6 vor, die eine Feststellung im Sinne des § 2 ermöglichen, sind Maßnahmen nach § 40 Abs. 2 Satz 1 des Bundes-Immissionsschutzgesetzes von den zuständigen Behörden zu prüfen.</w:t>
      </w:r>
    </w:p>
    <w:p w:rsidR="00371432" w:rsidRDefault="00371432" w:rsidP="00C86DCB">
      <w:pPr>
        <w:pStyle w:val="GesAbsatz"/>
        <w:ind w:left="709"/>
      </w:pPr>
      <w:r>
        <w:t>Die für den Immissionsschutz zuständige Behörde beurteilt zunächst die vorliegenden Erkenntnisse über die Immissionssituation, indem sie insbesondere die erhaltenen Immissionsdaten in Beziehung zu den Verkehrsdaten setzt, um Aussagen über den Immissionsanteil des Verkehrs zu erhalten.</w:t>
      </w:r>
    </w:p>
    <w:p w:rsidR="00CA51F9" w:rsidRDefault="00CA51F9" w:rsidP="00D2091B">
      <w:pPr>
        <w:pStyle w:val="GesAbsatz"/>
      </w:pPr>
      <w:bookmarkStart w:id="22" w:name="_Toc398972289"/>
      <w:bookmarkStart w:id="23" w:name="_Toc448029364"/>
    </w:p>
    <w:p w:rsidR="00CA51F9" w:rsidRDefault="00CA51F9" w:rsidP="00D2091B">
      <w:pPr>
        <w:pStyle w:val="GesAbsatz"/>
      </w:pPr>
    </w:p>
    <w:p w:rsidR="00371432" w:rsidRPr="00CA51F9" w:rsidRDefault="00371432" w:rsidP="00CA51F9">
      <w:pPr>
        <w:pStyle w:val="berschrift2"/>
        <w:jc w:val="left"/>
        <w:rPr>
          <w:bCs/>
        </w:rPr>
      </w:pPr>
      <w:r w:rsidRPr="00CA51F9">
        <w:rPr>
          <w:bCs/>
        </w:rPr>
        <w:t>Anhang II</w:t>
      </w:r>
      <w:r w:rsidRPr="00CA51F9">
        <w:rPr>
          <w:bCs/>
        </w:rPr>
        <w:br/>
        <w:t>Verfahren zur Bestimmung von Ruß in der Außenluft</w:t>
      </w:r>
      <w:bookmarkEnd w:id="22"/>
      <w:bookmarkEnd w:id="23"/>
    </w:p>
    <w:p w:rsidR="00371432" w:rsidRPr="00CA51F9" w:rsidRDefault="00371432" w:rsidP="00CA51F9">
      <w:pPr>
        <w:pStyle w:val="berschrift3"/>
        <w:jc w:val="left"/>
        <w:rPr>
          <w:bCs/>
        </w:rPr>
      </w:pPr>
      <w:bookmarkStart w:id="24" w:name="_Toc398972290"/>
      <w:bookmarkStart w:id="25" w:name="_Toc448029365"/>
      <w:r w:rsidRPr="00CA51F9">
        <w:rPr>
          <w:bCs/>
        </w:rPr>
        <w:t>1.</w:t>
      </w:r>
      <w:r w:rsidR="00272EA3">
        <w:rPr>
          <w:bCs/>
        </w:rPr>
        <w:t xml:space="preserve"> </w:t>
      </w:r>
      <w:bookmarkStart w:id="26" w:name="_GoBack"/>
      <w:bookmarkEnd w:id="26"/>
      <w:r w:rsidRPr="00CA51F9">
        <w:rPr>
          <w:bCs/>
        </w:rPr>
        <w:t>Verfahrensgrundlagen</w:t>
      </w:r>
      <w:bookmarkEnd w:id="24"/>
      <w:bookmarkEnd w:id="25"/>
    </w:p>
    <w:p w:rsidR="00371432" w:rsidRDefault="00371432" w:rsidP="00D2091B">
      <w:pPr>
        <w:pStyle w:val="GesAbsatz"/>
      </w:pPr>
      <w:r>
        <w:t>Gemessen wird die Konzentration an elementarem Kohlenstoff des lungengängigen Feinstaubes in der A</w:t>
      </w:r>
      <w:r>
        <w:t>u</w:t>
      </w:r>
      <w:r>
        <w:t>ßenluft. Dazu wird ein definiertes Luftvolumen durch ein Glasfilter gesaugt und die lungengängige Partike</w:t>
      </w:r>
      <w:r>
        <w:t>l</w:t>
      </w:r>
      <w:r>
        <w:t xml:space="preserve">fraktion abgeschieden. Nach Entfernen der organischen Kohlenstofffraktion durch Flüssigextraktion und </w:t>
      </w:r>
      <w:r>
        <w:lastRenderedPageBreak/>
        <w:t>Thermodesorption unter N</w:t>
      </w:r>
      <w:r>
        <w:rPr>
          <w:vertAlign w:val="subscript"/>
        </w:rPr>
        <w:t>2</w:t>
      </w:r>
      <w:r>
        <w:t xml:space="preserve"> wird der Gehalt an elementarem Kohlenstoff durch Verbrennen im O</w:t>
      </w:r>
      <w:r>
        <w:rPr>
          <w:vertAlign w:val="subscript"/>
        </w:rPr>
        <w:t>2</w:t>
      </w:r>
      <w:r>
        <w:t>-Strom und cou</w:t>
      </w:r>
      <w:r w:rsidR="00CA51F9">
        <w:t>l</w:t>
      </w:r>
      <w:r>
        <w:t>ometrischer Detektion des gebildeten CO</w:t>
      </w:r>
      <w:r>
        <w:rPr>
          <w:vertAlign w:val="subscript"/>
        </w:rPr>
        <w:t>2</w:t>
      </w:r>
      <w:r>
        <w:t xml:space="preserve"> bestimmt.</w:t>
      </w:r>
    </w:p>
    <w:p w:rsidR="00371432" w:rsidRPr="00CA51F9" w:rsidRDefault="00371432" w:rsidP="00CA51F9">
      <w:pPr>
        <w:pStyle w:val="berschrift3"/>
        <w:jc w:val="left"/>
        <w:rPr>
          <w:bCs/>
        </w:rPr>
      </w:pPr>
      <w:bookmarkStart w:id="27" w:name="_Toc398972291"/>
      <w:bookmarkStart w:id="28" w:name="_Toc448029366"/>
      <w:r w:rsidRPr="00CA51F9">
        <w:rPr>
          <w:bCs/>
        </w:rPr>
        <w:t>2.</w:t>
      </w:r>
      <w:r w:rsidR="00272EA3">
        <w:rPr>
          <w:bCs/>
        </w:rPr>
        <w:t xml:space="preserve"> </w:t>
      </w:r>
      <w:r w:rsidRPr="00CA51F9">
        <w:rPr>
          <w:bCs/>
        </w:rPr>
        <w:t>Probenahme</w:t>
      </w:r>
      <w:bookmarkEnd w:id="27"/>
      <w:bookmarkEnd w:id="28"/>
    </w:p>
    <w:p w:rsidR="00371432" w:rsidRDefault="00371432" w:rsidP="00D2091B">
      <w:pPr>
        <w:pStyle w:val="GesAbsatz"/>
      </w:pPr>
      <w:r>
        <w:t>Bei der Probenahme sind Systeme zu verwenden, die den Feinstaub erfassen und größere Partikel mit e</w:t>
      </w:r>
      <w:r>
        <w:t>i</w:t>
      </w:r>
      <w:r>
        <w:t>nem aerodynamischen Durchmesser &gt; 10 µm durch Vorabscheider überwiegend aus der Probenluft entfe</w:t>
      </w:r>
      <w:r>
        <w:t>r</w:t>
      </w:r>
      <w:r>
        <w:t>nen. Geeignet sind z.B. das Kleinfiltergerät GS 050/3-C (VDI-Richtlinie 2463, Blatt 7 (August 1982)</w:t>
      </w:r>
      <w:r w:rsidR="00A00F7B">
        <w:t xml:space="preserve"> </w:t>
      </w:r>
      <w:r>
        <w:t>mit Vo</w:t>
      </w:r>
      <w:r>
        <w:t>r</w:t>
      </w:r>
      <w:r>
        <w:t xml:space="preserve">abscheider gemäß PM 10-Konvention oder das Gerät MPG-II </w:t>
      </w:r>
      <w:r w:rsidR="00A00F7B">
        <w:t>mit</w:t>
      </w:r>
      <w:r>
        <w:t xml:space="preserve"> Vorabscheidung gemäß Johannesburger Konvention. Der Luftvolumenstrom von 2 bis 3 m³/h wird mittels einer geregelten Vakuumpumpe konstant gehalten, die eine Regelgenauigkeit von besser als 5 vom Hundert aufweist.</w:t>
      </w:r>
    </w:p>
    <w:p w:rsidR="00371432" w:rsidRDefault="00371432" w:rsidP="00D2091B">
      <w:pPr>
        <w:pStyle w:val="GesAbsatz"/>
      </w:pPr>
      <w:r>
        <w:t>Zur Abscheidung des Feinstaubes werden bindemittelfreie Glasfaserfilter (Durchmesser: 47 bis 50 mm) ve</w:t>
      </w:r>
      <w:r>
        <w:t>r</w:t>
      </w:r>
      <w:r>
        <w:t xml:space="preserve">wendet. Vor </w:t>
      </w:r>
      <w:proofErr w:type="gramStart"/>
      <w:r>
        <w:t>der Probenahme</w:t>
      </w:r>
      <w:proofErr w:type="gramEnd"/>
      <w:r>
        <w:t xml:space="preserve"> werden diese bei 500 °C über 4 Stunden geglüht, um Reste organischer Ve</w:t>
      </w:r>
      <w:r>
        <w:t>r</w:t>
      </w:r>
      <w:r>
        <w:t>bindungen zu entfernen. Für jede Probenahme werden zwei Glasfaserfilter zusammen gewogen und a</w:t>
      </w:r>
      <w:r>
        <w:t>n</w:t>
      </w:r>
      <w:r>
        <w:t>schließend hintereinander in den Filterhalter des Probenahmegerätes gelegt (Außenluftfilter und Back-up-Filter), um auch beim Durchbruch des Außenluftfilters eine korrekte Messung zu gewährleisten. Die Prob</w:t>
      </w:r>
      <w:r>
        <w:t>e</w:t>
      </w:r>
      <w:r>
        <w:t>nahmedauer beträgt 24 Stunden. Zur Bestimmung der Kohlenstoffkonzentration wird die Summe aus den Kohlenstoffgehalten der Einzelfilter herangezogen.</w:t>
      </w:r>
    </w:p>
    <w:p w:rsidR="00371432" w:rsidRPr="00CA51F9" w:rsidRDefault="00371432" w:rsidP="00CA51F9">
      <w:pPr>
        <w:pStyle w:val="berschrift3"/>
        <w:jc w:val="left"/>
        <w:rPr>
          <w:bCs/>
        </w:rPr>
      </w:pPr>
      <w:bookmarkStart w:id="29" w:name="_Toc398972292"/>
      <w:bookmarkStart w:id="30" w:name="_Toc448029367"/>
      <w:r w:rsidRPr="00CA51F9">
        <w:rPr>
          <w:bCs/>
        </w:rPr>
        <w:t>3.</w:t>
      </w:r>
      <w:r w:rsidR="00272EA3">
        <w:rPr>
          <w:bCs/>
        </w:rPr>
        <w:t xml:space="preserve"> </w:t>
      </w:r>
      <w:r w:rsidRPr="00CA51F9">
        <w:rPr>
          <w:bCs/>
        </w:rPr>
        <w:t>Abtrennung des organischen Kohlenstoffes</w:t>
      </w:r>
      <w:bookmarkEnd w:id="29"/>
      <w:bookmarkEnd w:id="30"/>
    </w:p>
    <w:p w:rsidR="00371432" w:rsidRDefault="00371432" w:rsidP="00D2091B">
      <w:pPr>
        <w:pStyle w:val="GesAbsatz"/>
      </w:pPr>
      <w:r>
        <w:t>Die belegten Filter (Außenluft- und Back-up-Filter) werden bei Raumtemperatur 24 Stunden im Exsikkator über Silikagel getrocknet, zur Bestimmung der Feinstaubkonzentration gewogen und anschließend halbiert. Eine Filterhälfte wird zur Bestimmung des Gesamtkohlenstoffes ohne weitere Vorbehandlung, wie unter Nummer 4 beschrieben, verbrannt.</w:t>
      </w:r>
    </w:p>
    <w:p w:rsidR="00371432" w:rsidRPr="00CA51F9" w:rsidRDefault="00371432" w:rsidP="00CA51F9">
      <w:pPr>
        <w:pStyle w:val="berschrift3"/>
        <w:jc w:val="left"/>
        <w:rPr>
          <w:bCs/>
        </w:rPr>
      </w:pPr>
      <w:bookmarkStart w:id="31" w:name="_Toc398972293"/>
      <w:bookmarkStart w:id="32" w:name="_Toc448029368"/>
      <w:r w:rsidRPr="00CA51F9">
        <w:rPr>
          <w:bCs/>
        </w:rPr>
        <w:t>3.1</w:t>
      </w:r>
      <w:r w:rsidR="00272EA3">
        <w:rPr>
          <w:bCs/>
        </w:rPr>
        <w:t xml:space="preserve"> </w:t>
      </w:r>
      <w:r w:rsidRPr="00CA51F9">
        <w:rPr>
          <w:bCs/>
        </w:rPr>
        <w:t>Flüssigextraktion</w:t>
      </w:r>
      <w:bookmarkEnd w:id="31"/>
      <w:bookmarkEnd w:id="32"/>
    </w:p>
    <w:p w:rsidR="00371432" w:rsidRDefault="00371432" w:rsidP="00D2091B">
      <w:pPr>
        <w:pStyle w:val="GesAbsatz"/>
      </w:pPr>
      <w:r>
        <w:t>Die Filterhälfte zur Bestimmung des elementaren Kohlenstoffes wird einer Flüssigextraktion unterzogen. Dazu werden in einer Petrischale mit Schliff beide halbierten Filter (belegte Fläche des Außenluftfilters nach oben) mit 10 ml einer 50:50 Vol.-%-Mischung aus Toluol und Isopropanol mit Hilfe einer Pipette bedeckt. Die Schale wird verschlossen und 24 Stunden bei Raumtemperatur stehengelassen. Nach der Extraktion wird das Lösemittel aus der Schale abpipettiert. Anschließend werden die Filterhälften während 4 Stunden im N</w:t>
      </w:r>
      <w:r>
        <w:rPr>
          <w:vertAlign w:val="subscript"/>
        </w:rPr>
        <w:t>2</w:t>
      </w:r>
      <w:r>
        <w:t>-Strom und danach weitere 20 Stunden in einem evakuierten Exsikkator getrocknet.</w:t>
      </w:r>
    </w:p>
    <w:p w:rsidR="00371432" w:rsidRPr="00CA51F9" w:rsidRDefault="00371432" w:rsidP="00CA51F9">
      <w:pPr>
        <w:pStyle w:val="berschrift3"/>
        <w:jc w:val="left"/>
        <w:rPr>
          <w:bCs/>
        </w:rPr>
      </w:pPr>
      <w:bookmarkStart w:id="33" w:name="_Toc398972294"/>
      <w:bookmarkStart w:id="34" w:name="_Toc448029369"/>
      <w:r w:rsidRPr="00CA51F9">
        <w:rPr>
          <w:bCs/>
        </w:rPr>
        <w:t>3.2</w:t>
      </w:r>
      <w:r w:rsidR="00272EA3">
        <w:rPr>
          <w:bCs/>
        </w:rPr>
        <w:t xml:space="preserve"> </w:t>
      </w:r>
      <w:r w:rsidRPr="00CA51F9">
        <w:rPr>
          <w:bCs/>
        </w:rPr>
        <w:t>Thermodesorption</w:t>
      </w:r>
      <w:bookmarkEnd w:id="33"/>
      <w:bookmarkEnd w:id="34"/>
    </w:p>
    <w:p w:rsidR="00371432" w:rsidRDefault="00371432" w:rsidP="00D2091B">
      <w:pPr>
        <w:pStyle w:val="GesAbsatz"/>
      </w:pPr>
      <w:r>
        <w:t>Die extrahierten und getrockneten Filterhälften werden zur Entfernung von an der Probe anhaftenden L</w:t>
      </w:r>
      <w:r>
        <w:t>ö</w:t>
      </w:r>
      <w:r>
        <w:t>sungsmittelresten und nicht extrahierbaren organischen Fraktionen einem Thermodesorptionsschritt unte</w:t>
      </w:r>
      <w:r>
        <w:t>r</w:t>
      </w:r>
      <w:r>
        <w:t>zogen. Die Thermodesorption lehnt sich an die unter Nummer 4 beschriebene Bestimmung des elementaren Kohlenstoffes an. Abweichend dazu wird als Trägergas N</w:t>
      </w:r>
      <w:r>
        <w:rPr>
          <w:vertAlign w:val="subscript"/>
        </w:rPr>
        <w:t>2</w:t>
      </w:r>
      <w:r>
        <w:t xml:space="preserve"> der Reinheit 4.6 verwendet. Die Probe wird 1 Minute auf 200 °C und anschließend 7 Minuten auf 500 °C erhitzt. Die Bestimmung des gebildeten CO</w:t>
      </w:r>
      <w:r>
        <w:rPr>
          <w:vertAlign w:val="subscript"/>
        </w:rPr>
        <w:t>2</w:t>
      </w:r>
      <w:r>
        <w:t xml:space="preserve"> e</w:t>
      </w:r>
      <w:r>
        <w:t>r</w:t>
      </w:r>
      <w:r>
        <w:t>folgt nach einer Gesamtzeit von 10 Minuten.</w:t>
      </w:r>
    </w:p>
    <w:p w:rsidR="00371432" w:rsidRPr="00CA51F9" w:rsidRDefault="00371432" w:rsidP="00CA51F9">
      <w:pPr>
        <w:pStyle w:val="berschrift3"/>
        <w:jc w:val="left"/>
        <w:rPr>
          <w:bCs/>
        </w:rPr>
      </w:pPr>
      <w:bookmarkStart w:id="35" w:name="_Toc398972295"/>
      <w:bookmarkStart w:id="36" w:name="_Toc448029370"/>
      <w:r w:rsidRPr="00CA51F9">
        <w:rPr>
          <w:bCs/>
        </w:rPr>
        <w:t>4</w:t>
      </w:r>
      <w:r w:rsidR="00272EA3">
        <w:rPr>
          <w:bCs/>
        </w:rPr>
        <w:t xml:space="preserve"> </w:t>
      </w:r>
      <w:r w:rsidRPr="00CA51F9">
        <w:rPr>
          <w:bCs/>
        </w:rPr>
        <w:t>Bestimmung des elementaren Kohlenstoffes</w:t>
      </w:r>
      <w:bookmarkEnd w:id="35"/>
      <w:bookmarkEnd w:id="36"/>
    </w:p>
    <w:p w:rsidR="00371432" w:rsidRDefault="00371432" w:rsidP="00D2091B">
      <w:pPr>
        <w:pStyle w:val="GesAbsatz"/>
      </w:pPr>
      <w:r>
        <w:t xml:space="preserve">Das Verfahren zur Bestimmung des elementaren Kohlenstoffes </w:t>
      </w:r>
      <w:proofErr w:type="gramStart"/>
      <w:r>
        <w:t>ist in den VDI-Richtlinien 3481 „Messen gasförmiger Emissionen“, Blatt 2 (April 1980) und 3495 „Messen gasförmiger Immissionen“</w:t>
      </w:r>
      <w:proofErr w:type="gramEnd"/>
      <w:r>
        <w:t>, Blatt 1 (Se</w:t>
      </w:r>
      <w:r>
        <w:t>p</w:t>
      </w:r>
      <w:r>
        <w:t>tember 1980) beschrieben. Die Proben werden mit dem dort festgelegten Aufbau 1 Minute auf 200° C und 7 Minuten auf 650</w:t>
      </w:r>
      <w:r w:rsidR="005F0D4B">
        <w:t xml:space="preserve"> </w:t>
      </w:r>
      <w:r>
        <w:t>°C unter O</w:t>
      </w:r>
      <w:r>
        <w:rPr>
          <w:vertAlign w:val="subscript"/>
        </w:rPr>
        <w:t>2</w:t>
      </w:r>
      <w:r>
        <w:t xml:space="preserve"> der Reinheit 3.5 erhitzt. Das dabei gebildete CO</w:t>
      </w:r>
      <w:r>
        <w:rPr>
          <w:vertAlign w:val="subscript"/>
        </w:rPr>
        <w:t>2</w:t>
      </w:r>
      <w:r>
        <w:t xml:space="preserve"> wird nach einer Gesamtzeit von 10 Minuten durch Titration bestimmt.</w:t>
      </w:r>
    </w:p>
    <w:p w:rsidR="00371432" w:rsidRPr="00CA51F9" w:rsidRDefault="00371432" w:rsidP="00CA51F9">
      <w:pPr>
        <w:pStyle w:val="berschrift3"/>
        <w:jc w:val="left"/>
        <w:rPr>
          <w:bCs/>
        </w:rPr>
      </w:pPr>
      <w:bookmarkStart w:id="37" w:name="_Toc398972296"/>
      <w:bookmarkStart w:id="38" w:name="_Toc448029371"/>
      <w:r w:rsidRPr="00CA51F9">
        <w:rPr>
          <w:bCs/>
        </w:rPr>
        <w:t>5.</w:t>
      </w:r>
      <w:r w:rsidR="00272EA3">
        <w:rPr>
          <w:bCs/>
        </w:rPr>
        <w:t xml:space="preserve"> </w:t>
      </w:r>
      <w:r w:rsidRPr="00CA51F9">
        <w:rPr>
          <w:bCs/>
        </w:rPr>
        <w:t>Verfahrenskenngrößen</w:t>
      </w:r>
      <w:bookmarkEnd w:id="37"/>
      <w:bookmarkEnd w:id="38"/>
    </w:p>
    <w:p w:rsidR="00371432" w:rsidRDefault="00371432" w:rsidP="00D2091B">
      <w:pPr>
        <w:pStyle w:val="GesAbsatz"/>
      </w:pPr>
      <w:r>
        <w:t>Die Nachweisgrenze für elementaren Kohlenstoff beträgt unter den oben dargelegten Probenahme</w:t>
      </w:r>
      <w:r w:rsidR="00CA51F9">
        <w:softHyphen/>
      </w:r>
      <w:r>
        <w:t>bedingungen 0,18 µg/m³. Die einfache Standardabweichung des Verfahrens liegt für den Konzentrationsb</w:t>
      </w:r>
      <w:r>
        <w:t>e</w:t>
      </w:r>
      <w:r>
        <w:t>reich des elementaren Kohlenstoffes bis 5 µg/m³ bei 15 vom Hundert und für den Bereich zwischen 5</w:t>
      </w:r>
      <w:r w:rsidR="00D2091B">
        <w:t xml:space="preserve"> </w:t>
      </w:r>
      <w:r>
        <w:t>µg/m³ und 15</w:t>
      </w:r>
      <w:r w:rsidR="00D2091B">
        <w:t xml:space="preserve"> </w:t>
      </w:r>
      <w:r>
        <w:t xml:space="preserve">µg/m³ </w:t>
      </w:r>
      <w:r w:rsidR="005F0D4B">
        <w:t xml:space="preserve">bei 5 </w:t>
      </w:r>
      <w:r>
        <w:t>vom Hundert.</w:t>
      </w:r>
    </w:p>
    <w:sectPr w:rsidR="00371432" w:rsidSect="00D2091B">
      <w:headerReference w:type="default" r:id="rId8"/>
      <w:footerReference w:type="default" r:id="rId9"/>
      <w:type w:val="continuous"/>
      <w:pgSz w:w="11907" w:h="16840" w:code="9"/>
      <w:pgMar w:top="1134" w:right="851" w:bottom="1134"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432" w:rsidRDefault="00371432">
      <w:r>
        <w:separator/>
      </w:r>
    </w:p>
    <w:p w:rsidR="00371432" w:rsidRDefault="00371432"/>
  </w:endnote>
  <w:endnote w:type="continuationSeparator" w:id="0">
    <w:p w:rsidR="00371432" w:rsidRDefault="00371432">
      <w:r>
        <w:continuationSeparator/>
      </w:r>
    </w:p>
    <w:p w:rsidR="00371432" w:rsidRDefault="003714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432" w:rsidRPr="00CA51F9" w:rsidRDefault="00371432" w:rsidP="00CA51F9">
    <w:pPr>
      <w:pStyle w:val="Fuzeile"/>
    </w:pPr>
    <w:r w:rsidRPr="00CA51F9">
      <w:tab/>
      <w:t>Stand 16.12.1996 (BGBl. I S.1962)</w:t>
    </w:r>
    <w:r w:rsidRPr="00CA51F9">
      <w:tab/>
      <w:t xml:space="preserve">Seite </w:t>
    </w:r>
    <w:r w:rsidRPr="00CA51F9">
      <w:fldChar w:fldCharType="begin"/>
    </w:r>
    <w:r w:rsidRPr="00CA51F9">
      <w:instrText xml:space="preserve"> PAGE  \* MERGEFORMAT </w:instrText>
    </w:r>
    <w:r w:rsidRPr="00CA51F9">
      <w:fldChar w:fldCharType="separate"/>
    </w:r>
    <w:r w:rsidR="00272EA3">
      <w:rPr>
        <w:noProof/>
      </w:rPr>
      <w:t>1</w:t>
    </w:r>
    <w:r w:rsidRPr="00CA51F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432" w:rsidRDefault="00371432">
      <w:r>
        <w:separator/>
      </w:r>
    </w:p>
    <w:p w:rsidR="00371432" w:rsidRDefault="00371432"/>
  </w:footnote>
  <w:footnote w:type="continuationSeparator" w:id="0">
    <w:p w:rsidR="00371432" w:rsidRDefault="00371432">
      <w:r>
        <w:continuationSeparator/>
      </w:r>
    </w:p>
    <w:p w:rsidR="00371432" w:rsidRDefault="003714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432" w:rsidRDefault="00371432" w:rsidP="00822D7C">
    <w:pPr>
      <w:pStyle w:val="Kopfzeile0"/>
    </w:pPr>
    <w:r>
      <w:t>Archiv6.22</w:t>
    </w:r>
  </w:p>
  <w:p w:rsidR="00371432" w:rsidRPr="00822D7C" w:rsidRDefault="00371432" w:rsidP="00822D7C">
    <w:pPr>
      <w:pStyle w:val="Kopfzeile"/>
    </w:pPr>
    <w:r>
      <w:t>23. BImSchV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DAA"/>
    <w:rsid w:val="00106507"/>
    <w:rsid w:val="00272EA3"/>
    <w:rsid w:val="00346377"/>
    <w:rsid w:val="00371432"/>
    <w:rsid w:val="005F0D4B"/>
    <w:rsid w:val="00755D87"/>
    <w:rsid w:val="00822D7C"/>
    <w:rsid w:val="009F7068"/>
    <w:rsid w:val="00A00F7B"/>
    <w:rsid w:val="00C86DCB"/>
    <w:rsid w:val="00CA51F9"/>
    <w:rsid w:val="00CF6DAA"/>
    <w:rsid w:val="00D2091B"/>
    <w:rsid w:val="00FD03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22D7C"/>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822D7C"/>
    <w:pPr>
      <w:keepNext/>
      <w:spacing w:after="120"/>
      <w:jc w:val="center"/>
      <w:outlineLvl w:val="0"/>
    </w:pPr>
    <w:rPr>
      <w:b/>
      <w:kern w:val="28"/>
      <w:sz w:val="28"/>
    </w:rPr>
  </w:style>
  <w:style w:type="paragraph" w:styleId="berschrift2">
    <w:name w:val="heading 2"/>
    <w:basedOn w:val="Standard"/>
    <w:next w:val="GesAbsatz"/>
    <w:qFormat/>
    <w:rsid w:val="00822D7C"/>
    <w:pPr>
      <w:keepNext/>
      <w:spacing w:before="240"/>
      <w:jc w:val="center"/>
      <w:outlineLvl w:val="1"/>
    </w:pPr>
    <w:rPr>
      <w:b/>
      <w:sz w:val="24"/>
    </w:rPr>
  </w:style>
  <w:style w:type="paragraph" w:styleId="berschrift3">
    <w:name w:val="heading 3"/>
    <w:basedOn w:val="Standard"/>
    <w:next w:val="GesAbsatz"/>
    <w:qFormat/>
    <w:rsid w:val="00822D7C"/>
    <w:pPr>
      <w:keepNext/>
      <w:spacing w:before="240" w:after="180"/>
      <w:jc w:val="center"/>
      <w:outlineLvl w:val="2"/>
    </w:pPr>
    <w:rPr>
      <w:b/>
    </w:rPr>
  </w:style>
  <w:style w:type="paragraph" w:styleId="berschrift4">
    <w:name w:val="heading 4"/>
    <w:basedOn w:val="Standard"/>
    <w:next w:val="Standard"/>
    <w:rsid w:val="00822D7C"/>
    <w:pPr>
      <w:keepNext/>
      <w:spacing w:before="240"/>
      <w:outlineLvl w:val="3"/>
    </w:pPr>
  </w:style>
  <w:style w:type="paragraph" w:styleId="berschrift5">
    <w:name w:val="heading 5"/>
    <w:basedOn w:val="Standard"/>
    <w:next w:val="Standard"/>
    <w:link w:val="berschrift5Zchn"/>
    <w:rsid w:val="00822D7C"/>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822D7C"/>
    <w:pPr>
      <w:tabs>
        <w:tab w:val="center" w:pos="4536"/>
        <w:tab w:val="right" w:pos="9072"/>
      </w:tabs>
      <w:spacing w:before="0" w:after="120"/>
      <w:jc w:val="right"/>
    </w:pPr>
  </w:style>
  <w:style w:type="paragraph" w:styleId="Fuzeile">
    <w:name w:val="footer"/>
    <w:basedOn w:val="Standard"/>
    <w:qFormat/>
    <w:rsid w:val="00822D7C"/>
    <w:pPr>
      <w:tabs>
        <w:tab w:val="clear" w:pos="425"/>
        <w:tab w:val="right" w:pos="8505"/>
        <w:tab w:val="right" w:pos="9639"/>
      </w:tabs>
      <w:spacing w:before="0" w:after="0"/>
      <w:jc w:val="left"/>
    </w:pPr>
    <w:rPr>
      <w:sz w:val="16"/>
    </w:rPr>
  </w:style>
  <w:style w:type="character" w:styleId="Seitenzahl">
    <w:name w:val="page number"/>
    <w:rsid w:val="00822D7C"/>
    <w:rPr>
      <w:rFonts w:ascii="Arial" w:hAnsi="Arial"/>
      <w:sz w:val="16"/>
    </w:rPr>
  </w:style>
  <w:style w:type="paragraph" w:styleId="Verzeichnis2">
    <w:name w:val="toc 2"/>
    <w:basedOn w:val="Standard"/>
    <w:next w:val="Standard"/>
    <w:semiHidden/>
    <w:rsid w:val="00822D7C"/>
    <w:pPr>
      <w:tabs>
        <w:tab w:val="clear" w:pos="425"/>
        <w:tab w:val="right" w:leader="dot" w:pos="9638"/>
      </w:tabs>
      <w:spacing w:before="0" w:after="0"/>
      <w:jc w:val="left"/>
    </w:pPr>
    <w:rPr>
      <w:rFonts w:ascii="Times New Roman" w:hAnsi="Times New Roman"/>
      <w:smallCaps/>
    </w:rPr>
  </w:style>
  <w:style w:type="character" w:styleId="Hyperlink">
    <w:name w:val="Hyperlink"/>
    <w:rsid w:val="00822D7C"/>
    <w:rPr>
      <w:color w:val="0000FF"/>
      <w:u w:val="single"/>
    </w:rPr>
  </w:style>
  <w:style w:type="paragraph" w:styleId="Verzeichnis3">
    <w:name w:val="toc 3"/>
    <w:basedOn w:val="Standard"/>
    <w:next w:val="Standard"/>
    <w:semiHidden/>
    <w:rsid w:val="00822D7C"/>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822D7C"/>
    <w:pPr>
      <w:spacing w:before="0" w:after="0"/>
    </w:pPr>
    <w:rPr>
      <w:sz w:val="16"/>
    </w:rPr>
  </w:style>
  <w:style w:type="paragraph" w:styleId="Verzeichnis1">
    <w:name w:val="toc 1"/>
    <w:basedOn w:val="Verzeichnis3"/>
    <w:next w:val="Standard"/>
    <w:semiHidden/>
    <w:rsid w:val="00822D7C"/>
    <w:pPr>
      <w:spacing w:before="120" w:after="120"/>
      <w:ind w:left="0"/>
    </w:pPr>
    <w:rPr>
      <w:b/>
      <w:i w:val="0"/>
      <w:caps/>
    </w:rPr>
  </w:style>
  <w:style w:type="paragraph" w:customStyle="1" w:styleId="Kopfzeile0">
    <w:name w:val="Kopfzeile0"/>
    <w:basedOn w:val="Standard"/>
    <w:next w:val="Kopfzeile"/>
    <w:qFormat/>
    <w:rsid w:val="00822D7C"/>
    <w:pPr>
      <w:spacing w:before="0" w:after="0"/>
      <w:jc w:val="right"/>
    </w:pPr>
    <w:rPr>
      <w:b/>
      <w:sz w:val="24"/>
    </w:rPr>
  </w:style>
  <w:style w:type="paragraph" w:customStyle="1" w:styleId="GesAbsatz">
    <w:name w:val="GesAbsatz"/>
    <w:basedOn w:val="Standard"/>
    <w:qFormat/>
    <w:rsid w:val="00822D7C"/>
    <w:pPr>
      <w:spacing w:before="100"/>
    </w:pPr>
    <w:rPr>
      <w:color w:val="000000"/>
    </w:rPr>
  </w:style>
  <w:style w:type="character" w:customStyle="1" w:styleId="berschrift5Zchn">
    <w:name w:val="Überschrift 5 Zchn"/>
    <w:basedOn w:val="Absatz-Standardschriftart"/>
    <w:link w:val="berschrift5"/>
    <w:rsid w:val="00822D7C"/>
    <w:rPr>
      <w:rFonts w:ascii="Arial" w:hAnsi="Arial"/>
    </w:rPr>
  </w:style>
  <w:style w:type="paragraph" w:customStyle="1" w:styleId="ParGrpt">
    <w:name w:val="ParGrpt"/>
    <w:basedOn w:val="berschrift2"/>
    <w:pPr>
      <w:jc w:val="left"/>
      <w:outlineLvl w:val="9"/>
    </w:pPr>
    <w:rPr>
      <w:color w:val="000080"/>
    </w:rPr>
  </w:style>
  <w:style w:type="paragraph" w:customStyle="1" w:styleId="TabelleEinzGesSatz">
    <w:name w:val="TabelleEinzGesSatz"/>
    <w:basedOn w:val="Standard"/>
    <w:pPr>
      <w:framePr w:wrap="auto" w:vAnchor="text" w:hAnchor="text" w:y="1"/>
      <w:tabs>
        <w:tab w:val="left" w:pos="851"/>
        <w:tab w:val="left" w:pos="1701"/>
        <w:tab w:val="left" w:pos="2552"/>
        <w:tab w:val="decimal" w:pos="3402"/>
        <w:tab w:val="left" w:pos="4253"/>
      </w:tabs>
      <w:spacing w:after="0"/>
      <w:ind w:left="170"/>
      <w:jc w:val="left"/>
    </w:pPr>
    <w:rPr>
      <w:noProof/>
      <w:color w:val="000000"/>
    </w:rPr>
  </w:style>
  <w:style w:type="paragraph" w:customStyle="1" w:styleId="TabelleEinzGesBs">
    <w:name w:val="TabelleEinzGesBs"/>
    <w:pPr>
      <w:framePr w:wrap="auto" w:vAnchor="text" w:hAnchor="text" w:y="1"/>
      <w:tabs>
        <w:tab w:val="left" w:pos="425"/>
        <w:tab w:val="left" w:pos="851"/>
        <w:tab w:val="left" w:pos="1701"/>
        <w:tab w:val="left" w:pos="2552"/>
        <w:tab w:val="decimal" w:pos="3402"/>
        <w:tab w:val="left" w:pos="4253"/>
      </w:tabs>
      <w:overflowPunct w:val="0"/>
      <w:autoSpaceDE w:val="0"/>
      <w:autoSpaceDN w:val="0"/>
      <w:adjustRightInd w:val="0"/>
      <w:ind w:left="170"/>
      <w:textAlignment w:val="baseline"/>
    </w:pPr>
    <w:rPr>
      <w:rFonts w:ascii="Arial" w:hAnsi="Arial"/>
      <w:noProof/>
      <w:color w:val="000000"/>
    </w:rPr>
  </w:style>
  <w:style w:type="paragraph" w:styleId="Verzeichnis4">
    <w:name w:val="toc 4"/>
    <w:basedOn w:val="Standard"/>
    <w:next w:val="Standard"/>
    <w:semiHidden/>
    <w:rsid w:val="00822D7C"/>
    <w:pPr>
      <w:tabs>
        <w:tab w:val="clear" w:pos="425"/>
        <w:tab w:val="right" w:leader="dot" w:pos="9638"/>
      </w:tabs>
      <w:spacing w:before="0" w:after="0"/>
      <w:ind w:left="400"/>
      <w:jc w:val="left"/>
    </w:pPr>
    <w:rPr>
      <w:rFonts w:ascii="Times New Roman" w:hAnsi="Times New Roman"/>
      <w:sz w:val="18"/>
    </w:rPr>
  </w:style>
  <w:style w:type="paragraph" w:styleId="Index1">
    <w:name w:val="index 1"/>
    <w:basedOn w:val="Standard"/>
    <w:next w:val="Standard"/>
    <w:semiHidden/>
    <w:pPr>
      <w:tabs>
        <w:tab w:val="clear" w:pos="425"/>
        <w:tab w:val="right" w:leader="dot" w:pos="4459"/>
      </w:tabs>
      <w:spacing w:after="0"/>
      <w:ind w:left="200" w:hanging="200"/>
      <w:jc w:val="left"/>
    </w:pPr>
    <w:rPr>
      <w:rFonts w:ascii="Times New Roman" w:hAnsi="Times New Roman"/>
    </w:rPr>
  </w:style>
  <w:style w:type="paragraph" w:styleId="Index2">
    <w:name w:val="index 2"/>
    <w:basedOn w:val="Standard"/>
    <w:next w:val="Standard"/>
    <w:semiHidden/>
    <w:pPr>
      <w:tabs>
        <w:tab w:val="clear" w:pos="425"/>
        <w:tab w:val="right" w:leader="dot" w:pos="4459"/>
      </w:tabs>
      <w:spacing w:after="0"/>
      <w:ind w:left="400" w:hanging="200"/>
      <w:jc w:val="left"/>
    </w:pPr>
    <w:rPr>
      <w:rFonts w:ascii="Times New Roman" w:hAnsi="Times New Roman"/>
    </w:rPr>
  </w:style>
  <w:style w:type="paragraph" w:styleId="Index3">
    <w:name w:val="index 3"/>
    <w:basedOn w:val="Standard"/>
    <w:next w:val="Standard"/>
    <w:semiHidden/>
    <w:pPr>
      <w:tabs>
        <w:tab w:val="clear" w:pos="425"/>
        <w:tab w:val="right" w:leader="dot" w:pos="4459"/>
      </w:tabs>
      <w:spacing w:after="0"/>
      <w:ind w:left="600" w:hanging="200"/>
      <w:jc w:val="left"/>
    </w:pPr>
    <w:rPr>
      <w:rFonts w:ascii="Times New Roman" w:hAnsi="Times New Roman"/>
    </w:rPr>
  </w:style>
  <w:style w:type="paragraph" w:styleId="Index4">
    <w:name w:val="index 4"/>
    <w:basedOn w:val="Standard"/>
    <w:next w:val="Standard"/>
    <w:semiHidden/>
    <w:pPr>
      <w:tabs>
        <w:tab w:val="clear" w:pos="425"/>
        <w:tab w:val="right" w:leader="dot" w:pos="4459"/>
      </w:tabs>
      <w:spacing w:after="0"/>
      <w:ind w:left="800" w:hanging="200"/>
      <w:jc w:val="left"/>
    </w:pPr>
    <w:rPr>
      <w:rFonts w:ascii="Times New Roman" w:hAnsi="Times New Roman"/>
    </w:rPr>
  </w:style>
  <w:style w:type="paragraph" w:styleId="Index5">
    <w:name w:val="index 5"/>
    <w:basedOn w:val="Standard"/>
    <w:next w:val="Standard"/>
    <w:semiHidden/>
    <w:pPr>
      <w:tabs>
        <w:tab w:val="clear" w:pos="425"/>
        <w:tab w:val="right" w:leader="dot" w:pos="4459"/>
      </w:tabs>
      <w:spacing w:after="0"/>
      <w:ind w:left="1000" w:hanging="200"/>
      <w:jc w:val="left"/>
    </w:pPr>
    <w:rPr>
      <w:rFonts w:ascii="Times New Roman" w:hAnsi="Times New Roman"/>
    </w:rPr>
  </w:style>
  <w:style w:type="paragraph" w:styleId="Index6">
    <w:name w:val="index 6"/>
    <w:basedOn w:val="Standard"/>
    <w:next w:val="Standard"/>
    <w:semiHidden/>
    <w:pPr>
      <w:tabs>
        <w:tab w:val="clear" w:pos="425"/>
        <w:tab w:val="right" w:leader="dot" w:pos="4459"/>
      </w:tabs>
      <w:spacing w:after="0"/>
      <w:ind w:left="1200" w:hanging="200"/>
      <w:jc w:val="left"/>
    </w:pPr>
    <w:rPr>
      <w:rFonts w:ascii="Times New Roman" w:hAnsi="Times New Roman"/>
    </w:rPr>
  </w:style>
  <w:style w:type="paragraph" w:styleId="Index7">
    <w:name w:val="index 7"/>
    <w:basedOn w:val="Standard"/>
    <w:next w:val="Standard"/>
    <w:semiHidden/>
    <w:pPr>
      <w:tabs>
        <w:tab w:val="clear" w:pos="425"/>
        <w:tab w:val="right" w:leader="dot" w:pos="4459"/>
      </w:tabs>
      <w:spacing w:after="0"/>
      <w:ind w:left="1400" w:hanging="200"/>
      <w:jc w:val="left"/>
    </w:pPr>
    <w:rPr>
      <w:rFonts w:ascii="Times New Roman" w:hAnsi="Times New Roman"/>
    </w:rPr>
  </w:style>
  <w:style w:type="paragraph" w:styleId="Index8">
    <w:name w:val="index 8"/>
    <w:basedOn w:val="Standard"/>
    <w:next w:val="Standard"/>
    <w:semiHidden/>
    <w:pPr>
      <w:tabs>
        <w:tab w:val="clear" w:pos="425"/>
        <w:tab w:val="right" w:leader="dot" w:pos="4459"/>
      </w:tabs>
      <w:spacing w:after="0"/>
      <w:ind w:left="1600" w:hanging="200"/>
      <w:jc w:val="left"/>
    </w:pPr>
    <w:rPr>
      <w:rFonts w:ascii="Times New Roman" w:hAnsi="Times New Roman"/>
    </w:rPr>
  </w:style>
  <w:style w:type="paragraph" w:styleId="Index9">
    <w:name w:val="index 9"/>
    <w:basedOn w:val="Standard"/>
    <w:next w:val="Standard"/>
    <w:semiHidden/>
    <w:pPr>
      <w:tabs>
        <w:tab w:val="clear" w:pos="425"/>
        <w:tab w:val="right" w:leader="dot" w:pos="4459"/>
      </w:tabs>
      <w:spacing w:after="0"/>
      <w:ind w:left="1800" w:hanging="200"/>
      <w:jc w:val="left"/>
    </w:pPr>
    <w:rPr>
      <w:rFonts w:ascii="Times New Roman" w:hAnsi="Times New Roman"/>
    </w:rPr>
  </w:style>
  <w:style w:type="paragraph" w:styleId="Indexberschrift">
    <w:name w:val="index heading"/>
    <w:basedOn w:val="Standard"/>
    <w:next w:val="Index1"/>
    <w:semiHidden/>
    <w:pPr>
      <w:tabs>
        <w:tab w:val="clear" w:pos="425"/>
        <w:tab w:val="right" w:leader="dot" w:pos="4459"/>
      </w:tabs>
      <w:spacing w:before="120"/>
      <w:jc w:val="left"/>
    </w:pPr>
    <w:rPr>
      <w:rFonts w:ascii="Times New Roman" w:hAnsi="Times New Roman"/>
      <w:b/>
      <w:i/>
    </w:rPr>
  </w:style>
  <w:style w:type="paragraph" w:styleId="Verzeichnis5">
    <w:name w:val="toc 5"/>
    <w:basedOn w:val="Standard"/>
    <w:next w:val="Standard"/>
    <w:semiHidden/>
    <w:rsid w:val="00822D7C"/>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822D7C"/>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822D7C"/>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822D7C"/>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822D7C"/>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sid w:val="00822D7C"/>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22D7C"/>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822D7C"/>
    <w:pPr>
      <w:keepNext/>
      <w:spacing w:after="120"/>
      <w:jc w:val="center"/>
      <w:outlineLvl w:val="0"/>
    </w:pPr>
    <w:rPr>
      <w:b/>
      <w:kern w:val="28"/>
      <w:sz w:val="28"/>
    </w:rPr>
  </w:style>
  <w:style w:type="paragraph" w:styleId="berschrift2">
    <w:name w:val="heading 2"/>
    <w:basedOn w:val="Standard"/>
    <w:next w:val="GesAbsatz"/>
    <w:qFormat/>
    <w:rsid w:val="00822D7C"/>
    <w:pPr>
      <w:keepNext/>
      <w:spacing w:before="240"/>
      <w:jc w:val="center"/>
      <w:outlineLvl w:val="1"/>
    </w:pPr>
    <w:rPr>
      <w:b/>
      <w:sz w:val="24"/>
    </w:rPr>
  </w:style>
  <w:style w:type="paragraph" w:styleId="berschrift3">
    <w:name w:val="heading 3"/>
    <w:basedOn w:val="Standard"/>
    <w:next w:val="GesAbsatz"/>
    <w:qFormat/>
    <w:rsid w:val="00822D7C"/>
    <w:pPr>
      <w:keepNext/>
      <w:spacing w:before="240" w:after="180"/>
      <w:jc w:val="center"/>
      <w:outlineLvl w:val="2"/>
    </w:pPr>
    <w:rPr>
      <w:b/>
    </w:rPr>
  </w:style>
  <w:style w:type="paragraph" w:styleId="berschrift4">
    <w:name w:val="heading 4"/>
    <w:basedOn w:val="Standard"/>
    <w:next w:val="Standard"/>
    <w:rsid w:val="00822D7C"/>
    <w:pPr>
      <w:keepNext/>
      <w:spacing w:before="240"/>
      <w:outlineLvl w:val="3"/>
    </w:pPr>
  </w:style>
  <w:style w:type="paragraph" w:styleId="berschrift5">
    <w:name w:val="heading 5"/>
    <w:basedOn w:val="Standard"/>
    <w:next w:val="Standard"/>
    <w:link w:val="berschrift5Zchn"/>
    <w:rsid w:val="00822D7C"/>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822D7C"/>
    <w:pPr>
      <w:tabs>
        <w:tab w:val="center" w:pos="4536"/>
        <w:tab w:val="right" w:pos="9072"/>
      </w:tabs>
      <w:spacing w:before="0" w:after="120"/>
      <w:jc w:val="right"/>
    </w:pPr>
  </w:style>
  <w:style w:type="paragraph" w:styleId="Fuzeile">
    <w:name w:val="footer"/>
    <w:basedOn w:val="Standard"/>
    <w:qFormat/>
    <w:rsid w:val="00822D7C"/>
    <w:pPr>
      <w:tabs>
        <w:tab w:val="clear" w:pos="425"/>
        <w:tab w:val="right" w:pos="8505"/>
        <w:tab w:val="right" w:pos="9639"/>
      </w:tabs>
      <w:spacing w:before="0" w:after="0"/>
      <w:jc w:val="left"/>
    </w:pPr>
    <w:rPr>
      <w:sz w:val="16"/>
    </w:rPr>
  </w:style>
  <w:style w:type="character" w:styleId="Seitenzahl">
    <w:name w:val="page number"/>
    <w:rsid w:val="00822D7C"/>
    <w:rPr>
      <w:rFonts w:ascii="Arial" w:hAnsi="Arial"/>
      <w:sz w:val="16"/>
    </w:rPr>
  </w:style>
  <w:style w:type="paragraph" w:styleId="Verzeichnis2">
    <w:name w:val="toc 2"/>
    <w:basedOn w:val="Standard"/>
    <w:next w:val="Standard"/>
    <w:semiHidden/>
    <w:rsid w:val="00822D7C"/>
    <w:pPr>
      <w:tabs>
        <w:tab w:val="clear" w:pos="425"/>
        <w:tab w:val="right" w:leader="dot" w:pos="9638"/>
      </w:tabs>
      <w:spacing w:before="0" w:after="0"/>
      <w:jc w:val="left"/>
    </w:pPr>
    <w:rPr>
      <w:rFonts w:ascii="Times New Roman" w:hAnsi="Times New Roman"/>
      <w:smallCaps/>
    </w:rPr>
  </w:style>
  <w:style w:type="character" w:styleId="Hyperlink">
    <w:name w:val="Hyperlink"/>
    <w:rsid w:val="00822D7C"/>
    <w:rPr>
      <w:color w:val="0000FF"/>
      <w:u w:val="single"/>
    </w:rPr>
  </w:style>
  <w:style w:type="paragraph" w:styleId="Verzeichnis3">
    <w:name w:val="toc 3"/>
    <w:basedOn w:val="Standard"/>
    <w:next w:val="Standard"/>
    <w:semiHidden/>
    <w:rsid w:val="00822D7C"/>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822D7C"/>
    <w:pPr>
      <w:spacing w:before="0" w:after="0"/>
    </w:pPr>
    <w:rPr>
      <w:sz w:val="16"/>
    </w:rPr>
  </w:style>
  <w:style w:type="paragraph" w:styleId="Verzeichnis1">
    <w:name w:val="toc 1"/>
    <w:basedOn w:val="Verzeichnis3"/>
    <w:next w:val="Standard"/>
    <w:semiHidden/>
    <w:rsid w:val="00822D7C"/>
    <w:pPr>
      <w:spacing w:before="120" w:after="120"/>
      <w:ind w:left="0"/>
    </w:pPr>
    <w:rPr>
      <w:b/>
      <w:i w:val="0"/>
      <w:caps/>
    </w:rPr>
  </w:style>
  <w:style w:type="paragraph" w:customStyle="1" w:styleId="Kopfzeile0">
    <w:name w:val="Kopfzeile0"/>
    <w:basedOn w:val="Standard"/>
    <w:next w:val="Kopfzeile"/>
    <w:qFormat/>
    <w:rsid w:val="00822D7C"/>
    <w:pPr>
      <w:spacing w:before="0" w:after="0"/>
      <w:jc w:val="right"/>
    </w:pPr>
    <w:rPr>
      <w:b/>
      <w:sz w:val="24"/>
    </w:rPr>
  </w:style>
  <w:style w:type="paragraph" w:customStyle="1" w:styleId="GesAbsatz">
    <w:name w:val="GesAbsatz"/>
    <w:basedOn w:val="Standard"/>
    <w:qFormat/>
    <w:rsid w:val="00822D7C"/>
    <w:pPr>
      <w:spacing w:before="100"/>
    </w:pPr>
    <w:rPr>
      <w:color w:val="000000"/>
    </w:rPr>
  </w:style>
  <w:style w:type="character" w:customStyle="1" w:styleId="berschrift5Zchn">
    <w:name w:val="Überschrift 5 Zchn"/>
    <w:basedOn w:val="Absatz-Standardschriftart"/>
    <w:link w:val="berschrift5"/>
    <w:rsid w:val="00822D7C"/>
    <w:rPr>
      <w:rFonts w:ascii="Arial" w:hAnsi="Arial"/>
    </w:rPr>
  </w:style>
  <w:style w:type="paragraph" w:customStyle="1" w:styleId="ParGrpt">
    <w:name w:val="ParGrpt"/>
    <w:basedOn w:val="berschrift2"/>
    <w:pPr>
      <w:jc w:val="left"/>
      <w:outlineLvl w:val="9"/>
    </w:pPr>
    <w:rPr>
      <w:color w:val="000080"/>
    </w:rPr>
  </w:style>
  <w:style w:type="paragraph" w:customStyle="1" w:styleId="TabelleEinzGesSatz">
    <w:name w:val="TabelleEinzGesSatz"/>
    <w:basedOn w:val="Standard"/>
    <w:pPr>
      <w:framePr w:wrap="auto" w:vAnchor="text" w:hAnchor="text" w:y="1"/>
      <w:tabs>
        <w:tab w:val="left" w:pos="851"/>
        <w:tab w:val="left" w:pos="1701"/>
        <w:tab w:val="left" w:pos="2552"/>
        <w:tab w:val="decimal" w:pos="3402"/>
        <w:tab w:val="left" w:pos="4253"/>
      </w:tabs>
      <w:spacing w:after="0"/>
      <w:ind w:left="170"/>
      <w:jc w:val="left"/>
    </w:pPr>
    <w:rPr>
      <w:noProof/>
      <w:color w:val="000000"/>
    </w:rPr>
  </w:style>
  <w:style w:type="paragraph" w:customStyle="1" w:styleId="TabelleEinzGesBs">
    <w:name w:val="TabelleEinzGesBs"/>
    <w:pPr>
      <w:framePr w:wrap="auto" w:vAnchor="text" w:hAnchor="text" w:y="1"/>
      <w:tabs>
        <w:tab w:val="left" w:pos="425"/>
        <w:tab w:val="left" w:pos="851"/>
        <w:tab w:val="left" w:pos="1701"/>
        <w:tab w:val="left" w:pos="2552"/>
        <w:tab w:val="decimal" w:pos="3402"/>
        <w:tab w:val="left" w:pos="4253"/>
      </w:tabs>
      <w:overflowPunct w:val="0"/>
      <w:autoSpaceDE w:val="0"/>
      <w:autoSpaceDN w:val="0"/>
      <w:adjustRightInd w:val="0"/>
      <w:ind w:left="170"/>
      <w:textAlignment w:val="baseline"/>
    </w:pPr>
    <w:rPr>
      <w:rFonts w:ascii="Arial" w:hAnsi="Arial"/>
      <w:noProof/>
      <w:color w:val="000000"/>
    </w:rPr>
  </w:style>
  <w:style w:type="paragraph" w:styleId="Verzeichnis4">
    <w:name w:val="toc 4"/>
    <w:basedOn w:val="Standard"/>
    <w:next w:val="Standard"/>
    <w:semiHidden/>
    <w:rsid w:val="00822D7C"/>
    <w:pPr>
      <w:tabs>
        <w:tab w:val="clear" w:pos="425"/>
        <w:tab w:val="right" w:leader="dot" w:pos="9638"/>
      </w:tabs>
      <w:spacing w:before="0" w:after="0"/>
      <w:ind w:left="400"/>
      <w:jc w:val="left"/>
    </w:pPr>
    <w:rPr>
      <w:rFonts w:ascii="Times New Roman" w:hAnsi="Times New Roman"/>
      <w:sz w:val="18"/>
    </w:rPr>
  </w:style>
  <w:style w:type="paragraph" w:styleId="Index1">
    <w:name w:val="index 1"/>
    <w:basedOn w:val="Standard"/>
    <w:next w:val="Standard"/>
    <w:semiHidden/>
    <w:pPr>
      <w:tabs>
        <w:tab w:val="clear" w:pos="425"/>
        <w:tab w:val="right" w:leader="dot" w:pos="4459"/>
      </w:tabs>
      <w:spacing w:after="0"/>
      <w:ind w:left="200" w:hanging="200"/>
      <w:jc w:val="left"/>
    </w:pPr>
    <w:rPr>
      <w:rFonts w:ascii="Times New Roman" w:hAnsi="Times New Roman"/>
    </w:rPr>
  </w:style>
  <w:style w:type="paragraph" w:styleId="Index2">
    <w:name w:val="index 2"/>
    <w:basedOn w:val="Standard"/>
    <w:next w:val="Standard"/>
    <w:semiHidden/>
    <w:pPr>
      <w:tabs>
        <w:tab w:val="clear" w:pos="425"/>
        <w:tab w:val="right" w:leader="dot" w:pos="4459"/>
      </w:tabs>
      <w:spacing w:after="0"/>
      <w:ind w:left="400" w:hanging="200"/>
      <w:jc w:val="left"/>
    </w:pPr>
    <w:rPr>
      <w:rFonts w:ascii="Times New Roman" w:hAnsi="Times New Roman"/>
    </w:rPr>
  </w:style>
  <w:style w:type="paragraph" w:styleId="Index3">
    <w:name w:val="index 3"/>
    <w:basedOn w:val="Standard"/>
    <w:next w:val="Standard"/>
    <w:semiHidden/>
    <w:pPr>
      <w:tabs>
        <w:tab w:val="clear" w:pos="425"/>
        <w:tab w:val="right" w:leader="dot" w:pos="4459"/>
      </w:tabs>
      <w:spacing w:after="0"/>
      <w:ind w:left="600" w:hanging="200"/>
      <w:jc w:val="left"/>
    </w:pPr>
    <w:rPr>
      <w:rFonts w:ascii="Times New Roman" w:hAnsi="Times New Roman"/>
    </w:rPr>
  </w:style>
  <w:style w:type="paragraph" w:styleId="Index4">
    <w:name w:val="index 4"/>
    <w:basedOn w:val="Standard"/>
    <w:next w:val="Standard"/>
    <w:semiHidden/>
    <w:pPr>
      <w:tabs>
        <w:tab w:val="clear" w:pos="425"/>
        <w:tab w:val="right" w:leader="dot" w:pos="4459"/>
      </w:tabs>
      <w:spacing w:after="0"/>
      <w:ind w:left="800" w:hanging="200"/>
      <w:jc w:val="left"/>
    </w:pPr>
    <w:rPr>
      <w:rFonts w:ascii="Times New Roman" w:hAnsi="Times New Roman"/>
    </w:rPr>
  </w:style>
  <w:style w:type="paragraph" w:styleId="Index5">
    <w:name w:val="index 5"/>
    <w:basedOn w:val="Standard"/>
    <w:next w:val="Standard"/>
    <w:semiHidden/>
    <w:pPr>
      <w:tabs>
        <w:tab w:val="clear" w:pos="425"/>
        <w:tab w:val="right" w:leader="dot" w:pos="4459"/>
      </w:tabs>
      <w:spacing w:after="0"/>
      <w:ind w:left="1000" w:hanging="200"/>
      <w:jc w:val="left"/>
    </w:pPr>
    <w:rPr>
      <w:rFonts w:ascii="Times New Roman" w:hAnsi="Times New Roman"/>
    </w:rPr>
  </w:style>
  <w:style w:type="paragraph" w:styleId="Index6">
    <w:name w:val="index 6"/>
    <w:basedOn w:val="Standard"/>
    <w:next w:val="Standard"/>
    <w:semiHidden/>
    <w:pPr>
      <w:tabs>
        <w:tab w:val="clear" w:pos="425"/>
        <w:tab w:val="right" w:leader="dot" w:pos="4459"/>
      </w:tabs>
      <w:spacing w:after="0"/>
      <w:ind w:left="1200" w:hanging="200"/>
      <w:jc w:val="left"/>
    </w:pPr>
    <w:rPr>
      <w:rFonts w:ascii="Times New Roman" w:hAnsi="Times New Roman"/>
    </w:rPr>
  </w:style>
  <w:style w:type="paragraph" w:styleId="Index7">
    <w:name w:val="index 7"/>
    <w:basedOn w:val="Standard"/>
    <w:next w:val="Standard"/>
    <w:semiHidden/>
    <w:pPr>
      <w:tabs>
        <w:tab w:val="clear" w:pos="425"/>
        <w:tab w:val="right" w:leader="dot" w:pos="4459"/>
      </w:tabs>
      <w:spacing w:after="0"/>
      <w:ind w:left="1400" w:hanging="200"/>
      <w:jc w:val="left"/>
    </w:pPr>
    <w:rPr>
      <w:rFonts w:ascii="Times New Roman" w:hAnsi="Times New Roman"/>
    </w:rPr>
  </w:style>
  <w:style w:type="paragraph" w:styleId="Index8">
    <w:name w:val="index 8"/>
    <w:basedOn w:val="Standard"/>
    <w:next w:val="Standard"/>
    <w:semiHidden/>
    <w:pPr>
      <w:tabs>
        <w:tab w:val="clear" w:pos="425"/>
        <w:tab w:val="right" w:leader="dot" w:pos="4459"/>
      </w:tabs>
      <w:spacing w:after="0"/>
      <w:ind w:left="1600" w:hanging="200"/>
      <w:jc w:val="left"/>
    </w:pPr>
    <w:rPr>
      <w:rFonts w:ascii="Times New Roman" w:hAnsi="Times New Roman"/>
    </w:rPr>
  </w:style>
  <w:style w:type="paragraph" w:styleId="Index9">
    <w:name w:val="index 9"/>
    <w:basedOn w:val="Standard"/>
    <w:next w:val="Standard"/>
    <w:semiHidden/>
    <w:pPr>
      <w:tabs>
        <w:tab w:val="clear" w:pos="425"/>
        <w:tab w:val="right" w:leader="dot" w:pos="4459"/>
      </w:tabs>
      <w:spacing w:after="0"/>
      <w:ind w:left="1800" w:hanging="200"/>
      <w:jc w:val="left"/>
    </w:pPr>
    <w:rPr>
      <w:rFonts w:ascii="Times New Roman" w:hAnsi="Times New Roman"/>
    </w:rPr>
  </w:style>
  <w:style w:type="paragraph" w:styleId="Indexberschrift">
    <w:name w:val="index heading"/>
    <w:basedOn w:val="Standard"/>
    <w:next w:val="Index1"/>
    <w:semiHidden/>
    <w:pPr>
      <w:tabs>
        <w:tab w:val="clear" w:pos="425"/>
        <w:tab w:val="right" w:leader="dot" w:pos="4459"/>
      </w:tabs>
      <w:spacing w:before="120"/>
      <w:jc w:val="left"/>
    </w:pPr>
    <w:rPr>
      <w:rFonts w:ascii="Times New Roman" w:hAnsi="Times New Roman"/>
      <w:b/>
      <w:i/>
    </w:rPr>
  </w:style>
  <w:style w:type="paragraph" w:styleId="Verzeichnis5">
    <w:name w:val="toc 5"/>
    <w:basedOn w:val="Standard"/>
    <w:next w:val="Standard"/>
    <w:semiHidden/>
    <w:rsid w:val="00822D7C"/>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822D7C"/>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822D7C"/>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822D7C"/>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822D7C"/>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sid w:val="00822D7C"/>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1443D-F225-4881-8D28-C91C0318F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Pages>
  <Words>1681</Words>
  <Characters>12344</Characters>
  <Application>Microsoft Office Word</Application>
  <DocSecurity>0</DocSecurity>
  <Lines>102</Lines>
  <Paragraphs>27</Paragraphs>
  <ScaleCrop>false</ScaleCrop>
  <HeadingPairs>
    <vt:vector size="2" baseType="variant">
      <vt:variant>
        <vt:lpstr>Titel</vt:lpstr>
      </vt:variant>
      <vt:variant>
        <vt:i4>1</vt:i4>
      </vt:variant>
    </vt:vector>
  </HeadingPairs>
  <TitlesOfParts>
    <vt:vector size="1" baseType="lpstr">
      <vt:lpstr>23. BimschV</vt:lpstr>
    </vt:vector>
  </TitlesOfParts>
  <Company>LUA</Company>
  <LinksUpToDate>false</LinksUpToDate>
  <CharactersWithSpaces>13998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BimschV</dc:title>
  <dc:creator>LUA</dc:creator>
  <cp:lastModifiedBy>rueter</cp:lastModifiedBy>
  <cp:revision>12</cp:revision>
  <cp:lastPrinted>2015-03-19T15:15:00Z</cp:lastPrinted>
  <dcterms:created xsi:type="dcterms:W3CDTF">2015-03-19T15:05:00Z</dcterms:created>
  <dcterms:modified xsi:type="dcterms:W3CDTF">2015-03-20T07:18:00Z</dcterms:modified>
</cp:coreProperties>
</file>