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400876359"/>
      <w:r>
        <w:t xml:space="preserve">Dritte allgemeine Verwaltungsvorschrift zum </w:t>
      </w:r>
      <w:r>
        <w:br/>
        <w:t xml:space="preserve">Bundes-Immissionsschutzgesetz - Emissionswerte für </w:t>
      </w:r>
      <w:r>
        <w:br/>
        <w:t>Drucklufth</w:t>
      </w:r>
      <w:bookmarkStart w:id="1" w:name="_GoBack"/>
      <w:bookmarkEnd w:id="1"/>
      <w:r>
        <w:t>ämmer - 3. BImSchVwV</w:t>
      </w:r>
      <w:bookmarkEnd w:id="0"/>
    </w:p>
    <w:p>
      <w:pPr>
        <w:pStyle w:val="GesAbsatz"/>
        <w:jc w:val="center"/>
      </w:pPr>
      <w:r>
        <w:t>vom 10. Juni 1976</w:t>
      </w:r>
    </w:p>
    <w:p>
      <w:pPr>
        <w:pStyle w:val="GesAbsatz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Gültig bis 05.09.2002</w:t>
      </w:r>
    </w:p>
    <w:p>
      <w:pPr>
        <w:pStyle w:val="GesAbsatz"/>
      </w:pPr>
      <w:r>
        <w:t>Nach § 48 Nr. 2 des Bundes-Immissionsschutzgesetzes vom 15. März 1974 (BGBl. I S. 721, 1193), geändert durch § 1 Nr. 14 des Gesetzes zur Änderung des Einführungsgesetzes zum Strafgesetzbuch vom 15. August 1974 (BGBl. I S. 1942), wird nach Anhörung der beteiligten Kreise mit Zustimmung des Bundesrates folgende allgemeine Verwaltungsvorschrift erlassen:</w:t>
      </w:r>
    </w:p>
    <w:p>
      <w:pPr>
        <w:pStyle w:val="GesAbsatz"/>
      </w:pPr>
    </w:p>
    <w:p>
      <w:pPr>
        <w:pStyle w:val="berschrift2"/>
        <w:jc w:val="left"/>
      </w:pPr>
      <w:bookmarkStart w:id="2" w:name="_Toc400876360"/>
      <w:r>
        <w:t>1 Sachlicher Geltungsbereich</w:t>
      </w:r>
      <w:bookmarkEnd w:id="2"/>
    </w:p>
    <w:p>
      <w:pPr>
        <w:pStyle w:val="GesAbsatz"/>
      </w:pPr>
      <w:r>
        <w:t>Diese Vorschrift gilt für druckluftbetriebene, handgeführte Abbau-, Aufbruch- und Spatenhämmer (Drucklufthämmer). Sie enthält Emissionswerte für die von Drucklufthämmern bei einem bestimmten Betriebsvorgang ausgehenden Geräusche, deren Überschreiten nach dem Stand der Technik vermeidbar ist.</w:t>
      </w:r>
    </w:p>
    <w:p>
      <w:pPr>
        <w:pStyle w:val="GesAbsatz"/>
      </w:pPr>
    </w:p>
    <w:p>
      <w:pPr>
        <w:pStyle w:val="berschrift2"/>
        <w:jc w:val="left"/>
      </w:pPr>
      <w:bookmarkStart w:id="3" w:name="_Toc400876361"/>
      <w:r>
        <w:t>2 Emissionswerte</w:t>
      </w:r>
      <w:bookmarkEnd w:id="3"/>
    </w:p>
    <w:p>
      <w:pPr>
        <w:pStyle w:val="GesAbsatz"/>
      </w:pPr>
      <w:r>
        <w:rPr>
          <w:b/>
        </w:rPr>
        <w:t>2.1</w:t>
      </w:r>
      <w:r>
        <w:t xml:space="preserve"> Als Emissionswerte für Drucklufthämmer werden festgesetzt:</w:t>
      </w:r>
    </w:p>
    <w:p>
      <w:pPr>
        <w:pStyle w:val="GesAbsatz"/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1534"/>
      </w:tblGrid>
      <w:tr>
        <w:tc>
          <w:tcPr>
            <w:tcW w:w="3002" w:type="dxa"/>
          </w:tcPr>
          <w:p>
            <w:pPr>
              <w:pStyle w:val="GesAbsatz"/>
            </w:pPr>
            <w:r>
              <w:t>Gewichtsklasse</w:t>
            </w:r>
          </w:p>
        </w:tc>
        <w:tc>
          <w:tcPr>
            <w:tcW w:w="1534" w:type="dxa"/>
          </w:tcPr>
          <w:p>
            <w:pPr>
              <w:pStyle w:val="GesAbsatz"/>
            </w:pPr>
            <w:r>
              <w:t>Emissionswert</w:t>
            </w:r>
          </w:p>
        </w:tc>
      </w:tr>
      <w:tr>
        <w:tc>
          <w:tcPr>
            <w:tcW w:w="3002" w:type="dxa"/>
          </w:tcPr>
          <w:p>
            <w:pPr>
              <w:pStyle w:val="GesAbsatz"/>
            </w:pPr>
            <w:r>
              <w:t>bis zu 20 kg</w:t>
            </w:r>
          </w:p>
        </w:tc>
        <w:tc>
          <w:tcPr>
            <w:tcW w:w="1534" w:type="dxa"/>
          </w:tcPr>
          <w:p>
            <w:pPr>
              <w:pStyle w:val="GesAbsatz"/>
            </w:pPr>
            <w:r>
              <w:t>84 dB(A)</w:t>
            </w:r>
          </w:p>
        </w:tc>
      </w:tr>
      <w:tr>
        <w:tc>
          <w:tcPr>
            <w:tcW w:w="3002" w:type="dxa"/>
          </w:tcPr>
          <w:p>
            <w:pPr>
              <w:pStyle w:val="GesAbsatz"/>
            </w:pPr>
            <w:r>
              <w:t>über 20 kg bis zu 35 kg</w:t>
            </w:r>
          </w:p>
        </w:tc>
        <w:tc>
          <w:tcPr>
            <w:tcW w:w="1534" w:type="dxa"/>
          </w:tcPr>
          <w:p>
            <w:pPr>
              <w:pStyle w:val="GesAbsatz"/>
            </w:pPr>
            <w:r>
              <w:t>87 dB(A)</w:t>
            </w:r>
          </w:p>
        </w:tc>
      </w:tr>
      <w:tr>
        <w:tc>
          <w:tcPr>
            <w:tcW w:w="3002" w:type="dxa"/>
          </w:tcPr>
          <w:p>
            <w:pPr>
              <w:pStyle w:val="GesAbsatz"/>
            </w:pPr>
            <w:r>
              <w:t>über 35 kg</w:t>
            </w:r>
          </w:p>
        </w:tc>
        <w:tc>
          <w:tcPr>
            <w:tcW w:w="1534" w:type="dxa"/>
          </w:tcPr>
          <w:p>
            <w:pPr>
              <w:pStyle w:val="GesAbsatz"/>
            </w:pPr>
            <w:r>
              <w:t>90 dB(A)</w:t>
            </w:r>
          </w:p>
        </w:tc>
      </w:tr>
    </w:tbl>
    <w:p>
      <w:pPr>
        <w:pStyle w:val="GesAbsatz"/>
      </w:pPr>
    </w:p>
    <w:p>
      <w:pPr>
        <w:pStyle w:val="GesAbsatz"/>
      </w:pPr>
      <w:r>
        <w:rPr>
          <w:b/>
        </w:rPr>
        <w:t>2.2</w:t>
      </w:r>
      <w:r>
        <w:t xml:space="preserve"> Mit Wirkung vom 1. Januar 1980 gelten folgende Emissionswerte:</w:t>
      </w:r>
    </w:p>
    <w:p>
      <w:pPr>
        <w:pStyle w:val="GesAbsatz"/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1533"/>
      </w:tblGrid>
      <w:tr>
        <w:tc>
          <w:tcPr>
            <w:tcW w:w="3003" w:type="dxa"/>
          </w:tcPr>
          <w:p>
            <w:pPr>
              <w:pStyle w:val="GesAbsatz"/>
            </w:pPr>
            <w:r>
              <w:t>Gewichtsklasse</w:t>
            </w:r>
          </w:p>
        </w:tc>
        <w:tc>
          <w:tcPr>
            <w:tcW w:w="1533" w:type="dxa"/>
          </w:tcPr>
          <w:p>
            <w:pPr>
              <w:pStyle w:val="GesAbsatz"/>
            </w:pPr>
            <w:r>
              <w:t>Emissionswert</w:t>
            </w:r>
          </w:p>
        </w:tc>
      </w:tr>
      <w:tr>
        <w:tc>
          <w:tcPr>
            <w:tcW w:w="3003" w:type="dxa"/>
          </w:tcPr>
          <w:p>
            <w:pPr>
              <w:pStyle w:val="GesAbsatz"/>
            </w:pPr>
            <w:r>
              <w:t>bis zu 20 kg</w:t>
            </w:r>
          </w:p>
        </w:tc>
        <w:tc>
          <w:tcPr>
            <w:tcW w:w="1533" w:type="dxa"/>
          </w:tcPr>
          <w:p>
            <w:pPr>
              <w:pStyle w:val="GesAbsatz"/>
            </w:pPr>
            <w:r>
              <w:t>79 dB(A)</w:t>
            </w:r>
          </w:p>
        </w:tc>
      </w:tr>
      <w:tr>
        <w:tc>
          <w:tcPr>
            <w:tcW w:w="3003" w:type="dxa"/>
          </w:tcPr>
          <w:p>
            <w:pPr>
              <w:pStyle w:val="GesAbsatz"/>
            </w:pPr>
            <w:r>
              <w:t>über 20 kg bis zu 35 kg</w:t>
            </w:r>
          </w:p>
        </w:tc>
        <w:tc>
          <w:tcPr>
            <w:tcW w:w="1533" w:type="dxa"/>
          </w:tcPr>
          <w:p>
            <w:pPr>
              <w:pStyle w:val="GesAbsatz"/>
            </w:pPr>
            <w:r>
              <w:t>82 dB(A)</w:t>
            </w:r>
          </w:p>
        </w:tc>
      </w:tr>
      <w:tr>
        <w:tc>
          <w:tcPr>
            <w:tcW w:w="3003" w:type="dxa"/>
          </w:tcPr>
          <w:p>
            <w:pPr>
              <w:pStyle w:val="GesAbsatz"/>
            </w:pPr>
            <w:r>
              <w:t>über 35 kg</w:t>
            </w:r>
          </w:p>
        </w:tc>
        <w:tc>
          <w:tcPr>
            <w:tcW w:w="1533" w:type="dxa"/>
          </w:tcPr>
          <w:p>
            <w:pPr>
              <w:pStyle w:val="GesAbsatz"/>
            </w:pPr>
            <w:r>
              <w:t>87 dB(A)</w:t>
            </w:r>
          </w:p>
        </w:tc>
      </w:tr>
    </w:tbl>
    <w:p>
      <w:pPr>
        <w:pStyle w:val="GesAbsatz"/>
      </w:pPr>
    </w:p>
    <w:p>
      <w:pPr>
        <w:pStyle w:val="GesAbsatz"/>
      </w:pPr>
      <w:r>
        <w:t>2.3 Die in den Nummern 2.1 und 2.2 festgesetzten Emissionswerte dürfen bei Drucklufthämmern, die länger als zwei Jahre in Betrieb sind, um bis zu 3 dB (A) überschritten werden.</w:t>
      </w:r>
    </w:p>
    <w:p>
      <w:pPr>
        <w:pStyle w:val="GesAbsatz"/>
      </w:pPr>
    </w:p>
    <w:p>
      <w:pPr>
        <w:pStyle w:val="berschrift2"/>
        <w:jc w:val="left"/>
      </w:pPr>
      <w:bookmarkStart w:id="4" w:name="_Toc400876362"/>
      <w:r>
        <w:t>3 Messverfahren</w:t>
      </w:r>
      <w:bookmarkEnd w:id="4"/>
    </w:p>
    <w:p>
      <w:pPr>
        <w:pStyle w:val="GesAbsatz"/>
      </w:pPr>
      <w:r>
        <w:t>Für die Ermittlung der Emissionen von Drucklufthämmern gilt die Allgemeine Verwaltungsvorschrift zum Schutz gegen Baulärm - Emissionsmessverfahren - vom 22. Dezember 1970 (Bundesanzeiger Nr. 242 vom 30. Dezember 1970). Ergänzend ist folgendes zu beachten:</w:t>
      </w:r>
    </w:p>
    <w:p>
      <w:pPr>
        <w:pStyle w:val="berschrift3"/>
        <w:jc w:val="left"/>
      </w:pPr>
      <w:r>
        <w:t>3.1 Betriebsvorgang</w:t>
      </w:r>
    </w:p>
    <w:p>
      <w:pPr>
        <w:pStyle w:val="GesAbsatz"/>
      </w:pPr>
      <w:r>
        <w:t>Der Betriebsvorgang, bei dem die Messung der Emission vorgenommen wird, wird wie folgt bestimmt:</w:t>
      </w:r>
    </w:p>
    <w:p>
      <w:pPr>
        <w:pStyle w:val="GesAbsatz"/>
      </w:pPr>
      <w:r>
        <w:t>Von Hand geführter, senkrecht in die flache Hohlkehle einer Stahlplatte gedrückter Drucklufthammer, der mit abgestumpftem Normeisen ausgerüstet ist und mit 5 bar Überdruck betrieben wird. Der Luf</w:t>
      </w:r>
      <w:r>
        <w:softHyphen/>
        <w:t xml:space="preserve">taustritt des Drucklufthammers wird </w:t>
      </w:r>
      <w:proofErr w:type="spellStart"/>
      <w:r>
        <w:t>unabgeschirmt</w:t>
      </w:r>
      <w:proofErr w:type="spellEnd"/>
      <w:r>
        <w:t xml:space="preserve"> auf einen der Messpunkte gerichtet.</w:t>
      </w:r>
    </w:p>
    <w:p>
      <w:pPr>
        <w:pStyle w:val="GesAbsatz"/>
      </w:pPr>
      <w:r>
        <w:lastRenderedPageBreak/>
        <w:t xml:space="preserve">Die Stahlplatte (200 mm * 200 mm * 40 mm) liegt auf einer 12 mm Gummigewebeplatte mit einer </w:t>
      </w:r>
      <w:proofErr w:type="spellStart"/>
      <w:r>
        <w:t>Shore</w:t>
      </w:r>
      <w:proofErr w:type="spellEnd"/>
      <w:r>
        <w:t>-Härte von etwa A 70 in einem Sandkasten (1500 mm * 800 mm * 220 mm), der auf einer Betonplatte oder einem ähnlich harten Untergrund steht. Die Stahlplatte ist mit einer etwa 200 mm hohen Sand</w:t>
      </w:r>
      <w:r>
        <w:softHyphen/>
        <w:t>schicht bedeckt. Auf der Sandschicht liegt eine 0,5 mm starke Blechplatte. Die freie Länge des Normei</w:t>
      </w:r>
      <w:r>
        <w:softHyphen/>
        <w:t>sens beträgt etwa 200 mm.</w:t>
      </w:r>
    </w:p>
    <w:p>
      <w:pPr>
        <w:pStyle w:val="berschrift3"/>
        <w:jc w:val="left"/>
      </w:pPr>
      <w:r>
        <w:t>3.2 Emissionspegel</w:t>
      </w:r>
    </w:p>
    <w:p>
      <w:pPr>
        <w:pStyle w:val="GesAbsatz"/>
      </w:pPr>
      <w:r>
        <w:t>Nummer 4.2 Abs. 3 der Allgemeinen Verwaltungsvorschrift zum Schutz gegen Baulärm - Emissions</w:t>
      </w:r>
      <w:r>
        <w:softHyphen/>
        <w:t>messverfahren - findet keine Anwendung. Treten Einzeltöne aus dem allgemeinen Maschinengeräusch deutlich wahrnehmbar hervor, so sind sie im Meßprotokoll zu beschreiben.</w:t>
      </w:r>
    </w:p>
    <w:p>
      <w:pPr>
        <w:pStyle w:val="berschrift2"/>
        <w:jc w:val="left"/>
      </w:pPr>
      <w:bookmarkStart w:id="5" w:name="_Toc400876363"/>
      <w:r>
        <w:t>4 Erhöhte Schallschutzanforderungen</w:t>
      </w:r>
      <w:bookmarkEnd w:id="5"/>
    </w:p>
    <w:p>
      <w:pPr>
        <w:pStyle w:val="GesAbsatz"/>
      </w:pPr>
      <w:r>
        <w:t>Drucklufthämmer, deren Emissionspegel die Emissionswerte um mindestens 5 dB (A) unterschreiten, entsprechen erhöhten Schallschutzanforderungen.</w:t>
      </w:r>
    </w:p>
    <w:p>
      <w:pPr>
        <w:pStyle w:val="berschrift2"/>
        <w:jc w:val="left"/>
      </w:pPr>
      <w:bookmarkStart w:id="6" w:name="_Toc400876364"/>
      <w:r>
        <w:t>5 Inkrafttreten</w:t>
      </w:r>
      <w:bookmarkEnd w:id="6"/>
    </w:p>
    <w:p>
      <w:pPr>
        <w:pStyle w:val="GesAbsatz"/>
      </w:pPr>
      <w:r>
        <w:t>Diese allgemeine Verwaltungsvorschrift tritt am ersten Tage des auf die Veröffentlichung folgenden Ka</w:t>
      </w:r>
      <w:r>
        <w:softHyphen/>
        <w:t>lendermonats in Kraft.</w:t>
      </w: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10.06.1976 (BAnz. Nr. 112 S. 1, ber. 02.09.1976 BAnz. Nr. 165 S. 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Archiv6.13</w:t>
    </w:r>
  </w:p>
  <w:p>
    <w:pPr>
      <w:pStyle w:val="Kopfzeile"/>
    </w:pPr>
    <w:r>
      <w:t>3. BImSchVwV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F72DDD-BD05-4D55-BA63-277BB3F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429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3. BlmSchVwV</vt:lpstr>
    </vt:vector>
  </TitlesOfParts>
  <Company>LUA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BlmSchVwV</dc:title>
  <dc:creator>zw</dc:creator>
  <cp:lastModifiedBy>Rüter, Dr., Ingo</cp:lastModifiedBy>
  <cp:revision>4</cp:revision>
  <cp:lastPrinted>2411-12-31T22:59:00Z</cp:lastPrinted>
  <dcterms:created xsi:type="dcterms:W3CDTF">2015-03-23T11:40:00Z</dcterms:created>
  <dcterms:modified xsi:type="dcterms:W3CDTF">2024-07-09T12:44:00Z</dcterms:modified>
</cp:coreProperties>
</file>