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0654448"/>
      <w:r>
        <w:t xml:space="preserve">Feststellung und Beurteilung von Geruchsimmissionen - </w:t>
      </w:r>
      <w:r>
        <w:br/>
        <w:t>Geruchsimmissions-Richtlinie - GIRL</w:t>
      </w:r>
      <w:bookmarkEnd w:id="0"/>
    </w:p>
    <w:p>
      <w:pPr>
        <w:pStyle w:val="GesAbsatz"/>
        <w:jc w:val="center"/>
      </w:pPr>
      <w:r>
        <w:t>RdErl. d. Ministeriums für Umwelt und Naturschutz,</w:t>
      </w:r>
      <w:r>
        <w:br/>
        <w:t>Landwirtschaft und Verbraucherschutz - V-3-8851.4.4 – v. 05.11.2009</w:t>
      </w:r>
    </w:p>
    <w:p>
      <w:pPr>
        <w:pStyle w:val="GesAbsatz"/>
        <w:rPr>
          <w:b/>
          <w:i/>
          <w:color w:val="FF0000"/>
        </w:rPr>
      </w:pPr>
      <w:r>
        <w:rPr>
          <w:b/>
          <w:i/>
          <w:color w:val="FF0000"/>
        </w:rPr>
        <w:t>Aufgehoben durch Runderlass vom 7. Dezember 2021 (MBl. NRW. S. 1109), in Kraft getreten mit Wirkun</w:t>
      </w:r>
      <w:bookmarkStart w:id="1" w:name="_GoBack"/>
      <w:bookmarkEnd w:id="1"/>
      <w:r>
        <w:rPr>
          <w:b/>
          <w:i/>
          <w:color w:val="FF0000"/>
        </w:rPr>
        <w:t>g vom 01.12.2021.</w:t>
      </w:r>
    </w:p>
    <w:p>
      <w:pPr>
        <w:pStyle w:val="GesAbsatz"/>
      </w:pPr>
      <w:hyperlink r:id="rId7" w:history="1">
        <w:r>
          <w:rPr>
            <w:rStyle w:val="Hyperlink"/>
          </w:rPr>
          <w:t>Link zur Vorschrift im SMB</w:t>
        </w:r>
        <w:r>
          <w:rPr>
            <w:rStyle w:val="Hyperlink"/>
          </w:rPr>
          <w:t>l</w:t>
        </w:r>
        <w:r>
          <w:rPr>
            <w:rStyle w:val="Hyperlink"/>
          </w:rPr>
          <w:t>. NRW. 7129:</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80654448" w:history="1">
        <w:r>
          <w:rPr>
            <w:rStyle w:val="Hyperlink"/>
            <w:noProof/>
          </w:rPr>
          <w:t>Geruchsimmissions-Richtlinie - GIRL</w:t>
        </w:r>
        <w:r>
          <w:rPr>
            <w:noProof/>
            <w:webHidden/>
          </w:rPr>
          <w:tab/>
        </w:r>
        <w:r>
          <w:rPr>
            <w:noProof/>
            <w:webHidden/>
          </w:rPr>
          <w:fldChar w:fldCharType="begin"/>
        </w:r>
        <w:r>
          <w:rPr>
            <w:noProof/>
            <w:webHidden/>
          </w:rPr>
          <w:instrText xml:space="preserve"> PAGEREF _Toc380654448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0654449" w:history="1">
        <w:r>
          <w:rPr>
            <w:rStyle w:val="Hyperlink"/>
            <w:noProof/>
          </w:rPr>
          <w:t>1 Allgemeines</w:t>
        </w:r>
        <w:r>
          <w:rPr>
            <w:noProof/>
            <w:webHidden/>
          </w:rPr>
          <w:tab/>
        </w:r>
        <w:r>
          <w:rPr>
            <w:noProof/>
            <w:webHidden/>
          </w:rPr>
          <w:fldChar w:fldCharType="begin"/>
        </w:r>
        <w:r>
          <w:rPr>
            <w:noProof/>
            <w:webHidden/>
          </w:rPr>
          <w:instrText xml:space="preserve"> PAGEREF _Toc380654449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0654450" w:history="1">
        <w:r>
          <w:rPr>
            <w:rStyle w:val="Hyperlink"/>
            <w:noProof/>
          </w:rPr>
          <w:t>2 Anforderungen an die Begrenzung und Ableitung der Geruchsemissionen</w:t>
        </w:r>
        <w:r>
          <w:rPr>
            <w:noProof/>
            <w:webHidden/>
          </w:rPr>
          <w:tab/>
        </w:r>
        <w:r>
          <w:rPr>
            <w:noProof/>
            <w:webHidden/>
          </w:rPr>
          <w:fldChar w:fldCharType="begin"/>
        </w:r>
        <w:r>
          <w:rPr>
            <w:noProof/>
            <w:webHidden/>
          </w:rPr>
          <w:instrText xml:space="preserve"> PAGEREF _Toc380654450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0654451" w:history="1">
        <w:r>
          <w:rPr>
            <w:rStyle w:val="Hyperlink"/>
            <w:noProof/>
          </w:rPr>
          <w:t>3 Beurteilungskriterien</w:t>
        </w:r>
        <w:r>
          <w:rPr>
            <w:noProof/>
            <w:webHidden/>
          </w:rPr>
          <w:tab/>
        </w:r>
        <w:r>
          <w:rPr>
            <w:noProof/>
            <w:webHidden/>
          </w:rPr>
          <w:fldChar w:fldCharType="begin"/>
        </w:r>
        <w:r>
          <w:rPr>
            <w:noProof/>
            <w:webHidden/>
          </w:rPr>
          <w:instrText xml:space="preserve"> PAGEREF _Toc380654451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654452" w:history="1">
        <w:r>
          <w:rPr>
            <w:rStyle w:val="Hyperlink"/>
            <w:noProof/>
          </w:rPr>
          <w:t>3.1 Immissionswerte</w:t>
        </w:r>
        <w:r>
          <w:rPr>
            <w:noProof/>
            <w:webHidden/>
          </w:rPr>
          <w:tab/>
        </w:r>
        <w:r>
          <w:rPr>
            <w:noProof/>
            <w:webHidden/>
          </w:rPr>
          <w:fldChar w:fldCharType="begin"/>
        </w:r>
        <w:r>
          <w:rPr>
            <w:noProof/>
            <w:webHidden/>
          </w:rPr>
          <w:instrText xml:space="preserve"> PAGEREF _Toc380654452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654453" w:history="1">
        <w:r>
          <w:rPr>
            <w:rStyle w:val="Hyperlink"/>
            <w:noProof/>
          </w:rPr>
          <w:t>3.2 Anwendung der Immissionswerte</w:t>
        </w:r>
        <w:r>
          <w:rPr>
            <w:noProof/>
            <w:webHidden/>
          </w:rPr>
          <w:tab/>
        </w:r>
        <w:r>
          <w:rPr>
            <w:noProof/>
            <w:webHidden/>
          </w:rPr>
          <w:fldChar w:fldCharType="begin"/>
        </w:r>
        <w:r>
          <w:rPr>
            <w:noProof/>
            <w:webHidden/>
          </w:rPr>
          <w:instrText xml:space="preserve"> PAGEREF _Toc380654453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654454" w:history="1">
        <w:r>
          <w:rPr>
            <w:rStyle w:val="Hyperlink"/>
            <w:noProof/>
          </w:rPr>
          <w:t>3.3 Erheblichkeit der Immissionsbeiträge</w:t>
        </w:r>
        <w:r>
          <w:rPr>
            <w:noProof/>
            <w:webHidden/>
          </w:rPr>
          <w:tab/>
        </w:r>
        <w:r>
          <w:rPr>
            <w:noProof/>
            <w:webHidden/>
          </w:rPr>
          <w:fldChar w:fldCharType="begin"/>
        </w:r>
        <w:r>
          <w:rPr>
            <w:noProof/>
            <w:webHidden/>
          </w:rPr>
          <w:instrText xml:space="preserve"> PAGEREF _Toc380654454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0654455" w:history="1">
        <w:r>
          <w:rPr>
            <w:rStyle w:val="Hyperlink"/>
            <w:noProof/>
          </w:rPr>
          <w:t>4 Ermittlung der Kenngrößen der Geruchsimmission</w:t>
        </w:r>
        <w:r>
          <w:rPr>
            <w:noProof/>
            <w:webHidden/>
          </w:rPr>
          <w:tab/>
        </w:r>
        <w:r>
          <w:rPr>
            <w:noProof/>
            <w:webHidden/>
          </w:rPr>
          <w:fldChar w:fldCharType="begin"/>
        </w:r>
        <w:r>
          <w:rPr>
            <w:noProof/>
            <w:webHidden/>
          </w:rPr>
          <w:instrText xml:space="preserve"> PAGEREF _Toc380654455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654456" w:history="1">
        <w:r>
          <w:rPr>
            <w:rStyle w:val="Hyperlink"/>
            <w:noProof/>
          </w:rPr>
          <w:t>4.1 Allgemeines</w:t>
        </w:r>
        <w:r>
          <w:rPr>
            <w:noProof/>
            <w:webHidden/>
          </w:rPr>
          <w:tab/>
        </w:r>
        <w:r>
          <w:rPr>
            <w:noProof/>
            <w:webHidden/>
          </w:rPr>
          <w:fldChar w:fldCharType="begin"/>
        </w:r>
        <w:r>
          <w:rPr>
            <w:noProof/>
            <w:webHidden/>
          </w:rPr>
          <w:instrText xml:space="preserve"> PAGEREF _Toc380654456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654457" w:history="1">
        <w:r>
          <w:rPr>
            <w:rStyle w:val="Hyperlink"/>
            <w:noProof/>
          </w:rPr>
          <w:t>4.2 Ermittlung im Genehmigungsverfahren</w:t>
        </w:r>
        <w:r>
          <w:rPr>
            <w:noProof/>
            <w:webHidden/>
          </w:rPr>
          <w:tab/>
        </w:r>
        <w:r>
          <w:rPr>
            <w:noProof/>
            <w:webHidden/>
          </w:rPr>
          <w:fldChar w:fldCharType="begin"/>
        </w:r>
        <w:r>
          <w:rPr>
            <w:noProof/>
            <w:webHidden/>
          </w:rPr>
          <w:instrText xml:space="preserve"> PAGEREF _Toc380654457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654458" w:history="1">
        <w:r>
          <w:rPr>
            <w:rStyle w:val="Hyperlink"/>
            <w:noProof/>
          </w:rPr>
          <w:t>4.3 Ermittlung im Überwachungsverfahren</w:t>
        </w:r>
        <w:r>
          <w:rPr>
            <w:noProof/>
            <w:webHidden/>
          </w:rPr>
          <w:tab/>
        </w:r>
        <w:r>
          <w:rPr>
            <w:noProof/>
            <w:webHidden/>
          </w:rPr>
          <w:fldChar w:fldCharType="begin"/>
        </w:r>
        <w:r>
          <w:rPr>
            <w:noProof/>
            <w:webHidden/>
          </w:rPr>
          <w:instrText xml:space="preserve"> PAGEREF _Toc380654458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654459" w:history="1">
        <w:r>
          <w:rPr>
            <w:rStyle w:val="Hyperlink"/>
            <w:noProof/>
          </w:rPr>
          <w:t>4.4 Kenngröße für die vorhandene Belastung</w:t>
        </w:r>
        <w:r>
          <w:rPr>
            <w:noProof/>
            <w:webHidden/>
          </w:rPr>
          <w:tab/>
        </w:r>
        <w:r>
          <w:rPr>
            <w:noProof/>
            <w:webHidden/>
          </w:rPr>
          <w:fldChar w:fldCharType="begin"/>
        </w:r>
        <w:r>
          <w:rPr>
            <w:noProof/>
            <w:webHidden/>
          </w:rPr>
          <w:instrText xml:space="preserve"> PAGEREF _Toc380654459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654460" w:history="1">
        <w:r>
          <w:rPr>
            <w:rStyle w:val="Hyperlink"/>
            <w:noProof/>
          </w:rPr>
          <w:t>4.5 Kenngröße für die zu erwartende Zusatzbelastung</w:t>
        </w:r>
        <w:r>
          <w:rPr>
            <w:noProof/>
            <w:webHidden/>
          </w:rPr>
          <w:tab/>
        </w:r>
        <w:r>
          <w:rPr>
            <w:noProof/>
            <w:webHidden/>
          </w:rPr>
          <w:fldChar w:fldCharType="begin"/>
        </w:r>
        <w:r>
          <w:rPr>
            <w:noProof/>
            <w:webHidden/>
          </w:rPr>
          <w:instrText xml:space="preserve"> PAGEREF _Toc380654460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654461" w:history="1">
        <w:r>
          <w:rPr>
            <w:rStyle w:val="Hyperlink"/>
            <w:noProof/>
          </w:rPr>
          <w:t>4.6 Auswertung</w:t>
        </w:r>
        <w:r>
          <w:rPr>
            <w:noProof/>
            <w:webHidden/>
          </w:rPr>
          <w:tab/>
        </w:r>
        <w:r>
          <w:rPr>
            <w:noProof/>
            <w:webHidden/>
          </w:rPr>
          <w:fldChar w:fldCharType="begin"/>
        </w:r>
        <w:r>
          <w:rPr>
            <w:noProof/>
            <w:webHidden/>
          </w:rPr>
          <w:instrText xml:space="preserve"> PAGEREF _Toc380654461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0654462" w:history="1">
        <w:r>
          <w:rPr>
            <w:rStyle w:val="Hyperlink"/>
            <w:noProof/>
          </w:rPr>
          <w:t>5 Beurteilung im Einzelfall</w:t>
        </w:r>
        <w:r>
          <w:rPr>
            <w:noProof/>
            <w:webHidden/>
          </w:rPr>
          <w:tab/>
        </w:r>
        <w:r>
          <w:rPr>
            <w:noProof/>
            <w:webHidden/>
          </w:rPr>
          <w:fldChar w:fldCharType="begin"/>
        </w:r>
        <w:r>
          <w:rPr>
            <w:noProof/>
            <w:webHidden/>
          </w:rPr>
          <w:instrText xml:space="preserve"> PAGEREF _Toc380654462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0654463" w:history="1">
        <w:r>
          <w:rPr>
            <w:rStyle w:val="Hyperlink"/>
            <w:noProof/>
          </w:rPr>
          <w:t>6 Anhänge, Anlagen, Muster</w:t>
        </w:r>
        <w:r>
          <w:rPr>
            <w:noProof/>
            <w:webHidden/>
          </w:rPr>
          <w:tab/>
        </w:r>
        <w:r>
          <w:rPr>
            <w:noProof/>
            <w:webHidden/>
          </w:rPr>
          <w:fldChar w:fldCharType="begin"/>
        </w:r>
        <w:r>
          <w:rPr>
            <w:noProof/>
            <w:webHidden/>
          </w:rPr>
          <w:instrText xml:space="preserve"> PAGEREF _Toc380654463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0654464" w:history="1">
        <w:r>
          <w:rPr>
            <w:rStyle w:val="Hyperlink"/>
            <w:noProof/>
          </w:rPr>
          <w:t>7</w:t>
        </w:r>
        <w:r>
          <w:rPr>
            <w:noProof/>
            <w:webHidden/>
          </w:rPr>
          <w:tab/>
        </w:r>
        <w:r>
          <w:rPr>
            <w:noProof/>
            <w:webHidden/>
          </w:rPr>
          <w:fldChar w:fldCharType="begin"/>
        </w:r>
        <w:r>
          <w:rPr>
            <w:noProof/>
            <w:webHidden/>
          </w:rPr>
          <w:instrText xml:space="preserve"> PAGEREF _Toc380654464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2"/>
      </w:pPr>
      <w:bookmarkStart w:id="2" w:name="_Toc380654449"/>
      <w:r>
        <w:t>1</w:t>
      </w:r>
      <w:r>
        <w:br/>
        <w:t>Allgemeines</w:t>
      </w:r>
      <w:bookmarkEnd w:id="2"/>
    </w:p>
    <w:p>
      <w:pPr>
        <w:pStyle w:val="GesAbsatz"/>
      </w:pPr>
      <w:r>
        <w:t xml:space="preserve">Die Vorgehensweise bei der Beurteilung von Geruchsbelästigungen unterscheidet sich grundlegend von der anderer Immissionen. So hängt die Frage, ob derartige Belästigungen als erheblich und damit als schädliche Umwelteinwirkungen anzusehen sind, nicht nur von der jeweiligen Immissionskonzentration, sondern auch von der Geruchsqualität (es riecht nach …), der Geruchsintensität, der Hedonik (angenehm, neutral oder unangenehm), der tages- und jahreszeitlichen Verteilung der Einwirkungen, dem Rhythmus, in dem die Belästigungen auftreten, der Nutzung des beeinträchtigten Gebietes sowie von weiteren Kriterien ab (vgl. Nummer 3.1 und Nummer 5). </w:t>
      </w:r>
    </w:p>
    <w:p>
      <w:pPr>
        <w:pStyle w:val="GesAbsatz"/>
      </w:pPr>
      <w:r>
        <w:t>Es sind bis zum Erlass entsprechender bundeseinheitlicher Verwaltungsvorschriften die in dieser Richtlinie beschriebenen Regelungen zu beachten.</w:t>
      </w:r>
    </w:p>
    <w:p>
      <w:pPr>
        <w:pStyle w:val="GesAbsatz"/>
      </w:pPr>
      <w:r>
        <w:t>Für nicht genehmigungsbedürftige Anlagen kann die Richtlinie sinngemäß angewandt werden.</w:t>
      </w:r>
    </w:p>
    <w:p>
      <w:pPr>
        <w:pStyle w:val="GesAbsatz"/>
      </w:pPr>
      <w:r>
        <w:t>Handelt es sich um eine Tierhaltungsanlage, so kann die Genehmigungsbehörde auf die Ermittlung der Kenngrößen nach Nummer 4 verzichten und das Vorliegen der Genehmigungsvoraussetzungen mit der Einhaltung des Abstandsdiagrammes (Nummer 5.4.7.1 TA Luft) begründen, sofern nicht die besonderen Umstände des Einzelfalles (z. B. besondere topografische Verhältnisse, Geruchsvorbelastung) eine andere Vorgehensweise erfordern. Bei nicht genehmigungsbedürftigen Tierhaltungsanlagen kann in derartigen Fällen die Genehmigungsbehörde die Entscheidung auf die Einhaltung der Abstände nach den entsprechenden Richtlinien VDI 3471 (1986) und VDI 3472 (1986) gründen.</w:t>
      </w:r>
    </w:p>
    <w:p>
      <w:pPr>
        <w:pStyle w:val="GesAbsatz"/>
      </w:pPr>
      <w:r>
        <w:t xml:space="preserve">Zur Beurteilung der Erheblichkeit der Geruchseinwirkung werden in dieser Richtlinie in Abhängigkeit von verschiedenen Nutzungsgebieten Immissionswerte als regelmäßiger Maßstab für die höchstzulässige Geruchsimmission festgelegt. Mit diesen Immissionswerten sind Kenngrößen zu vergleichen, die auch die durch andere Anlagen verursachte vorhandene Belastung berücksichtigen. </w:t>
      </w:r>
    </w:p>
    <w:p>
      <w:pPr>
        <w:pStyle w:val="GesAbsatz"/>
      </w:pPr>
      <w:r>
        <w:t>Die Ermittlung der vorhandenen Belastung hat im Allgemeinen durch olfaktorische Feststellungen im Rahmen von Rasterbegehungen entsprechend Richtlinie VDI 3940 Blatt 1 (2006) oder durch Geruchsausbreitungsrechnung zu erfolgen.</w:t>
      </w:r>
    </w:p>
    <w:p>
      <w:pPr>
        <w:pStyle w:val="GesAbsatz"/>
      </w:pPr>
      <w:r>
        <w:t xml:space="preserve">Die Ermittlung der zu erwartenden Zusatzbelastung erfolgt durch Geruchsausbreitungsrechnung. Sie ist auf der Basis der Richtlinie VDI 3788 Blatt 1 (2000), des Anhangs 3 der TA Luft und der speziellen Anpassungen </w:t>
      </w:r>
      <w:r>
        <w:lastRenderedPageBreak/>
        <w:t xml:space="preserve">für Geruch (Janicke L. und Janicke, U. 2004) durchzuführen. Die vorhandene Belastung und die zu erwartende Zusatzbelastung ergeben die Gesamtbelastung, die mit dem Immissionswert zu vergleichen ist. </w:t>
      </w:r>
    </w:p>
    <w:p>
      <w:pPr>
        <w:pStyle w:val="berschrift2"/>
      </w:pPr>
      <w:bookmarkStart w:id="3" w:name="_Toc380654450"/>
      <w:r>
        <w:t>2</w:t>
      </w:r>
      <w:r>
        <w:br/>
        <w:t>Anforderungen an die Begrenzung und Ableitung der Geruchsemissionen</w:t>
      </w:r>
      <w:bookmarkEnd w:id="3"/>
    </w:p>
    <w:p>
      <w:pPr>
        <w:pStyle w:val="GesAbsatz"/>
      </w:pPr>
      <w:r>
        <w:t>Grundsätzlich ist vor einer Immissionsbeurteilung zu prüfen, ob die nach dem Stand der Technik gegebenen Möglichkeiten zur Verminderung der Emissionen ausgeschöpft sind (vgl. Nr. 5 TA Luft) und die Ableitung der Restemissionen den Anforderungen der Nr. 5.5 TA Luft entspricht (vgl. BVerwG, Beschluss v. 10.5.90 (Gew Arch 1991/8, S. 312)).</w:t>
      </w:r>
    </w:p>
    <w:p>
      <w:pPr>
        <w:pStyle w:val="GesAbsatz"/>
      </w:pPr>
      <w:r>
        <w:t>Die Schornsteinmindesthöhe ist i.d.R. so zu bemessen, dass die Kenngröße der zu erwartenden Zusatzbelastung IZ (vgl. Nummer 4.5) auf keiner Beurteilungsfläche den Wert 0,06 überschreitet.</w:t>
      </w:r>
      <w:r>
        <w:rPr>
          <w:rStyle w:val="Funotenzeichen"/>
        </w:rPr>
        <w:footnoteReference w:id="1"/>
      </w:r>
      <w:r>
        <w:t xml:space="preserve"> </w:t>
      </w:r>
    </w:p>
    <w:p>
      <w:pPr>
        <w:pStyle w:val="GesAbsatz"/>
      </w:pPr>
      <w:r>
        <w:t>In atypischen Fällen können sich unverhältnismäßige Schornsteinhöhen ergeben; in diesen Fällen ist eine Stellungnahme der zuständigen Fachbehörde einzuholen.</w:t>
      </w:r>
    </w:p>
    <w:p>
      <w:pPr>
        <w:pStyle w:val="berschrift2"/>
      </w:pPr>
      <w:bookmarkStart w:id="4" w:name="_Toc380654451"/>
      <w:r>
        <w:t>3</w:t>
      </w:r>
      <w:r>
        <w:br/>
        <w:t>Beurteilungskriterien</w:t>
      </w:r>
      <w:bookmarkEnd w:id="4"/>
      <w:r>
        <w:t xml:space="preserve"> </w:t>
      </w:r>
    </w:p>
    <w:p>
      <w:pPr>
        <w:pStyle w:val="berschrift3"/>
      </w:pPr>
      <w:bookmarkStart w:id="5" w:name="_Toc380654452"/>
      <w:r>
        <w:t>3.1</w:t>
      </w:r>
      <w:r>
        <w:br/>
        <w:t>Immissionswerte</w:t>
      </w:r>
      <w:bookmarkEnd w:id="5"/>
    </w:p>
    <w:p>
      <w:pPr>
        <w:pStyle w:val="GesAbsatz"/>
      </w:pPr>
      <w:r>
        <w:t xml:space="preserve">Nach dieser Richtlinie dürfen nur deutlich wahrnehmbare Geruchsimmissionen beurteilt werden, d.h. solche Geruchsimmissionen, die mit hinreichender Sicherheit und zweifelsfrei ihrer Herkunft nach aus Anlagen oder Anlagengruppen erkennbar, d.h. abgrenzbar sind gegenüber Gerüchen aus dem Kraftfahrzeugverkehr, dem Hausbrandbereich, der Vegetation, landwirtschaftlichen Düngemaßnahmen oder ähnlichem. Geruchsimmissionen sind in der Regel als erhebliche Belästigung zu werten, wenn die Gesamtbelastung IG (Nummer 4.6) die in Tabelle 1 angegebenen Immissionswerte IW überschreitet. Bei den Immissionswerten handelt es sich um relative Häufigkeiten der Geruchsstunden (vgl. Nummer 4). </w:t>
      </w:r>
    </w:p>
    <w:p>
      <w:pPr>
        <w:pStyle w:val="GesAbsatz"/>
        <w:tabs>
          <w:tab w:val="clear" w:pos="425"/>
          <w:tab w:val="left" w:pos="1134"/>
        </w:tabs>
        <w:rPr>
          <w:b/>
        </w:rPr>
      </w:pPr>
      <w:r>
        <w:rPr>
          <w:b/>
        </w:rPr>
        <w:t>Tabelle 1:</w:t>
      </w:r>
      <w:r>
        <w:rPr>
          <w:b/>
        </w:rPr>
        <w:tab/>
        <w:t>Immissionswerte IW für verschiedene Nutzungsgebiete</w:t>
      </w:r>
    </w:p>
    <w:p>
      <w:pPr>
        <w:pStyle w:val="GesAbsatz"/>
      </w:pPr>
    </w:p>
    <w:tbl>
      <w:tblPr>
        <w:tblStyle w:val="Tabellenraster"/>
        <w:tblW w:w="0" w:type="auto"/>
        <w:jc w:val="center"/>
        <w:tblLook w:val="01E0" w:firstRow="1" w:lastRow="1" w:firstColumn="1" w:lastColumn="1" w:noHBand="0" w:noVBand="0"/>
      </w:tblPr>
      <w:tblGrid>
        <w:gridCol w:w="2518"/>
        <w:gridCol w:w="2694"/>
        <w:gridCol w:w="2409"/>
      </w:tblGrid>
      <w:tr>
        <w:trPr>
          <w:jc w:val="center"/>
        </w:trPr>
        <w:tc>
          <w:tcPr>
            <w:tcW w:w="2518" w:type="dxa"/>
          </w:tcPr>
          <w:p>
            <w:pPr>
              <w:pStyle w:val="GesAbsatz"/>
            </w:pPr>
            <w:r>
              <w:t>Wohn- /Mischgebiete</w:t>
            </w:r>
          </w:p>
        </w:tc>
        <w:tc>
          <w:tcPr>
            <w:tcW w:w="2694" w:type="dxa"/>
          </w:tcPr>
          <w:p>
            <w:pPr>
              <w:pStyle w:val="GesAbsatz"/>
            </w:pPr>
            <w:r>
              <w:t xml:space="preserve">Gewerbe-/Industriegebiete </w:t>
            </w:r>
          </w:p>
        </w:tc>
        <w:tc>
          <w:tcPr>
            <w:tcW w:w="2409" w:type="dxa"/>
          </w:tcPr>
          <w:p>
            <w:pPr>
              <w:pStyle w:val="GesAbsatz"/>
            </w:pPr>
            <w:r>
              <w:t>Dorfgebiete</w:t>
            </w:r>
          </w:p>
        </w:tc>
      </w:tr>
      <w:tr>
        <w:trPr>
          <w:jc w:val="center"/>
        </w:trPr>
        <w:tc>
          <w:tcPr>
            <w:tcW w:w="2518" w:type="dxa"/>
          </w:tcPr>
          <w:p>
            <w:pPr>
              <w:pStyle w:val="GesAbsatz"/>
            </w:pPr>
            <w:r>
              <w:t>0,10</w:t>
            </w:r>
          </w:p>
        </w:tc>
        <w:tc>
          <w:tcPr>
            <w:tcW w:w="2694" w:type="dxa"/>
          </w:tcPr>
          <w:p>
            <w:pPr>
              <w:pStyle w:val="GesAbsatz"/>
            </w:pPr>
            <w:r>
              <w:t>0,15</w:t>
            </w:r>
          </w:p>
        </w:tc>
        <w:tc>
          <w:tcPr>
            <w:tcW w:w="2409" w:type="dxa"/>
          </w:tcPr>
          <w:p>
            <w:pPr>
              <w:pStyle w:val="GesAbsatz"/>
            </w:pPr>
            <w:r>
              <w:t>0,15</w:t>
            </w:r>
          </w:p>
        </w:tc>
      </w:tr>
    </w:tbl>
    <w:p>
      <w:pPr>
        <w:pStyle w:val="GesAbsatz"/>
      </w:pPr>
    </w:p>
    <w:p>
      <w:pPr>
        <w:pStyle w:val="GesAbsatz"/>
      </w:pPr>
      <w:r>
        <w:t xml:space="preserve">Sonstige Gebiete, in denen sich Personen nicht nur vorübergehend aufhalten, sind entsprechend den Grundsätzen des Planungsrechtes den einzelnen Spalten der Tabelle 1 zuzuordnen. </w:t>
      </w:r>
    </w:p>
    <w:p>
      <w:pPr>
        <w:pStyle w:val="GesAbsatz"/>
      </w:pPr>
      <w:r>
        <w:t>Der Immissionswert der Spalte „Dorfgebiete“ gilt nur für Geruchsimmissionen verursacht durch Tierhaltungsanlagen in Verbindung mit der belästigungsrelevanten Kenngröße IG</w:t>
      </w:r>
      <w:r>
        <w:rPr>
          <w:vertAlign w:val="subscript"/>
        </w:rPr>
        <w:t>b</w:t>
      </w:r>
      <w:r>
        <w:t xml:space="preserve"> (s. Nummer 4.6 dieser Richtlinie). </w:t>
      </w:r>
    </w:p>
    <w:p>
      <w:pPr>
        <w:pStyle w:val="GesAbsatz"/>
      </w:pPr>
      <w:r>
        <w:t>In der Regel werden Immissionen durch die Geruchsqualität, das Ausmaß durch die Feststellung von Gerüchen ab ihrer Erkennbarkeit und über die Definition der Geruchsstunde sowie die Dauer durch die Ermittlung der Geruchshäufigkeit hinreichend berücksichtigt.</w:t>
      </w:r>
    </w:p>
    <w:p>
      <w:pPr>
        <w:pStyle w:val="GesAbsatz"/>
      </w:pPr>
      <w:r>
        <w:t>Regelmäßiger Bestandteil dieser Beurteilung ist die Prüfung, ob Anhaltspunkte für die Notwendigkeit einer Prüfung nach Nummer 5 für den jeweiligen Einzelfall bestehen.</w:t>
      </w:r>
    </w:p>
    <w:p>
      <w:pPr>
        <w:pStyle w:val="berschrift3"/>
      </w:pPr>
      <w:bookmarkStart w:id="6" w:name="_Toc380654453"/>
      <w:r>
        <w:t>3.2</w:t>
      </w:r>
      <w:r>
        <w:br/>
        <w:t>Anwendung der Immissionswerte</w:t>
      </w:r>
      <w:bookmarkEnd w:id="6"/>
    </w:p>
    <w:p>
      <w:pPr>
        <w:pStyle w:val="GesAbsatz"/>
      </w:pPr>
      <w:r>
        <w:t xml:space="preserve">Die Immissionswerte gelten nur in Verbindung mit den im Folgenden festgelegten Verfahren zur Ermittlung der Kenngrößen für die Geruchsimmission. </w:t>
      </w:r>
    </w:p>
    <w:p>
      <w:pPr>
        <w:pStyle w:val="berschrift3"/>
      </w:pPr>
      <w:bookmarkStart w:id="7" w:name="_Toc380654454"/>
      <w:r>
        <w:t>3.3</w:t>
      </w:r>
      <w:r>
        <w:br/>
        <w:t>Erheblichkeit der Immissionsbeiträge</w:t>
      </w:r>
      <w:bookmarkEnd w:id="7"/>
    </w:p>
    <w:p>
      <w:pPr>
        <w:pStyle w:val="GesAbsatz"/>
      </w:pPr>
      <w:r>
        <w:t xml:space="preserve">Die Genehmigung für eine Anlage soll auch bei Überschreitung der Immissionswerte der GIRL nicht wegen der Geruchsimmissionen versagt werden, wenn der von der zu beurteilenden Anlage in ihrer Gesamtheit zu </w:t>
      </w:r>
      <w:r>
        <w:lastRenderedPageBreak/>
        <w:t>erwartende Immissionsbeitrag (Kenngröße der zu erwartenden Zusatzbelastung nach Nummer 4.5) auf keiner Beurteilungsfläche, auf der sich Personen nicht nur vorübergehend aufhalten (vgl. Nummer 3.1), den Wert 0,02 überschreitet. Bei Einhaltung dieses Wertes ist davon auszugehen, dass die Anlage die belästigende Wirkung der vorhandenen Belastung nicht relevant erhöht (Irrelevanz der zu erwartenden Zusatzbelastung - Irrelevanzkriterium).</w:t>
      </w:r>
      <w:r>
        <w:rPr>
          <w:rStyle w:val="Funotenzeichen"/>
        </w:rPr>
        <w:footnoteReference w:id="2"/>
      </w:r>
      <w:r>
        <w:t xml:space="preserve"> </w:t>
      </w:r>
    </w:p>
    <w:p>
      <w:pPr>
        <w:pStyle w:val="berschrift2"/>
      </w:pPr>
      <w:bookmarkStart w:id="8" w:name="_Toc380654455"/>
      <w:r>
        <w:t>4</w:t>
      </w:r>
      <w:r>
        <w:br/>
        <w:t>Ermittlung der Kenngrößen der Geruchsimmission</w:t>
      </w:r>
      <w:bookmarkEnd w:id="8"/>
    </w:p>
    <w:p>
      <w:pPr>
        <w:pStyle w:val="berschrift3"/>
      </w:pPr>
      <w:bookmarkStart w:id="9" w:name="_Toc380654456"/>
      <w:r>
        <w:t>4.1</w:t>
      </w:r>
      <w:r>
        <w:br/>
        <w:t>Allgemeines</w:t>
      </w:r>
      <w:bookmarkEnd w:id="9"/>
    </w:p>
    <w:p>
      <w:pPr>
        <w:pStyle w:val="GesAbsatz"/>
      </w:pPr>
      <w:r>
        <w:t>In Tabelle 2 sind die Methoden zur Ermittlung der Geruchsimmission aufgeführt. In beiden Fällen wird die Geruchsimmission durch einen Wert (Kenngröße) gekennzeichnet, der ihre zeitliche Wahrnehmbarkeit oberhalb einer bestimmten Intensität (Erkennungsschwelle) beschreibt.</w:t>
      </w:r>
    </w:p>
    <w:p>
      <w:pPr>
        <w:pStyle w:val="GesAbsatz"/>
      </w:pPr>
      <w:r>
        <w:t>Die Ausbreitungsrechnung kann insbesondere dann vorgenommen werden, wenn auf Grund vorliegender Messungen oder Schätzungen anzunehmen ist, dass die vorhandene Belastung 70% des anzuwendenden Immissionswertes nach Tabelle 1 unterschreitet oder wenn die Ermittlung der Belastung durch Begehungen als unverhältnismäßig eingeschätzt werden muss. Wird die Ermittlung der vorhandenen Belastung rechnerisch vorgenommen, so sind alle Emittenten von Geruchsstoffen, die das Beurteilungsgebiet beaufschlagen, zu erfassen.</w:t>
      </w:r>
    </w:p>
    <w:p>
      <w:pPr>
        <w:pStyle w:val="GesAbsatz"/>
      </w:pPr>
      <w:r>
        <w:t>Um in speziellen Fällen auf Emissionen zurückrechnen zu können (nicht zur Bestimmung von Geruchshäufigkeiten), können Fahnenbegehungen nach VDI 3940 Blatt 2 (2006) verwendet werden.</w:t>
      </w:r>
    </w:p>
    <w:p>
      <w:pPr>
        <w:pStyle w:val="GesAbsatz"/>
        <w:tabs>
          <w:tab w:val="clear" w:pos="425"/>
          <w:tab w:val="left" w:pos="1134"/>
        </w:tabs>
        <w:rPr>
          <w:b/>
        </w:rPr>
      </w:pPr>
      <w:r>
        <w:rPr>
          <w:b/>
        </w:rPr>
        <w:t>Tabelle 2:</w:t>
      </w:r>
      <w:r>
        <w:rPr>
          <w:b/>
        </w:rPr>
        <w:tab/>
        <w:t>Methoden zur Ermittlung der Geruchsimmission</w:t>
      </w:r>
    </w:p>
    <w:p>
      <w:pPr>
        <w:pStyle w:val="GesAbsatz"/>
      </w:pPr>
    </w:p>
    <w:tbl>
      <w:tblPr>
        <w:tblStyle w:val="Tabellenraster"/>
        <w:tblW w:w="0" w:type="auto"/>
        <w:tblLook w:val="01E0" w:firstRow="1" w:lastRow="1" w:firstColumn="1" w:lastColumn="1" w:noHBand="0" w:noVBand="0"/>
      </w:tblPr>
      <w:tblGrid>
        <w:gridCol w:w="3216"/>
        <w:gridCol w:w="3206"/>
        <w:gridCol w:w="3206"/>
      </w:tblGrid>
      <w:tr>
        <w:tc>
          <w:tcPr>
            <w:tcW w:w="3259" w:type="dxa"/>
          </w:tcPr>
          <w:p>
            <w:pPr>
              <w:pStyle w:val="GesAbsatz"/>
              <w:jc w:val="center"/>
              <w:rPr>
                <w:b/>
              </w:rPr>
            </w:pPr>
            <w:r>
              <w:rPr>
                <w:b/>
              </w:rPr>
              <w:t>Methode</w:t>
            </w:r>
          </w:p>
        </w:tc>
        <w:tc>
          <w:tcPr>
            <w:tcW w:w="3259" w:type="dxa"/>
          </w:tcPr>
          <w:p>
            <w:pPr>
              <w:pStyle w:val="GesAbsatz"/>
              <w:jc w:val="center"/>
              <w:rPr>
                <w:b/>
              </w:rPr>
            </w:pPr>
            <w:r>
              <w:rPr>
                <w:b/>
              </w:rPr>
              <w:t>Vorhandene Belastung</w:t>
            </w:r>
            <w:r>
              <w:rPr>
                <w:b/>
              </w:rPr>
              <w:br/>
              <w:t>(Nummer 4.4)</w:t>
            </w:r>
          </w:p>
        </w:tc>
        <w:tc>
          <w:tcPr>
            <w:tcW w:w="3260" w:type="dxa"/>
          </w:tcPr>
          <w:p>
            <w:pPr>
              <w:pStyle w:val="GesAbsatz"/>
              <w:jc w:val="center"/>
              <w:rPr>
                <w:b/>
              </w:rPr>
            </w:pPr>
            <w:r>
              <w:rPr>
                <w:b/>
              </w:rPr>
              <w:t>Zu erwartende Zusatzbelastung (Nummer 4.5)</w:t>
            </w:r>
          </w:p>
        </w:tc>
      </w:tr>
      <w:tr>
        <w:tc>
          <w:tcPr>
            <w:tcW w:w="3259" w:type="dxa"/>
          </w:tcPr>
          <w:p>
            <w:pPr>
              <w:pStyle w:val="GesAbsatz"/>
            </w:pPr>
            <w:r>
              <w:t>Ausbreitungsrechnung</w:t>
            </w:r>
          </w:p>
          <w:p>
            <w:pPr>
              <w:pStyle w:val="GesAbsatz"/>
            </w:pPr>
            <w:r>
              <w:t xml:space="preserve">Berechnung der </w:t>
            </w:r>
            <w:r>
              <w:br/>
              <w:t xml:space="preserve">Geruchsimmission </w:t>
            </w:r>
          </w:p>
        </w:tc>
        <w:tc>
          <w:tcPr>
            <w:tcW w:w="3259" w:type="dxa"/>
          </w:tcPr>
          <w:p>
            <w:pPr>
              <w:pStyle w:val="GesAbsatz"/>
            </w:pPr>
            <w:r>
              <w:t>möglich, aber Ermittlung der Emissionsdaten mit Hilfe von olfaktometrischen Emissionsmessungen (DIN EN 13725 (2003)) oder auch Fahnenbegehungen (VDI 3940 Blatt 2 (2006)) erforderlich</w:t>
            </w:r>
          </w:p>
        </w:tc>
        <w:tc>
          <w:tcPr>
            <w:tcW w:w="3260" w:type="dxa"/>
          </w:tcPr>
          <w:p>
            <w:pPr>
              <w:pStyle w:val="GesAbsatz"/>
            </w:pPr>
            <w:r>
              <w:t>vorrangig anzuwenden</w:t>
            </w:r>
          </w:p>
        </w:tc>
      </w:tr>
      <w:tr>
        <w:tc>
          <w:tcPr>
            <w:tcW w:w="3259" w:type="dxa"/>
          </w:tcPr>
          <w:p>
            <w:pPr>
              <w:pStyle w:val="GesAbsatz"/>
            </w:pPr>
            <w:r>
              <w:t>Rasterbegehung (VDI 3940 Blatt 1 (2006))</w:t>
            </w:r>
          </w:p>
          <w:p>
            <w:pPr>
              <w:pStyle w:val="GesAbsatz"/>
            </w:pPr>
            <w:r>
              <w:t xml:space="preserve">Olfaktorische Ermittlung </w:t>
            </w:r>
            <w:r>
              <w:br/>
              <w:t xml:space="preserve">der Geruchsimmission </w:t>
            </w:r>
          </w:p>
        </w:tc>
        <w:tc>
          <w:tcPr>
            <w:tcW w:w="3259" w:type="dxa"/>
          </w:tcPr>
          <w:p>
            <w:pPr>
              <w:pStyle w:val="GesAbsatz"/>
            </w:pPr>
            <w:r>
              <w:t>möglich</w:t>
            </w:r>
          </w:p>
        </w:tc>
        <w:tc>
          <w:tcPr>
            <w:tcW w:w="3260" w:type="dxa"/>
          </w:tcPr>
          <w:p>
            <w:pPr>
              <w:pStyle w:val="GesAbsatz"/>
            </w:pPr>
            <w:r>
              <w:t>nicht möglich</w:t>
            </w:r>
          </w:p>
        </w:tc>
      </w:tr>
    </w:tbl>
    <w:p>
      <w:pPr>
        <w:pStyle w:val="GesAbsatz"/>
      </w:pPr>
    </w:p>
    <w:p>
      <w:pPr>
        <w:pStyle w:val="berschrift3"/>
      </w:pPr>
      <w:bookmarkStart w:id="10" w:name="_Toc380654457"/>
      <w:r>
        <w:t>4.2</w:t>
      </w:r>
      <w:r>
        <w:br/>
        <w:t>Ermittlung im Genehmigungsverfahren</w:t>
      </w:r>
      <w:bookmarkEnd w:id="10"/>
    </w:p>
    <w:p>
      <w:pPr>
        <w:pStyle w:val="GesAbsatz"/>
      </w:pPr>
      <w:r>
        <w:t xml:space="preserve">Unterschieden werden die Kenngrößen für die vorhandene Belastung (IV), die zu erwartende Zusatzbelastung (IZ) und die Gesamtbelastung (IG), die für jede Beurteilungsfläche in dem für die Beurteilung der Einwirkung maßgeblichen Gebiet (Beurteilungsgebiet) ermittelt werden. Die vorhandene Belastung ist die von vorhandenen Anlagen ausgehende Geruchsbelastung ohne die zu erwartende Zusatzbelastung, die durch das beantragte Vorhaben hervorgerufen wird. Die zu erwartende Zusatzbelastung ist nach Nummer 4.5 zu ermitteln. </w:t>
      </w:r>
    </w:p>
    <w:p>
      <w:pPr>
        <w:pStyle w:val="GesAbsatz"/>
      </w:pPr>
      <w:r>
        <w:t>Die Kenngröße für die Gesamtbelastung ist aus den Kenngrößen für die vorhandene Belastung und die zu erwartende Zusatzbelastung nach Nummer 4.6 zu bilden.</w:t>
      </w:r>
    </w:p>
    <w:p>
      <w:pPr>
        <w:pStyle w:val="GesAbsatz"/>
      </w:pPr>
      <w:r>
        <w:t>In die Ermittlung des Geruchsstoffstroms sind die Emissionen der gesamten Anlage einzubeziehen; bei einer wesentlichen Änderung sind die Emissionen der zu ändernden sowie derjenigen Anlagenteile zu berücksichtigen, auf die sich die Änderung auswirken wird.</w:t>
      </w:r>
    </w:p>
    <w:p>
      <w:pPr>
        <w:pStyle w:val="GesAbsatz"/>
      </w:pPr>
      <w:r>
        <w:lastRenderedPageBreak/>
        <w:t>Im Genehmigungsverfahren muss bei der Darstellung der Ergebnisse von Rasterbegehungen der Korrekturfaktor k (vgl. Nummer 4.4.1) berücksichtigt werden, weil die Einhaltung der Genehmigungsvoraussetzungen wegen der Unsicherheiten der Begehungsmethode anderenfalls nicht als statistisch gesichert (vgl. § 6 Abs. 1 BImSchG) angesehen werden kann.</w:t>
      </w:r>
    </w:p>
    <w:p>
      <w:pPr>
        <w:pStyle w:val="berschrift3"/>
      </w:pPr>
      <w:bookmarkStart w:id="11" w:name="_Toc380654458"/>
      <w:r>
        <w:t>4.3</w:t>
      </w:r>
      <w:r>
        <w:br/>
        <w:t>Ermittlung im Überwachungsverfahren</w:t>
      </w:r>
      <w:bookmarkEnd w:id="11"/>
    </w:p>
    <w:p>
      <w:pPr>
        <w:pStyle w:val="GesAbsatz"/>
      </w:pPr>
      <w:r>
        <w:t>Ermittlungen im Überwachungsverfahren können erforderlich sein für die Entscheidung über eine nachträgliche Anordnung. Eine nachträgliche Anordnung kommt in Betracht, wenn der Vergleich der Kenngröße für die vorhandene Belastung mit den Immissionswerten nach Tabelle 1 ergibt, dass die Immissionswerte nicht eingehalten sind (auch in dieser Situation ist eine Einzelfallprüfung erforderlich), oder wenn sich in den Fällen der Nummer 5 herausstellt, dass erhebliche Belästigungen hervorgerufen werden.</w:t>
      </w:r>
    </w:p>
    <w:p>
      <w:pPr>
        <w:pStyle w:val="GesAbsatz"/>
      </w:pPr>
      <w:r>
        <w:t>Im Überwachungsverfahren können zur Feststellung, ob die Voraussetzungen für nachträgliche Anordnungen vorliegen, bei der Durchführung von Rasterbegehungen innerhalb der Beurteilungsfläche (Nummer 4.4.3) zusätzliche Messpunkte (Nummer 4.4.6) oder eine höhere Messhäufigkeit (Nummer 4.4.7) gefordert werden. Darüber hinaus kommen zur Verursacheranalyse auch Fahnenbegehungen (VDI 3940 Blatt 2 (2006)) in Betracht (Nummer 4.1). Der Korrekturfaktor k wird in diesem Verfahren nicht berücksichtigt.</w:t>
      </w:r>
    </w:p>
    <w:p>
      <w:pPr>
        <w:pStyle w:val="berschrift3"/>
      </w:pPr>
      <w:bookmarkStart w:id="12" w:name="_Toc380654459"/>
      <w:r>
        <w:t>4.4</w:t>
      </w:r>
      <w:r>
        <w:br/>
        <w:t>Kenngröße für die vorhandene Belastung</w:t>
      </w:r>
      <w:bookmarkEnd w:id="12"/>
      <w:r>
        <w:t xml:space="preserve"> </w:t>
      </w:r>
    </w:p>
    <w:p>
      <w:pPr>
        <w:pStyle w:val="GesAbsatz"/>
      </w:pPr>
      <w:r>
        <w:t xml:space="preserve">Die Ermittlung der vorhandenen Belastung hat durch Rasterbegehung oder durch Geruchsausbreitungsrechnung zu erfolgen. </w:t>
      </w:r>
    </w:p>
    <w:p>
      <w:pPr>
        <w:pStyle w:val="GesAbsatz"/>
        <w:rPr>
          <w:b/>
        </w:rPr>
      </w:pPr>
      <w:r>
        <w:rPr>
          <w:b/>
        </w:rPr>
        <w:t>4.4.1 Allgemeines</w:t>
      </w:r>
    </w:p>
    <w:p>
      <w:pPr>
        <w:pStyle w:val="GesAbsatz"/>
      </w:pPr>
      <w:r>
        <w:t>Die Kenngröße für die vorhandene Belastung (IV) ergibt sich aus</w:t>
      </w:r>
    </w:p>
    <w:p>
      <w:pPr>
        <w:pStyle w:val="GesAbsatz"/>
        <w:jc w:val="center"/>
      </w:pPr>
      <w:r>
        <w:rPr>
          <w:position w:val="-24"/>
        </w:rPr>
        <w:object w:dxaOrig="11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2.25pt" o:ole="">
            <v:imagedata r:id="rId8" o:title=""/>
          </v:shape>
          <o:OLEObject Type="Embed" ProgID="Equation.3" ShapeID="_x0000_i1025" DrawAspect="Content" ObjectID="_1774078701" r:id="rId9"/>
        </w:object>
      </w:r>
      <w:r>
        <w:tab/>
      </w:r>
      <w:r>
        <w:rPr>
          <w:b/>
        </w:rPr>
        <w:t>(1)</w:t>
      </w:r>
    </w:p>
    <w:p>
      <w:pPr>
        <w:pStyle w:val="GesAbsatz"/>
      </w:pPr>
      <w:r>
        <w:t>Hierbei bedeuten N den Erhebungsumfang (N = 52 oder 104) und n</w:t>
      </w:r>
      <w:r>
        <w:rPr>
          <w:vertAlign w:val="subscript"/>
        </w:rPr>
        <w:t>v</w:t>
      </w:r>
      <w:r>
        <w:t xml:space="preserve"> die Summe der an den vier Eckpunkten der Beurteilungsfläche erhobenen Geruchsstunden (vgl. Nummer 4.4.7). </w:t>
      </w:r>
    </w:p>
    <w:p>
      <w:pPr>
        <w:pStyle w:val="GesAbsatz"/>
      </w:pPr>
      <w:r>
        <w:t>Der Korrekturfaktor k nach Tabelle 3 wird nur bei Rasterbegehungen verwendet. Er berücksichtigt die unterschiedliche Aussagesicherheit der mit einem Erhebungsumfang N = 52 oder 104 ermittelten vorhandenen Belastung. Der Korrekturfaktor k basiert auf einer Hypothesenprüfung unter Anwendung der Binomialverteilung.</w:t>
      </w:r>
    </w:p>
    <w:p>
      <w:pPr>
        <w:pStyle w:val="GesAbsatz"/>
        <w:tabs>
          <w:tab w:val="clear" w:pos="425"/>
          <w:tab w:val="left" w:pos="1134"/>
        </w:tabs>
        <w:rPr>
          <w:b/>
        </w:rPr>
      </w:pPr>
      <w:r>
        <w:rPr>
          <w:b/>
        </w:rPr>
        <w:t>Tabelle 3:</w:t>
      </w:r>
      <w:r>
        <w:rPr>
          <w:b/>
        </w:rPr>
        <w:tab/>
        <w:t>Auflistung der Korrekturfaktoren k</w:t>
      </w:r>
    </w:p>
    <w:p>
      <w:pPr>
        <w:pStyle w:val="GesAbsatz"/>
      </w:pPr>
    </w:p>
    <w:tbl>
      <w:tblPr>
        <w:tblStyle w:val="Tabellenraster"/>
        <w:tblW w:w="0" w:type="auto"/>
        <w:jc w:val="center"/>
        <w:tblLook w:val="01E0" w:firstRow="1" w:lastRow="1" w:firstColumn="1" w:lastColumn="1" w:noHBand="0" w:noVBand="0"/>
      </w:tblPr>
      <w:tblGrid>
        <w:gridCol w:w="2235"/>
        <w:gridCol w:w="1775"/>
        <w:gridCol w:w="2052"/>
        <w:gridCol w:w="1984"/>
      </w:tblGrid>
      <w:tr>
        <w:trPr>
          <w:jc w:val="center"/>
        </w:trPr>
        <w:tc>
          <w:tcPr>
            <w:tcW w:w="2235" w:type="dxa"/>
            <w:vAlign w:val="center"/>
          </w:tcPr>
          <w:p>
            <w:pPr>
              <w:pStyle w:val="GesAbsatz"/>
              <w:jc w:val="center"/>
              <w:rPr>
                <w:b/>
              </w:rPr>
            </w:pPr>
            <w:r>
              <w:rPr>
                <w:b/>
              </w:rPr>
              <w:t>Erhebungsumfang N</w:t>
            </w:r>
          </w:p>
        </w:tc>
        <w:tc>
          <w:tcPr>
            <w:tcW w:w="1775" w:type="dxa"/>
            <w:vAlign w:val="center"/>
          </w:tcPr>
          <w:p>
            <w:pPr>
              <w:pStyle w:val="GesAbsatz"/>
              <w:jc w:val="center"/>
              <w:rPr>
                <w:b/>
              </w:rPr>
            </w:pPr>
            <w:r>
              <w:rPr>
                <w:b/>
              </w:rPr>
              <w:t>Wohn- /</w:t>
            </w:r>
            <w:r>
              <w:rPr>
                <w:b/>
              </w:rPr>
              <w:br/>
              <w:t>Mischgebiete</w:t>
            </w:r>
          </w:p>
        </w:tc>
        <w:tc>
          <w:tcPr>
            <w:tcW w:w="2052" w:type="dxa"/>
            <w:vAlign w:val="center"/>
          </w:tcPr>
          <w:p>
            <w:pPr>
              <w:pStyle w:val="GesAbsatz"/>
              <w:jc w:val="center"/>
              <w:rPr>
                <w:b/>
              </w:rPr>
            </w:pPr>
            <w:r>
              <w:rPr>
                <w:b/>
              </w:rPr>
              <w:t>Gewerbe- /</w:t>
            </w:r>
            <w:r>
              <w:rPr>
                <w:b/>
              </w:rPr>
              <w:br/>
              <w:t>Industriegebiete</w:t>
            </w:r>
          </w:p>
        </w:tc>
        <w:tc>
          <w:tcPr>
            <w:tcW w:w="1984" w:type="dxa"/>
            <w:vAlign w:val="center"/>
          </w:tcPr>
          <w:p>
            <w:pPr>
              <w:pStyle w:val="GesAbsatz"/>
              <w:jc w:val="center"/>
              <w:rPr>
                <w:b/>
              </w:rPr>
            </w:pPr>
            <w:r>
              <w:rPr>
                <w:b/>
              </w:rPr>
              <w:t>Dorfgebiete</w:t>
            </w:r>
          </w:p>
        </w:tc>
      </w:tr>
      <w:tr>
        <w:trPr>
          <w:jc w:val="center"/>
        </w:trPr>
        <w:tc>
          <w:tcPr>
            <w:tcW w:w="2235" w:type="dxa"/>
          </w:tcPr>
          <w:p>
            <w:pPr>
              <w:pStyle w:val="GesAbsatz"/>
            </w:pPr>
            <w:r>
              <w:t>52</w:t>
            </w:r>
          </w:p>
        </w:tc>
        <w:tc>
          <w:tcPr>
            <w:tcW w:w="1775" w:type="dxa"/>
          </w:tcPr>
          <w:p>
            <w:pPr>
              <w:pStyle w:val="GesAbsatz"/>
            </w:pPr>
            <w:r>
              <w:t>1,7</w:t>
            </w:r>
          </w:p>
        </w:tc>
        <w:tc>
          <w:tcPr>
            <w:tcW w:w="2052" w:type="dxa"/>
          </w:tcPr>
          <w:p>
            <w:pPr>
              <w:pStyle w:val="GesAbsatz"/>
            </w:pPr>
            <w:r>
              <w:t>1,6</w:t>
            </w:r>
          </w:p>
        </w:tc>
        <w:tc>
          <w:tcPr>
            <w:tcW w:w="1984" w:type="dxa"/>
          </w:tcPr>
          <w:p>
            <w:pPr>
              <w:pStyle w:val="GesAbsatz"/>
            </w:pPr>
            <w:r>
              <w:t>1,6</w:t>
            </w:r>
          </w:p>
        </w:tc>
      </w:tr>
      <w:tr>
        <w:trPr>
          <w:jc w:val="center"/>
        </w:trPr>
        <w:tc>
          <w:tcPr>
            <w:tcW w:w="2235" w:type="dxa"/>
          </w:tcPr>
          <w:p>
            <w:pPr>
              <w:pStyle w:val="GesAbsatz"/>
            </w:pPr>
            <w:r>
              <w:t>104</w:t>
            </w:r>
          </w:p>
        </w:tc>
        <w:tc>
          <w:tcPr>
            <w:tcW w:w="1775" w:type="dxa"/>
          </w:tcPr>
          <w:p>
            <w:pPr>
              <w:pStyle w:val="GesAbsatz"/>
            </w:pPr>
            <w:r>
              <w:t>1,5</w:t>
            </w:r>
          </w:p>
        </w:tc>
        <w:tc>
          <w:tcPr>
            <w:tcW w:w="2052" w:type="dxa"/>
          </w:tcPr>
          <w:p>
            <w:pPr>
              <w:pStyle w:val="GesAbsatz"/>
            </w:pPr>
            <w:r>
              <w:t>1,3</w:t>
            </w:r>
          </w:p>
        </w:tc>
        <w:tc>
          <w:tcPr>
            <w:tcW w:w="1984" w:type="dxa"/>
          </w:tcPr>
          <w:p>
            <w:pPr>
              <w:pStyle w:val="GesAbsatz"/>
            </w:pPr>
            <w:r>
              <w:t>1,3</w:t>
            </w:r>
          </w:p>
        </w:tc>
      </w:tr>
    </w:tbl>
    <w:p>
      <w:pPr>
        <w:pStyle w:val="GesAbsatz"/>
      </w:pPr>
    </w:p>
    <w:p>
      <w:pPr>
        <w:pStyle w:val="GesAbsatz"/>
      </w:pPr>
      <w:r>
        <w:t>Die Ermittlung der vorhandenen Belastung durch Rasterbegehung ist nach einem mit der zuständigen Behörde abgestimmten Messplan durchzuführen, in dem u.a. die Anlagenbeschreibung, das Beurteilungsgebiet, die Beurteilungsflächen, die einzelnen Messpunkte mit Dokumentation (Bild, Text), der Messzeitraum, die Messzeit innerhalb des Tages, der genaue zeitliche Begehungsplan mit Angabe der Prüferinnen / Prüfer, die Namenliste der teilnehmenden Prüferinnen und Prüfer, die Erfassungsmethode zur Bestimmung des Geruchszeitanteils und ggf. die Gründe für die Freistellung von Messungen anzugeben sind.</w:t>
      </w:r>
    </w:p>
    <w:p>
      <w:pPr>
        <w:pStyle w:val="GesAbsatz"/>
      </w:pPr>
      <w:r>
        <w:t>Soweit die vorliegende Richtlinie keine abweichenden Festlegungen trifft, erfolgt die Durchführung der Messungen entsprechend VDI 3940 Blatt 1 (2006).</w:t>
      </w:r>
    </w:p>
    <w:p>
      <w:pPr>
        <w:pStyle w:val="GesAbsatz"/>
      </w:pPr>
      <w:r>
        <w:t xml:space="preserve">Der Antragsteller kann von der Ermittlung der vorhandenen Belastung der Geruchsimmission für die Beurteilungsflächen freigestellt werden, für die durch Abschätzungen z. B. mittels Windrichtungshäufigkeitsverteilung, durch orientierende Begehungen o.ä. festgestellt wird, dass die Kenngröße für die vorhandene Belastung nicht mehr als 50 v.H. des Immissionswertes in Tabelle 1 beträgt. </w:t>
      </w:r>
    </w:p>
    <w:p>
      <w:pPr>
        <w:pStyle w:val="GesAbsatz"/>
      </w:pPr>
      <w:r>
        <w:lastRenderedPageBreak/>
        <w:t xml:space="preserve">In diesen Fällen ist in Gleichung (2) in Nummer 4.6 als IV die Hälfte des in Betracht kommenden Immissionswertes nach Tabelle 1 einzusetzen. Außerdem erübrigt sich die Ermittlung der vorhandenen Belastung der Geruchsimmission, wenn die Zusatzbelastung der zu genehmigenden Anlage das Irrelevanzkriterium nach Nummer 3.3 erfüllt. </w:t>
      </w:r>
    </w:p>
    <w:p>
      <w:pPr>
        <w:pStyle w:val="GesAbsatz"/>
      </w:pPr>
      <w:r>
        <w:t>Wenn das Vorhandensein anderer geruchsemittierender Anlagen auszuschließen ist, ist von einer vorhandenen Belastung IV = 0 auszugehen.</w:t>
      </w:r>
    </w:p>
    <w:p>
      <w:pPr>
        <w:pStyle w:val="GesAbsatz"/>
      </w:pPr>
      <w:r>
        <w:t>Zurückliegende Messungen oder Feststellungen über Immissionen und Emissionen dürfen nur herangezogen werden, wenn sich die für die Immissionssituation im Beurteilungsgebiet maßgeblichen Verhältnisse in der Zwischenzeit nicht erheblich verändert haben.</w:t>
      </w:r>
    </w:p>
    <w:p>
      <w:pPr>
        <w:pStyle w:val="GesAbsatz"/>
        <w:rPr>
          <w:b/>
        </w:rPr>
      </w:pPr>
      <w:r>
        <w:rPr>
          <w:b/>
        </w:rPr>
        <w:t>4.4.2 Beurteilungsgebiet</w:t>
      </w:r>
    </w:p>
    <w:p>
      <w:pPr>
        <w:pStyle w:val="GesAbsatz"/>
      </w:pPr>
      <w:r>
        <w:t>Das Beurteilungsgebiet ist die Summe der Beurteilungsflächen (Nummer 4.4.3), die sich vollständig innerhalb eines Kreises um den Emissionsschwerpunkt mit einem Radius befinden, der dem 30fachen der nach Nummer 2 dieser Richtlinie ermittelten Schornsteinhöhe entspricht. Als kleinster Radius ist 600 m zu wählen.</w:t>
      </w:r>
    </w:p>
    <w:p>
      <w:pPr>
        <w:pStyle w:val="GesAbsatz"/>
      </w:pPr>
      <w:r>
        <w:t xml:space="preserve">Bei Anlagen mit diffusen Quellen von Geruchsemissionen mit Austrittshöhen von weniger als 10 m über der Flur ist der Radius so festzulegen, dass der kleinste Abstand vom Rand des Anlagengeländes bis zur äußeren Grenze des Beurteilungsgebietes mindestens 600 m beträgt. </w:t>
      </w:r>
    </w:p>
    <w:p>
      <w:pPr>
        <w:pStyle w:val="GesAbsatz"/>
        <w:rPr>
          <w:b/>
        </w:rPr>
      </w:pPr>
      <w:r>
        <w:rPr>
          <w:b/>
        </w:rPr>
        <w:t>4.4.3 Beurteilungsfläche</w:t>
      </w:r>
    </w:p>
    <w:p>
      <w:pPr>
        <w:pStyle w:val="GesAbsatz"/>
      </w:pPr>
      <w:r>
        <w:t>Die Beurteilungsflächen sind quadratische Teilflächen des Beurteilungsgebietes, deren Seitenlänge bei weitgehend homogener Geruchsbelastung i.d.R. 250 m beträgt. Eine Verkleinerung der Beurteilungsfläche soll gewählt werden, wenn außergewöhnlich ungleichmäßig verteilte Geruchsimmissionen auf Teilen von Beurteilungsflächen zu erwarten sind, so dass sie mit den Vorgaben nach Satz 1 auch nicht annähernd zutreffend erfasst werden können. Entsprechend ist auch eine Vergrößerung der Beurteilungsfläche zulässig, wenn innerhalb dieser Fläche eine weitgehend homogene Geruchsstoffverteilung gewährleistet ist. Die in dieser Richtlinie festgelegten Immissionswerte (Nummer 3.1) bleiben hiervon unberührt, da deren Ableitung von der Flächengröße unabhängig ist. Das quadratische Gitternetz ist so festzulegen, dass der Emissionsschwerpunkt in der Mitte einer Beurteilungsfläche liegt.</w:t>
      </w:r>
    </w:p>
    <w:p>
      <w:pPr>
        <w:pStyle w:val="GesAbsatz"/>
        <w:rPr>
          <w:b/>
        </w:rPr>
      </w:pPr>
      <w:r>
        <w:rPr>
          <w:b/>
        </w:rPr>
        <w:t>4.4.4 Messhöhe</w:t>
      </w:r>
    </w:p>
    <w:p>
      <w:pPr>
        <w:pStyle w:val="GesAbsatz"/>
      </w:pPr>
      <w:r>
        <w:t>Die Geruchsimmissionen sind in der Regel etwa in 1,5 - 2,0 m Höhe über der Flur sowie in mehr als 1,5 m seitlichem Abstand von Bauwerken oder anderen Hindernissen zu bestimmen.</w:t>
      </w:r>
    </w:p>
    <w:p>
      <w:pPr>
        <w:pStyle w:val="GesAbsatz"/>
        <w:rPr>
          <w:b/>
        </w:rPr>
      </w:pPr>
      <w:r>
        <w:rPr>
          <w:b/>
        </w:rPr>
        <w:t>4.4.5 Messzeitraum</w:t>
      </w:r>
    </w:p>
    <w:p>
      <w:pPr>
        <w:pStyle w:val="GesAbsatz"/>
      </w:pPr>
      <w:r>
        <w:t>Der Messzeitraum soll für das Gesamtjahr repräsentativ sein. Er kann in der Regel ein halbes Jahr betragen; eine Verkürzung auf drei Monate ist nur in besonderen Fällen zulässig. Die Repräsentativität ist entsprechend VDI 3940 Blatt 1 (2006) zu belegen.</w:t>
      </w:r>
    </w:p>
    <w:p>
      <w:pPr>
        <w:pStyle w:val="GesAbsatz"/>
      </w:pPr>
      <w:r>
        <w:t>Die Messungen sind repräsentativ auf die 24 Stunden des Tages zu verteilen. Sie können sich auch an der Betriebszeit der Emittenten orientieren, die für die vorhandene Belastung maßgeblich sind. Die ermittelten Zahlen der Geruchsstunden sind in diesem Fall mit einem Faktor zu korrigieren, der das Verhältnis von Betriebszeit zu Gesamtzeit berücksichtigt.</w:t>
      </w:r>
    </w:p>
    <w:p>
      <w:pPr>
        <w:pStyle w:val="GesAbsatz"/>
        <w:rPr>
          <w:b/>
        </w:rPr>
      </w:pPr>
      <w:r>
        <w:rPr>
          <w:b/>
        </w:rPr>
        <w:t>4.4.6 Messpunkte</w:t>
      </w:r>
    </w:p>
    <w:p>
      <w:pPr>
        <w:pStyle w:val="GesAbsatz"/>
      </w:pPr>
      <w:r>
        <w:t>Die Messpunkte sind möglichst nahe an den Schnittpunkten des quadratischen Gitternetzes festzulegen, das dem Beurteilungsgebiet zu Grunde liegt. Bei Abweichungen wegen besonderer örtlicher Verhältnisse ist der nächst benachbarte Punkt auszuwählen. Bei Flächenquellen sind die Messpunkte außerhalb der Quellen festzulegen.</w:t>
      </w:r>
    </w:p>
    <w:p>
      <w:pPr>
        <w:pStyle w:val="GesAbsatz"/>
      </w:pPr>
      <w:r>
        <w:t>Grundsätzlich brauchen Messpunkte nur in den Bereichen der Umgebung der Anlage festgelegt zu werden, in denen die Geruchsimmission für die Entscheidung relevant ist. Dies sind insbesondere Gebiete, die nicht nur zum vorübergehenden Aufenthalt von Menschen bestimmt sind. Messpunkte sind daher z.B. nicht erforderlich in Waldgebieten und auf zusammenhängenden landwirtschaftlich oder gartenbaulich genutzten Flächen.</w:t>
      </w:r>
    </w:p>
    <w:p>
      <w:pPr>
        <w:pStyle w:val="GesAbsatz"/>
        <w:rPr>
          <w:b/>
        </w:rPr>
      </w:pPr>
      <w:r>
        <w:rPr>
          <w:b/>
        </w:rPr>
        <w:t>4.4.7 Messverfahren und Messhäufigkeit</w:t>
      </w:r>
    </w:p>
    <w:p>
      <w:pPr>
        <w:pStyle w:val="GesAbsatz"/>
      </w:pPr>
      <w:r>
        <w:t xml:space="preserve">Jeder Eckpunkt der Beurteilungsfläche ist im Messzeitraum je nach geforderter Aussagesicherheit (vgl. Nummer 4.4.1) 13 oder 26 mal durch Prüferinnen oder Prüfer zu begehen. Diese Begehungen sollten in zeitlich annähernd gleichen Abständen über den Messzeitraum verteilt sein. Bei einem Messzeitraum von einem halben Jahr ist jeder Eckpunkt 13 oder 26 mal, bei einem Messzeitraum von einem ganzen Jahr 26 mal zu begehen. </w:t>
      </w:r>
    </w:p>
    <w:p>
      <w:pPr>
        <w:pStyle w:val="GesAbsatz"/>
      </w:pPr>
      <w:r>
        <w:t>Aus den Ergebnissen, die an den 4 Eckpunkten einer Beurteilungsfläche ermittelt wurden, ist durch Addition die Zahl der Geruchsstunden n</w:t>
      </w:r>
      <w:r>
        <w:rPr>
          <w:vertAlign w:val="subscript"/>
        </w:rPr>
        <w:t>v</w:t>
      </w:r>
      <w:r>
        <w:t xml:space="preserve"> für die Beurteilungsfläche zu bestimmen. Die Begehung der Messpunkte ist </w:t>
      </w:r>
      <w:r>
        <w:lastRenderedPageBreak/>
        <w:t>in ihrer Reihenfolge so festzulegen, dass benachbarte Messpunkte an unterschiedlichen Tagen begangen werden. Dies stellt sicher, dass bei der räumlich gleitenden Auswertung für jede Beurteilungsfläche und Messperiode jeweils vier unterschiedliche Messtage in die Kenngrößenermittlung eingehen.</w:t>
      </w:r>
    </w:p>
    <w:p>
      <w:pPr>
        <w:pStyle w:val="GesAbsatz"/>
      </w:pPr>
      <w:r>
        <w:t>Die für jede einzelne Begehung einzusetzenden Prüferinnen und Prüfer sind aus einem festen Pool auszuwählen. Über den gesamten Messzeitraum sind mindestens 10 Prüferinnen und Prüfer annähernd gleich verteilt einzusetzen. Der Einsatz der einzelnen Prüferinnen und Prüfer ist nicht systematisch auf einzelne Wochentage und einzelne Messpunkte (Messtouren) zu beschränken.</w:t>
      </w:r>
    </w:p>
    <w:p>
      <w:pPr>
        <w:pStyle w:val="GesAbsatz"/>
      </w:pPr>
      <w:r>
        <w:t xml:space="preserve">Die individuelle Geruchsempfindlichkeit der Prüferinnen und Prüfer ist vorab zu testen. Die Ergebnisse dieses Eignungstests sind entsprechend Anhang B darzustellen. Bei der olfaktometrischen Ermittlung der Emissionen als Eingangsgröße für die Ausbreitungsrechnung müssen die Anforderungen der DIN EN 13725 (2003) in Verbindung mit Anhang C dieser Richtlinie und die Anforderungen der Bund/Länderarbeitsgemeinschaft für Immissionsschutz (LAI) an Messstellen für Geruchserhebungen im Rahmen der Bekanntgabe nach § 26 BImSchG beachtet werden. Im Übrigen sollen nur Messstellen i.S.d. § 26 BImSchG mit der Durchführung der olfaktorischen Erhebung der vorhandenen Belastung beauftragt werden, die für diesen Bereich bekannt gegeben sind. </w:t>
      </w:r>
    </w:p>
    <w:p>
      <w:pPr>
        <w:pStyle w:val="GesAbsatz"/>
      </w:pPr>
      <w:r>
        <w:t xml:space="preserve">Auf die differenzierte Erfassung von Geruchsintensitäten während des Messzeitintervalls ist zu verzichten. Bei der Anwendung der Immissionswerte dieser Richtlinie sind in jedem Fall alle anlagenbezogenen Geruchsimmissionen ab ihrer Erkennbarkeit zu berücksichtigen. Im Übrigen sind die Grundsätze der Richtlinie VDI 3940 Blatt 1 (2006) zu beachten. </w:t>
      </w:r>
    </w:p>
    <w:p>
      <w:pPr>
        <w:pStyle w:val="GesAbsatz"/>
      </w:pPr>
      <w:r>
        <w:t>Die vorhandene Geruchsimmission muss durch eine Aufenthaltszeit von 10 Minuten an jedem Messpunkt (Messzeitintervall) erfasst werden. Werden während des Messzeitintervalls in mindestens 10% der Zeit (Geruchszeitanteil) Geruchsimmissionen der vorbezeichneten Art erkannt, ist dieses Messzeitintervall als „Geruchsstunde“ zu zählen. Die Geruchswahrnehmungen sind gemäß dem Datenaufnahmebogen nach Anhang A dieser Richtlinie festzuhalten.</w:t>
      </w:r>
    </w:p>
    <w:p>
      <w:pPr>
        <w:pStyle w:val="berschrift3"/>
      </w:pPr>
      <w:bookmarkStart w:id="13" w:name="_Toc380654460"/>
      <w:r>
        <w:t>4.5</w:t>
      </w:r>
      <w:r>
        <w:br/>
        <w:t>Kenngröße für die zu erwartende Zusatzbelastung</w:t>
      </w:r>
      <w:bookmarkEnd w:id="13"/>
    </w:p>
    <w:p>
      <w:pPr>
        <w:pStyle w:val="GesAbsatz"/>
      </w:pPr>
      <w:r>
        <w:t xml:space="preserve">Die Kenngröße für die zu erwartende Zusatzbelastung ist entsprechend Nummer 1 mit dem in Anhang 3 der TA Luft beschriebenen Ausbreitungsmodell und der speziellen Anpassung für Geruch (Janicke, L. und Janicke, U. 2004) zu ermitteln. </w:t>
      </w:r>
    </w:p>
    <w:p>
      <w:pPr>
        <w:pStyle w:val="GesAbsatz"/>
      </w:pPr>
      <w:r>
        <w:t xml:space="preserve">Die Festlegung der Seitenlänge der Beurteilungsflächen erfolgt gemäß Nummer 4.4.3. Bei der Festlegung der horizontalen Maschenweite des Rechengebietes sind die Vorgaben der TA Luft Anhang 3, Nr. 7 zu beachten. Demnach ist es i.d.R. erforderlich, die horizontale Maschenweite so zu bemessen, dass sie die Schornsteinbauhöhe nicht überschreitet. </w:t>
      </w:r>
    </w:p>
    <w:p>
      <w:pPr>
        <w:pStyle w:val="GesAbsatz"/>
      </w:pPr>
      <w:r>
        <w:t>Im Allgemeinen ist das Rechengebiet identisch mit dem Beurteilungsgebiet nach Nummer 4.4.2. Bei besonderen Geländebedingungen kann es jedoch erforderlich sein, das Rechengebiet größer als in Nummer 4.4.2 beschrieben zu wählen.</w:t>
      </w:r>
    </w:p>
    <w:p>
      <w:pPr>
        <w:pStyle w:val="berschrift3"/>
      </w:pPr>
      <w:bookmarkStart w:id="14" w:name="_Toc380654461"/>
      <w:r>
        <w:t>4.6</w:t>
      </w:r>
      <w:r>
        <w:br/>
        <w:t>Auswertung</w:t>
      </w:r>
      <w:bookmarkEnd w:id="14"/>
    </w:p>
    <w:p>
      <w:pPr>
        <w:pStyle w:val="GesAbsatz"/>
      </w:pPr>
      <w:r>
        <w:t>Im Beurteilungsgebiet ist für jede Beurteilungsfläche die Kenngröße IV für die vorhandene Belastung aus den Ergebnissen der Rasterbegehungen oder der Ausbreitungsrechnung zu bestimmen. Bei der Bestimmung der zu erwartenden Zusatzbelastung IZ ist entsprechend Nummer 4.5 zu verfahren.</w:t>
      </w:r>
    </w:p>
    <w:p>
      <w:pPr>
        <w:pStyle w:val="GesAbsatz"/>
      </w:pPr>
      <w:r>
        <w:t>Die Kenngröße der Gesamtbelastung IG ergibt sich aus der Addition der Kenngrößen für die vorhandene Belastung und die zu erwartende Zusatzbelastung entsprechend</w:t>
      </w:r>
    </w:p>
    <w:p>
      <w:pPr>
        <w:pStyle w:val="GesAbsatz"/>
        <w:jc w:val="center"/>
      </w:pPr>
      <w:r>
        <w:rPr>
          <w:position w:val="-6"/>
        </w:rPr>
        <w:object w:dxaOrig="1340" w:dyaOrig="279">
          <v:shape id="_x0000_i1026" type="#_x0000_t75" style="width:66.8pt;height:14.4pt" o:ole="">
            <v:imagedata r:id="rId10" o:title=""/>
          </v:shape>
          <o:OLEObject Type="Embed" ProgID="Equation.3" ShapeID="_x0000_i1026" DrawAspect="Content" ObjectID="_1774078702" r:id="rId11"/>
        </w:object>
      </w:r>
      <w:r>
        <w:tab/>
      </w:r>
      <w:r>
        <w:rPr>
          <w:b/>
        </w:rPr>
        <w:t>(2)</w:t>
      </w:r>
    </w:p>
    <w:p>
      <w:pPr>
        <w:pStyle w:val="GesAbsatz"/>
      </w:pPr>
      <w:r>
        <w:t>Werden sowohl die vorhandene Belastung als auch die zu erwartende Zusatzbelastung über Ausbreitungsrechnung ermittelt, so ist die Gesamtbelastung i.d.R. in einem Rechengang zu bestimmen.</w:t>
      </w:r>
    </w:p>
    <w:p>
      <w:pPr>
        <w:pStyle w:val="GesAbsatz"/>
      </w:pPr>
      <w:r>
        <w:t>Im Falle der Beurteilung von Geruchsimmissionen, verursacht durch Tierhaltungsanlagen, ist eine belästigungsrelevante Kenngröße IG</w:t>
      </w:r>
      <w:r>
        <w:rPr>
          <w:vertAlign w:val="subscript"/>
        </w:rPr>
        <w:t>b</w:t>
      </w:r>
      <w:r>
        <w:t xml:space="preserve"> zu berechnen und diese anschließend mit den Immissionswerten nach Tabelle 1 zu vergleichen. Auf Nummer 5 wird verwiesen. </w:t>
      </w:r>
    </w:p>
    <w:p>
      <w:pPr>
        <w:pStyle w:val="GesAbsatz"/>
      </w:pPr>
      <w:r>
        <w:t>Für die Berechnung der belästigungsrelevanten Kenngröße IG</w:t>
      </w:r>
      <w:r>
        <w:rPr>
          <w:vertAlign w:val="subscript"/>
        </w:rPr>
        <w:t>b</w:t>
      </w:r>
      <w:r>
        <w:t xml:space="preserve"> wird die Gesamtbelastung IG mit dem Faktor f</w:t>
      </w:r>
      <w:r>
        <w:rPr>
          <w:vertAlign w:val="subscript"/>
        </w:rPr>
        <w:t>gesamt</w:t>
      </w:r>
      <w:r>
        <w:t xml:space="preserve"> multipliziert:</w:t>
      </w:r>
    </w:p>
    <w:p>
      <w:pPr>
        <w:pStyle w:val="GesAbsatz"/>
        <w:jc w:val="center"/>
      </w:pPr>
      <w:r>
        <w:t>IG</w:t>
      </w:r>
      <w:r>
        <w:rPr>
          <w:vertAlign w:val="subscript"/>
        </w:rPr>
        <w:t>b</w:t>
      </w:r>
      <w:r>
        <w:t xml:space="preserve"> = IG * f</w:t>
      </w:r>
      <w:r>
        <w:rPr>
          <w:vertAlign w:val="subscript"/>
        </w:rPr>
        <w:t>gesamt</w:t>
      </w:r>
      <w:r>
        <w:tab/>
        <w:t xml:space="preserve"> </w:t>
      </w:r>
      <w:r>
        <w:rPr>
          <w:b/>
        </w:rPr>
        <w:t>(3)</w:t>
      </w:r>
    </w:p>
    <w:p>
      <w:pPr>
        <w:pStyle w:val="GesAbsatz"/>
      </w:pPr>
      <w:r>
        <w:t>Der Faktor f</w:t>
      </w:r>
      <w:r>
        <w:rPr>
          <w:vertAlign w:val="subscript"/>
        </w:rPr>
        <w:t>gesamt</w:t>
      </w:r>
      <w:r>
        <w:t xml:space="preserve"> ist nach der Formel </w:t>
      </w:r>
    </w:p>
    <w:p>
      <w:pPr>
        <w:pStyle w:val="GesAbsatz"/>
        <w:jc w:val="center"/>
      </w:pPr>
      <w:r>
        <w:lastRenderedPageBreak/>
        <w:t>f</w:t>
      </w:r>
      <w:r>
        <w:rPr>
          <w:vertAlign w:val="subscript"/>
        </w:rPr>
        <w:t>gesamt</w:t>
      </w:r>
      <w:r>
        <w:t xml:space="preserve"> = (1 / (H</w:t>
      </w:r>
      <w:r>
        <w:rPr>
          <w:vertAlign w:val="subscript"/>
        </w:rPr>
        <w:t>1</w:t>
      </w:r>
      <w:r>
        <w:t xml:space="preserve"> + H</w:t>
      </w:r>
      <w:r>
        <w:rPr>
          <w:vertAlign w:val="subscript"/>
        </w:rPr>
        <w:t>2</w:t>
      </w:r>
      <w:r>
        <w:t xml:space="preserve"> + … + H</w:t>
      </w:r>
      <w:r>
        <w:rPr>
          <w:vertAlign w:val="subscript"/>
        </w:rPr>
        <w:t>n</w:t>
      </w:r>
      <w:r>
        <w:t>)) * (H</w:t>
      </w:r>
      <w:r>
        <w:rPr>
          <w:vertAlign w:val="subscript"/>
        </w:rPr>
        <w:t>1</w:t>
      </w:r>
      <w:r>
        <w:t xml:space="preserve"> * f</w:t>
      </w:r>
      <w:r>
        <w:rPr>
          <w:vertAlign w:val="subscript"/>
        </w:rPr>
        <w:t>1</w:t>
      </w:r>
      <w:r>
        <w:t xml:space="preserve"> + H</w:t>
      </w:r>
      <w:r>
        <w:rPr>
          <w:vertAlign w:val="subscript"/>
        </w:rPr>
        <w:t>2</w:t>
      </w:r>
      <w:r>
        <w:t xml:space="preserve"> * f</w:t>
      </w:r>
      <w:r>
        <w:rPr>
          <w:vertAlign w:val="subscript"/>
        </w:rPr>
        <w:t>2</w:t>
      </w:r>
      <w:r>
        <w:t xml:space="preserve"> + … + H</w:t>
      </w:r>
      <w:r>
        <w:rPr>
          <w:vertAlign w:val="subscript"/>
        </w:rPr>
        <w:t>n</w:t>
      </w:r>
      <w:r>
        <w:t xml:space="preserve"> *f</w:t>
      </w:r>
      <w:r>
        <w:rPr>
          <w:vertAlign w:val="subscript"/>
        </w:rPr>
        <w:t>n</w:t>
      </w:r>
      <w:r>
        <w:t xml:space="preserve">) </w:t>
      </w:r>
      <w:r>
        <w:tab/>
      </w:r>
      <w:r>
        <w:rPr>
          <w:b/>
        </w:rPr>
        <w:t>(4)</w:t>
      </w:r>
    </w:p>
    <w:p>
      <w:pPr>
        <w:pStyle w:val="GesAbsatz"/>
      </w:pPr>
      <w:r>
        <w:t xml:space="preserve">zu berechnen. Dabei ist n = 1 bis 4 </w:t>
      </w:r>
    </w:p>
    <w:p>
      <w:pPr>
        <w:pStyle w:val="GesAbsatz"/>
      </w:pPr>
      <w:r>
        <w:t>und</w:t>
      </w:r>
    </w:p>
    <w:p>
      <w:pPr>
        <w:pStyle w:val="GesAbsatz"/>
      </w:pPr>
      <w:r>
        <w:t>H</w:t>
      </w:r>
      <w:r>
        <w:rPr>
          <w:vertAlign w:val="subscript"/>
        </w:rPr>
        <w:t>1</w:t>
      </w:r>
      <w:r>
        <w:t xml:space="preserve"> = r</w:t>
      </w:r>
      <w:r>
        <w:rPr>
          <w:vertAlign w:val="subscript"/>
        </w:rPr>
        <w:t>1</w:t>
      </w:r>
      <w:r>
        <w:t>,</w:t>
      </w:r>
    </w:p>
    <w:p>
      <w:pPr>
        <w:pStyle w:val="GesAbsatz"/>
      </w:pPr>
      <w:r>
        <w:t>H</w:t>
      </w:r>
      <w:r>
        <w:rPr>
          <w:vertAlign w:val="subscript"/>
        </w:rPr>
        <w:t>2</w:t>
      </w:r>
      <w:r>
        <w:t xml:space="preserve"> = min(r</w:t>
      </w:r>
      <w:r>
        <w:rPr>
          <w:vertAlign w:val="subscript"/>
        </w:rPr>
        <w:t>2</w:t>
      </w:r>
      <w:r>
        <w:t>, r - H</w:t>
      </w:r>
      <w:r>
        <w:rPr>
          <w:vertAlign w:val="subscript"/>
        </w:rPr>
        <w:t>1</w:t>
      </w:r>
      <w:r>
        <w:t>),</w:t>
      </w:r>
    </w:p>
    <w:p>
      <w:pPr>
        <w:pStyle w:val="GesAbsatz"/>
      </w:pPr>
      <w:r>
        <w:t>H</w:t>
      </w:r>
      <w:r>
        <w:rPr>
          <w:vertAlign w:val="subscript"/>
        </w:rPr>
        <w:t>3</w:t>
      </w:r>
      <w:r>
        <w:t xml:space="preserve"> = min(r</w:t>
      </w:r>
      <w:r>
        <w:rPr>
          <w:vertAlign w:val="subscript"/>
        </w:rPr>
        <w:t>3</w:t>
      </w:r>
      <w:r>
        <w:t>, r - H</w:t>
      </w:r>
      <w:r>
        <w:rPr>
          <w:vertAlign w:val="subscript"/>
        </w:rPr>
        <w:t>1</w:t>
      </w:r>
      <w:r>
        <w:t xml:space="preserve"> - H</w:t>
      </w:r>
      <w:r>
        <w:rPr>
          <w:vertAlign w:val="subscript"/>
        </w:rPr>
        <w:t>2</w:t>
      </w:r>
      <w:r>
        <w:t>),</w:t>
      </w:r>
    </w:p>
    <w:p>
      <w:pPr>
        <w:pStyle w:val="GesAbsatz"/>
      </w:pPr>
      <w:r>
        <w:t>H</w:t>
      </w:r>
      <w:r>
        <w:rPr>
          <w:vertAlign w:val="subscript"/>
        </w:rPr>
        <w:t>4</w:t>
      </w:r>
      <w:r>
        <w:t xml:space="preserve"> = min(r</w:t>
      </w:r>
      <w:r>
        <w:rPr>
          <w:vertAlign w:val="subscript"/>
        </w:rPr>
        <w:t>4</w:t>
      </w:r>
      <w:r>
        <w:t>, r - H</w:t>
      </w:r>
      <w:r>
        <w:rPr>
          <w:vertAlign w:val="subscript"/>
        </w:rPr>
        <w:t>1</w:t>
      </w:r>
      <w:r>
        <w:t xml:space="preserve"> - H</w:t>
      </w:r>
      <w:r>
        <w:rPr>
          <w:vertAlign w:val="subscript"/>
        </w:rPr>
        <w:t>2</w:t>
      </w:r>
      <w:r>
        <w:t xml:space="preserve"> - H</w:t>
      </w:r>
      <w:r>
        <w:rPr>
          <w:vertAlign w:val="subscript"/>
        </w:rPr>
        <w:t>3</w:t>
      </w:r>
      <w:r>
        <w:t>)</w:t>
      </w:r>
    </w:p>
    <w:p>
      <w:pPr>
        <w:pStyle w:val="GesAbsatz"/>
      </w:pPr>
      <w:r>
        <w:t>mit</w:t>
      </w:r>
    </w:p>
    <w:p>
      <w:pPr>
        <w:pStyle w:val="GesAbsatz"/>
      </w:pPr>
      <w:r>
        <w:t>r</w:t>
      </w:r>
      <w:r>
        <w:tab/>
        <w:t>die Geruchshäufigkeit aus der Summe aller Emissionen (unbewertete Geruchshäufigkeit),</w:t>
      </w:r>
    </w:p>
    <w:p>
      <w:pPr>
        <w:pStyle w:val="GesAbsatz"/>
      </w:pPr>
      <w:r>
        <w:t>r</w:t>
      </w:r>
      <w:r>
        <w:rPr>
          <w:vertAlign w:val="subscript"/>
        </w:rPr>
        <w:t>1</w:t>
      </w:r>
      <w:r>
        <w:rPr>
          <w:vertAlign w:val="subscript"/>
        </w:rPr>
        <w:tab/>
      </w:r>
      <w:r>
        <w:t>die Geruchshäufigkeit für die Tierart Mastgeflügel,</w:t>
      </w:r>
    </w:p>
    <w:p>
      <w:pPr>
        <w:pStyle w:val="GesAbsatz"/>
      </w:pPr>
      <w:r>
        <w:t>r</w:t>
      </w:r>
      <w:r>
        <w:rPr>
          <w:vertAlign w:val="subscript"/>
        </w:rPr>
        <w:t>2</w:t>
      </w:r>
      <w:r>
        <w:rPr>
          <w:vertAlign w:val="subscript"/>
        </w:rPr>
        <w:tab/>
      </w:r>
      <w:r>
        <w:t>die Geruchshäufigkeit ohne Wichtung,</w:t>
      </w:r>
    </w:p>
    <w:p>
      <w:pPr>
        <w:pStyle w:val="GesAbsatz"/>
      </w:pPr>
      <w:r>
        <w:t>r</w:t>
      </w:r>
      <w:r>
        <w:rPr>
          <w:vertAlign w:val="subscript"/>
        </w:rPr>
        <w:t>3</w:t>
      </w:r>
      <w:r>
        <w:rPr>
          <w:vertAlign w:val="subscript"/>
        </w:rPr>
        <w:tab/>
      </w:r>
      <w:r>
        <w:t>die Geruchshäufigkeit für die Tierart Mastschweine, Sauen,</w:t>
      </w:r>
    </w:p>
    <w:p>
      <w:pPr>
        <w:pStyle w:val="GesAbsatz"/>
      </w:pPr>
      <w:r>
        <w:t>r</w:t>
      </w:r>
      <w:r>
        <w:rPr>
          <w:vertAlign w:val="subscript"/>
        </w:rPr>
        <w:t>4</w:t>
      </w:r>
      <w:r>
        <w:rPr>
          <w:vertAlign w:val="subscript"/>
        </w:rPr>
        <w:tab/>
      </w:r>
      <w:r>
        <w:t>die Geruchshäufigkeit für die Tierart Milchkühe mit Jungtieren</w:t>
      </w:r>
    </w:p>
    <w:p>
      <w:pPr>
        <w:pStyle w:val="GesAbsatz"/>
      </w:pPr>
      <w:r>
        <w:t>und</w:t>
      </w:r>
    </w:p>
    <w:p>
      <w:pPr>
        <w:pStyle w:val="GesAbsatz"/>
      </w:pPr>
      <w:r>
        <w:t>f</w:t>
      </w:r>
      <w:r>
        <w:rPr>
          <w:vertAlign w:val="subscript"/>
        </w:rPr>
        <w:t>1</w:t>
      </w:r>
      <w:r>
        <w:rPr>
          <w:vertAlign w:val="subscript"/>
        </w:rPr>
        <w:tab/>
      </w:r>
      <w:r>
        <w:t>der Gewichtungsfaktor für die Tierart Mastgeflügel,</w:t>
      </w:r>
    </w:p>
    <w:p>
      <w:pPr>
        <w:pStyle w:val="GesAbsatz"/>
      </w:pPr>
      <w:r>
        <w:t>f</w:t>
      </w:r>
      <w:r>
        <w:rPr>
          <w:vertAlign w:val="subscript"/>
        </w:rPr>
        <w:t>2</w:t>
      </w:r>
      <w:r>
        <w:rPr>
          <w:vertAlign w:val="subscript"/>
        </w:rPr>
        <w:tab/>
      </w:r>
      <w:r>
        <w:t>der Gewichtungsfaktor 1 (z.B. Tierarten ohne Gewichtungsfaktor),</w:t>
      </w:r>
    </w:p>
    <w:p>
      <w:pPr>
        <w:pStyle w:val="GesAbsatz"/>
      </w:pPr>
      <w:r>
        <w:t>f</w:t>
      </w:r>
      <w:r>
        <w:rPr>
          <w:vertAlign w:val="subscript"/>
        </w:rPr>
        <w:t>3</w:t>
      </w:r>
      <w:r>
        <w:rPr>
          <w:vertAlign w:val="subscript"/>
        </w:rPr>
        <w:tab/>
      </w:r>
      <w:r>
        <w:t>der Gewichtungsfaktor für die Tierart Mastschweine, Sauen,</w:t>
      </w:r>
    </w:p>
    <w:p>
      <w:pPr>
        <w:pStyle w:val="GesAbsatz"/>
      </w:pPr>
      <w:r>
        <w:t>f</w:t>
      </w:r>
      <w:r>
        <w:rPr>
          <w:vertAlign w:val="subscript"/>
        </w:rPr>
        <w:t>4</w:t>
      </w:r>
      <w:r>
        <w:rPr>
          <w:vertAlign w:val="subscript"/>
        </w:rPr>
        <w:tab/>
      </w:r>
      <w:r>
        <w:t>der Gewichtungsfaktor für die Tierart Milchkühe mit Jungtieren.</w:t>
      </w:r>
    </w:p>
    <w:p>
      <w:pPr>
        <w:pStyle w:val="GesAbsatz"/>
      </w:pPr>
      <w:r>
        <w:t>Die Gewichtungsfaktoren für die einzelnen Tierarten sind Tabelle 4 zu entnehmen. Für Tierarten, die nicht in Tabelle 4 enthalten sind, ist die tierartspezifische Geruchshäufigkeit in die Formel ohne Gewichtungsfaktor einzusetzen.</w:t>
      </w:r>
    </w:p>
    <w:p>
      <w:pPr>
        <w:pStyle w:val="GesAbsatz"/>
        <w:tabs>
          <w:tab w:val="clear" w:pos="425"/>
          <w:tab w:val="left" w:pos="1134"/>
        </w:tabs>
      </w:pPr>
      <w:r>
        <w:t>Tabelle 4:</w:t>
      </w:r>
      <w:r>
        <w:tab/>
        <w:t>Gewichtungsfaktoren f für die einzelnen Tierarten</w:t>
      </w:r>
    </w:p>
    <w:tbl>
      <w:tblPr>
        <w:tblStyle w:val="Tabellenraster"/>
        <w:tblW w:w="0" w:type="auto"/>
        <w:tblLook w:val="01E0" w:firstRow="1" w:lastRow="1" w:firstColumn="1" w:lastColumn="1" w:noHBand="0" w:noVBand="0"/>
      </w:tblPr>
      <w:tblGrid>
        <w:gridCol w:w="6912"/>
        <w:gridCol w:w="2307"/>
      </w:tblGrid>
      <w:tr>
        <w:tc>
          <w:tcPr>
            <w:tcW w:w="6912" w:type="dxa"/>
            <w:tcBorders>
              <w:bottom w:val="single" w:sz="4" w:space="0" w:color="auto"/>
            </w:tcBorders>
          </w:tcPr>
          <w:p>
            <w:pPr>
              <w:pStyle w:val="GesAbsatz"/>
              <w:rPr>
                <w:b/>
              </w:rPr>
            </w:pPr>
            <w:r>
              <w:rPr>
                <w:b/>
              </w:rPr>
              <w:t>Tierartspezifische Geruchsqualität</w:t>
            </w:r>
          </w:p>
        </w:tc>
        <w:tc>
          <w:tcPr>
            <w:tcW w:w="2307" w:type="dxa"/>
          </w:tcPr>
          <w:p>
            <w:pPr>
              <w:pStyle w:val="GesAbsatz"/>
              <w:rPr>
                <w:b/>
              </w:rPr>
            </w:pPr>
            <w:r>
              <w:rPr>
                <w:b/>
              </w:rPr>
              <w:t>Gewichtungsfaktor f</w:t>
            </w:r>
          </w:p>
        </w:tc>
      </w:tr>
      <w:tr>
        <w:tc>
          <w:tcPr>
            <w:tcW w:w="6912" w:type="dxa"/>
            <w:tcBorders>
              <w:bottom w:val="nil"/>
            </w:tcBorders>
          </w:tcPr>
          <w:p>
            <w:pPr>
              <w:pStyle w:val="GesAbsatz"/>
            </w:pPr>
            <w:r>
              <w:t xml:space="preserve">Mastgeflügel </w:t>
            </w:r>
          </w:p>
        </w:tc>
        <w:tc>
          <w:tcPr>
            <w:tcW w:w="2307" w:type="dxa"/>
            <w:vMerge w:val="restart"/>
          </w:tcPr>
          <w:p>
            <w:pPr>
              <w:pStyle w:val="GesAbsatz"/>
            </w:pPr>
            <w:r>
              <w:t>1,5</w:t>
            </w:r>
          </w:p>
        </w:tc>
      </w:tr>
      <w:tr>
        <w:tc>
          <w:tcPr>
            <w:tcW w:w="6912" w:type="dxa"/>
            <w:tcBorders>
              <w:top w:val="nil"/>
              <w:bottom w:val="single" w:sz="4" w:space="0" w:color="auto"/>
            </w:tcBorders>
          </w:tcPr>
          <w:p>
            <w:pPr>
              <w:pStyle w:val="GesAbsatz"/>
            </w:pPr>
            <w:r>
              <w:t>(Puten, Masthähnchen)</w:t>
            </w:r>
          </w:p>
        </w:tc>
        <w:tc>
          <w:tcPr>
            <w:tcW w:w="2307" w:type="dxa"/>
            <w:vMerge/>
          </w:tcPr>
          <w:p>
            <w:pPr>
              <w:pStyle w:val="GesAbsatz"/>
            </w:pPr>
          </w:p>
        </w:tc>
      </w:tr>
      <w:tr>
        <w:tc>
          <w:tcPr>
            <w:tcW w:w="6912" w:type="dxa"/>
            <w:tcBorders>
              <w:bottom w:val="nil"/>
            </w:tcBorders>
          </w:tcPr>
          <w:p>
            <w:pPr>
              <w:pStyle w:val="GesAbsatz"/>
            </w:pPr>
            <w:r>
              <w:t>Mastschweine, Sauen</w:t>
            </w:r>
          </w:p>
        </w:tc>
        <w:tc>
          <w:tcPr>
            <w:tcW w:w="2307" w:type="dxa"/>
            <w:vMerge w:val="restart"/>
          </w:tcPr>
          <w:p>
            <w:pPr>
              <w:pStyle w:val="GesAbsatz"/>
            </w:pPr>
            <w:r>
              <w:t>0,75</w:t>
            </w:r>
          </w:p>
        </w:tc>
      </w:tr>
      <w:tr>
        <w:tc>
          <w:tcPr>
            <w:tcW w:w="6912" w:type="dxa"/>
            <w:tcBorders>
              <w:top w:val="nil"/>
              <w:bottom w:val="single" w:sz="4" w:space="0" w:color="auto"/>
            </w:tcBorders>
          </w:tcPr>
          <w:p>
            <w:pPr>
              <w:pStyle w:val="GesAbsatz"/>
            </w:pPr>
            <w:r>
              <w:t>(bis zu einer Tierplatzzahl von ca. 5.000 Mastschweinen bzw. unter Berücksichtigung der jeweiligen Umrechnungsfaktoren für eine entsprechende Anzahl von Zuchtsauen)</w:t>
            </w:r>
          </w:p>
        </w:tc>
        <w:tc>
          <w:tcPr>
            <w:tcW w:w="2307" w:type="dxa"/>
            <w:vMerge/>
          </w:tcPr>
          <w:p>
            <w:pPr>
              <w:pStyle w:val="GesAbsatz"/>
            </w:pPr>
          </w:p>
        </w:tc>
      </w:tr>
      <w:tr>
        <w:tc>
          <w:tcPr>
            <w:tcW w:w="6912" w:type="dxa"/>
            <w:tcBorders>
              <w:bottom w:val="nil"/>
            </w:tcBorders>
          </w:tcPr>
          <w:p>
            <w:pPr>
              <w:pStyle w:val="GesAbsatz"/>
            </w:pPr>
            <w:r>
              <w:t>Milchkühe mit Jungtieren</w:t>
            </w:r>
          </w:p>
        </w:tc>
        <w:tc>
          <w:tcPr>
            <w:tcW w:w="2307" w:type="dxa"/>
            <w:vMerge w:val="restart"/>
          </w:tcPr>
          <w:p>
            <w:pPr>
              <w:pStyle w:val="GesAbsatz"/>
            </w:pPr>
            <w:r>
              <w:t>0,5</w:t>
            </w:r>
          </w:p>
        </w:tc>
      </w:tr>
      <w:tr>
        <w:tc>
          <w:tcPr>
            <w:tcW w:w="6912" w:type="dxa"/>
            <w:tcBorders>
              <w:top w:val="nil"/>
            </w:tcBorders>
          </w:tcPr>
          <w:p>
            <w:pPr>
              <w:pStyle w:val="GesAbsatz"/>
            </w:pPr>
            <w:r>
              <w:t>(einschl. Mastbullen und Kälbermast, sofern diese zur Geruchsimmissionsbelastung nur unwesentlich beitragen)</w:t>
            </w:r>
          </w:p>
        </w:tc>
        <w:tc>
          <w:tcPr>
            <w:tcW w:w="2307" w:type="dxa"/>
            <w:vMerge/>
          </w:tcPr>
          <w:p>
            <w:pPr>
              <w:pStyle w:val="GesAbsatz"/>
            </w:pPr>
          </w:p>
        </w:tc>
      </w:tr>
    </w:tbl>
    <w:p>
      <w:pPr>
        <w:pStyle w:val="GesAbsatz"/>
      </w:pPr>
    </w:p>
    <w:p>
      <w:pPr>
        <w:pStyle w:val="GesAbsatz"/>
      </w:pPr>
      <w:r>
        <w:t>Für die Berechnung der Kenngrößen der Gesamtbelastung IG bzw. IG</w:t>
      </w:r>
      <w:r>
        <w:rPr>
          <w:vertAlign w:val="subscript"/>
        </w:rPr>
        <w:t>b</w:t>
      </w:r>
      <w:r>
        <w:t xml:space="preserve"> sind die Kenngrößen für die vorhandene Belastung und die zu erwartende Zusatzbelastung mit 3 Stellen nach dem Komma zu verwenden.</w:t>
      </w:r>
    </w:p>
    <w:p>
      <w:pPr>
        <w:pStyle w:val="GesAbsatz"/>
      </w:pPr>
      <w:r>
        <w:t>Zum Vergleich der Kenngrößen der Gesamtbelastung IG bzw. IG</w:t>
      </w:r>
      <w:r>
        <w:rPr>
          <w:vertAlign w:val="subscript"/>
        </w:rPr>
        <w:t>b</w:t>
      </w:r>
      <w:r>
        <w:t xml:space="preserve"> mit dem Immissionswert (Tabelle 1) für das jeweilige Gebiet sind sie auf zwei Stellen hinter dem Komma zu runden. </w:t>
      </w:r>
    </w:p>
    <w:p>
      <w:pPr>
        <w:pStyle w:val="berschrift2"/>
      </w:pPr>
      <w:bookmarkStart w:id="15" w:name="_Toc380654462"/>
      <w:r>
        <w:t>5</w:t>
      </w:r>
      <w:r>
        <w:br/>
        <w:t>Beurteilung im Einzelfall</w:t>
      </w:r>
      <w:bookmarkEnd w:id="15"/>
    </w:p>
    <w:p>
      <w:pPr>
        <w:pStyle w:val="GesAbsatz"/>
      </w:pPr>
      <w:r>
        <w:t>Für die Beurteilung, ob schädliche Umwelteinwirkungen durch Geruchsimmissionen hervorgerufen werden, ist ein Vergleich der nach dieser Richtlinie zu ermittelnden Kenngrößen mit den in Tabelle 1 festgelegten Immissionswerten nicht ausreichend, wenn</w:t>
      </w:r>
    </w:p>
    <w:p>
      <w:pPr>
        <w:pStyle w:val="GesAbsatz"/>
        <w:ind w:left="426" w:hanging="426"/>
      </w:pPr>
      <w:r>
        <w:t>a)</w:t>
      </w:r>
      <w:r>
        <w:tab/>
        <w:t>auf einzelnen Beurteilungsflächen in besonderem Maße Geruchsimmissionen aus dem Kraftfahrzeugverkehr, dem Hausbrandbereich oder anderen nicht nach Nummer 3.1 Abs. 1 zu erfassenden Quellen auftreten oder</w:t>
      </w:r>
    </w:p>
    <w:p>
      <w:pPr>
        <w:pStyle w:val="GesAbsatz"/>
        <w:ind w:left="426" w:hanging="426"/>
      </w:pPr>
      <w:r>
        <w:lastRenderedPageBreak/>
        <w:t>b)</w:t>
      </w:r>
      <w:r>
        <w:tab/>
        <w:t>Anhaltspunkte dafür bestehen, dass wegen der außergewöhnlichen Verhältnisse hinsichtlich Hedonik und Intensität der Geruchswirkung, der ungewöhnlichen Nutzungen in dem betroffenen Gebiet oder sonstiger atypischer Verhältnisse</w:t>
      </w:r>
    </w:p>
    <w:p>
      <w:pPr>
        <w:pStyle w:val="GesAbsatz"/>
        <w:ind w:left="851" w:hanging="425"/>
      </w:pPr>
      <w:r>
        <w:t>-</w:t>
      </w:r>
      <w:r>
        <w:tab/>
        <w:t>trotz Einhaltung der Immissionswerte schädliche Umwelteinwirkungen hervorgerufen werden (z.B. Ekel und Übelkeit auslösende Gerüche) oder</w:t>
      </w:r>
    </w:p>
    <w:p>
      <w:pPr>
        <w:pStyle w:val="GesAbsatz"/>
        <w:ind w:left="851" w:hanging="425"/>
      </w:pPr>
      <w:r>
        <w:t>-</w:t>
      </w:r>
      <w:r>
        <w:tab/>
        <w:t>trotz Überschreitung der Immissionswerte eine erhebliche Belästigung der Nachbarschaft oder der Allgemeinheit durch Geruchsimmissionen nicht zu erwarten ist (z.B. bei Vorliegen eindeutig angenehmer Gerüche).</w:t>
      </w:r>
    </w:p>
    <w:p>
      <w:pPr>
        <w:pStyle w:val="GesAbsatz"/>
      </w:pPr>
      <w:r>
        <w:t>In derartigen Fällen ist zu ermitteln, welche Geruchsimmissionen insgesamt auftreten können und welchen Anteil daran der Betrieb von Anlagen verursacht, die nach Nummer 3.1 Abs. 1 zu betrachten sind. Anschließend ist zu beurteilen, ob die Geruchsimmissionen als erheblich anzusehen sind und ob die Anlagen hierzu relevant beitragen.</w:t>
      </w:r>
    </w:p>
    <w:p>
      <w:pPr>
        <w:pStyle w:val="GesAbsatz"/>
      </w:pPr>
      <w:r>
        <w:t xml:space="preserve">Im Falle hedonisch eindeutig angenehmer Gerüche besteht die Möglichkeit, deren Beitrag zur Gesamtbelastung mit dem Faktor 0,5 zu wichten. Die Entscheidung hierüber trifft die zuständige Behörde. Zur Feststellung eindeutig angenehmer Anlagengerüche ist die Methode zur hedonischen Klassifikation von Anlagengerüchen - Methode der Polaritätenprofile - anzuwenden. </w:t>
      </w:r>
    </w:p>
    <w:p>
      <w:pPr>
        <w:pStyle w:val="GesAbsatz"/>
      </w:pPr>
      <w:r>
        <w:t>Nur diejenigen Geruchsbelästigungen sind als schädliche Umwelteinwirkungen im Sinne § 3 Abs. 1 BImSchG zu werten, die erheblich sind. Die Erheblichkeit ist keine absolut festliegende Größe, sie kann in Einzelfällen nur durch Abwägung der dann bedeutsamen Umstände festgestellt werden.</w:t>
      </w:r>
    </w:p>
    <w:p>
      <w:pPr>
        <w:pStyle w:val="GesAbsatz"/>
      </w:pPr>
      <w:r>
        <w:t>Dabei sind - unter Berücksichtigung der evtl. bisherigen Prägung eines Gebietes durch eine bereits vorhandene Geruchsbelastung (Ortsüblichkeit) - insbesondere folgende Beurteilungskriterien heranzuziehen:</w:t>
      </w:r>
    </w:p>
    <w:p>
      <w:pPr>
        <w:pStyle w:val="GesAbsatz"/>
        <w:ind w:left="426" w:hanging="426"/>
      </w:pPr>
      <w:r>
        <w:t>-</w:t>
      </w:r>
      <w:r>
        <w:tab/>
        <w:t>der Charakter der Umgebung, insbesondere die in Bebauungsplänen festgelegte Nutzung der Grundstücke,</w:t>
      </w:r>
    </w:p>
    <w:p>
      <w:pPr>
        <w:pStyle w:val="GesAbsatz"/>
        <w:ind w:left="426" w:hanging="426"/>
      </w:pPr>
      <w:r>
        <w:t>-</w:t>
      </w:r>
      <w:r>
        <w:tab/>
        <w:t>landes- oder fachplanerische Ausweisungen und vereinbarte oder angeordnete Nutzungsbeschränkungen,</w:t>
      </w:r>
    </w:p>
    <w:p>
      <w:pPr>
        <w:pStyle w:val="GesAbsatz"/>
        <w:ind w:left="426" w:hanging="426"/>
      </w:pPr>
      <w:r>
        <w:t>-</w:t>
      </w:r>
      <w:r>
        <w:tab/>
        <w:t>besondere Verhältnisse in der tages- und jahreszeitlichen Verteilung der Geruchseinwirkung sowie Art (z.B. Ekel erregende Gerüche; Ekel und Übelkeit auslösende Gerüche können bereits eine Gesundheitsgefahr darstellen) und Intensität der Geruchseinwirkung.</w:t>
      </w:r>
    </w:p>
    <w:p>
      <w:pPr>
        <w:pStyle w:val="GesAbsatz"/>
      </w:pPr>
      <w:r>
        <w:t>Außerdem ist zu berücksichtigen, dass die Grundstücksnutzung mit einer gegenseitigen Pflicht zur Rücksichtnahme belastet sein kann, die unter anderem dazu führen kann, dass die Belästigte oder der Belästigte in höherem Maße Geruchseinwirkungen hinnehmen muss. Dies wird besonders dann der Fall sein, soweit einer emittierenden Anlage Bestandsschutz zukommt. In diesem Fall können Belästigungen hinzunehmen sein, selbst wenn sie bei gleichartigen Immissionen in anderen Situationen als erheblich anzusehen wären.</w:t>
      </w:r>
    </w:p>
    <w:p>
      <w:pPr>
        <w:pStyle w:val="berschrift2"/>
      </w:pPr>
      <w:bookmarkStart w:id="16" w:name="_Toc380654463"/>
      <w:r>
        <w:t>6</w:t>
      </w:r>
      <w:r>
        <w:br/>
        <w:t>Anhänge, Anlagen, Muster</w:t>
      </w:r>
      <w:bookmarkEnd w:id="16"/>
    </w:p>
    <w:p>
      <w:pPr>
        <w:pStyle w:val="GesAbsatz"/>
      </w:pPr>
      <w:r>
        <w:t>-</w:t>
      </w:r>
      <w:r>
        <w:tab/>
        <w:t>Anhang A: Datenaufnahmebogen für Geruchsbegehungen</w:t>
      </w:r>
    </w:p>
    <w:p>
      <w:pPr>
        <w:pStyle w:val="GesAbsatz"/>
        <w:ind w:left="426" w:hanging="426"/>
      </w:pPr>
      <w:r>
        <w:t>-</w:t>
      </w:r>
      <w:r>
        <w:tab/>
        <w:t>Anhang B: Angaben zur Eignung der Prüferinnen und Prüfer und zur Laboreignung für Olfaktometrie und Begehung (incl. Tabellen 1, 2 und 3)</w:t>
      </w:r>
    </w:p>
    <w:p>
      <w:pPr>
        <w:pStyle w:val="GesAbsatz"/>
        <w:ind w:left="426" w:hanging="426"/>
      </w:pPr>
      <w:r>
        <w:t>-</w:t>
      </w:r>
      <w:r>
        <w:tab/>
        <w:t>Anhang C: Anforderungen an das olfaktometrische Messverfahren zur Ermittlung von Geruchsemissionen</w:t>
      </w:r>
    </w:p>
    <w:p>
      <w:pPr>
        <w:pStyle w:val="GesAbsatz"/>
      </w:pPr>
      <w:r>
        <w:t>-</w:t>
      </w:r>
      <w:r>
        <w:tab/>
        <w:t>Begründung und Auslegungshinweise zur GIRL</w:t>
      </w:r>
    </w:p>
    <w:p>
      <w:pPr>
        <w:pStyle w:val="GesAbsatz"/>
      </w:pPr>
      <w:r>
        <w:t>-</w:t>
      </w:r>
      <w:r>
        <w:tab/>
        <w:t>Anlage 1 zu den Auslegungshinweisen</w:t>
      </w:r>
    </w:p>
    <w:p>
      <w:pPr>
        <w:pStyle w:val="GesAbsatz"/>
      </w:pPr>
      <w:r>
        <w:t>-</w:t>
      </w:r>
      <w:r>
        <w:tab/>
        <w:t>Anlage 2 zu den Auslegungshinweisen</w:t>
      </w:r>
    </w:p>
    <w:p>
      <w:pPr>
        <w:pStyle w:val="GesAbsatz"/>
      </w:pPr>
      <w:r>
        <w:t>Die o.g. Anhänge, die Begründung und Auslegungshinweise zur GIRL sowie die Anlagen sind unter http://www.lanuv.nrw.de/luft/gerueche/bewertung.htm abrufbar. Dort befindet sich ergänzend auch die ungekürzte Fassung der Geruchsimmissions-Richtlinie.</w:t>
      </w:r>
    </w:p>
    <w:p>
      <w:pPr>
        <w:pStyle w:val="berschrift2"/>
      </w:pPr>
      <w:bookmarkStart w:id="17" w:name="_Toc380654464"/>
      <w:r>
        <w:t>7</w:t>
      </w:r>
      <w:bookmarkEnd w:id="17"/>
    </w:p>
    <w:p>
      <w:pPr>
        <w:pStyle w:val="GesAbsatz"/>
      </w:pPr>
      <w:r>
        <w:t>Der Erlass tritt am Tag nach der Veröffentlichung in Kraft.</w:t>
      </w: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 xml:space="preserve">Stand 05.11.2009 (MBl. </w:t>
    </w:r>
    <w:r>
      <w:t>NRW</w:t>
    </w:r>
    <w:r>
      <w:rPr>
        <w:lang w:val="en-GB"/>
      </w:rPr>
      <w:t xml:space="preserve">. S. 533 / SMBl. </w:t>
    </w:r>
    <w:r>
      <w:t>NRW. 7129)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Bei der Berechnung der Schornsteinhöhe findet der Faktor für angenehme Gerüche entsprechend Nummer 5 keine Anwendung. Gleiches gilt für die Faktoren der Tabelle 4 (Nummer 4.6).</w:t>
      </w:r>
    </w:p>
  </w:footnote>
  <w:footnote w:id="2">
    <w:p>
      <w:pPr>
        <w:pStyle w:val="Funotentext"/>
      </w:pPr>
      <w:r>
        <w:rPr>
          <w:rStyle w:val="Funotenzeichen"/>
        </w:rPr>
        <w:footnoteRef/>
      </w:r>
      <w:r>
        <w:t xml:space="preserve"> Bei der Prüfung auf Einhaltung des Irrelevanzkriteriums bei angenehmen Gerüchen findet der Faktor entsprechend Nummer 5 keine Anwendung. Gleiches gilt für die Berücksichtigung der Faktoren der Tabelle 4 (Nummer 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Archiv6.109</w:t>
    </w:r>
  </w:p>
  <w:p>
    <w:pPr>
      <w:pStyle w:val="Kopfzeile"/>
    </w:pPr>
    <w:r>
      <w:t>GIRL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A83B5126-FE10-4C8A-ABDD-E5F570EA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06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cht.nrw.de/lmi/owa/br_bes_text?anw_nr=1&amp;gld_nr=7&amp;ugl_nr=7129&amp;bes_id=13220&amp;val=13220&amp;ver=7&amp;sg=0&amp;aufgehoben=J&amp;menu=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BAD6-D498-4497-8354-3B8D122C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3519</Words>
  <Characters>24970</Characters>
  <Application>Microsoft Office Word</Application>
  <DocSecurity>0</DocSecurity>
  <Lines>208</Lines>
  <Paragraphs>56</Paragraphs>
  <ScaleCrop>false</ScaleCrop>
  <HeadingPairs>
    <vt:vector size="2" baseType="variant">
      <vt:variant>
        <vt:lpstr>Titel</vt:lpstr>
      </vt:variant>
      <vt:variant>
        <vt:i4>1</vt:i4>
      </vt:variant>
    </vt:vector>
  </HeadingPairs>
  <TitlesOfParts>
    <vt:vector size="1" baseType="lpstr">
      <vt:lpstr>Feststellung und Beurteilung von Geruchsimmissionen </vt:lpstr>
    </vt:vector>
  </TitlesOfParts>
  <Manager/>
  <Company>LANUV NRW</Company>
  <LinksUpToDate>false</LinksUpToDate>
  <CharactersWithSpaces>28433</CharactersWithSpaces>
  <SharedDoc>false</SharedDoc>
  <HLinks>
    <vt:vector size="114" baseType="variant">
      <vt:variant>
        <vt:i4>8061053</vt:i4>
      </vt:variant>
      <vt:variant>
        <vt:i4>114</vt:i4>
      </vt:variant>
      <vt:variant>
        <vt:i4>0</vt:i4>
      </vt:variant>
      <vt:variant>
        <vt:i4>5</vt:i4>
      </vt:variant>
      <vt:variant>
        <vt:lpwstr>http://www.lanuv.nrw.de/luft/gerueche/bewertung.htm</vt:lpwstr>
      </vt:variant>
      <vt:variant>
        <vt:lpwstr/>
      </vt:variant>
      <vt:variant>
        <vt:i4>1048633</vt:i4>
      </vt:variant>
      <vt:variant>
        <vt:i4>101</vt:i4>
      </vt:variant>
      <vt:variant>
        <vt:i4>0</vt:i4>
      </vt:variant>
      <vt:variant>
        <vt:i4>5</vt:i4>
      </vt:variant>
      <vt:variant>
        <vt:lpwstr/>
      </vt:variant>
      <vt:variant>
        <vt:lpwstr>_Toc247080432</vt:lpwstr>
      </vt:variant>
      <vt:variant>
        <vt:i4>1048633</vt:i4>
      </vt:variant>
      <vt:variant>
        <vt:i4>95</vt:i4>
      </vt:variant>
      <vt:variant>
        <vt:i4>0</vt:i4>
      </vt:variant>
      <vt:variant>
        <vt:i4>5</vt:i4>
      </vt:variant>
      <vt:variant>
        <vt:lpwstr/>
      </vt:variant>
      <vt:variant>
        <vt:lpwstr>_Toc247080431</vt:lpwstr>
      </vt:variant>
      <vt:variant>
        <vt:i4>1048633</vt:i4>
      </vt:variant>
      <vt:variant>
        <vt:i4>89</vt:i4>
      </vt:variant>
      <vt:variant>
        <vt:i4>0</vt:i4>
      </vt:variant>
      <vt:variant>
        <vt:i4>5</vt:i4>
      </vt:variant>
      <vt:variant>
        <vt:lpwstr/>
      </vt:variant>
      <vt:variant>
        <vt:lpwstr>_Toc247080430</vt:lpwstr>
      </vt:variant>
      <vt:variant>
        <vt:i4>1114169</vt:i4>
      </vt:variant>
      <vt:variant>
        <vt:i4>83</vt:i4>
      </vt:variant>
      <vt:variant>
        <vt:i4>0</vt:i4>
      </vt:variant>
      <vt:variant>
        <vt:i4>5</vt:i4>
      </vt:variant>
      <vt:variant>
        <vt:lpwstr/>
      </vt:variant>
      <vt:variant>
        <vt:lpwstr>_Toc247080429</vt:lpwstr>
      </vt:variant>
      <vt:variant>
        <vt:i4>1114169</vt:i4>
      </vt:variant>
      <vt:variant>
        <vt:i4>77</vt:i4>
      </vt:variant>
      <vt:variant>
        <vt:i4>0</vt:i4>
      </vt:variant>
      <vt:variant>
        <vt:i4>5</vt:i4>
      </vt:variant>
      <vt:variant>
        <vt:lpwstr/>
      </vt:variant>
      <vt:variant>
        <vt:lpwstr>_Toc247080428</vt:lpwstr>
      </vt:variant>
      <vt:variant>
        <vt:i4>1114169</vt:i4>
      </vt:variant>
      <vt:variant>
        <vt:i4>71</vt:i4>
      </vt:variant>
      <vt:variant>
        <vt:i4>0</vt:i4>
      </vt:variant>
      <vt:variant>
        <vt:i4>5</vt:i4>
      </vt:variant>
      <vt:variant>
        <vt:lpwstr/>
      </vt:variant>
      <vt:variant>
        <vt:lpwstr>_Toc247080427</vt:lpwstr>
      </vt:variant>
      <vt:variant>
        <vt:i4>1114169</vt:i4>
      </vt:variant>
      <vt:variant>
        <vt:i4>65</vt:i4>
      </vt:variant>
      <vt:variant>
        <vt:i4>0</vt:i4>
      </vt:variant>
      <vt:variant>
        <vt:i4>5</vt:i4>
      </vt:variant>
      <vt:variant>
        <vt:lpwstr/>
      </vt:variant>
      <vt:variant>
        <vt:lpwstr>_Toc247080426</vt:lpwstr>
      </vt:variant>
      <vt:variant>
        <vt:i4>1114169</vt:i4>
      </vt:variant>
      <vt:variant>
        <vt:i4>59</vt:i4>
      </vt:variant>
      <vt:variant>
        <vt:i4>0</vt:i4>
      </vt:variant>
      <vt:variant>
        <vt:i4>5</vt:i4>
      </vt:variant>
      <vt:variant>
        <vt:lpwstr/>
      </vt:variant>
      <vt:variant>
        <vt:lpwstr>_Toc247080425</vt:lpwstr>
      </vt:variant>
      <vt:variant>
        <vt:i4>1114169</vt:i4>
      </vt:variant>
      <vt:variant>
        <vt:i4>53</vt:i4>
      </vt:variant>
      <vt:variant>
        <vt:i4>0</vt:i4>
      </vt:variant>
      <vt:variant>
        <vt:i4>5</vt:i4>
      </vt:variant>
      <vt:variant>
        <vt:lpwstr/>
      </vt:variant>
      <vt:variant>
        <vt:lpwstr>_Toc247080424</vt:lpwstr>
      </vt:variant>
      <vt:variant>
        <vt:i4>1114169</vt:i4>
      </vt:variant>
      <vt:variant>
        <vt:i4>47</vt:i4>
      </vt:variant>
      <vt:variant>
        <vt:i4>0</vt:i4>
      </vt:variant>
      <vt:variant>
        <vt:i4>5</vt:i4>
      </vt:variant>
      <vt:variant>
        <vt:lpwstr/>
      </vt:variant>
      <vt:variant>
        <vt:lpwstr>_Toc247080423</vt:lpwstr>
      </vt:variant>
      <vt:variant>
        <vt:i4>1114169</vt:i4>
      </vt:variant>
      <vt:variant>
        <vt:i4>41</vt:i4>
      </vt:variant>
      <vt:variant>
        <vt:i4>0</vt:i4>
      </vt:variant>
      <vt:variant>
        <vt:i4>5</vt:i4>
      </vt:variant>
      <vt:variant>
        <vt:lpwstr/>
      </vt:variant>
      <vt:variant>
        <vt:lpwstr>_Toc247080422</vt:lpwstr>
      </vt:variant>
      <vt:variant>
        <vt:i4>1114169</vt:i4>
      </vt:variant>
      <vt:variant>
        <vt:i4>35</vt:i4>
      </vt:variant>
      <vt:variant>
        <vt:i4>0</vt:i4>
      </vt:variant>
      <vt:variant>
        <vt:i4>5</vt:i4>
      </vt:variant>
      <vt:variant>
        <vt:lpwstr/>
      </vt:variant>
      <vt:variant>
        <vt:lpwstr>_Toc247080421</vt:lpwstr>
      </vt:variant>
      <vt:variant>
        <vt:i4>1114169</vt:i4>
      </vt:variant>
      <vt:variant>
        <vt:i4>29</vt:i4>
      </vt:variant>
      <vt:variant>
        <vt:i4>0</vt:i4>
      </vt:variant>
      <vt:variant>
        <vt:i4>5</vt:i4>
      </vt:variant>
      <vt:variant>
        <vt:lpwstr/>
      </vt:variant>
      <vt:variant>
        <vt:lpwstr>_Toc247080420</vt:lpwstr>
      </vt:variant>
      <vt:variant>
        <vt:i4>1179705</vt:i4>
      </vt:variant>
      <vt:variant>
        <vt:i4>23</vt:i4>
      </vt:variant>
      <vt:variant>
        <vt:i4>0</vt:i4>
      </vt:variant>
      <vt:variant>
        <vt:i4>5</vt:i4>
      </vt:variant>
      <vt:variant>
        <vt:lpwstr/>
      </vt:variant>
      <vt:variant>
        <vt:lpwstr>_Toc247080419</vt:lpwstr>
      </vt:variant>
      <vt:variant>
        <vt:i4>1179705</vt:i4>
      </vt:variant>
      <vt:variant>
        <vt:i4>17</vt:i4>
      </vt:variant>
      <vt:variant>
        <vt:i4>0</vt:i4>
      </vt:variant>
      <vt:variant>
        <vt:i4>5</vt:i4>
      </vt:variant>
      <vt:variant>
        <vt:lpwstr/>
      </vt:variant>
      <vt:variant>
        <vt:lpwstr>_Toc247080418</vt:lpwstr>
      </vt:variant>
      <vt:variant>
        <vt:i4>1179705</vt:i4>
      </vt:variant>
      <vt:variant>
        <vt:i4>11</vt:i4>
      </vt:variant>
      <vt:variant>
        <vt:i4>0</vt:i4>
      </vt:variant>
      <vt:variant>
        <vt:i4>5</vt:i4>
      </vt:variant>
      <vt:variant>
        <vt:lpwstr/>
      </vt:variant>
      <vt:variant>
        <vt:lpwstr>_Toc247080417</vt:lpwstr>
      </vt:variant>
      <vt:variant>
        <vt:i4>1179705</vt:i4>
      </vt:variant>
      <vt:variant>
        <vt:i4>5</vt:i4>
      </vt:variant>
      <vt:variant>
        <vt:i4>0</vt:i4>
      </vt:variant>
      <vt:variant>
        <vt:i4>5</vt:i4>
      </vt:variant>
      <vt:variant>
        <vt:lpwstr/>
      </vt:variant>
      <vt:variant>
        <vt:lpwstr>_Toc247080416</vt:lpwstr>
      </vt:variant>
      <vt:variant>
        <vt:i4>2293865</vt:i4>
      </vt:variant>
      <vt:variant>
        <vt:i4>0</vt:i4>
      </vt:variant>
      <vt:variant>
        <vt:i4>0</vt:i4>
      </vt:variant>
      <vt:variant>
        <vt:i4>5</vt:i4>
      </vt:variant>
      <vt:variant>
        <vt:lpwstr>https://recht.nrw.de/lmi/owa/br_bes_text?anw_nr=1&amp;gld_nr=7&amp;ugl_nr=7129&amp;bes_id=13220&amp;val=13220&amp;ver=7&amp;sg=0&amp;aufgehoben=N&amp;menu=1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Feststellung und Beurteilung von Geruchsimmissionen</dc:title>
  <dc:subject>Geruchsimmissions-Richtlinie - GIRL</dc:subject>
  <dc:creator>Np</dc:creator>
  <cp:keywords/>
  <dc:description/>
  <cp:lastModifiedBy>Rüter, Dr., Ingo</cp:lastModifiedBy>
  <cp:revision>2</cp:revision>
  <cp:lastPrinted>2004-12-14T12:08:00Z</cp:lastPrinted>
  <dcterms:created xsi:type="dcterms:W3CDTF">2024-04-08T08:52:00Z</dcterms:created>
  <dcterms:modified xsi:type="dcterms:W3CDTF">2024-04-08T08:52:00Z</dcterms:modified>
</cp:coreProperties>
</file>