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96" w:rsidRPr="008D0C54" w:rsidRDefault="00A65596" w:rsidP="008D0C54">
      <w:pPr>
        <w:pStyle w:val="berschrift1"/>
      </w:pPr>
      <w:bookmarkStart w:id="0" w:name="_Toc386438804"/>
      <w:bookmarkStart w:id="1" w:name="_Toc398974904"/>
      <w:bookmarkStart w:id="2" w:name="_Toc512391468"/>
      <w:r w:rsidRPr="008D0C54">
        <w:t>Achte Verordnung zur Durchführung des Bundes-Immissi</w:t>
      </w:r>
      <w:bookmarkStart w:id="3" w:name="_GoBack"/>
      <w:bookmarkEnd w:id="3"/>
      <w:r w:rsidRPr="008D0C54">
        <w:t xml:space="preserve">onsschutzgesetzes - </w:t>
      </w:r>
      <w:r w:rsidR="008D0C54">
        <w:br/>
      </w:r>
      <w:r w:rsidRPr="008D0C54">
        <w:t>Rasenmäherlärm-Verordnung - 8. BImSchV</w:t>
      </w:r>
      <w:bookmarkEnd w:id="0"/>
      <w:bookmarkEnd w:id="1"/>
      <w:bookmarkEnd w:id="2"/>
    </w:p>
    <w:p w:rsidR="00A65596" w:rsidRDefault="00A65596" w:rsidP="008D0C54">
      <w:pPr>
        <w:pStyle w:val="GesAbsatz"/>
        <w:jc w:val="center"/>
      </w:pPr>
      <w:r>
        <w:t>vom 13. Juli 1992</w:t>
      </w:r>
    </w:p>
    <w:p w:rsidR="00A65596" w:rsidRPr="008D0C54" w:rsidRDefault="004165DE" w:rsidP="008D0C54">
      <w:pPr>
        <w:pStyle w:val="GesAbsatz"/>
        <w:rPr>
          <w:b/>
          <w:i/>
          <w:color w:val="FF0000"/>
          <w:sz w:val="22"/>
        </w:rPr>
      </w:pPr>
      <w:r w:rsidRPr="008D0C54">
        <w:rPr>
          <w:b/>
          <w:i/>
          <w:color w:val="FF0000"/>
          <w:sz w:val="22"/>
        </w:rPr>
        <w:t xml:space="preserve">Gültig bis zum </w:t>
      </w:r>
      <w:r w:rsidR="008D0C54">
        <w:rPr>
          <w:b/>
          <w:i/>
          <w:color w:val="FF0000"/>
          <w:sz w:val="22"/>
        </w:rPr>
        <w:t>0</w:t>
      </w:r>
      <w:r w:rsidRPr="008D0C54">
        <w:rPr>
          <w:b/>
          <w:i/>
          <w:color w:val="FF0000"/>
          <w:sz w:val="22"/>
        </w:rPr>
        <w:t>5.</w:t>
      </w:r>
      <w:r w:rsidR="008D0C54">
        <w:rPr>
          <w:b/>
          <w:i/>
          <w:color w:val="FF0000"/>
          <w:sz w:val="22"/>
        </w:rPr>
        <w:t>0</w:t>
      </w:r>
      <w:r w:rsidRPr="008D0C54">
        <w:rPr>
          <w:b/>
          <w:i/>
          <w:color w:val="FF0000"/>
          <w:sz w:val="22"/>
        </w:rPr>
        <w:t>9.2002</w:t>
      </w:r>
    </w:p>
    <w:p w:rsidR="00A65596" w:rsidRPr="008D0C54" w:rsidRDefault="00A65596" w:rsidP="008D0C54">
      <w:pPr>
        <w:pStyle w:val="GesAbsatz"/>
        <w:jc w:val="center"/>
        <w:rPr>
          <w:b/>
          <w:sz w:val="22"/>
        </w:rPr>
      </w:pPr>
      <w:r w:rsidRPr="008D0C54">
        <w:rPr>
          <w:b/>
          <w:sz w:val="22"/>
        </w:rPr>
        <w:t>Inhalt:</w:t>
      </w:r>
    </w:p>
    <w:p w:rsidR="00A65596" w:rsidRDefault="00A65596">
      <w:pPr>
        <w:pStyle w:val="Verzeichnis1"/>
        <w:tabs>
          <w:tab w:val="clear" w:pos="9638"/>
          <w:tab w:val="right" w:leader="dot" w:pos="9628"/>
        </w:tabs>
        <w:rPr>
          <w:noProof/>
        </w:rPr>
      </w:pPr>
      <w:r>
        <w:fldChar w:fldCharType="begin"/>
      </w:r>
      <w:r>
        <w:instrText xml:space="preserve"> TOC \o "1-3" </w:instrText>
      </w:r>
      <w:r>
        <w:fldChar w:fldCharType="separate"/>
      </w:r>
      <w:r>
        <w:rPr>
          <w:noProof/>
        </w:rPr>
        <w:t>Rasenmäherlärm-Verordnung - 8. BImSchV</w:t>
      </w:r>
      <w:r>
        <w:rPr>
          <w:noProof/>
        </w:rPr>
        <w:tab/>
      </w:r>
      <w:r>
        <w:rPr>
          <w:noProof/>
        </w:rPr>
        <w:fldChar w:fldCharType="begin"/>
      </w:r>
      <w:r>
        <w:rPr>
          <w:noProof/>
        </w:rPr>
        <w:instrText xml:space="preserve"> PAGEREF _Toc512391468 \h </w:instrText>
      </w:r>
      <w:r>
        <w:rPr>
          <w:noProof/>
        </w:rPr>
      </w:r>
      <w:r>
        <w:rPr>
          <w:noProof/>
        </w:rPr>
        <w:fldChar w:fldCharType="separate"/>
      </w:r>
      <w:r w:rsidR="008D0C54">
        <w:rPr>
          <w:noProof/>
        </w:rPr>
        <w:t>1</w:t>
      </w:r>
      <w:r>
        <w:rPr>
          <w:noProof/>
        </w:rPr>
        <w:fldChar w:fldCharType="end"/>
      </w:r>
    </w:p>
    <w:p w:rsidR="00A65596" w:rsidRDefault="00A65596">
      <w:pPr>
        <w:pStyle w:val="Verzeichnis3"/>
        <w:tabs>
          <w:tab w:val="clear" w:pos="9638"/>
          <w:tab w:val="right" w:leader="dot" w:pos="9628"/>
        </w:tabs>
        <w:rPr>
          <w:noProof/>
        </w:rPr>
      </w:pPr>
      <w:r>
        <w:rPr>
          <w:noProof/>
        </w:rPr>
        <w:t>§ 1 Anwendungsbereich</w:t>
      </w:r>
      <w:r>
        <w:rPr>
          <w:noProof/>
        </w:rPr>
        <w:tab/>
      </w:r>
      <w:r>
        <w:rPr>
          <w:noProof/>
        </w:rPr>
        <w:fldChar w:fldCharType="begin"/>
      </w:r>
      <w:r>
        <w:rPr>
          <w:noProof/>
        </w:rPr>
        <w:instrText xml:space="preserve"> PAGEREF _Toc512391469 \h </w:instrText>
      </w:r>
      <w:r>
        <w:rPr>
          <w:noProof/>
        </w:rPr>
      </w:r>
      <w:r>
        <w:rPr>
          <w:noProof/>
        </w:rPr>
        <w:fldChar w:fldCharType="separate"/>
      </w:r>
      <w:r w:rsidR="008D0C54">
        <w:rPr>
          <w:noProof/>
        </w:rPr>
        <w:t>1</w:t>
      </w:r>
      <w:r>
        <w:rPr>
          <w:noProof/>
        </w:rPr>
        <w:fldChar w:fldCharType="end"/>
      </w:r>
    </w:p>
    <w:p w:rsidR="00A65596" w:rsidRDefault="00A65596">
      <w:pPr>
        <w:pStyle w:val="Verzeichnis3"/>
        <w:tabs>
          <w:tab w:val="clear" w:pos="9638"/>
          <w:tab w:val="right" w:leader="dot" w:pos="9628"/>
        </w:tabs>
        <w:rPr>
          <w:noProof/>
        </w:rPr>
      </w:pPr>
      <w:r>
        <w:rPr>
          <w:noProof/>
        </w:rPr>
        <w:t>§ 2 Inverkehrbringen</w:t>
      </w:r>
      <w:r>
        <w:rPr>
          <w:noProof/>
        </w:rPr>
        <w:tab/>
      </w:r>
      <w:r>
        <w:rPr>
          <w:noProof/>
        </w:rPr>
        <w:fldChar w:fldCharType="begin"/>
      </w:r>
      <w:r>
        <w:rPr>
          <w:noProof/>
        </w:rPr>
        <w:instrText xml:space="preserve"> PAGEREF _Toc512391470 \h </w:instrText>
      </w:r>
      <w:r>
        <w:rPr>
          <w:noProof/>
        </w:rPr>
      </w:r>
      <w:r>
        <w:rPr>
          <w:noProof/>
        </w:rPr>
        <w:fldChar w:fldCharType="separate"/>
      </w:r>
      <w:r w:rsidR="008D0C54">
        <w:rPr>
          <w:noProof/>
        </w:rPr>
        <w:t>1</w:t>
      </w:r>
      <w:r>
        <w:rPr>
          <w:noProof/>
        </w:rPr>
        <w:fldChar w:fldCharType="end"/>
      </w:r>
    </w:p>
    <w:p w:rsidR="00A65596" w:rsidRDefault="00A65596">
      <w:pPr>
        <w:pStyle w:val="Verzeichnis3"/>
        <w:tabs>
          <w:tab w:val="clear" w:pos="9638"/>
          <w:tab w:val="right" w:leader="dot" w:pos="9628"/>
        </w:tabs>
        <w:rPr>
          <w:noProof/>
        </w:rPr>
      </w:pPr>
      <w:r>
        <w:rPr>
          <w:noProof/>
        </w:rPr>
        <w:t>§ 3 Zulässige Geräuschemissionswerte</w:t>
      </w:r>
      <w:r>
        <w:rPr>
          <w:noProof/>
        </w:rPr>
        <w:tab/>
      </w:r>
      <w:r>
        <w:rPr>
          <w:noProof/>
        </w:rPr>
        <w:fldChar w:fldCharType="begin"/>
      </w:r>
      <w:r>
        <w:rPr>
          <w:noProof/>
        </w:rPr>
        <w:instrText xml:space="preserve"> PAGEREF _Toc512391471 \h </w:instrText>
      </w:r>
      <w:r>
        <w:rPr>
          <w:noProof/>
        </w:rPr>
      </w:r>
      <w:r>
        <w:rPr>
          <w:noProof/>
        </w:rPr>
        <w:fldChar w:fldCharType="separate"/>
      </w:r>
      <w:r w:rsidR="008D0C54">
        <w:rPr>
          <w:noProof/>
        </w:rPr>
        <w:t>1</w:t>
      </w:r>
      <w:r>
        <w:rPr>
          <w:noProof/>
        </w:rPr>
        <w:fldChar w:fldCharType="end"/>
      </w:r>
    </w:p>
    <w:p w:rsidR="00A65596" w:rsidRDefault="00A65596">
      <w:pPr>
        <w:pStyle w:val="Verzeichnis3"/>
        <w:tabs>
          <w:tab w:val="clear" w:pos="9638"/>
          <w:tab w:val="right" w:leader="dot" w:pos="9628"/>
        </w:tabs>
        <w:rPr>
          <w:noProof/>
        </w:rPr>
      </w:pPr>
      <w:r>
        <w:rPr>
          <w:noProof/>
        </w:rPr>
        <w:t>§ 4 Übereinstimmungsbescheinigung und Prüfprotokoll</w:t>
      </w:r>
      <w:r>
        <w:rPr>
          <w:noProof/>
        </w:rPr>
        <w:tab/>
      </w:r>
      <w:r>
        <w:rPr>
          <w:noProof/>
        </w:rPr>
        <w:fldChar w:fldCharType="begin"/>
      </w:r>
      <w:r>
        <w:rPr>
          <w:noProof/>
        </w:rPr>
        <w:instrText xml:space="preserve"> PAGEREF _Toc512391472 \h </w:instrText>
      </w:r>
      <w:r>
        <w:rPr>
          <w:noProof/>
        </w:rPr>
      </w:r>
      <w:r>
        <w:rPr>
          <w:noProof/>
        </w:rPr>
        <w:fldChar w:fldCharType="separate"/>
      </w:r>
      <w:r w:rsidR="008D0C54">
        <w:rPr>
          <w:noProof/>
        </w:rPr>
        <w:t>2</w:t>
      </w:r>
      <w:r>
        <w:rPr>
          <w:noProof/>
        </w:rPr>
        <w:fldChar w:fldCharType="end"/>
      </w:r>
    </w:p>
    <w:p w:rsidR="00A65596" w:rsidRDefault="00A65596">
      <w:pPr>
        <w:pStyle w:val="Verzeichnis3"/>
        <w:tabs>
          <w:tab w:val="clear" w:pos="9638"/>
          <w:tab w:val="right" w:leader="dot" w:pos="9628"/>
        </w:tabs>
        <w:rPr>
          <w:noProof/>
        </w:rPr>
      </w:pPr>
      <w:r>
        <w:rPr>
          <w:noProof/>
        </w:rPr>
        <w:t>§ 5 Kennzeichnung</w:t>
      </w:r>
      <w:r>
        <w:rPr>
          <w:noProof/>
        </w:rPr>
        <w:tab/>
      </w:r>
      <w:r>
        <w:rPr>
          <w:noProof/>
        </w:rPr>
        <w:fldChar w:fldCharType="begin"/>
      </w:r>
      <w:r>
        <w:rPr>
          <w:noProof/>
        </w:rPr>
        <w:instrText xml:space="preserve"> PAGEREF _Toc512391473 \h </w:instrText>
      </w:r>
      <w:r>
        <w:rPr>
          <w:noProof/>
        </w:rPr>
      </w:r>
      <w:r>
        <w:rPr>
          <w:noProof/>
        </w:rPr>
        <w:fldChar w:fldCharType="separate"/>
      </w:r>
      <w:r w:rsidR="008D0C54">
        <w:rPr>
          <w:noProof/>
        </w:rPr>
        <w:t>2</w:t>
      </w:r>
      <w:r>
        <w:rPr>
          <w:noProof/>
        </w:rPr>
        <w:fldChar w:fldCharType="end"/>
      </w:r>
    </w:p>
    <w:p w:rsidR="00A65596" w:rsidRDefault="00A65596">
      <w:pPr>
        <w:pStyle w:val="Verzeichnis3"/>
        <w:tabs>
          <w:tab w:val="clear" w:pos="9638"/>
          <w:tab w:val="right" w:leader="dot" w:pos="9628"/>
        </w:tabs>
        <w:rPr>
          <w:noProof/>
        </w:rPr>
      </w:pPr>
      <w:r>
        <w:rPr>
          <w:noProof/>
        </w:rPr>
        <w:t>§ 6 Regelung des Betriebs</w:t>
      </w:r>
      <w:r>
        <w:rPr>
          <w:noProof/>
        </w:rPr>
        <w:tab/>
      </w:r>
      <w:r>
        <w:rPr>
          <w:noProof/>
        </w:rPr>
        <w:fldChar w:fldCharType="begin"/>
      </w:r>
      <w:r>
        <w:rPr>
          <w:noProof/>
        </w:rPr>
        <w:instrText xml:space="preserve"> PAGEREF _Toc512391474 \h </w:instrText>
      </w:r>
      <w:r>
        <w:rPr>
          <w:noProof/>
        </w:rPr>
      </w:r>
      <w:r>
        <w:rPr>
          <w:noProof/>
        </w:rPr>
        <w:fldChar w:fldCharType="separate"/>
      </w:r>
      <w:r w:rsidR="008D0C54">
        <w:rPr>
          <w:noProof/>
        </w:rPr>
        <w:t>2</w:t>
      </w:r>
      <w:r>
        <w:rPr>
          <w:noProof/>
        </w:rPr>
        <w:fldChar w:fldCharType="end"/>
      </w:r>
    </w:p>
    <w:p w:rsidR="00A65596" w:rsidRDefault="00A65596">
      <w:pPr>
        <w:pStyle w:val="Verzeichnis3"/>
        <w:tabs>
          <w:tab w:val="clear" w:pos="9638"/>
          <w:tab w:val="right" w:leader="dot" w:pos="9628"/>
        </w:tabs>
        <w:rPr>
          <w:noProof/>
        </w:rPr>
      </w:pPr>
      <w:r>
        <w:rPr>
          <w:noProof/>
        </w:rPr>
        <w:t>§ 7 Ordnungswidrigkeiten</w:t>
      </w:r>
      <w:r>
        <w:rPr>
          <w:noProof/>
        </w:rPr>
        <w:tab/>
      </w:r>
      <w:r>
        <w:rPr>
          <w:noProof/>
        </w:rPr>
        <w:fldChar w:fldCharType="begin"/>
      </w:r>
      <w:r>
        <w:rPr>
          <w:noProof/>
        </w:rPr>
        <w:instrText xml:space="preserve"> PAGEREF _Toc512391475 \h </w:instrText>
      </w:r>
      <w:r>
        <w:rPr>
          <w:noProof/>
        </w:rPr>
      </w:r>
      <w:r>
        <w:rPr>
          <w:noProof/>
        </w:rPr>
        <w:fldChar w:fldCharType="separate"/>
      </w:r>
      <w:r w:rsidR="008D0C54">
        <w:rPr>
          <w:noProof/>
        </w:rPr>
        <w:t>3</w:t>
      </w:r>
      <w:r>
        <w:rPr>
          <w:noProof/>
        </w:rPr>
        <w:fldChar w:fldCharType="end"/>
      </w:r>
    </w:p>
    <w:p w:rsidR="00A65596" w:rsidRDefault="00A65596">
      <w:pPr>
        <w:pStyle w:val="Verzeichnis3"/>
        <w:tabs>
          <w:tab w:val="clear" w:pos="9638"/>
          <w:tab w:val="right" w:leader="dot" w:pos="9628"/>
        </w:tabs>
        <w:rPr>
          <w:noProof/>
        </w:rPr>
      </w:pPr>
      <w:r>
        <w:rPr>
          <w:noProof/>
        </w:rPr>
        <w:t>§ 8 Inkrafttreten, Übergangsvorschriften</w:t>
      </w:r>
      <w:r>
        <w:rPr>
          <w:noProof/>
        </w:rPr>
        <w:tab/>
      </w:r>
      <w:r>
        <w:rPr>
          <w:noProof/>
        </w:rPr>
        <w:fldChar w:fldCharType="begin"/>
      </w:r>
      <w:r>
        <w:rPr>
          <w:noProof/>
        </w:rPr>
        <w:instrText xml:space="preserve"> PAGEREF _Toc512391476 \h </w:instrText>
      </w:r>
      <w:r>
        <w:rPr>
          <w:noProof/>
        </w:rPr>
      </w:r>
      <w:r>
        <w:rPr>
          <w:noProof/>
        </w:rPr>
        <w:fldChar w:fldCharType="separate"/>
      </w:r>
      <w:r w:rsidR="008D0C54">
        <w:rPr>
          <w:noProof/>
        </w:rPr>
        <w:t>3</w:t>
      </w:r>
      <w:r>
        <w:rPr>
          <w:noProof/>
        </w:rPr>
        <w:fldChar w:fldCharType="end"/>
      </w:r>
    </w:p>
    <w:p w:rsidR="00A65596" w:rsidRDefault="00A65596" w:rsidP="008D0C54">
      <w:pPr>
        <w:pStyle w:val="GesAbsatz"/>
      </w:pPr>
      <w:r>
        <w:fldChar w:fldCharType="end"/>
      </w:r>
    </w:p>
    <w:p w:rsidR="00A65596" w:rsidRPr="008D0C54" w:rsidRDefault="00A65596" w:rsidP="008D0C54">
      <w:pPr>
        <w:pStyle w:val="GesAbsatz"/>
      </w:pPr>
      <w:r w:rsidRPr="008D0C54">
        <w:t>Vom 23. Juli 1987 (BGBl. I S. 1687) in der Fassung der Bekanntmachung vom 13. Juli 1992 (BGBl. I S. 1246), zuletzt geändert durch EWR-Ausführungsgesetz vom 27. April 1993 (BGBl. I S. 512, 528)</w:t>
      </w:r>
    </w:p>
    <w:p w:rsidR="00A65596" w:rsidRDefault="00A65596">
      <w:pPr>
        <w:pStyle w:val="berschrift3"/>
      </w:pPr>
      <w:bookmarkStart w:id="4" w:name="_Toc386438805"/>
      <w:bookmarkStart w:id="5" w:name="_Toc398974905"/>
      <w:bookmarkStart w:id="6" w:name="_Toc512391469"/>
      <w:r>
        <w:t>§ 1</w:t>
      </w:r>
      <w:r>
        <w:br/>
        <w:t>Anwendungsbereich</w:t>
      </w:r>
      <w:bookmarkEnd w:id="4"/>
      <w:bookmarkEnd w:id="5"/>
      <w:bookmarkEnd w:id="6"/>
    </w:p>
    <w:p w:rsidR="00A65596" w:rsidRDefault="00A65596" w:rsidP="00BC3674">
      <w:pPr>
        <w:pStyle w:val="GesAbsatz"/>
      </w:pPr>
      <w:r>
        <w:t>(1) Diese Verordnung gilt für das Inverkehrbringen und den Betrieb von Rasenmähern.</w:t>
      </w:r>
    </w:p>
    <w:p w:rsidR="00A65596" w:rsidRDefault="00A65596" w:rsidP="00BC3674">
      <w:pPr>
        <w:pStyle w:val="GesAbsatz"/>
      </w:pPr>
      <w:r>
        <w:t>(2) Rasenmäher im Sinne dieser Verordnung sind motorbetriebene Geräte, die zum Schneiden von Gras bestimmt sind, unabhängig davon, wodurch das Schneiden bewirkt wird.</w:t>
      </w:r>
    </w:p>
    <w:p w:rsidR="00A65596" w:rsidRDefault="00A65596" w:rsidP="00BC3674">
      <w:pPr>
        <w:pStyle w:val="GesAbsatz"/>
      </w:pPr>
      <w:r>
        <w:t>(3) Die §§ 2 bis 5 sind nicht anzuwenden auf</w:t>
      </w:r>
    </w:p>
    <w:p w:rsidR="00A65596" w:rsidRDefault="00BC3674" w:rsidP="00BC3674">
      <w:pPr>
        <w:pStyle w:val="GesAbsatz"/>
        <w:ind w:left="426" w:hanging="426"/>
      </w:pPr>
      <w:r>
        <w:t>1.</w:t>
      </w:r>
      <w:r>
        <w:tab/>
      </w:r>
      <w:r w:rsidR="00A65596">
        <w:t>land- oder forstwirtschaftliche Geräte,</w:t>
      </w:r>
    </w:p>
    <w:p w:rsidR="00A65596" w:rsidRDefault="00BC3674" w:rsidP="00BC3674">
      <w:pPr>
        <w:pStyle w:val="GesAbsatz"/>
        <w:ind w:left="426" w:hanging="426"/>
      </w:pPr>
      <w:r>
        <w:t>2.</w:t>
      </w:r>
      <w:r>
        <w:tab/>
      </w:r>
      <w:r w:rsidR="00A65596">
        <w:t>Rasenmäher, die sonst nach ihrer Bauart nicht für die Pflege von Freizeit-, Garten-, Park- oder ähnl</w:t>
      </w:r>
      <w:r w:rsidR="00A65596">
        <w:t>i</w:t>
      </w:r>
      <w:r w:rsidR="00A65596">
        <w:t>chen Flächen bestimmt sind,</w:t>
      </w:r>
    </w:p>
    <w:p w:rsidR="00A65596" w:rsidRDefault="00BC3674" w:rsidP="00BC3674">
      <w:pPr>
        <w:pStyle w:val="GesAbsatz"/>
        <w:ind w:left="426" w:hanging="426"/>
      </w:pPr>
      <w:r>
        <w:t>3.</w:t>
      </w:r>
      <w:r>
        <w:tab/>
      </w:r>
      <w:r w:rsidR="00A65596">
        <w:t>Geräte ohne eigenen Antrieb, deren Schneidemechanismus durch die Räder oder durch ein nicht e</w:t>
      </w:r>
      <w:r w:rsidR="00A65596">
        <w:t>i</w:t>
      </w:r>
      <w:r w:rsidR="00A65596">
        <w:t>gens dafür ausgelegtes Zug- oder Traggerät angetrieben wird,</w:t>
      </w:r>
    </w:p>
    <w:p w:rsidR="00A65596" w:rsidRDefault="00BC3674" w:rsidP="00BC3674">
      <w:pPr>
        <w:pStyle w:val="GesAbsatz"/>
        <w:ind w:left="426" w:hanging="426"/>
      </w:pPr>
      <w:r>
        <w:t>4.</w:t>
      </w:r>
      <w:r>
        <w:tab/>
      </w:r>
      <w:r w:rsidR="00A65596">
        <w:t>Kombinationsgeräte, deren Hauptantriebsaggregat mehr als 20 Kilowatt installierte Leistung hat.</w:t>
      </w:r>
    </w:p>
    <w:p w:rsidR="00A65596" w:rsidRDefault="00A65596">
      <w:pPr>
        <w:pStyle w:val="berschrift3"/>
      </w:pPr>
      <w:bookmarkStart w:id="7" w:name="_Toc386438806"/>
      <w:bookmarkStart w:id="8" w:name="_Toc398974906"/>
      <w:bookmarkStart w:id="9" w:name="_Toc512391470"/>
      <w:r>
        <w:t>§ 2</w:t>
      </w:r>
      <w:r>
        <w:br/>
        <w:t>Inverkehrbringen</w:t>
      </w:r>
      <w:bookmarkEnd w:id="7"/>
      <w:bookmarkEnd w:id="8"/>
      <w:bookmarkEnd w:id="9"/>
    </w:p>
    <w:p w:rsidR="00A65596" w:rsidRDefault="00A65596" w:rsidP="00BC3674">
      <w:pPr>
        <w:pStyle w:val="GesAbsatz"/>
      </w:pPr>
      <w:r>
        <w:t>(1) Rasenmäher dürfen gewerbsmäßig oder im Rahmen wirtschaftlicher Unternehmungen nur in den Ve</w:t>
      </w:r>
      <w:r>
        <w:t>r</w:t>
      </w:r>
      <w:r>
        <w:t>kehr gebracht werden, wenn</w:t>
      </w:r>
    </w:p>
    <w:p w:rsidR="00A65596" w:rsidRDefault="00BC3674" w:rsidP="00BC3674">
      <w:pPr>
        <w:pStyle w:val="GesAbsatz"/>
      </w:pPr>
      <w:r>
        <w:t>1.</w:t>
      </w:r>
      <w:r>
        <w:tab/>
      </w:r>
      <w:r w:rsidR="00A65596">
        <w:t>sie die zulässigen Geräuschemissionswerte nach § 3 nicht überschreiten,</w:t>
      </w:r>
    </w:p>
    <w:p w:rsidR="00A65596" w:rsidRDefault="00BC3674" w:rsidP="00BC3674">
      <w:pPr>
        <w:pStyle w:val="GesAbsatz"/>
      </w:pPr>
      <w:r>
        <w:t>2.</w:t>
      </w:r>
      <w:r>
        <w:tab/>
      </w:r>
      <w:r w:rsidR="00A65596">
        <w:t>ihnen eine Übereinstimmungsbescheinigung nach § 4 beigefügt ist und</w:t>
      </w:r>
    </w:p>
    <w:p w:rsidR="00A65596" w:rsidRDefault="00BC3674" w:rsidP="00BC3674">
      <w:pPr>
        <w:pStyle w:val="GesAbsatz"/>
      </w:pPr>
      <w:r>
        <w:t>3.</w:t>
      </w:r>
      <w:r>
        <w:tab/>
      </w:r>
      <w:r w:rsidR="00A65596">
        <w:t>sie nach § 5 gekennzeichnet sind.</w:t>
      </w:r>
    </w:p>
    <w:p w:rsidR="00A65596" w:rsidRDefault="00A65596" w:rsidP="00BC3674">
      <w:pPr>
        <w:pStyle w:val="GesAbsatz"/>
      </w:pPr>
      <w:r>
        <w:t>(2) Geräuschemissionswerte sind Schalleistungspegel (L</w:t>
      </w:r>
      <w:r>
        <w:rPr>
          <w:vertAlign w:val="subscript"/>
        </w:rPr>
        <w:t>WA</w:t>
      </w:r>
      <w:r>
        <w:t>) sowie Schalldruckpegel (</w:t>
      </w:r>
      <w:proofErr w:type="spellStart"/>
      <w:r>
        <w:t>L</w:t>
      </w:r>
      <w:r>
        <w:rPr>
          <w:vertAlign w:val="subscript"/>
        </w:rPr>
        <w:t>pA</w:t>
      </w:r>
      <w:proofErr w:type="spellEnd"/>
      <w:r>
        <w:t>) am Bedienerplatz.</w:t>
      </w:r>
      <w:bookmarkStart w:id="10" w:name="_Toc386438807"/>
      <w:bookmarkStart w:id="11" w:name="_Toc398974907"/>
    </w:p>
    <w:p w:rsidR="00A65596" w:rsidRDefault="00A65596">
      <w:pPr>
        <w:pStyle w:val="berschrift3"/>
      </w:pPr>
      <w:bookmarkStart w:id="12" w:name="_Toc512391471"/>
      <w:r>
        <w:t>§ 3</w:t>
      </w:r>
      <w:r>
        <w:br/>
        <w:t>Zulässige Geräuschemissionswerte</w:t>
      </w:r>
      <w:bookmarkEnd w:id="10"/>
      <w:bookmarkEnd w:id="11"/>
      <w:bookmarkEnd w:id="12"/>
    </w:p>
    <w:p w:rsidR="00A65596" w:rsidRDefault="00A65596" w:rsidP="00BC3674">
      <w:pPr>
        <w:pStyle w:val="GesAbsatz"/>
      </w:pPr>
      <w:r>
        <w:t>(1) Der zulässige Schalleistungspegel beträgt je nach Schnittbreite des Rasenmähers:</w:t>
      </w:r>
    </w:p>
    <w:tbl>
      <w:tblPr>
        <w:tblW w:w="0" w:type="auto"/>
        <w:tblLayout w:type="fixed"/>
        <w:tblCellMar>
          <w:left w:w="70" w:type="dxa"/>
          <w:right w:w="70" w:type="dxa"/>
        </w:tblCellMar>
        <w:tblLook w:val="0000" w:firstRow="0" w:lastRow="0" w:firstColumn="0" w:lastColumn="0" w:noHBand="0" w:noVBand="0"/>
      </w:tblPr>
      <w:tblGrid>
        <w:gridCol w:w="3331"/>
        <w:gridCol w:w="4110"/>
      </w:tblGrid>
      <w:tr w:rsidR="00A65596">
        <w:tblPrEx>
          <w:tblCellMar>
            <w:top w:w="0" w:type="dxa"/>
            <w:bottom w:w="0" w:type="dxa"/>
          </w:tblCellMar>
        </w:tblPrEx>
        <w:tc>
          <w:tcPr>
            <w:tcW w:w="3331" w:type="dxa"/>
            <w:tcBorders>
              <w:top w:val="single" w:sz="6" w:space="0" w:color="auto"/>
              <w:bottom w:val="single" w:sz="6" w:space="0" w:color="auto"/>
            </w:tcBorders>
          </w:tcPr>
          <w:p w:rsidR="00A65596" w:rsidRDefault="00A65596">
            <w:pPr>
              <w:jc w:val="left"/>
            </w:pPr>
            <w:r>
              <w:t>Schnittbreite des Rasenmähers</w:t>
            </w:r>
          </w:p>
        </w:tc>
        <w:tc>
          <w:tcPr>
            <w:tcW w:w="4110" w:type="dxa"/>
            <w:tcBorders>
              <w:top w:val="single" w:sz="6" w:space="0" w:color="auto"/>
              <w:bottom w:val="single" w:sz="6" w:space="0" w:color="auto"/>
            </w:tcBorders>
          </w:tcPr>
          <w:p w:rsidR="00A65596" w:rsidRDefault="00A65596">
            <w:pPr>
              <w:jc w:val="left"/>
            </w:pPr>
            <w:r>
              <w:t>Zulässiger Schalleistungspegel in Dezibel (A), bezogen auf ein Pikowatt</w:t>
            </w:r>
          </w:p>
        </w:tc>
      </w:tr>
      <w:tr w:rsidR="00A65596">
        <w:tblPrEx>
          <w:tblCellMar>
            <w:top w:w="0" w:type="dxa"/>
            <w:bottom w:w="0" w:type="dxa"/>
          </w:tblCellMar>
        </w:tblPrEx>
        <w:tc>
          <w:tcPr>
            <w:tcW w:w="3331" w:type="dxa"/>
          </w:tcPr>
          <w:p w:rsidR="00A65596" w:rsidRDefault="00A65596">
            <w:pPr>
              <w:tabs>
                <w:tab w:val="clear" w:pos="425"/>
                <w:tab w:val="left" w:pos="709"/>
              </w:tabs>
            </w:pPr>
            <w:r>
              <w:t>bis</w:t>
            </w:r>
            <w:r>
              <w:tab/>
              <w:t>50 cm</w:t>
            </w:r>
          </w:p>
        </w:tc>
        <w:tc>
          <w:tcPr>
            <w:tcW w:w="4110" w:type="dxa"/>
          </w:tcPr>
          <w:p w:rsidR="00A65596" w:rsidRDefault="00A65596">
            <w:pPr>
              <w:jc w:val="center"/>
            </w:pPr>
            <w:r>
              <w:t>96</w:t>
            </w:r>
          </w:p>
        </w:tc>
      </w:tr>
      <w:tr w:rsidR="00A65596">
        <w:tblPrEx>
          <w:tblCellMar>
            <w:top w:w="0" w:type="dxa"/>
            <w:bottom w:w="0" w:type="dxa"/>
          </w:tblCellMar>
        </w:tblPrEx>
        <w:tc>
          <w:tcPr>
            <w:tcW w:w="3331" w:type="dxa"/>
          </w:tcPr>
          <w:p w:rsidR="00A65596" w:rsidRDefault="00A65596">
            <w:pPr>
              <w:tabs>
                <w:tab w:val="clear" w:pos="425"/>
                <w:tab w:val="left" w:pos="709"/>
              </w:tabs>
            </w:pPr>
            <w:r>
              <w:t>über</w:t>
            </w:r>
            <w:r>
              <w:tab/>
              <w:t>50 cm bis 120 cm</w:t>
            </w:r>
          </w:p>
        </w:tc>
        <w:tc>
          <w:tcPr>
            <w:tcW w:w="4110" w:type="dxa"/>
          </w:tcPr>
          <w:p w:rsidR="00A65596" w:rsidRDefault="00A65596">
            <w:pPr>
              <w:jc w:val="center"/>
            </w:pPr>
            <w:r>
              <w:t>100</w:t>
            </w:r>
          </w:p>
        </w:tc>
      </w:tr>
      <w:tr w:rsidR="00A65596">
        <w:tblPrEx>
          <w:tblCellMar>
            <w:top w:w="0" w:type="dxa"/>
            <w:bottom w:w="0" w:type="dxa"/>
          </w:tblCellMar>
        </w:tblPrEx>
        <w:tc>
          <w:tcPr>
            <w:tcW w:w="3331" w:type="dxa"/>
          </w:tcPr>
          <w:p w:rsidR="00A65596" w:rsidRDefault="00A65596">
            <w:pPr>
              <w:tabs>
                <w:tab w:val="clear" w:pos="425"/>
                <w:tab w:val="left" w:pos="709"/>
              </w:tabs>
            </w:pPr>
            <w:r>
              <w:lastRenderedPageBreak/>
              <w:t>über</w:t>
            </w:r>
            <w:r>
              <w:tab/>
              <w:t>120 cm</w:t>
            </w:r>
          </w:p>
        </w:tc>
        <w:tc>
          <w:tcPr>
            <w:tcW w:w="4110" w:type="dxa"/>
          </w:tcPr>
          <w:p w:rsidR="00A65596" w:rsidRDefault="00A65596">
            <w:pPr>
              <w:jc w:val="center"/>
            </w:pPr>
            <w:r>
              <w:t>105</w:t>
            </w:r>
          </w:p>
        </w:tc>
      </w:tr>
    </w:tbl>
    <w:p w:rsidR="00A65596" w:rsidRDefault="00A65596">
      <w:pPr>
        <w:pStyle w:val="GesAbsatz"/>
      </w:pPr>
    </w:p>
    <w:p w:rsidR="00A65596" w:rsidRDefault="00A65596" w:rsidP="00BC3674">
      <w:pPr>
        <w:pStyle w:val="GesAbsatz"/>
      </w:pPr>
      <w:r>
        <w:t>Der Schalleistungspegel wird nach Anhang I der Richtlinie 84/538/EWG des Rates vom 17. September 1984 zur Angleichung der Rechtsvorschriften der Mitgliedstaaten über den zulässigen Schalleistungspegel von Rasenmähern (ABl. EG Nr. L 300 S. 171), geändert durch die Richtlinie 88/180/EWG des Rates vom 22. März 1988 (ABl. EG Nr. L 81 S. 69), ermittelt.</w:t>
      </w:r>
    </w:p>
    <w:p w:rsidR="00A65596" w:rsidRDefault="00A65596" w:rsidP="00BC3674">
      <w:pPr>
        <w:pStyle w:val="GesAbsatz"/>
      </w:pPr>
      <w:r>
        <w:t>(2) Für Rasenmäher mit einer Schnittbreite von mehr als 120 cm beträgt der zulässige Schalldruckpegel am Bedienerplatz 90 Dezibel (A).</w:t>
      </w:r>
    </w:p>
    <w:p w:rsidR="00A65596" w:rsidRDefault="00A65596" w:rsidP="00BC3674">
      <w:pPr>
        <w:pStyle w:val="GesAbsatz"/>
      </w:pPr>
      <w:r>
        <w:t>(3) Der Schalldruckpegel am Bedienerplatz wird nach  Anhang I A der Richtlinie 84/538/EWG zur Angle</w:t>
      </w:r>
      <w:r>
        <w:t>i</w:t>
      </w:r>
      <w:r>
        <w:t>chung der Rechtsvorschriften der Mitgliedstaaten über den zulässigen Schalleistungspegel von Rasenm</w:t>
      </w:r>
      <w:r>
        <w:t>ä</w:t>
      </w:r>
      <w:r>
        <w:t>hern (ABl. EG Nr. L 300 S. 171), geändert durch die Richtlinie 88/181/EWG des Rates vom 22. März 1988 (ABl. EG Nr. L 81 S. 71), ermittelt.</w:t>
      </w:r>
    </w:p>
    <w:p w:rsidR="00A65596" w:rsidRDefault="00A65596" w:rsidP="00BC3674">
      <w:pPr>
        <w:pStyle w:val="GesAbsatz"/>
      </w:pPr>
      <w:r>
        <w:t>(4) Werden die Anhänge der in Absatz 1 und Absatz 3 genannten Richtlinie im Verfahren nach Artikel 8 di</w:t>
      </w:r>
      <w:r>
        <w:t>e</w:t>
      </w:r>
      <w:r>
        <w:t>ser Richtlinie an den technischen Fortschritt angepaßt, so gelten sie in der geänderten, im Amtsblatt der E</w:t>
      </w:r>
      <w:r>
        <w:t>u</w:t>
      </w:r>
      <w:r>
        <w:t>ropäischen Gemeinschaften veröffentlichten Fassung. Die Änderungen gelten von dem Tage an, den die Richtlinie bestimmt. Fehlt eine solche Bestimmung, so gelten sie vom ersten Tage des dritten auf die Verö</w:t>
      </w:r>
      <w:r>
        <w:t>f</w:t>
      </w:r>
      <w:r>
        <w:t>fentlichung folgenden Monats an.</w:t>
      </w:r>
    </w:p>
    <w:p w:rsidR="00A65596" w:rsidRDefault="00A65596">
      <w:pPr>
        <w:pStyle w:val="berschrift3"/>
      </w:pPr>
      <w:bookmarkStart w:id="13" w:name="_Toc386438808"/>
      <w:bookmarkStart w:id="14" w:name="_Toc398974908"/>
      <w:bookmarkStart w:id="15" w:name="_Toc512391472"/>
      <w:r>
        <w:t>§ 4</w:t>
      </w:r>
      <w:r>
        <w:br/>
        <w:t>Übereinstimmungsbescheinigung und Prüfprotokoll</w:t>
      </w:r>
      <w:bookmarkEnd w:id="13"/>
      <w:bookmarkEnd w:id="14"/>
      <w:bookmarkEnd w:id="15"/>
    </w:p>
    <w:p w:rsidR="00A65596" w:rsidRDefault="00A65596">
      <w:pPr>
        <w:pStyle w:val="GesAbsatz"/>
      </w:pPr>
      <w:r>
        <w:t>(1) Der Hersteller oder Einfuhrhändler hat in einer Bescheinigung nach dem Muster des Anhangs II der in § 3 Abs. 2 genannten Richtlinie in eigener Verantwortung die Übereinstimmung des Rasenmähers mit den A</w:t>
      </w:r>
      <w:r>
        <w:t>n</w:t>
      </w:r>
      <w:r>
        <w:t>forderungen der Richtlinie zu bestätigen. Die Bescheinigung ist in deutscher Sprache abzufassen und dem Rasenmäher beizufügen; sie kann auf der Gebrauchsanweisung oder dem Garantieschein wiederg</w:t>
      </w:r>
      <w:r>
        <w:t>e</w:t>
      </w:r>
      <w:r>
        <w:t>geben werden.</w:t>
      </w:r>
    </w:p>
    <w:p w:rsidR="00A65596" w:rsidRDefault="00A65596">
      <w:pPr>
        <w:pStyle w:val="GesAbsatz"/>
      </w:pPr>
      <w:r>
        <w:t>(2) Grundlage der Übereinstimmungsbescheinigung sind Prüfprotokolle, die für den Rasenmähertyp von Me</w:t>
      </w:r>
      <w:r w:rsidR="008D0C54">
        <w:t>ss</w:t>
      </w:r>
      <w:r>
        <w:t>stellen ausgestellt werden. Die Meßstellen werden von den zuständigen obersten Landesbehörden oder den nach Landesrecht zuständigen Behörden bekanntgegeben. Prüfprotokolle von Meßstellen, die von anderen Mitgliedstaaten der Europäischen Gemeinschaften oder in einem anderen Vertragsstaat des A</w:t>
      </w:r>
      <w:r>
        <w:t>b</w:t>
      </w:r>
      <w:r>
        <w:t>kommens über den Europäischen Wirtschaftsraum bekanntgegeben worden sind, stehen den Prüfprotoko</w:t>
      </w:r>
      <w:r>
        <w:t>l</w:t>
      </w:r>
      <w:r>
        <w:t>len nach Satz 1 gleich.</w:t>
      </w:r>
    </w:p>
    <w:p w:rsidR="00A65596" w:rsidRDefault="00A65596">
      <w:pPr>
        <w:pStyle w:val="berschrift3"/>
      </w:pPr>
      <w:bookmarkStart w:id="16" w:name="_Toc386438809"/>
      <w:bookmarkStart w:id="17" w:name="_Toc398974909"/>
      <w:bookmarkStart w:id="18" w:name="_Toc512391473"/>
      <w:r>
        <w:t>§ 5</w:t>
      </w:r>
      <w:r>
        <w:br/>
        <w:t>Kennzeichnung</w:t>
      </w:r>
      <w:bookmarkEnd w:id="16"/>
      <w:bookmarkEnd w:id="17"/>
      <w:bookmarkEnd w:id="18"/>
    </w:p>
    <w:p w:rsidR="00A65596" w:rsidRDefault="00A65596">
      <w:pPr>
        <w:pStyle w:val="GesAbsatz"/>
      </w:pPr>
      <w:r>
        <w:t>Der Hersteller oder Einfuhrhändler hat auf dem Rasenmäher gut sichtbar und dauerhaft die Herstellerken</w:t>
      </w:r>
      <w:r>
        <w:t>n</w:t>
      </w:r>
      <w:r>
        <w:t>zeichen, die Typbezeichnung und den in Dezibel (A) ausgedrückten und vom Hersteller gewäh</w:t>
      </w:r>
      <w:r>
        <w:t>r</w:t>
      </w:r>
      <w:r>
        <w:t>leisteten Schalleistungspegel, bezogen auf ein Pikowatt, sowie bei Rasenmähern mit einer Schnittbreite von mehr als 120 cm den in Dezibel (A) ausgedrückten Schalldruckpegel am Bedienerplatz, bezogen auf 20 Mi</w:t>
      </w:r>
      <w:r>
        <w:t>k</w:t>
      </w:r>
      <w:r>
        <w:t>ropascal, nach Anhang III der in § 3 Abs. 3 genannten Richtlinie anzugeben.</w:t>
      </w:r>
    </w:p>
    <w:p w:rsidR="00A65596" w:rsidRDefault="00A65596">
      <w:pPr>
        <w:pStyle w:val="berschrift3"/>
      </w:pPr>
      <w:bookmarkStart w:id="19" w:name="_Toc386438810"/>
      <w:bookmarkStart w:id="20" w:name="_Toc398974910"/>
      <w:bookmarkStart w:id="21" w:name="_Toc512391474"/>
      <w:r>
        <w:t>§ 6</w:t>
      </w:r>
      <w:r>
        <w:br/>
        <w:t>Regelung des Betriebs</w:t>
      </w:r>
      <w:bookmarkEnd w:id="19"/>
      <w:bookmarkEnd w:id="20"/>
      <w:bookmarkEnd w:id="21"/>
    </w:p>
    <w:p w:rsidR="00A65596" w:rsidRDefault="00A65596">
      <w:pPr>
        <w:pStyle w:val="GesAbsatz"/>
      </w:pPr>
      <w:r>
        <w:t>(1) Rasenmäher außer solchen im land- oder forstwirtschaftlichen Einsatz dürfen an Werktagen in der Zeit von 19.00 bis 7.00 Uhr sowie an Sonn- und Feiertagen nicht betrieben werden.</w:t>
      </w:r>
    </w:p>
    <w:p w:rsidR="00A65596" w:rsidRDefault="00A65596">
      <w:pPr>
        <w:pStyle w:val="GesAbsatz"/>
      </w:pPr>
      <w:r>
        <w:t>(2) Abweichend von Absatz 1 dürfen an Werktagen in der Zeit von 19.00 bis 22.00 Uhr Rasenmäher betri</w:t>
      </w:r>
      <w:r>
        <w:t>e</w:t>
      </w:r>
      <w:r>
        <w:t>ben werden, die</w:t>
      </w:r>
    </w:p>
    <w:p w:rsidR="00A65596" w:rsidRDefault="00BC3674" w:rsidP="00BC3674">
      <w:pPr>
        <w:pStyle w:val="GesAbsatz"/>
        <w:ind w:left="426" w:hanging="426"/>
      </w:pPr>
      <w:r>
        <w:t>1.</w:t>
      </w:r>
      <w:r>
        <w:tab/>
      </w:r>
      <w:r w:rsidR="00A65596">
        <w:t>nach § 5 mit einem Schalleistungspegel von weniger als 88 Dezibel (A), bezogen auf ein Pikowatt, g</w:t>
      </w:r>
      <w:r w:rsidR="00A65596">
        <w:t>e</w:t>
      </w:r>
      <w:r w:rsidR="00A65596">
        <w:t>kennzeichnet sind, oder</w:t>
      </w:r>
    </w:p>
    <w:p w:rsidR="00A65596" w:rsidRDefault="00BC3674" w:rsidP="00BC3674">
      <w:pPr>
        <w:pStyle w:val="GesAbsatz"/>
        <w:ind w:left="426" w:hanging="426"/>
      </w:pPr>
      <w:r>
        <w:t>2.</w:t>
      </w:r>
      <w:r>
        <w:tab/>
      </w:r>
      <w:r w:rsidR="00A65596">
        <w:t>vor dem 1. August 1987 erstmals in den Verkehr gebracht worden und mit einem Emissionswert von wen</w:t>
      </w:r>
      <w:r w:rsidR="00A65596">
        <w:t>i</w:t>
      </w:r>
      <w:r w:rsidR="00A65596">
        <w:t>ger als 60 Dezibel (A) gekennzeichnet sind.</w:t>
      </w:r>
    </w:p>
    <w:p w:rsidR="00A65596" w:rsidRDefault="00A65596">
      <w:pPr>
        <w:pStyle w:val="GesAbsatz"/>
      </w:pPr>
      <w:r>
        <w:t xml:space="preserve">(3) Die zuständige Behörde kann auf Antrag Ausnahmen von der Regelung des Absatzes 1 zulassen, soweit unter Berücksichtigung der besonderen Umstände des Einzelfalles schädliche Umwelteinwirkungen nicht zu befürchten sind. </w:t>
      </w:r>
    </w:p>
    <w:p w:rsidR="00A65596" w:rsidRDefault="00A65596">
      <w:pPr>
        <w:pStyle w:val="GesAbsatz"/>
      </w:pPr>
      <w:r>
        <w:lastRenderedPageBreak/>
        <w:t>(4) Weitergehende Bestimmungen, vor allem zum Schutz der Mittags- und Nachtruhe oder besonders em</w:t>
      </w:r>
      <w:r>
        <w:t>p</w:t>
      </w:r>
      <w:r>
        <w:t>findlicher Gebiete, bleiben unberührt.</w:t>
      </w:r>
    </w:p>
    <w:p w:rsidR="00A65596" w:rsidRDefault="00A65596">
      <w:pPr>
        <w:pStyle w:val="berschrift3"/>
      </w:pPr>
      <w:bookmarkStart w:id="22" w:name="_Toc386438811"/>
      <w:bookmarkStart w:id="23" w:name="_Toc398974911"/>
      <w:bookmarkStart w:id="24" w:name="_Toc512391475"/>
      <w:r>
        <w:t>§ 7</w:t>
      </w:r>
      <w:r>
        <w:br/>
        <w:t>Ordnungswidrigkeiten</w:t>
      </w:r>
      <w:bookmarkEnd w:id="22"/>
      <w:bookmarkEnd w:id="23"/>
      <w:bookmarkEnd w:id="24"/>
    </w:p>
    <w:p w:rsidR="00A65596" w:rsidRDefault="00A65596">
      <w:pPr>
        <w:pStyle w:val="GesAbsatz"/>
      </w:pPr>
      <w:r>
        <w:t>(1) Ordnungswidrig im Sinne des § 62 Abs. 1 Nr. 7 des Bundes-Immissionsschutzgesetzes handelt, wer vo</w:t>
      </w:r>
      <w:r>
        <w:t>r</w:t>
      </w:r>
      <w:r>
        <w:t>sätzlich oder fahrlässig</w:t>
      </w:r>
    </w:p>
    <w:p w:rsidR="00A65596" w:rsidRDefault="00BC3674" w:rsidP="00BC3674">
      <w:pPr>
        <w:pStyle w:val="GesAbsatz"/>
        <w:ind w:left="426" w:hanging="426"/>
      </w:pPr>
      <w:r>
        <w:t>1.</w:t>
      </w:r>
      <w:r>
        <w:tab/>
      </w:r>
      <w:r w:rsidR="00A65596">
        <w:t>Rasenmäher gewerbsmäßig oder im Rahmen wirtschaftlicher Unternehmungen in den Verkehr bringt, die</w:t>
      </w:r>
    </w:p>
    <w:p w:rsidR="00A65596" w:rsidRDefault="00BC3674" w:rsidP="00BC3674">
      <w:pPr>
        <w:pStyle w:val="GesAbsatz"/>
        <w:tabs>
          <w:tab w:val="clear" w:pos="425"/>
        </w:tabs>
        <w:ind w:left="851" w:hanging="425"/>
      </w:pPr>
      <w:r>
        <w:t>a)</w:t>
      </w:r>
      <w:r>
        <w:tab/>
      </w:r>
      <w:r w:rsidR="00A65596">
        <w:t>entgegen § 2 Abs. 1 Nr. 1 in Verbindung mit § 3 Abs. 1 den zulässigen Schalleistungspegel übe</w:t>
      </w:r>
      <w:r w:rsidR="00A65596">
        <w:t>r</w:t>
      </w:r>
      <w:r w:rsidR="00A65596">
        <w:t>schreiten oder</w:t>
      </w:r>
    </w:p>
    <w:p w:rsidR="00A65596" w:rsidRDefault="00BC3674" w:rsidP="00BC3674">
      <w:pPr>
        <w:pStyle w:val="GesAbsatz"/>
        <w:tabs>
          <w:tab w:val="clear" w:pos="425"/>
        </w:tabs>
        <w:ind w:left="851" w:hanging="425"/>
      </w:pPr>
      <w:r>
        <w:t>b)</w:t>
      </w:r>
      <w:r>
        <w:tab/>
      </w:r>
      <w:r w:rsidR="00A65596">
        <w:t>entgegen § 2 Abs. 1 Nr. 3 nicht mit dem Schalleistungspegel gekennzeichnet sind, oder</w:t>
      </w:r>
    </w:p>
    <w:p w:rsidR="00A65596" w:rsidRDefault="00A65596" w:rsidP="00BC3674">
      <w:pPr>
        <w:pStyle w:val="GesAbsatz"/>
        <w:ind w:left="426" w:hanging="426"/>
      </w:pPr>
      <w:r>
        <w:t>2.</w:t>
      </w:r>
      <w:r>
        <w:tab/>
        <w:t>Rasenmäher entgegen § 6 Abs. 1 betreibt.</w:t>
      </w:r>
    </w:p>
    <w:p w:rsidR="00A65596" w:rsidRDefault="00A65596">
      <w:pPr>
        <w:pStyle w:val="GesAbsatz"/>
      </w:pPr>
      <w:r>
        <w:t>(2) Ordnungswidrig im Sinne des § 9 Abs. 1 Nr. 1 des Gerätesicherheitsgesetzes handelt, wer vorsätzlich oder fahrlässig Rasenmäher gewerbsmäßig oder im Rahmen wirtschaftlicher Unternehmungen in den Ve</w:t>
      </w:r>
      <w:r>
        <w:t>r</w:t>
      </w:r>
      <w:r>
        <w:t>kehr bringt, die</w:t>
      </w:r>
    </w:p>
    <w:p w:rsidR="00A65596" w:rsidRDefault="00BC3674" w:rsidP="00BC3674">
      <w:pPr>
        <w:pStyle w:val="GesAbsatz"/>
        <w:ind w:left="426" w:hanging="426"/>
      </w:pPr>
      <w:r>
        <w:t>1.</w:t>
      </w:r>
      <w:r>
        <w:tab/>
      </w:r>
      <w:r w:rsidR="00A65596">
        <w:t>entgegen § 2 Abs. 1 Nr. 1 in Verbindung mit § 3 Abs. 3 den zulässigen Schalldruckpegel am Bediene</w:t>
      </w:r>
      <w:r w:rsidR="00A65596">
        <w:t>r</w:t>
      </w:r>
      <w:r w:rsidR="00A65596">
        <w:t>platz überschreiten oder</w:t>
      </w:r>
    </w:p>
    <w:p w:rsidR="00A65596" w:rsidRDefault="00BC3674" w:rsidP="00BC3674">
      <w:pPr>
        <w:pStyle w:val="GesAbsatz"/>
        <w:ind w:left="426" w:hanging="426"/>
      </w:pPr>
      <w:r>
        <w:t>2.</w:t>
      </w:r>
      <w:r>
        <w:tab/>
      </w:r>
      <w:r w:rsidR="00A65596">
        <w:t>entgegen § 2 Abs. 1 Nr. 3 nicht mit dem Schalldruckpegel am Bedienerplatz gekennzeichnet sind.</w:t>
      </w:r>
    </w:p>
    <w:p w:rsidR="00A65596" w:rsidRDefault="00A65596">
      <w:pPr>
        <w:pStyle w:val="berschrift3"/>
      </w:pPr>
      <w:bookmarkStart w:id="25" w:name="_Toc386438812"/>
      <w:bookmarkStart w:id="26" w:name="_Toc398974912"/>
      <w:bookmarkStart w:id="27" w:name="_Toc512391476"/>
      <w:r>
        <w:t>§ 8</w:t>
      </w:r>
      <w:r>
        <w:br/>
        <w:t>Inkrafttreten, Übergangsvorschriften</w:t>
      </w:r>
      <w:bookmarkEnd w:id="25"/>
      <w:bookmarkEnd w:id="26"/>
      <w:bookmarkEnd w:id="27"/>
    </w:p>
    <w:p w:rsidR="00A65596" w:rsidRDefault="00A65596">
      <w:pPr>
        <w:pStyle w:val="GesAbsatz"/>
      </w:pPr>
      <w:r>
        <w:t>(1) (Inkrafttreten)</w:t>
      </w:r>
    </w:p>
    <w:p w:rsidR="00A65596" w:rsidRDefault="00A65596">
      <w:pPr>
        <w:pStyle w:val="GesAbsatz"/>
      </w:pPr>
      <w:r>
        <w:t>(2) Die §§ 2 bis 5 sind nicht anzuwenden auf Rasenmäher, die vor dem Inkrafttreten dieser Verordnung</w:t>
      </w:r>
      <w:r>
        <w:rPr>
          <w:rStyle w:val="Endnotenzeichen"/>
        </w:rPr>
        <w:t xml:space="preserve"> </w:t>
      </w:r>
      <w:r>
        <w:t>erstmalig in den Verkehr gebracht wurden. Satz 1 gilt entsprechend, wenn der Anwendungsbereich dieser Ve</w:t>
      </w:r>
      <w:r>
        <w:t>r</w:t>
      </w:r>
      <w:r>
        <w:t>ordnung geändert wird; an die Stelle des Zeitpunktes des Inkrafttretens dieser Verordnung tritt dann der Zei</w:t>
      </w:r>
      <w:r>
        <w:t>t</w:t>
      </w:r>
      <w:r>
        <w:t>punkt des Inkrafttretens der Änderungsverordnung.</w:t>
      </w:r>
    </w:p>
    <w:p w:rsidR="00BC3674" w:rsidRDefault="00BC3674">
      <w:pPr>
        <w:pStyle w:val="GesAbsatz"/>
      </w:pPr>
    </w:p>
    <w:p w:rsidR="00BC3674" w:rsidRDefault="00BC3674">
      <w:pPr>
        <w:pStyle w:val="GesAbsatz"/>
      </w:pPr>
    </w:p>
    <w:p w:rsidR="00BC3674" w:rsidRDefault="00BC3674">
      <w:pPr>
        <w:pStyle w:val="GesAbsatz"/>
      </w:pPr>
    </w:p>
    <w:p w:rsidR="00BC3674" w:rsidRDefault="00BC3674">
      <w:pPr>
        <w:pStyle w:val="GesAbsatz"/>
      </w:pPr>
      <w:r>
        <w:t xml:space="preserve">Suchworte:  </w:t>
      </w:r>
      <w:proofErr w:type="spellStart"/>
      <w:r>
        <w:t>Rasenmäherverordnung</w:t>
      </w:r>
      <w:proofErr w:type="spellEnd"/>
      <w:r>
        <w:t xml:space="preserve">   </w:t>
      </w:r>
      <w:proofErr w:type="spellStart"/>
      <w:r>
        <w:t>Rasenmäherlärmverordnung</w:t>
      </w:r>
      <w:proofErr w:type="spellEnd"/>
      <w:r>
        <w:t xml:space="preserve">    </w:t>
      </w:r>
    </w:p>
    <w:sectPr w:rsidR="00BC3674">
      <w:headerReference w:type="default" r:id="rId8"/>
      <w:footerReference w:type="default" r:id="rId9"/>
      <w:footnotePr>
        <w:numRestart w:val="eachPage"/>
      </w:footnotePr>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70" w:rsidRDefault="00124870">
      <w:r>
        <w:separator/>
      </w:r>
    </w:p>
  </w:endnote>
  <w:endnote w:type="continuationSeparator" w:id="0">
    <w:p w:rsidR="00124870" w:rsidRDefault="0012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96" w:rsidRPr="008D0C54" w:rsidRDefault="00A65596" w:rsidP="008D0C54">
    <w:pPr>
      <w:pStyle w:val="Fuzeile"/>
    </w:pPr>
    <w:r>
      <w:tab/>
      <w:t>13.07.</w:t>
    </w:r>
    <w:r w:rsidRPr="008D0C54">
      <w:t>1992 (BGBl. I. 1248)</w:t>
    </w:r>
    <w:r w:rsidRPr="008D0C54">
      <w:tab/>
      <w:t xml:space="preserve">Seite </w:t>
    </w:r>
    <w:r w:rsidRPr="008D0C54">
      <w:fldChar w:fldCharType="begin"/>
    </w:r>
    <w:r w:rsidRPr="008D0C54">
      <w:instrText xml:space="preserve"> PAGE  \* MERGEFORMAT </w:instrText>
    </w:r>
    <w:r w:rsidRPr="008D0C54">
      <w:fldChar w:fldCharType="separate"/>
    </w:r>
    <w:r w:rsidR="008D0C54">
      <w:rPr>
        <w:noProof/>
      </w:rPr>
      <w:t>1</w:t>
    </w:r>
    <w:r w:rsidRPr="008D0C54">
      <w:fldChar w:fldCharType="end"/>
    </w:r>
  </w:p>
  <w:p w:rsidR="00A65596" w:rsidRDefault="00A65596" w:rsidP="008D0C54">
    <w:pPr>
      <w:pStyle w:val="Fuzeile"/>
    </w:pPr>
    <w:r w:rsidRPr="008D0C54">
      <w:tab/>
      <w:t>Stand 03.05.2000</w:t>
    </w:r>
    <w:r>
      <w:t xml:space="preserve"> (BGBl. I S. 632)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70" w:rsidRDefault="00124870">
      <w:r>
        <w:separator/>
      </w:r>
    </w:p>
  </w:footnote>
  <w:footnote w:type="continuationSeparator" w:id="0">
    <w:p w:rsidR="00124870" w:rsidRDefault="00124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96" w:rsidRDefault="00A65596" w:rsidP="008D0C54">
    <w:pPr>
      <w:pStyle w:val="Kopfzeile0"/>
    </w:pPr>
    <w:r>
      <w:t>Archiv6.10</w:t>
    </w:r>
  </w:p>
  <w:p w:rsidR="00A65596" w:rsidRDefault="00A65596" w:rsidP="008D0C54">
    <w:pPr>
      <w:pStyle w:val="Kopfzeile"/>
    </w:pPr>
    <w:r>
      <w:t xml:space="preserve">8. </w:t>
    </w:r>
    <w:r w:rsidRPr="008D0C54">
      <w:t>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FA"/>
    <w:multiLevelType w:val="singleLevel"/>
    <w:tmpl w:val="D7BE3AAA"/>
    <w:lvl w:ilvl="0">
      <w:start w:val="1"/>
      <w:numFmt w:val="decimal"/>
      <w:lvlText w:val="%1."/>
      <w:legacy w:legacy="1" w:legacySpace="0" w:legacyIndent="284"/>
      <w:lvlJc w:val="left"/>
      <w:pPr>
        <w:ind w:left="284" w:hanging="284"/>
      </w:pPr>
    </w:lvl>
  </w:abstractNum>
  <w:abstractNum w:abstractNumId="1">
    <w:nsid w:val="04A15288"/>
    <w:multiLevelType w:val="singleLevel"/>
    <w:tmpl w:val="0756F26C"/>
    <w:lvl w:ilvl="0">
      <w:start w:val="1"/>
      <w:numFmt w:val="lowerLetter"/>
      <w:lvlText w:val="%1)"/>
      <w:legacy w:legacy="1" w:legacySpace="0" w:legacyIndent="283"/>
      <w:lvlJc w:val="left"/>
      <w:pPr>
        <w:ind w:left="567" w:hanging="283"/>
      </w:pPr>
    </w:lvl>
  </w:abstractNum>
  <w:abstractNum w:abstractNumId="2">
    <w:nsid w:val="0592533C"/>
    <w:multiLevelType w:val="singleLevel"/>
    <w:tmpl w:val="D7BE3AAA"/>
    <w:lvl w:ilvl="0">
      <w:start w:val="1"/>
      <w:numFmt w:val="decimal"/>
      <w:lvlText w:val="%1."/>
      <w:legacy w:legacy="1" w:legacySpace="0" w:legacyIndent="284"/>
      <w:lvlJc w:val="left"/>
      <w:pPr>
        <w:ind w:left="284" w:hanging="284"/>
      </w:pPr>
    </w:lvl>
  </w:abstractNum>
  <w:abstractNum w:abstractNumId="3">
    <w:nsid w:val="0B282EA5"/>
    <w:multiLevelType w:val="singleLevel"/>
    <w:tmpl w:val="D7BE3AAA"/>
    <w:lvl w:ilvl="0">
      <w:start w:val="1"/>
      <w:numFmt w:val="decimal"/>
      <w:lvlText w:val="%1."/>
      <w:legacy w:legacy="1" w:legacySpace="0" w:legacyIndent="284"/>
      <w:lvlJc w:val="left"/>
      <w:pPr>
        <w:ind w:left="284" w:hanging="284"/>
      </w:pPr>
    </w:lvl>
  </w:abstractNum>
  <w:abstractNum w:abstractNumId="4">
    <w:nsid w:val="2698560D"/>
    <w:multiLevelType w:val="singleLevel"/>
    <w:tmpl w:val="D7BE3AAA"/>
    <w:lvl w:ilvl="0">
      <w:start w:val="1"/>
      <w:numFmt w:val="decimal"/>
      <w:lvlText w:val="%1."/>
      <w:legacy w:legacy="1" w:legacySpace="0" w:legacyIndent="284"/>
      <w:lvlJc w:val="left"/>
      <w:pPr>
        <w:ind w:left="284" w:hanging="284"/>
      </w:pPr>
    </w:lvl>
  </w:abstractNum>
  <w:abstractNum w:abstractNumId="5">
    <w:nsid w:val="57FD4EA0"/>
    <w:multiLevelType w:val="singleLevel"/>
    <w:tmpl w:val="D7BE3AAA"/>
    <w:lvl w:ilvl="0">
      <w:start w:val="1"/>
      <w:numFmt w:val="decimal"/>
      <w:lvlText w:val="%1."/>
      <w:legacy w:legacy="1" w:legacySpace="0" w:legacyIndent="284"/>
      <w:lvlJc w:val="left"/>
      <w:pPr>
        <w:ind w:left="284" w:hanging="284"/>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DE"/>
    <w:rsid w:val="00124870"/>
    <w:rsid w:val="004165DE"/>
    <w:rsid w:val="008D0C54"/>
    <w:rsid w:val="00A65596"/>
    <w:rsid w:val="00BC3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0C5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D0C54"/>
    <w:pPr>
      <w:keepNext/>
      <w:spacing w:after="120"/>
      <w:jc w:val="center"/>
      <w:outlineLvl w:val="0"/>
    </w:pPr>
    <w:rPr>
      <w:b/>
      <w:kern w:val="28"/>
      <w:sz w:val="28"/>
    </w:rPr>
  </w:style>
  <w:style w:type="paragraph" w:styleId="berschrift2">
    <w:name w:val="heading 2"/>
    <w:basedOn w:val="Standard"/>
    <w:next w:val="GesAbsatz"/>
    <w:qFormat/>
    <w:rsid w:val="008D0C54"/>
    <w:pPr>
      <w:keepNext/>
      <w:spacing w:before="240"/>
      <w:jc w:val="center"/>
      <w:outlineLvl w:val="1"/>
    </w:pPr>
    <w:rPr>
      <w:b/>
      <w:sz w:val="24"/>
    </w:rPr>
  </w:style>
  <w:style w:type="paragraph" w:styleId="berschrift3">
    <w:name w:val="heading 3"/>
    <w:basedOn w:val="Standard"/>
    <w:next w:val="GesAbsatz"/>
    <w:qFormat/>
    <w:rsid w:val="008D0C54"/>
    <w:pPr>
      <w:keepNext/>
      <w:spacing w:before="240" w:after="180"/>
      <w:jc w:val="center"/>
      <w:outlineLvl w:val="2"/>
    </w:pPr>
    <w:rPr>
      <w:b/>
    </w:rPr>
  </w:style>
  <w:style w:type="paragraph" w:styleId="berschrift4">
    <w:name w:val="heading 4"/>
    <w:basedOn w:val="Standard"/>
    <w:next w:val="Standard"/>
    <w:rsid w:val="008D0C54"/>
    <w:pPr>
      <w:keepNext/>
      <w:spacing w:before="240"/>
      <w:outlineLvl w:val="3"/>
    </w:pPr>
  </w:style>
  <w:style w:type="paragraph" w:styleId="berschrift5">
    <w:name w:val="heading 5"/>
    <w:basedOn w:val="Standard"/>
    <w:next w:val="Standard"/>
    <w:link w:val="berschrift5Zchn"/>
    <w:rsid w:val="008D0C54"/>
    <w:pPr>
      <w:spacing w:before="120"/>
      <w:ind w:left="709" w:hanging="709"/>
      <w:outlineLvl w:val="4"/>
    </w:pPr>
  </w:style>
  <w:style w:type="character" w:default="1" w:styleId="Absatz-Standardschriftart">
    <w:name w:val="Default Paragraph Font"/>
    <w:uiPriority w:val="1"/>
    <w:semiHidden/>
    <w:unhideWhenUsed/>
    <w:rsid w:val="008D0C5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D0C54"/>
  </w:style>
  <w:style w:type="paragraph" w:styleId="Kopfzeile">
    <w:name w:val="header"/>
    <w:basedOn w:val="Standard"/>
    <w:qFormat/>
    <w:rsid w:val="008D0C54"/>
    <w:pPr>
      <w:tabs>
        <w:tab w:val="center" w:pos="4536"/>
        <w:tab w:val="right" w:pos="9072"/>
      </w:tabs>
      <w:spacing w:before="0" w:after="120"/>
      <w:jc w:val="right"/>
    </w:pPr>
  </w:style>
  <w:style w:type="paragraph" w:styleId="Fuzeile">
    <w:name w:val="footer"/>
    <w:basedOn w:val="Standard"/>
    <w:qFormat/>
    <w:rsid w:val="008D0C54"/>
    <w:pPr>
      <w:tabs>
        <w:tab w:val="clear" w:pos="425"/>
        <w:tab w:val="right" w:pos="8505"/>
        <w:tab w:val="right" w:pos="9639"/>
      </w:tabs>
      <w:spacing w:before="0" w:after="0"/>
      <w:jc w:val="left"/>
    </w:pPr>
    <w:rPr>
      <w:sz w:val="16"/>
    </w:rPr>
  </w:style>
  <w:style w:type="character" w:styleId="Seitenzahl">
    <w:name w:val="page number"/>
    <w:rsid w:val="008D0C54"/>
    <w:rPr>
      <w:rFonts w:ascii="Arial" w:hAnsi="Arial"/>
      <w:sz w:val="16"/>
    </w:rPr>
  </w:style>
  <w:style w:type="paragraph" w:styleId="Verzeichnis2">
    <w:name w:val="toc 2"/>
    <w:basedOn w:val="Standard"/>
    <w:next w:val="Standard"/>
    <w:semiHidden/>
    <w:rsid w:val="008D0C54"/>
    <w:pPr>
      <w:tabs>
        <w:tab w:val="clear" w:pos="425"/>
        <w:tab w:val="right" w:leader="dot" w:pos="9638"/>
      </w:tabs>
      <w:spacing w:before="0" w:after="0"/>
      <w:jc w:val="left"/>
    </w:pPr>
    <w:rPr>
      <w:rFonts w:ascii="Times New Roman" w:hAnsi="Times New Roman"/>
      <w:smallCaps/>
    </w:rPr>
  </w:style>
  <w:style w:type="character" w:styleId="Hyperlink">
    <w:name w:val="Hyperlink"/>
    <w:rsid w:val="008D0C54"/>
    <w:rPr>
      <w:color w:val="0000FF"/>
      <w:u w:val="single"/>
    </w:rPr>
  </w:style>
  <w:style w:type="paragraph" w:styleId="Verzeichnis3">
    <w:name w:val="toc 3"/>
    <w:basedOn w:val="Standard"/>
    <w:next w:val="Standard"/>
    <w:semiHidden/>
    <w:rsid w:val="008D0C5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D0C54"/>
    <w:pPr>
      <w:spacing w:before="0" w:after="0"/>
    </w:pPr>
    <w:rPr>
      <w:sz w:val="16"/>
    </w:rPr>
  </w:style>
  <w:style w:type="paragraph" w:styleId="Verzeichnis1">
    <w:name w:val="toc 1"/>
    <w:basedOn w:val="Verzeichnis3"/>
    <w:next w:val="Standard"/>
    <w:semiHidden/>
    <w:rsid w:val="008D0C54"/>
    <w:pPr>
      <w:spacing w:before="120" w:after="120"/>
      <w:ind w:left="0"/>
    </w:pPr>
    <w:rPr>
      <w:b/>
      <w:i w:val="0"/>
      <w:caps/>
    </w:rPr>
  </w:style>
  <w:style w:type="paragraph" w:customStyle="1" w:styleId="Kopfzeile0">
    <w:name w:val="Kopfzeile0"/>
    <w:basedOn w:val="Standard"/>
    <w:next w:val="Kopfzeile"/>
    <w:qFormat/>
    <w:rsid w:val="008D0C54"/>
    <w:pPr>
      <w:spacing w:before="0" w:after="0"/>
      <w:jc w:val="right"/>
    </w:pPr>
    <w:rPr>
      <w:b/>
      <w:sz w:val="24"/>
    </w:rPr>
  </w:style>
  <w:style w:type="paragraph" w:customStyle="1" w:styleId="GesAbsatz">
    <w:name w:val="GesAbsatz"/>
    <w:basedOn w:val="Standard"/>
    <w:qFormat/>
    <w:rsid w:val="008D0C54"/>
    <w:pPr>
      <w:spacing w:before="100"/>
    </w:pPr>
    <w:rPr>
      <w:color w:val="000000"/>
    </w:rPr>
  </w:style>
  <w:style w:type="character" w:customStyle="1" w:styleId="berschrift5Zchn">
    <w:name w:val="Überschrift 5 Zchn"/>
    <w:basedOn w:val="Absatz-Standardschriftart"/>
    <w:link w:val="berschrift5"/>
    <w:rsid w:val="008D0C54"/>
    <w:rPr>
      <w:rFonts w:ascii="Arial" w:hAnsi="Arial"/>
    </w:rPr>
  </w:style>
  <w:style w:type="paragraph" w:styleId="Verzeichnis4">
    <w:name w:val="toc 4"/>
    <w:basedOn w:val="Standard"/>
    <w:next w:val="Standard"/>
    <w:semiHidden/>
    <w:rsid w:val="008D0C54"/>
    <w:pPr>
      <w:tabs>
        <w:tab w:val="clear" w:pos="425"/>
        <w:tab w:val="right" w:leader="dot" w:pos="9638"/>
      </w:tabs>
      <w:spacing w:before="0" w:after="0"/>
      <w:ind w:left="400"/>
      <w:jc w:val="left"/>
    </w:pPr>
    <w:rPr>
      <w:rFonts w:ascii="Times New Roman" w:hAnsi="Times New Roman"/>
      <w:sz w:val="18"/>
    </w:rPr>
  </w:style>
  <w:style w:type="character" w:styleId="Endnotenzeichen">
    <w:name w:val="endnote reference"/>
    <w:basedOn w:val="Absatz-Standardschriftart"/>
    <w:semiHidden/>
    <w:rPr>
      <w:vertAlign w:val="superscript"/>
    </w:rPr>
  </w:style>
  <w:style w:type="paragraph" w:styleId="Verzeichnis5">
    <w:name w:val="toc 5"/>
    <w:basedOn w:val="Standard"/>
    <w:next w:val="Standard"/>
    <w:semiHidden/>
    <w:rsid w:val="008D0C5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D0C5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D0C5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D0C5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D0C54"/>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D0C54"/>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0C5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D0C54"/>
    <w:pPr>
      <w:keepNext/>
      <w:spacing w:after="120"/>
      <w:jc w:val="center"/>
      <w:outlineLvl w:val="0"/>
    </w:pPr>
    <w:rPr>
      <w:b/>
      <w:kern w:val="28"/>
      <w:sz w:val="28"/>
    </w:rPr>
  </w:style>
  <w:style w:type="paragraph" w:styleId="berschrift2">
    <w:name w:val="heading 2"/>
    <w:basedOn w:val="Standard"/>
    <w:next w:val="GesAbsatz"/>
    <w:qFormat/>
    <w:rsid w:val="008D0C54"/>
    <w:pPr>
      <w:keepNext/>
      <w:spacing w:before="240"/>
      <w:jc w:val="center"/>
      <w:outlineLvl w:val="1"/>
    </w:pPr>
    <w:rPr>
      <w:b/>
      <w:sz w:val="24"/>
    </w:rPr>
  </w:style>
  <w:style w:type="paragraph" w:styleId="berschrift3">
    <w:name w:val="heading 3"/>
    <w:basedOn w:val="Standard"/>
    <w:next w:val="GesAbsatz"/>
    <w:qFormat/>
    <w:rsid w:val="008D0C54"/>
    <w:pPr>
      <w:keepNext/>
      <w:spacing w:before="240" w:after="180"/>
      <w:jc w:val="center"/>
      <w:outlineLvl w:val="2"/>
    </w:pPr>
    <w:rPr>
      <w:b/>
    </w:rPr>
  </w:style>
  <w:style w:type="paragraph" w:styleId="berschrift4">
    <w:name w:val="heading 4"/>
    <w:basedOn w:val="Standard"/>
    <w:next w:val="Standard"/>
    <w:rsid w:val="008D0C54"/>
    <w:pPr>
      <w:keepNext/>
      <w:spacing w:before="240"/>
      <w:outlineLvl w:val="3"/>
    </w:pPr>
  </w:style>
  <w:style w:type="paragraph" w:styleId="berschrift5">
    <w:name w:val="heading 5"/>
    <w:basedOn w:val="Standard"/>
    <w:next w:val="Standard"/>
    <w:link w:val="berschrift5Zchn"/>
    <w:rsid w:val="008D0C54"/>
    <w:pPr>
      <w:spacing w:before="120"/>
      <w:ind w:left="709" w:hanging="709"/>
      <w:outlineLvl w:val="4"/>
    </w:pPr>
  </w:style>
  <w:style w:type="character" w:default="1" w:styleId="Absatz-Standardschriftart">
    <w:name w:val="Default Paragraph Font"/>
    <w:uiPriority w:val="1"/>
    <w:semiHidden/>
    <w:unhideWhenUsed/>
    <w:rsid w:val="008D0C5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D0C54"/>
  </w:style>
  <w:style w:type="paragraph" w:styleId="Kopfzeile">
    <w:name w:val="header"/>
    <w:basedOn w:val="Standard"/>
    <w:qFormat/>
    <w:rsid w:val="008D0C54"/>
    <w:pPr>
      <w:tabs>
        <w:tab w:val="center" w:pos="4536"/>
        <w:tab w:val="right" w:pos="9072"/>
      </w:tabs>
      <w:spacing w:before="0" w:after="120"/>
      <w:jc w:val="right"/>
    </w:pPr>
  </w:style>
  <w:style w:type="paragraph" w:styleId="Fuzeile">
    <w:name w:val="footer"/>
    <w:basedOn w:val="Standard"/>
    <w:qFormat/>
    <w:rsid w:val="008D0C54"/>
    <w:pPr>
      <w:tabs>
        <w:tab w:val="clear" w:pos="425"/>
        <w:tab w:val="right" w:pos="8505"/>
        <w:tab w:val="right" w:pos="9639"/>
      </w:tabs>
      <w:spacing w:before="0" w:after="0"/>
      <w:jc w:val="left"/>
    </w:pPr>
    <w:rPr>
      <w:sz w:val="16"/>
    </w:rPr>
  </w:style>
  <w:style w:type="character" w:styleId="Seitenzahl">
    <w:name w:val="page number"/>
    <w:rsid w:val="008D0C54"/>
    <w:rPr>
      <w:rFonts w:ascii="Arial" w:hAnsi="Arial"/>
      <w:sz w:val="16"/>
    </w:rPr>
  </w:style>
  <w:style w:type="paragraph" w:styleId="Verzeichnis2">
    <w:name w:val="toc 2"/>
    <w:basedOn w:val="Standard"/>
    <w:next w:val="Standard"/>
    <w:semiHidden/>
    <w:rsid w:val="008D0C54"/>
    <w:pPr>
      <w:tabs>
        <w:tab w:val="clear" w:pos="425"/>
        <w:tab w:val="right" w:leader="dot" w:pos="9638"/>
      </w:tabs>
      <w:spacing w:before="0" w:after="0"/>
      <w:jc w:val="left"/>
    </w:pPr>
    <w:rPr>
      <w:rFonts w:ascii="Times New Roman" w:hAnsi="Times New Roman"/>
      <w:smallCaps/>
    </w:rPr>
  </w:style>
  <w:style w:type="character" w:styleId="Hyperlink">
    <w:name w:val="Hyperlink"/>
    <w:rsid w:val="008D0C54"/>
    <w:rPr>
      <w:color w:val="0000FF"/>
      <w:u w:val="single"/>
    </w:rPr>
  </w:style>
  <w:style w:type="paragraph" w:styleId="Verzeichnis3">
    <w:name w:val="toc 3"/>
    <w:basedOn w:val="Standard"/>
    <w:next w:val="Standard"/>
    <w:semiHidden/>
    <w:rsid w:val="008D0C5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D0C54"/>
    <w:pPr>
      <w:spacing w:before="0" w:after="0"/>
    </w:pPr>
    <w:rPr>
      <w:sz w:val="16"/>
    </w:rPr>
  </w:style>
  <w:style w:type="paragraph" w:styleId="Verzeichnis1">
    <w:name w:val="toc 1"/>
    <w:basedOn w:val="Verzeichnis3"/>
    <w:next w:val="Standard"/>
    <w:semiHidden/>
    <w:rsid w:val="008D0C54"/>
    <w:pPr>
      <w:spacing w:before="120" w:after="120"/>
      <w:ind w:left="0"/>
    </w:pPr>
    <w:rPr>
      <w:b/>
      <w:i w:val="0"/>
      <w:caps/>
    </w:rPr>
  </w:style>
  <w:style w:type="paragraph" w:customStyle="1" w:styleId="Kopfzeile0">
    <w:name w:val="Kopfzeile0"/>
    <w:basedOn w:val="Standard"/>
    <w:next w:val="Kopfzeile"/>
    <w:qFormat/>
    <w:rsid w:val="008D0C54"/>
    <w:pPr>
      <w:spacing w:before="0" w:after="0"/>
      <w:jc w:val="right"/>
    </w:pPr>
    <w:rPr>
      <w:b/>
      <w:sz w:val="24"/>
    </w:rPr>
  </w:style>
  <w:style w:type="paragraph" w:customStyle="1" w:styleId="GesAbsatz">
    <w:name w:val="GesAbsatz"/>
    <w:basedOn w:val="Standard"/>
    <w:qFormat/>
    <w:rsid w:val="008D0C54"/>
    <w:pPr>
      <w:spacing w:before="100"/>
    </w:pPr>
    <w:rPr>
      <w:color w:val="000000"/>
    </w:rPr>
  </w:style>
  <w:style w:type="character" w:customStyle="1" w:styleId="berschrift5Zchn">
    <w:name w:val="Überschrift 5 Zchn"/>
    <w:basedOn w:val="Absatz-Standardschriftart"/>
    <w:link w:val="berschrift5"/>
    <w:rsid w:val="008D0C54"/>
    <w:rPr>
      <w:rFonts w:ascii="Arial" w:hAnsi="Arial"/>
    </w:rPr>
  </w:style>
  <w:style w:type="paragraph" w:styleId="Verzeichnis4">
    <w:name w:val="toc 4"/>
    <w:basedOn w:val="Standard"/>
    <w:next w:val="Standard"/>
    <w:semiHidden/>
    <w:rsid w:val="008D0C54"/>
    <w:pPr>
      <w:tabs>
        <w:tab w:val="clear" w:pos="425"/>
        <w:tab w:val="right" w:leader="dot" w:pos="9638"/>
      </w:tabs>
      <w:spacing w:before="0" w:after="0"/>
      <w:ind w:left="400"/>
      <w:jc w:val="left"/>
    </w:pPr>
    <w:rPr>
      <w:rFonts w:ascii="Times New Roman" w:hAnsi="Times New Roman"/>
      <w:sz w:val="18"/>
    </w:rPr>
  </w:style>
  <w:style w:type="character" w:styleId="Endnotenzeichen">
    <w:name w:val="endnote reference"/>
    <w:basedOn w:val="Absatz-Standardschriftart"/>
    <w:semiHidden/>
    <w:rPr>
      <w:vertAlign w:val="superscript"/>
    </w:rPr>
  </w:style>
  <w:style w:type="paragraph" w:styleId="Verzeichnis5">
    <w:name w:val="toc 5"/>
    <w:basedOn w:val="Standard"/>
    <w:next w:val="Standard"/>
    <w:semiHidden/>
    <w:rsid w:val="008D0C5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D0C5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D0C5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D0C5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D0C54"/>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D0C54"/>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1031</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Rasenmäherlärm-Verordnung   </vt:lpstr>
    </vt:vector>
  </TitlesOfParts>
  <Company>LANUV NRW</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Rasenmäherlärm-Verordnung</dc:title>
  <dc:creator>LANUV NRW</dc:creator>
  <cp:lastModifiedBy>rueter</cp:lastModifiedBy>
  <cp:revision>2</cp:revision>
  <dcterms:created xsi:type="dcterms:W3CDTF">2015-03-19T09:05:00Z</dcterms:created>
  <dcterms:modified xsi:type="dcterms:W3CDTF">2015-03-19T09:05:00Z</dcterms:modified>
</cp:coreProperties>
</file>