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35867964"/>
      <w:r>
        <w:t>Anforderungen an die Güte</w:t>
      </w:r>
      <w:bookmarkStart w:id="1" w:name="_GoBack"/>
      <w:bookmarkEnd w:id="1"/>
      <w:r>
        <w:t>überwachung und den Einsatz von Hausmüllverbrennungsaschen im Straßen- und Erdbau</w:t>
      </w:r>
      <w:bookmarkEnd w:id="0"/>
    </w:p>
    <w:p>
      <w:pPr>
        <w:pStyle w:val="GesAbsatz"/>
        <w:jc w:val="center"/>
      </w:pPr>
      <w:r>
        <w:t>Gem. RdErl. d. Ministerium für Umwelt und Naturschutz, Landwirtschaft und Verbraucherschutz</w:t>
      </w:r>
      <w:r>
        <w:br/>
        <w:t xml:space="preserve">IV - 3 - 953-26308 – IV – 8 – 1573-30052 - </w:t>
      </w:r>
      <w:r>
        <w:br/>
        <w:t>und des Ministeriums für Wirtschaft und Mittelstand, Energie und Verkehr</w:t>
      </w:r>
      <w:r>
        <w:br/>
        <w:t>- VI A 3 - 32-40/45 -v. 09.10.2001</w:t>
      </w:r>
    </w:p>
    <w:p>
      <w:pPr>
        <w:pStyle w:val="GesAbsatz"/>
        <w:jc w:val="left"/>
        <w:rPr>
          <w:i/>
          <w:color w:val="0000CC"/>
        </w:rPr>
      </w:pPr>
      <w:r>
        <w:rPr>
          <w:i/>
          <w:color w:val="0000CC"/>
        </w:rPr>
        <w:t>Der Runderlass ist am 31.07.2023 gemäß Erlass vom 14.06.2022 (</w:t>
      </w:r>
      <w:r>
        <w:rPr>
          <w:rStyle w:val="spelle"/>
          <w:i/>
          <w:color w:val="0000CC"/>
        </w:rPr>
        <w:t>MBl</w:t>
      </w:r>
      <w:r>
        <w:rPr>
          <w:i/>
          <w:color w:val="0000CC"/>
        </w:rPr>
        <w:t>. NRW. 2022 S. 627) außer Kraft getreten.</w:t>
      </w:r>
    </w:p>
    <w:p>
      <w:pPr>
        <w:pStyle w:val="GesAbsatz"/>
        <w:jc w:val="left"/>
      </w:pPr>
      <w:hyperlink r:id="rId7" w:history="1">
        <w:r>
          <w:rPr>
            <w:rStyle w:val="Hyperlink"/>
          </w:rPr>
          <w:t>Link zur Vorschrift im SMBl. NRW 74:</w:t>
        </w:r>
      </w:hyperlink>
    </w:p>
    <w:p>
      <w:pPr>
        <w:pStyle w:val="GesAbsatz"/>
        <w:jc w:val="center"/>
        <w:rPr>
          <w:b/>
          <w:bCs/>
          <w:sz w:val="22"/>
        </w:rPr>
      </w:pPr>
      <w:r>
        <w:rPr>
          <w:b/>
          <w:bCs/>
          <w:sz w:val="22"/>
        </w:rPr>
        <w:t>Inhalt:</w:t>
      </w:r>
    </w:p>
    <w:p>
      <w:pPr>
        <w:pStyle w:val="Verzeichnis1"/>
        <w:tabs>
          <w:tab w:val="clear" w:pos="9638"/>
          <w:tab w:val="right" w:leader="dot" w:pos="9627"/>
        </w:tabs>
        <w:rPr>
          <w:b w:val="0"/>
          <w:bCs/>
          <w:caps w:val="0"/>
          <w:noProof/>
          <w:sz w:val="24"/>
          <w:szCs w:val="24"/>
        </w:rPr>
      </w:pPr>
      <w:r>
        <w:fldChar w:fldCharType="begin"/>
      </w:r>
      <w:r>
        <w:instrText xml:space="preserve"> TOC \o "1-3" \h \z </w:instrText>
      </w:r>
      <w:r>
        <w:fldChar w:fldCharType="separate"/>
      </w:r>
      <w:hyperlink w:anchor="_Toc235867964" w:history="1">
        <w:r>
          <w:rPr>
            <w:rStyle w:val="Hyperlink"/>
            <w:noProof/>
          </w:rPr>
          <w:t>Anforderungen an die Güteüberwachung und den Einsatz von Hausmüllverbren</w:t>
        </w:r>
        <w:r>
          <w:rPr>
            <w:rStyle w:val="Hyperlink"/>
            <w:noProof/>
          </w:rPr>
          <w:softHyphen/>
          <w:t>nungsaschen im Straßen- und Erdbau</w:t>
        </w:r>
        <w:r>
          <w:rPr>
            <w:noProof/>
            <w:webHidden/>
          </w:rPr>
          <w:tab/>
        </w:r>
        <w:r>
          <w:rPr>
            <w:noProof/>
            <w:webHidden/>
          </w:rPr>
          <w:fldChar w:fldCharType="begin"/>
        </w:r>
        <w:r>
          <w:rPr>
            <w:noProof/>
            <w:webHidden/>
          </w:rPr>
          <w:instrText xml:space="preserve"> PAGEREF _Toc235867964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7"/>
        </w:tabs>
        <w:rPr>
          <w:smallCaps w:val="0"/>
          <w:noProof/>
          <w:sz w:val="24"/>
          <w:szCs w:val="24"/>
        </w:rPr>
      </w:pPr>
      <w:hyperlink w:anchor="_Toc235867965" w:history="1">
        <w:r>
          <w:rPr>
            <w:rStyle w:val="Hyperlink"/>
            <w:noProof/>
          </w:rPr>
          <w:t>1 Grundsätze</w:t>
        </w:r>
        <w:r>
          <w:rPr>
            <w:noProof/>
            <w:webHidden/>
          </w:rPr>
          <w:tab/>
        </w:r>
        <w:r>
          <w:rPr>
            <w:noProof/>
            <w:webHidden/>
          </w:rPr>
          <w:fldChar w:fldCharType="begin"/>
        </w:r>
        <w:r>
          <w:rPr>
            <w:noProof/>
            <w:webHidden/>
          </w:rPr>
          <w:instrText xml:space="preserve"> PAGEREF _Toc235867965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7"/>
        </w:tabs>
        <w:rPr>
          <w:smallCaps w:val="0"/>
          <w:noProof/>
          <w:sz w:val="24"/>
          <w:szCs w:val="24"/>
        </w:rPr>
      </w:pPr>
      <w:hyperlink w:anchor="_Toc235867966" w:history="1">
        <w:r>
          <w:rPr>
            <w:rStyle w:val="Hyperlink"/>
            <w:noProof/>
          </w:rPr>
          <w:t>2 Geltungsbereich</w:t>
        </w:r>
        <w:r>
          <w:rPr>
            <w:noProof/>
            <w:webHidden/>
          </w:rPr>
          <w:tab/>
        </w:r>
        <w:r>
          <w:rPr>
            <w:noProof/>
            <w:webHidden/>
          </w:rPr>
          <w:fldChar w:fldCharType="begin"/>
        </w:r>
        <w:r>
          <w:rPr>
            <w:noProof/>
            <w:webHidden/>
          </w:rPr>
          <w:instrText xml:space="preserve"> PAGEREF _Toc235867966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235867967" w:history="1">
        <w:r>
          <w:rPr>
            <w:rStyle w:val="Hyperlink"/>
            <w:noProof/>
          </w:rPr>
          <w:t>2.1 Allgemeines</w:t>
        </w:r>
        <w:r>
          <w:rPr>
            <w:noProof/>
            <w:webHidden/>
          </w:rPr>
          <w:tab/>
        </w:r>
        <w:r>
          <w:rPr>
            <w:noProof/>
            <w:webHidden/>
          </w:rPr>
          <w:fldChar w:fldCharType="begin"/>
        </w:r>
        <w:r>
          <w:rPr>
            <w:noProof/>
            <w:webHidden/>
          </w:rPr>
          <w:instrText xml:space="preserve"> PAGEREF _Toc235867967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235867968" w:history="1">
        <w:r>
          <w:rPr>
            <w:rStyle w:val="Hyperlink"/>
            <w:noProof/>
          </w:rPr>
          <w:t>2.2 Wasserrechtliche Erlaubnis</w:t>
        </w:r>
        <w:r>
          <w:rPr>
            <w:noProof/>
            <w:webHidden/>
          </w:rPr>
          <w:tab/>
        </w:r>
        <w:r>
          <w:rPr>
            <w:noProof/>
            <w:webHidden/>
          </w:rPr>
          <w:fldChar w:fldCharType="begin"/>
        </w:r>
        <w:r>
          <w:rPr>
            <w:noProof/>
            <w:webHidden/>
          </w:rPr>
          <w:instrText xml:space="preserve"> PAGEREF _Toc235867968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235867969" w:history="1">
        <w:r>
          <w:rPr>
            <w:rStyle w:val="Hyperlink"/>
            <w:noProof/>
          </w:rPr>
          <w:t>2.3 Wasserschutzgebiete</w:t>
        </w:r>
        <w:r>
          <w:rPr>
            <w:noProof/>
            <w:webHidden/>
          </w:rPr>
          <w:tab/>
        </w:r>
        <w:r>
          <w:rPr>
            <w:noProof/>
            <w:webHidden/>
          </w:rPr>
          <w:fldChar w:fldCharType="begin"/>
        </w:r>
        <w:r>
          <w:rPr>
            <w:noProof/>
            <w:webHidden/>
          </w:rPr>
          <w:instrText xml:space="preserve"> PAGEREF _Toc235867969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235867970" w:history="1">
        <w:r>
          <w:rPr>
            <w:rStyle w:val="Hyperlink"/>
            <w:noProof/>
          </w:rPr>
          <w:t>2.4 Planfeststellungsbeschlüsse</w:t>
        </w:r>
        <w:r>
          <w:rPr>
            <w:noProof/>
            <w:webHidden/>
          </w:rPr>
          <w:tab/>
        </w:r>
        <w:r>
          <w:rPr>
            <w:noProof/>
            <w:webHidden/>
          </w:rPr>
          <w:fldChar w:fldCharType="begin"/>
        </w:r>
        <w:r>
          <w:rPr>
            <w:noProof/>
            <w:webHidden/>
          </w:rPr>
          <w:instrText xml:space="preserve"> PAGEREF _Toc235867970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7"/>
        </w:tabs>
        <w:rPr>
          <w:smallCaps w:val="0"/>
          <w:noProof/>
          <w:sz w:val="24"/>
          <w:szCs w:val="24"/>
        </w:rPr>
      </w:pPr>
      <w:hyperlink w:anchor="_Toc235867971" w:history="1">
        <w:r>
          <w:rPr>
            <w:rStyle w:val="Hyperlink"/>
            <w:noProof/>
          </w:rPr>
          <w:t>3 Güteüberwachung</w:t>
        </w:r>
        <w:r>
          <w:rPr>
            <w:noProof/>
            <w:webHidden/>
          </w:rPr>
          <w:tab/>
        </w:r>
        <w:r>
          <w:rPr>
            <w:noProof/>
            <w:webHidden/>
          </w:rPr>
          <w:fldChar w:fldCharType="begin"/>
        </w:r>
        <w:r>
          <w:rPr>
            <w:noProof/>
            <w:webHidden/>
          </w:rPr>
          <w:instrText xml:space="preserve"> PAGEREF _Toc235867971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iCs/>
          <w:noProof/>
          <w:sz w:val="24"/>
          <w:szCs w:val="24"/>
        </w:rPr>
      </w:pPr>
      <w:hyperlink w:anchor="_Toc235867972" w:history="1">
        <w:r>
          <w:rPr>
            <w:rStyle w:val="Hyperlink"/>
            <w:noProof/>
          </w:rPr>
          <w:t>3.1 Gemische von mineralischen Stoffen aus industriellen Prozessen und Bautätigkeiten</w:t>
        </w:r>
        <w:r>
          <w:rPr>
            <w:noProof/>
            <w:webHidden/>
          </w:rPr>
          <w:tab/>
        </w:r>
        <w:r>
          <w:rPr>
            <w:noProof/>
            <w:webHidden/>
          </w:rPr>
          <w:fldChar w:fldCharType="begin"/>
        </w:r>
        <w:r>
          <w:rPr>
            <w:noProof/>
            <w:webHidden/>
          </w:rPr>
          <w:instrText xml:space="preserve"> PAGEREF _Toc235867972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iCs/>
          <w:noProof/>
          <w:sz w:val="24"/>
          <w:szCs w:val="24"/>
        </w:rPr>
      </w:pPr>
      <w:hyperlink w:anchor="_Toc235867973" w:history="1">
        <w:r>
          <w:rPr>
            <w:rStyle w:val="Hyperlink"/>
            <w:noProof/>
          </w:rPr>
          <w:t>3.2 Eignungsnachweis und Güteüberwachung</w:t>
        </w:r>
        <w:r>
          <w:rPr>
            <w:noProof/>
            <w:webHidden/>
          </w:rPr>
          <w:tab/>
        </w:r>
        <w:r>
          <w:rPr>
            <w:noProof/>
            <w:webHidden/>
          </w:rPr>
          <w:fldChar w:fldCharType="begin"/>
        </w:r>
        <w:r>
          <w:rPr>
            <w:noProof/>
            <w:webHidden/>
          </w:rPr>
          <w:instrText xml:space="preserve"> PAGEREF _Toc235867973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iCs/>
          <w:noProof/>
          <w:sz w:val="24"/>
          <w:szCs w:val="24"/>
        </w:rPr>
      </w:pPr>
      <w:hyperlink w:anchor="_Toc235867974" w:history="1">
        <w:r>
          <w:rPr>
            <w:rStyle w:val="Hyperlink"/>
            <w:noProof/>
          </w:rPr>
          <w:t>3.3 Ergänzende Regelungen zu den RG Min-StB 93</w:t>
        </w:r>
        <w:r>
          <w:rPr>
            <w:noProof/>
            <w:webHidden/>
          </w:rPr>
          <w:tab/>
        </w:r>
        <w:r>
          <w:rPr>
            <w:noProof/>
            <w:webHidden/>
          </w:rPr>
          <w:fldChar w:fldCharType="begin"/>
        </w:r>
        <w:r>
          <w:rPr>
            <w:noProof/>
            <w:webHidden/>
          </w:rPr>
          <w:instrText xml:space="preserve"> PAGEREF _Toc235867974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iCs/>
          <w:noProof/>
          <w:sz w:val="24"/>
          <w:szCs w:val="24"/>
        </w:rPr>
      </w:pPr>
      <w:hyperlink w:anchor="_Toc235867975" w:history="1">
        <w:r>
          <w:rPr>
            <w:rStyle w:val="Hyperlink"/>
            <w:noProof/>
          </w:rPr>
          <w:t>3.4 Grenzwerte für die wasserwirtschaftlichen Merkmale</w:t>
        </w:r>
        <w:r>
          <w:rPr>
            <w:noProof/>
            <w:webHidden/>
          </w:rPr>
          <w:tab/>
        </w:r>
        <w:r>
          <w:rPr>
            <w:noProof/>
            <w:webHidden/>
          </w:rPr>
          <w:fldChar w:fldCharType="begin"/>
        </w:r>
        <w:r>
          <w:rPr>
            <w:noProof/>
            <w:webHidden/>
          </w:rPr>
          <w:instrText xml:space="preserve"> PAGEREF _Toc235867975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7"/>
        </w:tabs>
        <w:rPr>
          <w:smallCaps w:val="0"/>
          <w:noProof/>
          <w:sz w:val="24"/>
          <w:szCs w:val="24"/>
        </w:rPr>
      </w:pPr>
      <w:hyperlink w:anchor="_Toc235867976" w:history="1">
        <w:r>
          <w:rPr>
            <w:rStyle w:val="Hyperlink"/>
            <w:noProof/>
          </w:rPr>
          <w:t>4 Einsatz und Verwertungsgebiete</w:t>
        </w:r>
        <w:r>
          <w:rPr>
            <w:noProof/>
            <w:webHidden/>
          </w:rPr>
          <w:tab/>
        </w:r>
        <w:r>
          <w:rPr>
            <w:noProof/>
            <w:webHidden/>
          </w:rPr>
          <w:fldChar w:fldCharType="begin"/>
        </w:r>
        <w:r>
          <w:rPr>
            <w:noProof/>
            <w:webHidden/>
          </w:rPr>
          <w:instrText xml:space="preserve"> PAGEREF _Toc235867976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7"/>
        </w:tabs>
        <w:rPr>
          <w:smallCaps w:val="0"/>
          <w:noProof/>
          <w:sz w:val="24"/>
          <w:szCs w:val="24"/>
        </w:rPr>
      </w:pPr>
      <w:hyperlink w:anchor="_Toc235867977" w:history="1">
        <w:r>
          <w:rPr>
            <w:rStyle w:val="Hyperlink"/>
            <w:noProof/>
          </w:rPr>
          <w:t>5 Dokumentation</w:t>
        </w:r>
        <w:r>
          <w:rPr>
            <w:noProof/>
            <w:webHidden/>
          </w:rPr>
          <w:tab/>
        </w:r>
        <w:r>
          <w:rPr>
            <w:noProof/>
            <w:webHidden/>
          </w:rPr>
          <w:fldChar w:fldCharType="begin"/>
        </w:r>
        <w:r>
          <w:rPr>
            <w:noProof/>
            <w:webHidden/>
          </w:rPr>
          <w:instrText xml:space="preserve"> PAGEREF _Toc235867977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7"/>
        </w:tabs>
        <w:rPr>
          <w:smallCaps w:val="0"/>
          <w:noProof/>
          <w:sz w:val="24"/>
          <w:szCs w:val="24"/>
        </w:rPr>
      </w:pPr>
      <w:hyperlink w:anchor="_Toc235867978" w:history="1">
        <w:r>
          <w:rPr>
            <w:rStyle w:val="Hyperlink"/>
            <w:noProof/>
          </w:rPr>
          <w:t>Anlage 1</w:t>
        </w:r>
        <w:r>
          <w:rPr>
            <w:noProof/>
            <w:webHidden/>
          </w:rPr>
          <w:tab/>
        </w:r>
        <w:r>
          <w:rPr>
            <w:noProof/>
            <w:webHidden/>
          </w:rPr>
          <w:fldChar w:fldCharType="begin"/>
        </w:r>
        <w:r>
          <w:rPr>
            <w:noProof/>
            <w:webHidden/>
          </w:rPr>
          <w:instrText xml:space="preserve"> PAGEREF _Toc235867978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7"/>
        </w:tabs>
        <w:rPr>
          <w:smallCaps w:val="0"/>
          <w:noProof/>
          <w:sz w:val="24"/>
          <w:szCs w:val="24"/>
        </w:rPr>
      </w:pPr>
      <w:hyperlink w:anchor="_Toc235867979" w:history="1">
        <w:r>
          <w:rPr>
            <w:rStyle w:val="Hyperlink"/>
            <w:noProof/>
          </w:rPr>
          <w:t>Anlage 2</w:t>
        </w:r>
        <w:r>
          <w:rPr>
            <w:noProof/>
            <w:webHidden/>
          </w:rPr>
          <w:tab/>
        </w:r>
        <w:r>
          <w:rPr>
            <w:noProof/>
            <w:webHidden/>
          </w:rPr>
          <w:fldChar w:fldCharType="begin"/>
        </w:r>
        <w:r>
          <w:rPr>
            <w:noProof/>
            <w:webHidden/>
          </w:rPr>
          <w:instrText xml:space="preserve"> PAGEREF _Toc235867979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7"/>
        </w:tabs>
        <w:rPr>
          <w:smallCaps w:val="0"/>
          <w:noProof/>
          <w:sz w:val="24"/>
          <w:szCs w:val="24"/>
        </w:rPr>
      </w:pPr>
      <w:hyperlink w:anchor="_Toc235867980" w:history="1">
        <w:r>
          <w:rPr>
            <w:rStyle w:val="Hyperlink"/>
            <w:noProof/>
          </w:rPr>
          <w:t>Anhang:</w:t>
        </w:r>
        <w:r>
          <w:rPr>
            <w:rStyle w:val="Hyperlink"/>
            <w:rFonts w:eastAsia="Arial Unicode MS"/>
            <w:noProof/>
          </w:rPr>
          <w:t xml:space="preserve"> </w:t>
        </w:r>
        <w:r>
          <w:rPr>
            <w:rStyle w:val="Hyperlink"/>
            <w:noProof/>
          </w:rPr>
          <w:t>Abkürzungen, Definitionen und Erläuterungen zu Anlage 1 und 2</w:t>
        </w:r>
        <w:r>
          <w:rPr>
            <w:noProof/>
            <w:webHidden/>
          </w:rPr>
          <w:tab/>
        </w:r>
        <w:r>
          <w:rPr>
            <w:noProof/>
            <w:webHidden/>
          </w:rPr>
          <w:fldChar w:fldCharType="begin"/>
        </w:r>
        <w:r>
          <w:rPr>
            <w:noProof/>
            <w:webHidden/>
          </w:rPr>
          <w:instrText xml:space="preserve"> PAGEREF _Toc235867980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7"/>
        </w:tabs>
        <w:rPr>
          <w:smallCaps w:val="0"/>
          <w:noProof/>
          <w:sz w:val="24"/>
          <w:szCs w:val="24"/>
        </w:rPr>
      </w:pPr>
      <w:hyperlink w:anchor="_Toc235867981" w:history="1">
        <w:r>
          <w:rPr>
            <w:rStyle w:val="Hyperlink"/>
            <w:noProof/>
          </w:rPr>
          <w:t>Anlage 3</w:t>
        </w:r>
        <w:r>
          <w:rPr>
            <w:noProof/>
            <w:webHidden/>
          </w:rPr>
          <w:tab/>
        </w:r>
        <w:r>
          <w:rPr>
            <w:noProof/>
            <w:webHidden/>
          </w:rPr>
          <w:fldChar w:fldCharType="begin"/>
        </w:r>
        <w:r>
          <w:rPr>
            <w:noProof/>
            <w:webHidden/>
          </w:rPr>
          <w:instrText xml:space="preserve"> PAGEREF _Toc235867981 \h </w:instrText>
        </w:r>
        <w:r>
          <w:rPr>
            <w:noProof/>
            <w:webHidden/>
          </w:rPr>
        </w:r>
        <w:r>
          <w:rPr>
            <w:noProof/>
            <w:webHidden/>
          </w:rPr>
          <w:fldChar w:fldCharType="separate"/>
        </w:r>
        <w:r>
          <w:rPr>
            <w:noProof/>
            <w:webHidden/>
          </w:rPr>
          <w:t>13</w:t>
        </w:r>
        <w:r>
          <w:rPr>
            <w:noProof/>
            <w:webHidden/>
          </w:rPr>
          <w:fldChar w:fldCharType="end"/>
        </w:r>
      </w:hyperlink>
    </w:p>
    <w:p>
      <w:pPr>
        <w:pStyle w:val="GesAbsatz"/>
      </w:pPr>
      <w:r>
        <w:rPr>
          <w:rFonts w:ascii="Times New Roman" w:hAnsi="Times New Roman"/>
          <w:color w:val="auto"/>
        </w:rPr>
        <w:fldChar w:fldCharType="end"/>
      </w:r>
    </w:p>
    <w:p>
      <w:pPr>
        <w:pStyle w:val="berschrift2"/>
      </w:pPr>
      <w:bookmarkStart w:id="2" w:name="_Toc235867965"/>
      <w:r>
        <w:t>1</w:t>
      </w:r>
      <w:r>
        <w:br/>
        <w:t>Grundsätze</w:t>
      </w:r>
      <w:bookmarkEnd w:id="2"/>
    </w:p>
    <w:p>
      <w:pPr>
        <w:pStyle w:val="GesAbsatz"/>
      </w:pPr>
      <w:r>
        <w:t>Bei der Verwertung von Hausmüllverbrennungsaschen (HMVA) gelten besondere Verpflichtungen:</w:t>
      </w:r>
    </w:p>
    <w:p>
      <w:pPr>
        <w:pStyle w:val="GesAbsatz"/>
        <w:tabs>
          <w:tab w:val="clear" w:pos="425"/>
        </w:tabs>
        <w:ind w:left="360" w:hanging="360"/>
      </w:pPr>
      <w:r>
        <w:t>-</w:t>
      </w:r>
      <w:r>
        <w:tab/>
        <w:t>Nach § 4 Abs. 3 und § 5 Kreislaufwirtschafts- und Abfallgesetz (KrW-/AbfG) ist der Verwertung von Abfällen unter den in dieser Vorschrift genannten Voraussetzungen der Vorrang einzuräumen.</w:t>
      </w:r>
    </w:p>
    <w:p>
      <w:pPr>
        <w:pStyle w:val="GesAbsatz"/>
        <w:tabs>
          <w:tab w:val="clear" w:pos="425"/>
        </w:tabs>
        <w:ind w:left="360" w:hanging="360"/>
      </w:pPr>
      <w:r>
        <w:t>-</w:t>
      </w:r>
      <w:r>
        <w:tab/>
        <w:t>Nach § 2 Landesabfallgesetz (LAbfG) sollen die Behörden des Landes, die Gemeinden und Gemeindeverbände sowie die sonstigen der Aufsicht des Landes unterstehenden Körperschaften, Anstalten und Stiftungen des öffentlichen Rechts Materialien und Gebrauchsgüter beschaffen oder verwenden, die aus Abfällen hergestellt sind.</w:t>
      </w:r>
    </w:p>
    <w:p>
      <w:pPr>
        <w:pStyle w:val="GesAbsatz"/>
      </w:pPr>
      <w:r>
        <w:t>Die Verwertung von Hausmüllverbrennungsaschen kann nachteilige Auswirkungen auf die Beschaffenheit von Grundwasser haben, da diese Materialien Stoffe enthalten, die in das Gewässer eingetragen werden können. Das Wasserrecht enthält dazu besondere Anforderungen:</w:t>
      </w:r>
    </w:p>
    <w:p>
      <w:pPr>
        <w:pStyle w:val="GesAbsatz"/>
        <w:tabs>
          <w:tab w:val="clear" w:pos="425"/>
        </w:tabs>
        <w:ind w:left="360" w:hanging="360"/>
      </w:pPr>
      <w:r>
        <w:t>-</w:t>
      </w:r>
      <w:r>
        <w:tab/>
        <w:t>Nach § 1 a Abs. 2 WHG ist jedermann verpflichtet, die nach den Umständen erforderliche Sorgfalt anzuwenden, um eine Verunreinigung des Wassers oder eine sonstige nachteilige Veränderung seiner Eigenschaften zu verhüten.</w:t>
      </w:r>
    </w:p>
    <w:p>
      <w:pPr>
        <w:pStyle w:val="GesAbsatz"/>
        <w:ind w:left="360" w:hanging="360"/>
      </w:pPr>
      <w:r>
        <w:t>-</w:t>
      </w:r>
      <w:r>
        <w:tab/>
        <w:t>Wegen der möglichen Einwirkungen von Verwertungsmaßnahmen ist darüber hinaus der § 3 Abs. 2 Nr. 2 WHG zu beachten. Danach gelten u. a. Maßnahmen, die geeignet sind, dauernd oder in einem nicht nur unerheblichen Ausmaß schädliche Veränderungen der Beschaffenheit des Wassers herbeizuführen, als Gewässerbenutzungen, und bedürfen nach § 2 WHG der Zulassung.</w:t>
      </w:r>
    </w:p>
    <w:p>
      <w:pPr>
        <w:pStyle w:val="GesAbsatz"/>
        <w:ind w:left="360" w:hanging="360"/>
      </w:pPr>
      <w:r>
        <w:t>-</w:t>
      </w:r>
      <w:r>
        <w:tab/>
        <w:t>Die Zulassung ist nach § 6 WHG zu versagen, wenn eine Beeinträchtigung des Wohls der Allgemeinheit nicht durch Auflagen oder bestimmte Maßnahmen verhütet oder ausgeglichen wird. Eine solche Beeinträchtigung liegt bereits dann vor, wenn eine Verunreinigung des Wassers zu besorgen ist.</w:t>
      </w:r>
    </w:p>
    <w:p>
      <w:pPr>
        <w:pStyle w:val="GesAbsatz"/>
      </w:pPr>
      <w:r>
        <w:lastRenderedPageBreak/>
        <w:t>Die Verwertung von mineralischen Stoffen kann nachteilige Auswirkungen auf die Bodenfunktionen im Sinne des § 2 BBodSchG haben, da diese Materialien Stoffe enthalten, die in den umgebenden Boden eingetragen werden können. Das Bodenschutzrecht enthält dazu besondere Anforderungen:</w:t>
      </w:r>
    </w:p>
    <w:p>
      <w:pPr>
        <w:pStyle w:val="GesAbsatz"/>
      </w:pPr>
      <w:r>
        <w:t xml:space="preserve">Nach den im Bundes-Bodenschutzgesetz (BBodSchG) und im Landesbodenschutzgesetz NRW (LBodSchG) verankerten Grundsätzen des Bodenschutzes ist der Boden vor schädlichen Veränderungen zu schützen und Vorsorge gegen das Entstehen schädlicher Bodenveränderungen zu treffen. </w:t>
      </w:r>
    </w:p>
    <w:p>
      <w:pPr>
        <w:pStyle w:val="GesAbsatz"/>
      </w:pPr>
      <w:r>
        <w:t>Bei der Verwertung von mineralischen Stoffen in technischen Bauwerken und bei sonstigen Maßnahmen müssen diese Anlagen hinsichtlich ihrer Auswirkungen auf den Boden und das Grundwasser als Ganzes betrachtet werden, das heißt z. B. auch einschließlich der jeweiligen technischen Sicherungsmaßnahmen. Daraus folgt, dass von der baulichen Anlage als Ganzes nicht die Besorgnis des Entstehens einer schädlichen Bodenveränderung ausgehen darf.</w:t>
      </w:r>
    </w:p>
    <w:p>
      <w:pPr>
        <w:pStyle w:val="GesAbsatz"/>
      </w:pPr>
      <w:r>
        <w:t>Wegen der vorrangigen Relevanz der Filter- und Pufferfunktion zum Schutz des Grundwassers bzw. des Wirkungspfades Boden-Grundwasser ist davon auszugehen, dass bei Einhaltung der wasserwirtschaftlichen Maßstäbe in der Regel auch den Anforderungen des Bodenschutzes entsprochen wird.</w:t>
      </w:r>
    </w:p>
    <w:p>
      <w:pPr>
        <w:pStyle w:val="GesAbsatz"/>
      </w:pPr>
      <w:r>
        <w:t>Die in diesem Runderlass getroffenen Regelungen ergeben sich aus der grundwasserbezogenen Bewertung der stofflichen Beschaffenheit der Hausmüllverbrennungsaschen, den technischen Einbaubedingungen sowie den wasserwirtschaftlichen und hydrogeologischen Verhältnissen im Bereich der Baumaßnahme. Es werden die Verwertungsmöglichkeiten zugelassen, die bei Einhaltung der Güteüberwachungswerte mit hinreichender Sicherheit nicht zu schädlichen Stoffeinträgen in das Grundwasser führen. Zur Frage der wasserrechtlichen Erlaubnis wird auf Nummer 2.2 verwiesen.</w:t>
      </w:r>
    </w:p>
    <w:p>
      <w:pPr>
        <w:pStyle w:val="berschrift2"/>
      </w:pPr>
      <w:bookmarkStart w:id="3" w:name="_Toc235867966"/>
      <w:r>
        <w:t>2</w:t>
      </w:r>
      <w:r>
        <w:br/>
        <w:t>Geltungsbereich</w:t>
      </w:r>
      <w:bookmarkEnd w:id="3"/>
    </w:p>
    <w:p>
      <w:pPr>
        <w:pStyle w:val="berschrift3"/>
      </w:pPr>
      <w:bookmarkStart w:id="4" w:name="_Toc235867967"/>
      <w:r>
        <w:t>2.1</w:t>
      </w:r>
      <w:r>
        <w:br/>
        <w:t>Allgemeines</w:t>
      </w:r>
      <w:bookmarkEnd w:id="4"/>
    </w:p>
    <w:p>
      <w:pPr>
        <w:pStyle w:val="GesAbsatz"/>
      </w:pPr>
      <w:r>
        <w:t xml:space="preserve">Dieser Erlass gilt nur für Hausmüllverbrennungsaschen, die güteüberwacht sind und von öffentlich-rechtlichen Trägern der Baulast verwertet werden. Die Güteüberwachung von HMVA ist unter Nr. 3 dieses Erlasses geregelt. Voraussetzung ist darüber hinaus, dass die öffentlich-rechtlichen Träger der Baulast bei ihren Ausschreibungen die Vorgaben in den Anlagen 1 und 2 sowie die zugehörigen Erläuterungen im Anhang 1 beachten. Die Baulastträger haben ggf. hinsichtlich der wasserwirtschaftlichen, hydrogeologischen und hydrologischen Standortgegebenheiten Auskünfte bei den zuständigen Behörden bzw. bei Fachdienststellen einzuholen. </w:t>
      </w:r>
    </w:p>
    <w:p>
      <w:pPr>
        <w:pStyle w:val="GesAbsatz"/>
      </w:pPr>
      <w:r>
        <w:t>Die Hausmüllverbrennungsaschen werden nach ihren wasserwirtschaftlichen Merkmalen in bessere Qualität (HMVA I) und schlechtere Qualität (HMVA II) unterschieden.</w:t>
      </w:r>
    </w:p>
    <w:p>
      <w:pPr>
        <w:pStyle w:val="berschrift3"/>
      </w:pPr>
      <w:bookmarkStart w:id="5" w:name="_Toc235867968"/>
      <w:r>
        <w:t>2.2</w:t>
      </w:r>
      <w:r>
        <w:br/>
        <w:t>Wasserrechtliche Erlaubnis</w:t>
      </w:r>
      <w:bookmarkEnd w:id="5"/>
    </w:p>
    <w:p>
      <w:pPr>
        <w:pStyle w:val="GesAbsatz"/>
      </w:pPr>
      <w:r>
        <w:t>Sofern die Anforderungen dieses Gem. Rd.Erlasses bei Verwertungsmaßnahmen im Straßen- und straßenbegleitenden Erdbau eingehalten werden, benötigt der öffentlich-rechtliche Träger der Baulast keine wasserrechtliche Erlaubnis. In abweichenden Fällen ist eine wasserrechtliche Erlaubnis erforderlich. Bei der Prüfung der Erlaubnisfähigkeit der Maßnahme sind die materiellen Anforderungen dieses Erlasses zu Grunde zu legen, soweit es sich um die gleichen mineralischen Stoffe und vergleichbare Verwertungsmaßnahmen handelt. Letzteres ist beispielsweise gegeben, wenn derselbe mineralische Stoff von einem privaten Bauträger im Verkehrswegebau verwertet wird. Verfüllungen von Abgrabungen oder die Herstellung von Landschaftsbauwerken sind im Hinblick auf die Bewertung der Grundwassergefährdung nicht mit den in diesem Gem. RdErl. beschriebenen Erdbaumaßnahmen vergleichbar.</w:t>
      </w:r>
    </w:p>
    <w:p>
      <w:pPr>
        <w:pStyle w:val="berschrift3"/>
      </w:pPr>
      <w:bookmarkStart w:id="6" w:name="_Toc235867969"/>
      <w:r>
        <w:t>2.3</w:t>
      </w:r>
      <w:r>
        <w:br/>
        <w:t>Wasserschutzgebiete</w:t>
      </w:r>
      <w:bookmarkEnd w:id="6"/>
    </w:p>
    <w:p>
      <w:pPr>
        <w:pStyle w:val="GesAbsatz"/>
      </w:pPr>
      <w:r>
        <w:t xml:space="preserve">Verbote und Beschränkungen der Verwendung von mineralischen Stoffen aus industriellen Prozessen und aus Bautätigkeiten in Wasserschutzgebietsverordnungen bleiben von diesem Erlass unberührt. </w:t>
      </w:r>
    </w:p>
    <w:p>
      <w:pPr>
        <w:pStyle w:val="berschrift3"/>
      </w:pPr>
      <w:bookmarkStart w:id="7" w:name="_Toc235867970"/>
      <w:r>
        <w:lastRenderedPageBreak/>
        <w:t>2.4</w:t>
      </w:r>
      <w:r>
        <w:br/>
        <w:t>Planfeststellungsbeschlüsse</w:t>
      </w:r>
      <w:bookmarkEnd w:id="7"/>
    </w:p>
    <w:p>
      <w:pPr>
        <w:pStyle w:val="GesAbsatz"/>
      </w:pPr>
      <w:r>
        <w:t>Sofern Verbote und Beschränkungen entgegen den Maßgaben dieses Erlasses in Planfeststellungsbeschlüssen, die noch nicht ausgeführt sind, enthalten sind, können die Planfeststellungsbeschlüsse in dem dafür vorgesehenen Verfahren (§ 76 VwVfG) den Maßgaben dieses Erlasses angepasst werden.</w:t>
      </w:r>
    </w:p>
    <w:p>
      <w:pPr>
        <w:pStyle w:val="berschrift2"/>
      </w:pPr>
      <w:bookmarkStart w:id="8" w:name="_Toc235867971"/>
      <w:r>
        <w:t>3</w:t>
      </w:r>
      <w:r>
        <w:br/>
        <w:t>Güteüberwachung</w:t>
      </w:r>
      <w:bookmarkEnd w:id="8"/>
    </w:p>
    <w:p>
      <w:pPr>
        <w:pStyle w:val="GesAbsatz"/>
      </w:pPr>
      <w:r>
        <w:t xml:space="preserve">Das Bundesministerium für Verkehr hat mit Allgemeinem Rundschreiben "Straßenbau" Nr. 26/1993 vom 15.09.1993 die "Richtlinien für die Güteüberwachung von Mineralstoffen im Straßenbau – RG Min StB 93" für die Bundesfernstraßen eingeführt. </w:t>
      </w:r>
    </w:p>
    <w:p>
      <w:pPr>
        <w:pStyle w:val="GesAbsatz"/>
      </w:pPr>
      <w:r>
        <w:t>Bei der Verwendung von</w:t>
      </w:r>
    </w:p>
    <w:p>
      <w:pPr>
        <w:pStyle w:val="GesAbsatz"/>
        <w:tabs>
          <w:tab w:val="clear" w:pos="425"/>
          <w:tab w:val="left" w:pos="1080"/>
        </w:tabs>
      </w:pPr>
      <w:r>
        <w:t>HMVA I</w:t>
      </w:r>
      <w:r>
        <w:tab/>
        <w:t>Müllverbrennungsasche aus Hausmüllverbrennungsanlagen</w:t>
      </w:r>
    </w:p>
    <w:p>
      <w:pPr>
        <w:pStyle w:val="GesAbsatz"/>
        <w:tabs>
          <w:tab w:val="clear" w:pos="425"/>
          <w:tab w:val="left" w:pos="1080"/>
        </w:tabs>
      </w:pPr>
      <w:r>
        <w:tab/>
        <w:t>(Hausmüllverbrennungsasche mit geringerer Salzbelastung)</w:t>
      </w:r>
    </w:p>
    <w:p>
      <w:pPr>
        <w:pStyle w:val="GesAbsatz"/>
        <w:tabs>
          <w:tab w:val="clear" w:pos="425"/>
          <w:tab w:val="left" w:pos="1080"/>
        </w:tabs>
      </w:pPr>
      <w:r>
        <w:t>HMVA II</w:t>
      </w:r>
      <w:r>
        <w:tab/>
        <w:t>Müllverbrennungsasche aus Hausmüllverbrennungsanlagen</w:t>
      </w:r>
    </w:p>
    <w:p>
      <w:pPr>
        <w:pStyle w:val="GesAbsatz"/>
        <w:tabs>
          <w:tab w:val="clear" w:pos="425"/>
          <w:tab w:val="left" w:pos="1080"/>
        </w:tabs>
      </w:pPr>
      <w:r>
        <w:tab/>
        <w:t>(Hausmüllverbrennungsasche mit höherer Salzbelastung)</w:t>
      </w:r>
    </w:p>
    <w:p>
      <w:pPr>
        <w:pStyle w:val="GesAbsatz"/>
      </w:pPr>
      <w:r>
        <w:t>im Straßen- und Erdbau sind diese Richtlinien von allen Straßenbaulastträgern mit den vorgenommenen Ergänzungen zu beachten. Zusätzlich gelten die in diesem Erlass festgelegten Regelungen.</w:t>
      </w:r>
    </w:p>
    <w:p>
      <w:pPr>
        <w:pStyle w:val="berschrift3"/>
      </w:pPr>
      <w:bookmarkStart w:id="9" w:name="_Toc235867972"/>
      <w:r>
        <w:t>3.1</w:t>
      </w:r>
      <w:r>
        <w:br/>
        <w:t>Gemische von mineralischen Stoffen aus industriellen Prozessen und Bautätigkeiten</w:t>
      </w:r>
      <w:bookmarkEnd w:id="9"/>
    </w:p>
    <w:p>
      <w:pPr>
        <w:pStyle w:val="GesAbsatz"/>
      </w:pPr>
      <w:r>
        <w:t>Zur Verbesserung der bautechnischen Eigenschaften können die in Tabelle 1 (s. Anlage 3</w:t>
      </w:r>
      <w:r>
        <w:rPr>
          <w:b/>
          <w:bCs/>
        </w:rPr>
        <w:t>)</w:t>
      </w:r>
      <w:r>
        <w:t xml:space="preserve"> definierten Gemische mit HMVA hergestellt werden, sofern sowohl HMVA als auch mineralischer Stoff güteüberwacht sind. Ihr Einsatz ist nur zulässig, wenn beide mineralischen Stoffe für ein Verwertungsgebiet zugelassen sind (vgl. Gem.RdErl. d. Ministeriums für Umwelt und Naturschutz, Landwirtschaft und Verbraucherschutz u. d. Ministeriums für Wirtschaft und Mittelstand, Energie und Verkehr v. 9.10.2001 - Anforderungen an den Einsatz von mineralischen Stoffen aus industriellen Prozessen im Straßen- und Erdbau - (SMBl. NRW. 74).</w:t>
      </w:r>
    </w:p>
    <w:p>
      <w:pPr>
        <w:pStyle w:val="berschrift3"/>
      </w:pPr>
      <w:bookmarkStart w:id="10" w:name="_Toc235867973"/>
      <w:r>
        <w:t>3.2</w:t>
      </w:r>
      <w:r>
        <w:br/>
        <w:t>Eignungsnachweis und Güteüberwachung</w:t>
      </w:r>
      <w:bookmarkEnd w:id="10"/>
    </w:p>
    <w:p>
      <w:pPr>
        <w:pStyle w:val="GesAbsatz"/>
      </w:pPr>
      <w:r>
        <w:t>Die Güteüberwachung besteht aus Eigen- und Fremdüberwachung. Der Eignungsnachweis und die Prüfungen im Rahmen der Fremdüberwachung sind von Prüfstellen durchzuführen, die von der obersten Straßenbaubehörde nach den "Richtlinien für die Anerkennung und Überwachung von Prüfstellen für bituminöse und mineralische Baustoffe und Baustoffgemische im Straßenbau, RAP Stra" sowie dem Gem. RdErl. d. Ministeriums für Stadtentwicklung und Verkehr u. d. Ministeriums für Umwelt, Raumordnung und Landwirtschaft v. 28.3.1991 - Prüfstellen für den Straßenbau - (SMBl. NRW. 913) anerkannt sind.</w:t>
      </w:r>
    </w:p>
    <w:p>
      <w:pPr>
        <w:pStyle w:val="GesAbsatz"/>
      </w:pPr>
      <w:r>
        <w:t>Die anerkannte Prüfstelle kann sich eines Instituts zur Überprüfung der wasserwirtschaftlichen Merkmale (Prüfungskatalog der jeweiligen Stoffe) bedienen. Dieses Institut</w:t>
      </w:r>
      <w:r>
        <w:rPr>
          <w:i/>
          <w:iCs/>
        </w:rPr>
        <w:t xml:space="preserve"> </w:t>
      </w:r>
      <w:r>
        <w:t>muss ebenfalls nach dem o. g. Gem. RdErl. anerkannt sein. Die Ergebnisse der Untersuchungen werden von diesem Institut der mit der Fremdüberwachung beauftragten Prüfstelle zugeleitet. Diese bleibt den Straßenbaubehörden gegenüber verantwortlich. Im Prüfzeugnis ist jeweils der gemessene Wert einschließlich der Bestimmungsgrenze anzugeben. Bei Wiederholungsprüfungen sind alle gemessenen Werte, einschließlich der beanstandeten, zu dokumentieren.</w:t>
      </w:r>
    </w:p>
    <w:p>
      <w:pPr>
        <w:pStyle w:val="berschrift3"/>
      </w:pPr>
      <w:bookmarkStart w:id="11" w:name="_Toc235867974"/>
      <w:r>
        <w:t>3.3</w:t>
      </w:r>
      <w:r>
        <w:br/>
        <w:t>Ergänzende Regelungen zu den RG Min-StB 93</w:t>
      </w:r>
      <w:bookmarkEnd w:id="11"/>
    </w:p>
    <w:p>
      <w:pPr>
        <w:pStyle w:val="GesAbsatz"/>
      </w:pPr>
      <w:r>
        <w:t>Die Eigenüberwachung der wasserwirtschaftlichen Merkmale ist gemäß Tabelle 2 (s. Anlage 3) durchzuführen. Schnelltestverfahren dürfen eingesetzt werden, wenn der Nachweis erbracht wird, dass vergleichbare Ergebnisse erzielt werden. Hierüber befindet die fremdüberwachende Prüfstelle.</w:t>
      </w:r>
    </w:p>
    <w:p>
      <w:pPr>
        <w:pStyle w:val="GesAbsatz"/>
      </w:pPr>
      <w:r>
        <w:t>Alle Kenngrößen werden bei den Untersuchungen grundsätzlich nach DIN-Vorschriften bzw. gebräuchlichen und erprobten Analysenverfahren (Bezugsverfahren) bestimmt.</w:t>
      </w:r>
    </w:p>
    <w:p>
      <w:pPr>
        <w:pStyle w:val="GesAbsatz"/>
      </w:pPr>
      <w:r>
        <w:t>Abweichungen von den DIN-Vorschriften sind in begründeten Fällen (z. B. beim Einsatz automatischer Geräte bei der Serienanalyse) zulässig, sofern die Gleichwertigkeit des angewendeten Analysenverfahrens nachgewiesen ist. Abweichungen von der angegebenen Methodik sind zu dokumentieren.</w:t>
      </w:r>
    </w:p>
    <w:p>
      <w:pPr>
        <w:pStyle w:val="GesAbsatz"/>
      </w:pPr>
      <w:r>
        <w:lastRenderedPageBreak/>
        <w:t>Alternativverfahren sind so auszuwählen, dass die Kenngrößen in ihren möglichen Schwankungsbreiten erfasst werden können.</w:t>
      </w:r>
    </w:p>
    <w:p>
      <w:pPr>
        <w:pStyle w:val="GesAbsatz"/>
      </w:pPr>
      <w:r>
        <w:t>Vor dem erstmaligen Einsatz eines Alternativverfahrens ist bei mind. 2 Messungen durch Vergleichsmessungen mit dem Bezugsverfahren die Eignung festzustellen und das Laborpersonal einzuweisen.</w:t>
      </w:r>
    </w:p>
    <w:p>
      <w:pPr>
        <w:pStyle w:val="GesAbsatz"/>
      </w:pPr>
      <w:r>
        <w:t>Beim Einsatz von Alternativverfahren sind in halbjährlichem Abstand Parallelmessungen mit dem Bezugsverfahren durchzuführen. Wenn die dabei festgestellten Abweichungen die in der Tabelle 3 (s. Anlage 3) zugelassenen Abweichungen überschreiten, muss eine Überprüfung erfolgen.</w:t>
      </w:r>
    </w:p>
    <w:p>
      <w:pPr>
        <w:pStyle w:val="berschrift3"/>
      </w:pPr>
      <w:bookmarkStart w:id="12" w:name="_Toc235867975"/>
      <w:r>
        <w:t>3.4</w:t>
      </w:r>
      <w:r>
        <w:br/>
        <w:t>Grenzwerte für die wasserwirtschaftlichen Merkmale</w:t>
      </w:r>
      <w:bookmarkEnd w:id="12"/>
    </w:p>
    <w:p>
      <w:pPr>
        <w:pStyle w:val="GesAbsatz"/>
      </w:pPr>
      <w:r>
        <w:t>Die Grenzwerte für wasserwirtschaftliche Merkmale sind stoffspezifische Werte. Die Auswahl der Parameter orientiert sich an den möglichen Belastungsquellen, wobei nur diejenigen Parameter aufgeführt sind, die in grundwasserrelevanten Konzentrationen auftreten können. Die Höhe der zugeordneten Grenzwerte entspricht dem oberen Konzentrationsniveau der üblicherweise vorkommenden Schwankungen.</w:t>
      </w:r>
    </w:p>
    <w:p>
      <w:pPr>
        <w:pStyle w:val="GesAbsatz"/>
      </w:pPr>
      <w:r>
        <w:t>Die Einhaltung der Grenzwerte ist Grundvoraussetzung für die Verwendbarkeit der Mineralstoffe im Erd- und Straßenbau gemäß Nr.4 dieses Erlasses. Zur Beurteilung der aus Sicht des Grundwasserschutzes möglichen Verwertung ist daher im Anwendungsfall die Bauweise und die Lage der Baumaßnahme zu berücksichtigen.</w:t>
      </w:r>
    </w:p>
    <w:p>
      <w:pPr>
        <w:pStyle w:val="GesAbsatz"/>
      </w:pPr>
      <w:r>
        <w:t>Für die wasserwirtschaftlichen Merkmale von HMVA gelten die Regelungen dieses Erlasses. Dies gilt auch, sofern in Technischen Lieferbedingungen aufgeführte Grenzwerte nicht mit denen dieses Erlasses übereinstimmen.</w:t>
      </w:r>
    </w:p>
    <w:p>
      <w:pPr>
        <w:pStyle w:val="GesAbsatz"/>
      </w:pPr>
      <w:r>
        <w:t xml:space="preserve">Die Grenzwerte der Tabellen 4 a und 4 b (s. Anlage 3) sind einzuhalten. Überschreitungen sind nur tolerierbar, wenn sie geringfügig und nicht systematisch sind. Eine systematische Überschreitung liegt vor, wenn der zulässige Grenzwert eines Merkmals bei zwei aufeinanderfolgenden Fremdüberwachungsprüfungen überschritten wird. Eine geringfügige, tolerierbare Überschreitung ist gegeben, wenn bei HMVA I + II max. je 1 Merkmal aus 2 der 4 Kenngrößengruppen in Tabelle 5 (s. Anlage 3) den Grenzwert der </w:t>
      </w:r>
      <w:r>
        <w:rPr>
          <w:i/>
          <w:iCs/>
        </w:rPr>
        <w:t>Tabelle 4 a</w:t>
      </w:r>
      <w:r>
        <w:t xml:space="preserve"> / 4 </w:t>
      </w:r>
      <w:r>
        <w:rPr>
          <w:i/>
          <w:iCs/>
        </w:rPr>
        <w:t>b</w:t>
      </w:r>
      <w:r>
        <w:t xml:space="preserve"> um nicht mehr als die angegebenen Prozentwerte überschreitet. Sofern in Tabelle 5 ein Merkmal der Kenngrößengruppe 1 im tolerierbaren Rahmen überschritten wird, darf zusätzlich auch der Grenzwert der elektrischen Leitfähigkeit (Kenngrößengruppe 2) um den angegebenen Prozentwert überschritten werden.</w:t>
      </w:r>
    </w:p>
    <w:p>
      <w:pPr>
        <w:pStyle w:val="GesAbsatz"/>
      </w:pPr>
      <w:r>
        <w:t>Die Liste der Lieferwerke für Mineralstoffe in Nordrhein-Westfalen und deren Erzeugnisse, die der Güteüberwachung unterliegen sowie deutscher und ausländischer Werke und deren güteüberwachte Erzeugnisse (s. Ziff. 2.4.2 der RG Min), sind beim Ministerium für Wirtschaft, Mittelstand, Energie und Verkehr, Referat VI A 3 in 40190 Düsseldorf, erhältlich.</w:t>
      </w:r>
    </w:p>
    <w:p>
      <w:pPr>
        <w:pStyle w:val="berschrift2"/>
      </w:pPr>
      <w:bookmarkStart w:id="13" w:name="_Toc235867976"/>
      <w:r>
        <w:t>4</w:t>
      </w:r>
      <w:r>
        <w:br/>
        <w:t>Einsatz und Verwertungsgebiete</w:t>
      </w:r>
      <w:bookmarkEnd w:id="13"/>
    </w:p>
    <w:p>
      <w:pPr>
        <w:pStyle w:val="GesAbsatz"/>
      </w:pPr>
      <w:r>
        <w:t>In den Anlagen 1 und 2 „Einsatz/Verwertungsgebiete“ (Erläuterungen siehe Anhang 1) ist aufgezeigt, unter welchen Maßgaben die Verwertung von HMVA I und HMVA II zulässig ist.</w:t>
      </w:r>
    </w:p>
    <w:p>
      <w:pPr>
        <w:pStyle w:val="GesAbsatz"/>
      </w:pPr>
      <w:r>
        <w:t>Hausmüllverbrennungsaschen dürfen nicht in Schutzzonen I und II von Wasserschutzgebieten oder Heilquellenschutzgebieten eingebaut werden. Gemische gemäß Tabelle 1 dieses Erlasses dürfen nur dann eingesetzt werden, wenn beide mineralischen Stoffe für das vorgesehene Verwertungsgebiet zugelassen sind.</w:t>
      </w:r>
    </w:p>
    <w:p>
      <w:pPr>
        <w:pStyle w:val="GesAbsatz"/>
      </w:pPr>
      <w:r>
        <w:t>Gemische gemäß Tabelle 1 dieses Erlasses dürfen nur dann eingesetzt werden, wenn beide mineralischen Stoffe für das vorgesehene Verwertungsgebiet zugelassen sind.</w:t>
      </w:r>
    </w:p>
    <w:p>
      <w:pPr>
        <w:pStyle w:val="GesAbsatz"/>
      </w:pPr>
      <w:r>
        <w:t xml:space="preserve">Bei der Verwendung von HMVA ist sicherzustellen, dass bei Aufgrabungen im Straßenkörper die ausgebauten Stoffe getrennt gelagert und nach Vorgabe dieses Erlasses behandelt werden. Dies gilt insbesondere beim Einsatz innerhalb geschlossener Ortslagen. </w:t>
      </w:r>
    </w:p>
    <w:p>
      <w:pPr>
        <w:pStyle w:val="GesAbsatz"/>
      </w:pPr>
      <w:r>
        <w:t xml:space="preserve">Auch Materialzulieferungen in geringem Umfang von HMVA müssen den Maßgaben dieses Erlasses genügen. </w:t>
      </w:r>
    </w:p>
    <w:p>
      <w:pPr>
        <w:pStyle w:val="berschrift2"/>
      </w:pPr>
      <w:bookmarkStart w:id="14" w:name="_Toc235867977"/>
      <w:r>
        <w:t>5</w:t>
      </w:r>
      <w:r>
        <w:br/>
        <w:t>Dokumentation</w:t>
      </w:r>
      <w:bookmarkEnd w:id="14"/>
    </w:p>
    <w:p>
      <w:pPr>
        <w:pStyle w:val="GesAbsatz"/>
      </w:pPr>
      <w:r>
        <w:t xml:space="preserve">Der Träger der Baumaßnahme hat </w:t>
      </w:r>
    </w:p>
    <w:p>
      <w:pPr>
        <w:pStyle w:val="GesAbsatz"/>
        <w:tabs>
          <w:tab w:val="clear" w:pos="425"/>
          <w:tab w:val="left" w:pos="360"/>
        </w:tabs>
      </w:pPr>
      <w:r>
        <w:t>-</w:t>
      </w:r>
      <w:r>
        <w:tab/>
        <w:t>Art und Herkunft des mineralischen Stoffes</w:t>
      </w:r>
    </w:p>
    <w:p>
      <w:pPr>
        <w:pStyle w:val="GesAbsatz"/>
        <w:tabs>
          <w:tab w:val="clear" w:pos="425"/>
          <w:tab w:val="left" w:pos="360"/>
        </w:tabs>
      </w:pPr>
      <w:r>
        <w:t>-</w:t>
      </w:r>
      <w:r>
        <w:tab/>
        <w:t>Gütenachweis einschließlich Analysenergebnisse</w:t>
      </w:r>
    </w:p>
    <w:p>
      <w:pPr>
        <w:pStyle w:val="GesAbsatz"/>
        <w:tabs>
          <w:tab w:val="clear" w:pos="425"/>
          <w:tab w:val="left" w:pos="360"/>
        </w:tabs>
      </w:pPr>
      <w:r>
        <w:t>-</w:t>
      </w:r>
      <w:r>
        <w:tab/>
        <w:t>eingebaute Menge</w:t>
      </w:r>
    </w:p>
    <w:p>
      <w:pPr>
        <w:pStyle w:val="GesAbsatz"/>
        <w:tabs>
          <w:tab w:val="clear" w:pos="425"/>
          <w:tab w:val="left" w:pos="360"/>
        </w:tabs>
      </w:pPr>
      <w:r>
        <w:lastRenderedPageBreak/>
        <w:t>-</w:t>
      </w:r>
      <w:r>
        <w:tab/>
        <w:t>Ort des Einbaus und Einbauweise</w:t>
      </w:r>
    </w:p>
    <w:p>
      <w:pPr>
        <w:pStyle w:val="GesAbsatz"/>
      </w:pPr>
      <w:r>
        <w:t>zu dokumentieren.</w:t>
      </w:r>
    </w:p>
    <w:p>
      <w:pPr>
        <w:pStyle w:val="GesAbsatz"/>
        <w:jc w:val="left"/>
        <w:sectPr>
          <w:headerReference w:type="default" r:id="rId8"/>
          <w:footerReference w:type="default" r:id="rId9"/>
          <w:pgSz w:w="11906" w:h="16838" w:code="9"/>
          <w:pgMar w:top="1134" w:right="851" w:bottom="1134" w:left="1418" w:header="709" w:footer="709" w:gutter="0"/>
          <w:cols w:space="708"/>
          <w:docGrid w:linePitch="360"/>
        </w:sectPr>
      </w:pPr>
      <w:r>
        <w:t>Die Aufzeichnungen sind zusammen mit der Bauakte aufzubewahren.</w:t>
      </w:r>
    </w:p>
    <w:p>
      <w:pPr>
        <w:pStyle w:val="berschrift2"/>
        <w:jc w:val="left"/>
      </w:pPr>
      <w:bookmarkStart w:id="15" w:name="_Toc235867978"/>
      <w:r>
        <w:lastRenderedPageBreak/>
        <w:t>Anlage 1</w:t>
      </w:r>
      <w:bookmarkEnd w:id="15"/>
      <w:r>
        <w:br/>
      </w:r>
    </w:p>
    <w:tbl>
      <w:tblPr>
        <w:tblW w:w="14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5"/>
        <w:gridCol w:w="456"/>
        <w:gridCol w:w="2856"/>
        <w:gridCol w:w="857"/>
        <w:gridCol w:w="743"/>
        <w:gridCol w:w="858"/>
        <w:gridCol w:w="743"/>
        <w:gridCol w:w="858"/>
        <w:gridCol w:w="743"/>
        <w:gridCol w:w="1600"/>
        <w:gridCol w:w="858"/>
        <w:gridCol w:w="743"/>
        <w:gridCol w:w="858"/>
        <w:gridCol w:w="743"/>
        <w:gridCol w:w="858"/>
        <w:gridCol w:w="743"/>
      </w:tblGrid>
      <w:tr>
        <w:trPr>
          <w:cantSplit/>
        </w:trPr>
        <w:tc>
          <w:tcPr>
            <w:tcW w:w="3597" w:type="dxa"/>
            <w:gridSpan w:val="3"/>
            <w:vMerge w:val="restart"/>
            <w:vAlign w:val="center"/>
          </w:tcPr>
          <w:p>
            <w:pPr>
              <w:pStyle w:val="GesAbsatz"/>
              <w:jc w:val="center"/>
              <w:rPr>
                <w:b/>
                <w:bCs/>
                <w:sz w:val="18"/>
              </w:rPr>
            </w:pPr>
            <w:r>
              <w:rPr>
                <w:b/>
                <w:bCs/>
              </w:rPr>
              <w:t xml:space="preserve">Baustoff: </w:t>
            </w:r>
            <w:r>
              <w:rPr>
                <w:b/>
                <w:bCs/>
              </w:rPr>
              <w:br/>
              <w:t>Hausmüllverbrennungs-Asche</w:t>
            </w:r>
            <w:r>
              <w:rPr>
                <w:b/>
                <w:bCs/>
              </w:rPr>
              <w:br/>
              <w:t>(HMVA I)</w:t>
            </w:r>
          </w:p>
        </w:tc>
        <w:tc>
          <w:tcPr>
            <w:tcW w:w="11205" w:type="dxa"/>
            <w:gridSpan w:val="13"/>
          </w:tcPr>
          <w:p>
            <w:pPr>
              <w:pStyle w:val="GesAbsatz"/>
              <w:jc w:val="center"/>
              <w:rPr>
                <w:sz w:val="18"/>
                <w:lang w:val="it-IT"/>
              </w:rPr>
            </w:pPr>
            <w:r>
              <w:rPr>
                <w:b/>
                <w:bCs/>
                <w:sz w:val="18"/>
                <w:lang w:val="it-IT"/>
              </w:rPr>
              <w:t>V e r w e r t u n g s g e b i e t e</w:t>
            </w:r>
          </w:p>
        </w:tc>
      </w:tr>
      <w:tr>
        <w:trPr>
          <w:cantSplit/>
        </w:trPr>
        <w:tc>
          <w:tcPr>
            <w:tcW w:w="3597" w:type="dxa"/>
            <w:gridSpan w:val="3"/>
            <w:vMerge/>
          </w:tcPr>
          <w:p>
            <w:pPr>
              <w:pStyle w:val="GesAbsatz"/>
              <w:rPr>
                <w:sz w:val="18"/>
                <w:lang w:val="it-IT"/>
              </w:rPr>
            </w:pPr>
          </w:p>
        </w:tc>
        <w:tc>
          <w:tcPr>
            <w:tcW w:w="1600" w:type="dxa"/>
            <w:gridSpan w:val="2"/>
            <w:vMerge w:val="restart"/>
          </w:tcPr>
          <w:p>
            <w:pPr>
              <w:pStyle w:val="GesAbsatz"/>
              <w:jc w:val="center"/>
              <w:rPr>
                <w:b/>
                <w:bCs/>
                <w:sz w:val="18"/>
                <w:u w:val="single"/>
              </w:rPr>
            </w:pPr>
            <w:r>
              <w:rPr>
                <w:b/>
                <w:bCs/>
                <w:sz w:val="18"/>
                <w:u w:val="single"/>
              </w:rPr>
              <w:t>Außerhalb</w:t>
            </w:r>
          </w:p>
          <w:p>
            <w:pPr>
              <w:pStyle w:val="GesAbsatz"/>
              <w:jc w:val="center"/>
              <w:rPr>
                <w:b/>
                <w:bCs/>
                <w:sz w:val="18"/>
                <w:u w:val="single"/>
              </w:rPr>
            </w:pPr>
          </w:p>
          <w:p>
            <w:pPr>
              <w:pStyle w:val="GesAbsatz"/>
              <w:jc w:val="center"/>
              <w:rPr>
                <w:sz w:val="18"/>
              </w:rPr>
            </w:pPr>
            <w:r>
              <w:rPr>
                <w:sz w:val="18"/>
              </w:rPr>
              <w:t xml:space="preserve">wasserwirtschaftlich bedeutender u. empfindlicher sowie hydrogeologisch </w:t>
            </w:r>
            <w:r>
              <w:rPr>
                <w:sz w:val="18"/>
              </w:rPr>
              <w:br/>
              <w:t>sensitiver Gebiete (Spalten 2-7)</w:t>
            </w:r>
          </w:p>
        </w:tc>
        <w:tc>
          <w:tcPr>
            <w:tcW w:w="9605" w:type="dxa"/>
            <w:gridSpan w:val="11"/>
          </w:tcPr>
          <w:p>
            <w:pPr>
              <w:pStyle w:val="GesAbsatz"/>
              <w:jc w:val="center"/>
              <w:rPr>
                <w:sz w:val="18"/>
              </w:rPr>
            </w:pPr>
            <w:r>
              <w:rPr>
                <w:b/>
                <w:bCs/>
                <w:sz w:val="18"/>
                <w:u w:val="single"/>
              </w:rPr>
              <w:t>Innerhalb</w:t>
            </w:r>
            <w:r>
              <w:rPr>
                <w:sz w:val="18"/>
              </w:rPr>
              <w:br/>
              <w:t>wasserwirtschaftlich bedeutender und empfindlicher sowie hydrogeologisch sensitiver Gebiete</w:t>
            </w:r>
          </w:p>
        </w:tc>
      </w:tr>
      <w:tr>
        <w:trPr>
          <w:cantSplit/>
        </w:trPr>
        <w:tc>
          <w:tcPr>
            <w:tcW w:w="3597" w:type="dxa"/>
            <w:gridSpan w:val="3"/>
            <w:vMerge/>
          </w:tcPr>
          <w:p>
            <w:pPr>
              <w:pStyle w:val="GesAbsatz"/>
              <w:rPr>
                <w:sz w:val="18"/>
              </w:rPr>
            </w:pPr>
          </w:p>
        </w:tc>
        <w:tc>
          <w:tcPr>
            <w:tcW w:w="1600" w:type="dxa"/>
            <w:gridSpan w:val="2"/>
            <w:vMerge/>
          </w:tcPr>
          <w:p>
            <w:pPr>
              <w:pStyle w:val="GesAbsatz"/>
              <w:jc w:val="center"/>
              <w:rPr>
                <w:sz w:val="18"/>
              </w:rPr>
            </w:pPr>
          </w:p>
        </w:tc>
        <w:tc>
          <w:tcPr>
            <w:tcW w:w="1601" w:type="dxa"/>
            <w:gridSpan w:val="2"/>
          </w:tcPr>
          <w:p>
            <w:pPr>
              <w:pStyle w:val="GesAbsatz"/>
              <w:jc w:val="center"/>
              <w:rPr>
                <w:sz w:val="18"/>
              </w:rPr>
            </w:pPr>
            <w:r>
              <w:rPr>
                <w:sz w:val="18"/>
              </w:rPr>
              <w:t>Porengrundwasserleiter und wenig durchlässige Kluftgrundwasserleiter ohne ausreichende Deckschichten</w:t>
            </w:r>
          </w:p>
        </w:tc>
        <w:tc>
          <w:tcPr>
            <w:tcW w:w="1601" w:type="dxa"/>
            <w:gridSpan w:val="2"/>
          </w:tcPr>
          <w:p>
            <w:pPr>
              <w:pStyle w:val="GesAbsatz"/>
              <w:jc w:val="center"/>
              <w:rPr>
                <w:sz w:val="18"/>
              </w:rPr>
            </w:pPr>
            <w:r>
              <w:rPr>
                <w:sz w:val="18"/>
              </w:rPr>
              <w:t>gut durchlässige Kluftgrundwasserleiter einschl. Karstgrundwasserleiter ohne ausreichende Deckschichten</w:t>
            </w:r>
          </w:p>
        </w:tc>
        <w:tc>
          <w:tcPr>
            <w:tcW w:w="1600" w:type="dxa"/>
          </w:tcPr>
          <w:p>
            <w:pPr>
              <w:pStyle w:val="GesAbsatz"/>
              <w:jc w:val="center"/>
              <w:rPr>
                <w:sz w:val="18"/>
              </w:rPr>
            </w:pPr>
            <w:r>
              <w:rPr>
                <w:sz w:val="18"/>
              </w:rPr>
              <w:t>20 m breite Randstreifen an kleinen Gewässern: Hochwasser-Retentionsräume</w:t>
            </w:r>
          </w:p>
        </w:tc>
        <w:tc>
          <w:tcPr>
            <w:tcW w:w="1601" w:type="dxa"/>
            <w:gridSpan w:val="2"/>
          </w:tcPr>
          <w:p>
            <w:pPr>
              <w:pStyle w:val="GesAbsatz"/>
              <w:jc w:val="center"/>
              <w:rPr>
                <w:sz w:val="18"/>
                <w:lang w:val="en-GB"/>
              </w:rPr>
            </w:pPr>
            <w:r>
              <w:rPr>
                <w:sz w:val="18"/>
                <w:lang w:val="en-GB"/>
              </w:rPr>
              <w:t>WSG III B</w:t>
            </w:r>
          </w:p>
          <w:p>
            <w:pPr>
              <w:pStyle w:val="GesAbsatz"/>
              <w:jc w:val="center"/>
              <w:rPr>
                <w:sz w:val="18"/>
                <w:lang w:val="en-GB"/>
              </w:rPr>
            </w:pPr>
            <w:r>
              <w:rPr>
                <w:sz w:val="18"/>
                <w:lang w:val="en-GB"/>
              </w:rPr>
              <w:t>HSG IV</w:t>
            </w:r>
          </w:p>
        </w:tc>
        <w:tc>
          <w:tcPr>
            <w:tcW w:w="1601" w:type="dxa"/>
            <w:gridSpan w:val="2"/>
          </w:tcPr>
          <w:p>
            <w:pPr>
              <w:pStyle w:val="GesAbsatz"/>
              <w:jc w:val="center"/>
              <w:rPr>
                <w:sz w:val="18"/>
                <w:lang w:val="en-GB"/>
              </w:rPr>
            </w:pPr>
            <w:r>
              <w:rPr>
                <w:sz w:val="18"/>
                <w:lang w:val="en-GB"/>
              </w:rPr>
              <w:t>WSG III A</w:t>
            </w:r>
          </w:p>
          <w:p>
            <w:pPr>
              <w:pStyle w:val="GesAbsatz"/>
              <w:jc w:val="center"/>
              <w:rPr>
                <w:sz w:val="18"/>
                <w:lang w:val="en-US"/>
              </w:rPr>
            </w:pPr>
            <w:r>
              <w:rPr>
                <w:sz w:val="18"/>
                <w:lang w:val="en-US"/>
              </w:rPr>
              <w:t>HSG III</w:t>
            </w:r>
          </w:p>
        </w:tc>
        <w:tc>
          <w:tcPr>
            <w:tcW w:w="1601" w:type="dxa"/>
            <w:gridSpan w:val="2"/>
          </w:tcPr>
          <w:p>
            <w:pPr>
              <w:pStyle w:val="GesAbsatz"/>
              <w:jc w:val="center"/>
              <w:rPr>
                <w:sz w:val="18"/>
              </w:rPr>
            </w:pPr>
            <w:r>
              <w:rPr>
                <w:sz w:val="18"/>
              </w:rPr>
              <w:t>Bereich zum Schutz der Gewässer nach Landesplanungsrecht</w:t>
            </w:r>
          </w:p>
        </w:tc>
      </w:tr>
      <w:tr>
        <w:trPr>
          <w:cantSplit/>
        </w:trPr>
        <w:tc>
          <w:tcPr>
            <w:tcW w:w="285" w:type="dxa"/>
            <w:vMerge w:val="restart"/>
            <w:vAlign w:val="center"/>
          </w:tcPr>
          <w:p>
            <w:pPr>
              <w:pStyle w:val="GesAbsatz"/>
              <w:jc w:val="center"/>
              <w:rPr>
                <w:b/>
                <w:bCs/>
              </w:rPr>
            </w:pPr>
            <w:r>
              <w:rPr>
                <w:b/>
                <w:bCs/>
              </w:rPr>
              <w:t>STRAßENOBERBAU</w:t>
            </w:r>
          </w:p>
        </w:tc>
        <w:tc>
          <w:tcPr>
            <w:tcW w:w="456" w:type="dxa"/>
            <w:vMerge w:val="restart"/>
          </w:tcPr>
          <w:p>
            <w:pPr>
              <w:pStyle w:val="GesAbsatz"/>
              <w:jc w:val="left"/>
              <w:rPr>
                <w:sz w:val="18"/>
              </w:rPr>
            </w:pPr>
            <w:r>
              <w:rPr>
                <w:sz w:val="18"/>
              </w:rPr>
              <w:t>lfd. Nr.</w:t>
            </w:r>
          </w:p>
        </w:tc>
        <w:tc>
          <w:tcPr>
            <w:tcW w:w="2856" w:type="dxa"/>
            <w:vMerge w:val="restart"/>
            <w:vAlign w:val="center"/>
          </w:tcPr>
          <w:p>
            <w:pPr>
              <w:pStyle w:val="GesAbsatz"/>
              <w:jc w:val="center"/>
              <w:rPr>
                <w:sz w:val="18"/>
              </w:rPr>
            </w:pPr>
            <w:r>
              <w:rPr>
                <w:sz w:val="18"/>
              </w:rPr>
              <w:t>Einsatz</w:t>
            </w:r>
          </w:p>
        </w:tc>
        <w:tc>
          <w:tcPr>
            <w:tcW w:w="1600" w:type="dxa"/>
            <w:gridSpan w:val="2"/>
          </w:tcPr>
          <w:p>
            <w:pPr>
              <w:pStyle w:val="GesAbsatz"/>
              <w:jc w:val="center"/>
              <w:rPr>
                <w:sz w:val="18"/>
              </w:rPr>
            </w:pPr>
            <w:r>
              <w:rPr>
                <w:sz w:val="18"/>
              </w:rPr>
              <w:t>1</w:t>
            </w:r>
          </w:p>
        </w:tc>
        <w:tc>
          <w:tcPr>
            <w:tcW w:w="1601" w:type="dxa"/>
            <w:gridSpan w:val="2"/>
          </w:tcPr>
          <w:p>
            <w:pPr>
              <w:pStyle w:val="GesAbsatz"/>
              <w:jc w:val="center"/>
              <w:rPr>
                <w:sz w:val="18"/>
              </w:rPr>
            </w:pPr>
            <w:r>
              <w:rPr>
                <w:sz w:val="18"/>
              </w:rPr>
              <w:t>2</w:t>
            </w:r>
          </w:p>
        </w:tc>
        <w:tc>
          <w:tcPr>
            <w:tcW w:w="1601" w:type="dxa"/>
            <w:gridSpan w:val="2"/>
          </w:tcPr>
          <w:p>
            <w:pPr>
              <w:pStyle w:val="GesAbsatz"/>
              <w:jc w:val="center"/>
              <w:rPr>
                <w:sz w:val="18"/>
              </w:rPr>
            </w:pPr>
            <w:r>
              <w:rPr>
                <w:sz w:val="18"/>
              </w:rPr>
              <w:t>3</w:t>
            </w:r>
          </w:p>
        </w:tc>
        <w:tc>
          <w:tcPr>
            <w:tcW w:w="1600" w:type="dxa"/>
          </w:tcPr>
          <w:p>
            <w:pPr>
              <w:pStyle w:val="GesAbsatz"/>
              <w:jc w:val="center"/>
              <w:rPr>
                <w:sz w:val="18"/>
              </w:rPr>
            </w:pPr>
            <w:r>
              <w:rPr>
                <w:sz w:val="18"/>
              </w:rPr>
              <w:t>4</w:t>
            </w:r>
          </w:p>
        </w:tc>
        <w:tc>
          <w:tcPr>
            <w:tcW w:w="1601" w:type="dxa"/>
            <w:gridSpan w:val="2"/>
          </w:tcPr>
          <w:p>
            <w:pPr>
              <w:pStyle w:val="GesAbsatz"/>
              <w:jc w:val="center"/>
              <w:rPr>
                <w:sz w:val="18"/>
              </w:rPr>
            </w:pPr>
            <w:r>
              <w:rPr>
                <w:sz w:val="18"/>
              </w:rPr>
              <w:t>5</w:t>
            </w:r>
          </w:p>
        </w:tc>
        <w:tc>
          <w:tcPr>
            <w:tcW w:w="1601" w:type="dxa"/>
            <w:gridSpan w:val="2"/>
          </w:tcPr>
          <w:p>
            <w:pPr>
              <w:pStyle w:val="GesAbsatz"/>
              <w:jc w:val="center"/>
              <w:rPr>
                <w:sz w:val="18"/>
              </w:rPr>
            </w:pPr>
            <w:r>
              <w:rPr>
                <w:sz w:val="18"/>
              </w:rPr>
              <w:t>6</w:t>
            </w:r>
          </w:p>
        </w:tc>
        <w:tc>
          <w:tcPr>
            <w:tcW w:w="1601" w:type="dxa"/>
            <w:gridSpan w:val="2"/>
          </w:tcPr>
          <w:p>
            <w:pPr>
              <w:pStyle w:val="GesAbsatz"/>
              <w:jc w:val="center"/>
              <w:rPr>
                <w:sz w:val="18"/>
              </w:rPr>
            </w:pPr>
            <w:r>
              <w:rPr>
                <w:sz w:val="18"/>
              </w:rPr>
              <w:t>7</w:t>
            </w:r>
          </w:p>
        </w:tc>
      </w:tr>
      <w:tr>
        <w:trPr>
          <w:cantSplit/>
        </w:trPr>
        <w:tc>
          <w:tcPr>
            <w:tcW w:w="285" w:type="dxa"/>
            <w:vMerge/>
          </w:tcPr>
          <w:p>
            <w:pPr>
              <w:pStyle w:val="GesAbsatz"/>
              <w:jc w:val="left"/>
              <w:rPr>
                <w:sz w:val="18"/>
              </w:rPr>
            </w:pPr>
          </w:p>
        </w:tc>
        <w:tc>
          <w:tcPr>
            <w:tcW w:w="456" w:type="dxa"/>
            <w:vMerge/>
          </w:tcPr>
          <w:p>
            <w:pPr>
              <w:pStyle w:val="GesAbsatz"/>
              <w:jc w:val="left"/>
              <w:rPr>
                <w:sz w:val="18"/>
              </w:rPr>
            </w:pPr>
          </w:p>
        </w:tc>
        <w:tc>
          <w:tcPr>
            <w:tcW w:w="2856" w:type="dxa"/>
            <w:vMerge/>
          </w:tcPr>
          <w:p>
            <w:pPr>
              <w:pStyle w:val="GesAbsatz"/>
              <w:jc w:val="left"/>
              <w:rPr>
                <w:sz w:val="18"/>
              </w:rPr>
            </w:pPr>
          </w:p>
        </w:tc>
        <w:tc>
          <w:tcPr>
            <w:tcW w:w="857" w:type="dxa"/>
          </w:tcPr>
          <w:p>
            <w:pPr>
              <w:pStyle w:val="GesAbsatz"/>
              <w:jc w:val="left"/>
              <w:rPr>
                <w:sz w:val="18"/>
              </w:rPr>
            </w:pPr>
            <w:r>
              <w:rPr>
                <w:sz w:val="18"/>
              </w:rPr>
              <w:t xml:space="preserve">GW </w:t>
            </w:r>
            <w:r>
              <w:rPr>
                <w:rFonts w:hint="eastAsia"/>
                <w:sz w:val="18"/>
              </w:rPr>
              <w:sym w:font="Symbol" w:char="F0A3"/>
            </w:r>
            <w:r>
              <w:rPr>
                <w:sz w:val="18"/>
              </w:rPr>
              <w:t>1</w:t>
            </w:r>
            <w:r>
              <w:rPr>
                <w:sz w:val="18"/>
              </w:rPr>
              <w:br/>
              <w:t>GW &gt;0,1</w:t>
            </w:r>
          </w:p>
        </w:tc>
        <w:tc>
          <w:tcPr>
            <w:tcW w:w="743" w:type="dxa"/>
          </w:tcPr>
          <w:p>
            <w:pPr>
              <w:pStyle w:val="GesAbsatz"/>
              <w:jc w:val="left"/>
              <w:rPr>
                <w:sz w:val="18"/>
                <w:lang w:val="en-GB"/>
              </w:rPr>
            </w:pPr>
            <w:r>
              <w:rPr>
                <w:sz w:val="18"/>
                <w:lang w:val="en-GB"/>
              </w:rPr>
              <w:t>GW &gt;1</w:t>
            </w:r>
          </w:p>
        </w:tc>
        <w:tc>
          <w:tcPr>
            <w:tcW w:w="858" w:type="dxa"/>
          </w:tcPr>
          <w:p>
            <w:pPr>
              <w:pStyle w:val="GesAbsatz"/>
              <w:jc w:val="left"/>
              <w:rPr>
                <w:sz w:val="18"/>
                <w:lang w:val="en-GB"/>
              </w:rPr>
            </w:pPr>
            <w:r>
              <w:rPr>
                <w:sz w:val="18"/>
                <w:lang w:val="en-GB"/>
              </w:rPr>
              <w:t xml:space="preserve">GW </w:t>
            </w:r>
            <w:r>
              <w:rPr>
                <w:rFonts w:hint="eastAsia"/>
                <w:sz w:val="18"/>
              </w:rPr>
              <w:sym w:font="Symbol" w:char="F0A3"/>
            </w:r>
            <w:r>
              <w:rPr>
                <w:sz w:val="18"/>
                <w:lang w:val="en-GB"/>
              </w:rPr>
              <w:t>1</w:t>
            </w:r>
            <w:r>
              <w:rPr>
                <w:sz w:val="18"/>
                <w:lang w:val="en-GB"/>
              </w:rPr>
              <w:br/>
              <w:t>GW &gt;0,1</w:t>
            </w:r>
          </w:p>
        </w:tc>
        <w:tc>
          <w:tcPr>
            <w:tcW w:w="743" w:type="dxa"/>
          </w:tcPr>
          <w:p>
            <w:pPr>
              <w:pStyle w:val="GesAbsatz"/>
              <w:jc w:val="left"/>
              <w:rPr>
                <w:sz w:val="18"/>
                <w:lang w:val="en-GB"/>
              </w:rPr>
            </w:pPr>
            <w:r>
              <w:rPr>
                <w:sz w:val="18"/>
                <w:lang w:val="en-GB"/>
              </w:rPr>
              <w:t>GW &gt;1</w:t>
            </w:r>
          </w:p>
        </w:tc>
        <w:tc>
          <w:tcPr>
            <w:tcW w:w="858" w:type="dxa"/>
          </w:tcPr>
          <w:p>
            <w:pPr>
              <w:pStyle w:val="GesAbsatz"/>
              <w:jc w:val="left"/>
              <w:rPr>
                <w:sz w:val="18"/>
                <w:lang w:val="en-GB"/>
              </w:rPr>
            </w:pPr>
            <w:r>
              <w:rPr>
                <w:sz w:val="18"/>
                <w:lang w:val="en-GB"/>
              </w:rPr>
              <w:t xml:space="preserve">GW </w:t>
            </w:r>
            <w:r>
              <w:rPr>
                <w:rFonts w:hint="eastAsia"/>
                <w:sz w:val="18"/>
              </w:rPr>
              <w:sym w:font="Symbol" w:char="F0A3"/>
            </w:r>
            <w:r>
              <w:rPr>
                <w:sz w:val="18"/>
                <w:lang w:val="en-GB"/>
              </w:rPr>
              <w:t>1</w:t>
            </w:r>
            <w:r>
              <w:rPr>
                <w:sz w:val="18"/>
                <w:lang w:val="en-GB"/>
              </w:rPr>
              <w:br/>
              <w:t>GW &gt;0,1</w:t>
            </w:r>
          </w:p>
        </w:tc>
        <w:tc>
          <w:tcPr>
            <w:tcW w:w="743" w:type="dxa"/>
          </w:tcPr>
          <w:p>
            <w:pPr>
              <w:pStyle w:val="GesAbsatz"/>
              <w:jc w:val="left"/>
              <w:rPr>
                <w:sz w:val="18"/>
                <w:lang w:val="en-GB"/>
              </w:rPr>
            </w:pPr>
            <w:r>
              <w:rPr>
                <w:sz w:val="18"/>
                <w:lang w:val="en-GB"/>
              </w:rPr>
              <w:t>GW &gt;1</w:t>
            </w:r>
          </w:p>
        </w:tc>
        <w:tc>
          <w:tcPr>
            <w:tcW w:w="1600" w:type="dxa"/>
          </w:tcPr>
          <w:p>
            <w:pPr>
              <w:pStyle w:val="GesAbsatz"/>
              <w:jc w:val="left"/>
              <w:rPr>
                <w:sz w:val="18"/>
                <w:lang w:val="en-GB"/>
              </w:rPr>
            </w:pPr>
          </w:p>
        </w:tc>
        <w:tc>
          <w:tcPr>
            <w:tcW w:w="858" w:type="dxa"/>
          </w:tcPr>
          <w:p>
            <w:pPr>
              <w:pStyle w:val="GesAbsatz"/>
              <w:jc w:val="left"/>
              <w:rPr>
                <w:sz w:val="18"/>
                <w:lang w:val="en-GB"/>
              </w:rPr>
            </w:pPr>
            <w:r>
              <w:rPr>
                <w:sz w:val="18"/>
                <w:lang w:val="en-GB"/>
              </w:rPr>
              <w:t xml:space="preserve">GW </w:t>
            </w:r>
            <w:r>
              <w:rPr>
                <w:rFonts w:hint="eastAsia"/>
                <w:sz w:val="18"/>
              </w:rPr>
              <w:sym w:font="Symbol" w:char="F0A3"/>
            </w:r>
            <w:r>
              <w:rPr>
                <w:sz w:val="18"/>
                <w:lang w:val="en-GB"/>
              </w:rPr>
              <w:t>1</w:t>
            </w:r>
            <w:r>
              <w:rPr>
                <w:sz w:val="18"/>
                <w:lang w:val="en-GB"/>
              </w:rPr>
              <w:br/>
              <w:t>GW &gt;0,1</w:t>
            </w:r>
          </w:p>
        </w:tc>
        <w:tc>
          <w:tcPr>
            <w:tcW w:w="743" w:type="dxa"/>
          </w:tcPr>
          <w:p>
            <w:pPr>
              <w:pStyle w:val="GesAbsatz"/>
              <w:jc w:val="left"/>
              <w:rPr>
                <w:sz w:val="18"/>
                <w:lang w:val="en-GB"/>
              </w:rPr>
            </w:pPr>
            <w:r>
              <w:rPr>
                <w:sz w:val="18"/>
                <w:lang w:val="en-GB"/>
              </w:rPr>
              <w:t>GW &gt;1</w:t>
            </w:r>
          </w:p>
        </w:tc>
        <w:tc>
          <w:tcPr>
            <w:tcW w:w="858" w:type="dxa"/>
          </w:tcPr>
          <w:p>
            <w:pPr>
              <w:pStyle w:val="GesAbsatz"/>
              <w:jc w:val="left"/>
              <w:rPr>
                <w:sz w:val="18"/>
                <w:lang w:val="en-GB"/>
              </w:rPr>
            </w:pPr>
            <w:r>
              <w:rPr>
                <w:sz w:val="18"/>
                <w:lang w:val="en-GB"/>
              </w:rPr>
              <w:t xml:space="preserve">GW </w:t>
            </w:r>
            <w:r>
              <w:rPr>
                <w:rFonts w:hint="eastAsia"/>
                <w:sz w:val="18"/>
              </w:rPr>
              <w:sym w:font="Symbol" w:char="F0A3"/>
            </w:r>
            <w:r>
              <w:rPr>
                <w:sz w:val="18"/>
                <w:lang w:val="en-GB"/>
              </w:rPr>
              <w:t>1</w:t>
            </w:r>
            <w:r>
              <w:rPr>
                <w:sz w:val="18"/>
                <w:lang w:val="en-GB"/>
              </w:rPr>
              <w:br/>
              <w:t>GW &gt;0,1</w:t>
            </w:r>
          </w:p>
        </w:tc>
        <w:tc>
          <w:tcPr>
            <w:tcW w:w="743" w:type="dxa"/>
          </w:tcPr>
          <w:p>
            <w:pPr>
              <w:pStyle w:val="GesAbsatz"/>
              <w:jc w:val="left"/>
              <w:rPr>
                <w:sz w:val="18"/>
                <w:lang w:val="en-GB"/>
              </w:rPr>
            </w:pPr>
            <w:r>
              <w:rPr>
                <w:sz w:val="18"/>
                <w:lang w:val="en-GB"/>
              </w:rPr>
              <w:t>GW &gt;1</w:t>
            </w:r>
          </w:p>
        </w:tc>
        <w:tc>
          <w:tcPr>
            <w:tcW w:w="858" w:type="dxa"/>
          </w:tcPr>
          <w:p>
            <w:pPr>
              <w:pStyle w:val="GesAbsatz"/>
              <w:jc w:val="left"/>
              <w:rPr>
                <w:sz w:val="18"/>
                <w:lang w:val="en-GB"/>
              </w:rPr>
            </w:pPr>
            <w:r>
              <w:rPr>
                <w:sz w:val="18"/>
                <w:lang w:val="en-GB"/>
              </w:rPr>
              <w:t xml:space="preserve">GW </w:t>
            </w:r>
            <w:r>
              <w:rPr>
                <w:rFonts w:hint="eastAsia"/>
                <w:sz w:val="18"/>
              </w:rPr>
              <w:sym w:font="Symbol" w:char="F0A3"/>
            </w:r>
            <w:r>
              <w:rPr>
                <w:sz w:val="18"/>
                <w:lang w:val="en-GB"/>
              </w:rPr>
              <w:t>1</w:t>
            </w:r>
            <w:r>
              <w:rPr>
                <w:sz w:val="18"/>
                <w:lang w:val="en-GB"/>
              </w:rPr>
              <w:br/>
              <w:t>GW &gt;0,1</w:t>
            </w:r>
          </w:p>
        </w:tc>
        <w:tc>
          <w:tcPr>
            <w:tcW w:w="743" w:type="dxa"/>
          </w:tcPr>
          <w:p>
            <w:pPr>
              <w:pStyle w:val="GesAbsatz"/>
              <w:jc w:val="left"/>
              <w:rPr>
                <w:sz w:val="18"/>
                <w:lang w:val="en-GB"/>
              </w:rPr>
            </w:pPr>
            <w:r>
              <w:rPr>
                <w:sz w:val="18"/>
                <w:lang w:val="en-GB"/>
              </w:rPr>
              <w:t>GW &gt;1</w:t>
            </w:r>
          </w:p>
        </w:tc>
      </w:tr>
      <w:tr>
        <w:trPr>
          <w:cantSplit/>
        </w:trPr>
        <w:tc>
          <w:tcPr>
            <w:tcW w:w="285" w:type="dxa"/>
            <w:vMerge/>
          </w:tcPr>
          <w:p>
            <w:pPr>
              <w:pStyle w:val="GesAbsatz"/>
              <w:jc w:val="left"/>
              <w:rPr>
                <w:sz w:val="18"/>
              </w:rPr>
            </w:pPr>
          </w:p>
        </w:tc>
        <w:tc>
          <w:tcPr>
            <w:tcW w:w="456" w:type="dxa"/>
          </w:tcPr>
          <w:p>
            <w:pPr>
              <w:pStyle w:val="GesAbsatz"/>
              <w:jc w:val="left"/>
              <w:rPr>
                <w:sz w:val="18"/>
              </w:rPr>
            </w:pPr>
            <w:r>
              <w:rPr>
                <w:sz w:val="18"/>
              </w:rPr>
              <w:t>1</w:t>
            </w:r>
          </w:p>
        </w:tc>
        <w:tc>
          <w:tcPr>
            <w:tcW w:w="2856" w:type="dxa"/>
          </w:tcPr>
          <w:p>
            <w:pPr>
              <w:pStyle w:val="GesAbsatz"/>
              <w:jc w:val="left"/>
              <w:rPr>
                <w:sz w:val="18"/>
              </w:rPr>
            </w:pPr>
            <w:r>
              <w:rPr>
                <w:sz w:val="18"/>
              </w:rPr>
              <w:t>ToB unter wasserundurchlässiger Deckschicht (Asphalt, Beton, Pflaster mit abgedichteten Fugen)</w:t>
            </w:r>
          </w:p>
        </w:tc>
        <w:tc>
          <w:tcPr>
            <w:tcW w:w="857"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1600"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r>
      <w:tr>
        <w:trPr>
          <w:cantSplit/>
        </w:trPr>
        <w:tc>
          <w:tcPr>
            <w:tcW w:w="285" w:type="dxa"/>
            <w:vMerge/>
          </w:tcPr>
          <w:p>
            <w:pPr>
              <w:pStyle w:val="GesAbsatz"/>
              <w:jc w:val="left"/>
              <w:rPr>
                <w:sz w:val="18"/>
              </w:rPr>
            </w:pPr>
          </w:p>
        </w:tc>
        <w:tc>
          <w:tcPr>
            <w:tcW w:w="456" w:type="dxa"/>
          </w:tcPr>
          <w:p>
            <w:pPr>
              <w:pStyle w:val="GesAbsatz"/>
              <w:jc w:val="left"/>
              <w:rPr>
                <w:sz w:val="18"/>
              </w:rPr>
            </w:pPr>
            <w:r>
              <w:rPr>
                <w:sz w:val="18"/>
              </w:rPr>
              <w:t>2</w:t>
            </w:r>
          </w:p>
        </w:tc>
        <w:tc>
          <w:tcPr>
            <w:tcW w:w="2856" w:type="dxa"/>
          </w:tcPr>
          <w:p>
            <w:pPr>
              <w:pStyle w:val="GesAbsatz"/>
              <w:jc w:val="left"/>
              <w:rPr>
                <w:sz w:val="18"/>
              </w:rPr>
            </w:pPr>
            <w:r>
              <w:rPr>
                <w:sz w:val="18"/>
              </w:rPr>
              <w:t>ToB unter teildurchlässiger Deckschicht (Pflaster, Platten)</w:t>
            </w:r>
          </w:p>
        </w:tc>
        <w:tc>
          <w:tcPr>
            <w:tcW w:w="857"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H</w:t>
            </w:r>
          </w:p>
        </w:tc>
        <w:tc>
          <w:tcPr>
            <w:tcW w:w="743" w:type="dxa"/>
            <w:vAlign w:val="center"/>
          </w:tcPr>
          <w:p>
            <w:pPr>
              <w:pStyle w:val="GesAbsatz"/>
              <w:jc w:val="center"/>
              <w:rPr>
                <w:sz w:val="18"/>
              </w:rPr>
            </w:pPr>
            <w:r>
              <w:rPr>
                <w:sz w:val="18"/>
              </w:rPr>
              <w:t>+</w:t>
            </w:r>
          </w:p>
        </w:tc>
        <w:tc>
          <w:tcPr>
            <w:tcW w:w="858" w:type="dxa"/>
            <w:vAlign w:val="center"/>
          </w:tcPr>
          <w:p>
            <w:pPr>
              <w:pStyle w:val="GesAbsatz"/>
              <w:jc w:val="center"/>
              <w:rPr>
                <w:sz w:val="18"/>
              </w:rPr>
            </w:pPr>
            <w:r>
              <w:t>H</w:t>
            </w:r>
          </w:p>
        </w:tc>
        <w:tc>
          <w:tcPr>
            <w:tcW w:w="743" w:type="dxa"/>
            <w:vAlign w:val="center"/>
          </w:tcPr>
          <w:p>
            <w:pPr>
              <w:pStyle w:val="GesAbsatz"/>
              <w:jc w:val="center"/>
              <w:rPr>
                <w:sz w:val="18"/>
              </w:rPr>
            </w:pPr>
            <w:r>
              <w:t>+</w:t>
            </w:r>
          </w:p>
        </w:tc>
        <w:tc>
          <w:tcPr>
            <w:tcW w:w="1600" w:type="dxa"/>
            <w:vAlign w:val="center"/>
          </w:tcPr>
          <w:p>
            <w:pPr>
              <w:pStyle w:val="GesAbsatz"/>
              <w:jc w:val="center"/>
              <w:rPr>
                <w:sz w:val="18"/>
              </w:rPr>
            </w:pPr>
            <w:r>
              <w:t>+</w:t>
            </w:r>
          </w:p>
        </w:tc>
        <w:tc>
          <w:tcPr>
            <w:tcW w:w="858" w:type="dxa"/>
            <w:vAlign w:val="center"/>
          </w:tcPr>
          <w:p>
            <w:pPr>
              <w:pStyle w:val="GesAbsatz"/>
              <w:jc w:val="center"/>
              <w:rPr>
                <w:sz w:val="18"/>
              </w:rPr>
            </w:pPr>
            <w:r>
              <w:t>-</w:t>
            </w:r>
          </w:p>
        </w:tc>
        <w:tc>
          <w:tcPr>
            <w:tcW w:w="743" w:type="dxa"/>
            <w:vAlign w:val="center"/>
          </w:tcPr>
          <w:p>
            <w:pPr>
              <w:pStyle w:val="GesAbsatz"/>
              <w:jc w:val="center"/>
              <w:rPr>
                <w:sz w:val="18"/>
              </w:rPr>
            </w:pPr>
            <w:r>
              <w:t>H</w:t>
            </w:r>
          </w:p>
        </w:tc>
        <w:tc>
          <w:tcPr>
            <w:tcW w:w="858" w:type="dxa"/>
            <w:vAlign w:val="center"/>
          </w:tcPr>
          <w:p>
            <w:pPr>
              <w:pStyle w:val="GesAbsatz"/>
              <w:jc w:val="center"/>
              <w:rPr>
                <w:sz w:val="18"/>
              </w:rPr>
            </w:pPr>
            <w:r>
              <w:t>-</w:t>
            </w:r>
          </w:p>
        </w:tc>
        <w:tc>
          <w:tcPr>
            <w:tcW w:w="743" w:type="dxa"/>
            <w:vAlign w:val="center"/>
          </w:tcPr>
          <w:p>
            <w:pPr>
              <w:pStyle w:val="GesAbsatz"/>
              <w:jc w:val="center"/>
              <w:rPr>
                <w:sz w:val="18"/>
              </w:rPr>
            </w:pPr>
            <w:r>
              <w:t>-</w:t>
            </w:r>
          </w:p>
        </w:tc>
        <w:tc>
          <w:tcPr>
            <w:tcW w:w="858" w:type="dxa"/>
            <w:vAlign w:val="center"/>
          </w:tcPr>
          <w:p>
            <w:pPr>
              <w:pStyle w:val="GesAbsatz"/>
              <w:jc w:val="center"/>
              <w:rPr>
                <w:sz w:val="18"/>
              </w:rPr>
            </w:pPr>
            <w:r>
              <w:t>-</w:t>
            </w:r>
          </w:p>
        </w:tc>
        <w:tc>
          <w:tcPr>
            <w:tcW w:w="743" w:type="dxa"/>
            <w:vAlign w:val="center"/>
          </w:tcPr>
          <w:p>
            <w:pPr>
              <w:pStyle w:val="GesAbsatz"/>
              <w:jc w:val="center"/>
              <w:rPr>
                <w:sz w:val="18"/>
              </w:rPr>
            </w:pPr>
            <w:r>
              <w:t>-</w:t>
            </w:r>
          </w:p>
        </w:tc>
      </w:tr>
      <w:tr>
        <w:trPr>
          <w:cantSplit/>
        </w:trPr>
        <w:tc>
          <w:tcPr>
            <w:tcW w:w="285" w:type="dxa"/>
            <w:vMerge/>
          </w:tcPr>
          <w:p>
            <w:pPr>
              <w:pStyle w:val="GesAbsatz"/>
              <w:jc w:val="left"/>
              <w:rPr>
                <w:sz w:val="18"/>
              </w:rPr>
            </w:pPr>
          </w:p>
        </w:tc>
        <w:tc>
          <w:tcPr>
            <w:tcW w:w="456" w:type="dxa"/>
          </w:tcPr>
          <w:p>
            <w:pPr>
              <w:pStyle w:val="GesAbsatz"/>
              <w:jc w:val="left"/>
              <w:rPr>
                <w:sz w:val="18"/>
              </w:rPr>
            </w:pPr>
            <w:r>
              <w:rPr>
                <w:sz w:val="18"/>
              </w:rPr>
              <w:t>3</w:t>
            </w:r>
          </w:p>
        </w:tc>
        <w:tc>
          <w:tcPr>
            <w:tcW w:w="2856" w:type="dxa"/>
          </w:tcPr>
          <w:p>
            <w:pPr>
              <w:pStyle w:val="GesAbsatz"/>
              <w:jc w:val="left"/>
              <w:rPr>
                <w:sz w:val="18"/>
              </w:rPr>
            </w:pPr>
            <w:r>
              <w:rPr>
                <w:sz w:val="18"/>
              </w:rPr>
              <w:t>ToB unter wasserdurchlässiger Deckschicht (Rasengittersteine, Deckschicht ohne Bindemittel)</w:t>
            </w:r>
          </w:p>
        </w:tc>
        <w:tc>
          <w:tcPr>
            <w:tcW w:w="857" w:type="dxa"/>
            <w:vAlign w:val="center"/>
          </w:tcPr>
          <w:p>
            <w:pPr>
              <w:pStyle w:val="GesAbsatz"/>
              <w:jc w:val="center"/>
              <w:rPr>
                <w:sz w:val="18"/>
              </w:rPr>
            </w:pPr>
            <w:r>
              <w:t>-</w:t>
            </w:r>
          </w:p>
        </w:tc>
        <w:tc>
          <w:tcPr>
            <w:tcW w:w="743" w:type="dxa"/>
            <w:vAlign w:val="center"/>
          </w:tcPr>
          <w:p>
            <w:pPr>
              <w:pStyle w:val="GesAbsatz"/>
              <w:jc w:val="center"/>
              <w:rPr>
                <w:sz w:val="18"/>
              </w:rPr>
            </w:pPr>
            <w:r>
              <w:t>+</w:t>
            </w:r>
          </w:p>
        </w:tc>
        <w:tc>
          <w:tcPr>
            <w:tcW w:w="858" w:type="dxa"/>
            <w:vAlign w:val="center"/>
          </w:tcPr>
          <w:p>
            <w:pPr>
              <w:pStyle w:val="GesAbsatz"/>
              <w:jc w:val="center"/>
              <w:rPr>
                <w:sz w:val="18"/>
              </w:rPr>
            </w:pPr>
            <w:r>
              <w:t>-</w:t>
            </w:r>
          </w:p>
        </w:tc>
        <w:tc>
          <w:tcPr>
            <w:tcW w:w="743" w:type="dxa"/>
            <w:vAlign w:val="center"/>
          </w:tcPr>
          <w:p>
            <w:pPr>
              <w:pStyle w:val="GesAbsatz"/>
              <w:jc w:val="center"/>
              <w:rPr>
                <w:sz w:val="18"/>
              </w:rP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1600"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r>
      <w:tr>
        <w:trPr>
          <w:cantSplit/>
          <w:trHeight w:val="151"/>
        </w:trPr>
        <w:tc>
          <w:tcPr>
            <w:tcW w:w="285" w:type="dxa"/>
            <w:vMerge/>
          </w:tcPr>
          <w:p>
            <w:pPr>
              <w:pStyle w:val="GesAbsatz"/>
              <w:jc w:val="left"/>
              <w:rPr>
                <w:sz w:val="18"/>
              </w:rPr>
            </w:pPr>
          </w:p>
        </w:tc>
        <w:tc>
          <w:tcPr>
            <w:tcW w:w="456" w:type="dxa"/>
          </w:tcPr>
          <w:p>
            <w:pPr>
              <w:pStyle w:val="GesAbsatz"/>
              <w:jc w:val="left"/>
              <w:rPr>
                <w:sz w:val="18"/>
              </w:rPr>
            </w:pPr>
            <w:r>
              <w:rPr>
                <w:sz w:val="18"/>
              </w:rPr>
              <w:t>4</w:t>
            </w:r>
          </w:p>
        </w:tc>
        <w:tc>
          <w:tcPr>
            <w:tcW w:w="2856" w:type="dxa"/>
          </w:tcPr>
          <w:p>
            <w:pPr>
              <w:pStyle w:val="GesAbsatz"/>
              <w:jc w:val="left"/>
              <w:rPr>
                <w:sz w:val="18"/>
              </w:rPr>
            </w:pPr>
            <w:r>
              <w:rPr>
                <w:sz w:val="18"/>
              </w:rPr>
              <w:t>Tragschicht bitumengebunden</w:t>
            </w:r>
          </w:p>
        </w:tc>
        <w:tc>
          <w:tcPr>
            <w:tcW w:w="857"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1600"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r>
      <w:tr>
        <w:trPr>
          <w:cantSplit/>
        </w:trPr>
        <w:tc>
          <w:tcPr>
            <w:tcW w:w="285" w:type="dxa"/>
            <w:vMerge/>
          </w:tcPr>
          <w:p>
            <w:pPr>
              <w:pStyle w:val="GesAbsatz"/>
              <w:jc w:val="left"/>
              <w:rPr>
                <w:sz w:val="18"/>
              </w:rPr>
            </w:pPr>
          </w:p>
        </w:tc>
        <w:tc>
          <w:tcPr>
            <w:tcW w:w="456" w:type="dxa"/>
          </w:tcPr>
          <w:p>
            <w:pPr>
              <w:pStyle w:val="GesAbsatz"/>
              <w:jc w:val="left"/>
              <w:rPr>
                <w:sz w:val="18"/>
              </w:rPr>
            </w:pPr>
            <w:r>
              <w:rPr>
                <w:sz w:val="18"/>
              </w:rPr>
              <w:t>5</w:t>
            </w:r>
          </w:p>
        </w:tc>
        <w:tc>
          <w:tcPr>
            <w:tcW w:w="2856" w:type="dxa"/>
          </w:tcPr>
          <w:p>
            <w:pPr>
              <w:pStyle w:val="GesAbsatz"/>
              <w:jc w:val="left"/>
              <w:rPr>
                <w:sz w:val="18"/>
              </w:rPr>
            </w:pPr>
            <w:r>
              <w:rPr>
                <w:sz w:val="18"/>
              </w:rPr>
              <w:t>Tragschicht hydraul. gebunden</w:t>
            </w:r>
          </w:p>
        </w:tc>
        <w:tc>
          <w:tcPr>
            <w:tcW w:w="857"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1600"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r>
      <w:tr>
        <w:trPr>
          <w:cantSplit/>
        </w:trPr>
        <w:tc>
          <w:tcPr>
            <w:tcW w:w="285" w:type="dxa"/>
            <w:vMerge/>
          </w:tcPr>
          <w:p>
            <w:pPr>
              <w:pStyle w:val="GesAbsatz"/>
              <w:jc w:val="left"/>
              <w:rPr>
                <w:sz w:val="18"/>
              </w:rPr>
            </w:pPr>
          </w:p>
        </w:tc>
        <w:tc>
          <w:tcPr>
            <w:tcW w:w="456" w:type="dxa"/>
          </w:tcPr>
          <w:p>
            <w:pPr>
              <w:pStyle w:val="GesAbsatz"/>
              <w:jc w:val="left"/>
              <w:rPr>
                <w:sz w:val="18"/>
              </w:rPr>
            </w:pPr>
            <w:r>
              <w:rPr>
                <w:sz w:val="18"/>
              </w:rPr>
              <w:t>6</w:t>
            </w:r>
          </w:p>
        </w:tc>
        <w:tc>
          <w:tcPr>
            <w:tcW w:w="2856" w:type="dxa"/>
          </w:tcPr>
          <w:p>
            <w:pPr>
              <w:pStyle w:val="GesAbsatz"/>
              <w:jc w:val="left"/>
              <w:rPr>
                <w:sz w:val="18"/>
              </w:rPr>
            </w:pPr>
            <w:r>
              <w:rPr>
                <w:sz w:val="18"/>
              </w:rPr>
              <w:t>Decke bitumen- oder hydraul gebunden</w:t>
            </w:r>
          </w:p>
        </w:tc>
        <w:tc>
          <w:tcPr>
            <w:tcW w:w="857"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1600"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r>
      <w:tr>
        <w:trPr>
          <w:cantSplit/>
        </w:trPr>
        <w:tc>
          <w:tcPr>
            <w:tcW w:w="285" w:type="dxa"/>
            <w:vMerge/>
          </w:tcPr>
          <w:p>
            <w:pPr>
              <w:pStyle w:val="GesAbsatz"/>
              <w:jc w:val="left"/>
              <w:rPr>
                <w:sz w:val="18"/>
              </w:rPr>
            </w:pPr>
          </w:p>
        </w:tc>
        <w:tc>
          <w:tcPr>
            <w:tcW w:w="456" w:type="dxa"/>
          </w:tcPr>
          <w:p>
            <w:pPr>
              <w:pStyle w:val="GesAbsatz"/>
              <w:jc w:val="left"/>
              <w:rPr>
                <w:sz w:val="18"/>
              </w:rPr>
            </w:pPr>
            <w:r>
              <w:rPr>
                <w:sz w:val="18"/>
              </w:rPr>
              <w:t>7</w:t>
            </w:r>
          </w:p>
        </w:tc>
        <w:tc>
          <w:tcPr>
            <w:tcW w:w="2856" w:type="dxa"/>
          </w:tcPr>
          <w:p>
            <w:pPr>
              <w:pStyle w:val="GesAbsatz"/>
              <w:jc w:val="left"/>
              <w:rPr>
                <w:sz w:val="18"/>
              </w:rPr>
            </w:pPr>
            <w:r>
              <w:rPr>
                <w:sz w:val="18"/>
              </w:rPr>
              <w:t>Deckschicht ohne Bindemittel</w:t>
            </w:r>
          </w:p>
        </w:tc>
        <w:tc>
          <w:tcPr>
            <w:tcW w:w="857" w:type="dxa"/>
            <w:vAlign w:val="center"/>
          </w:tcPr>
          <w:p>
            <w:pPr>
              <w:pStyle w:val="GesAbsatz"/>
              <w:jc w:val="center"/>
            </w:pPr>
            <w:r>
              <w:t>K</w:t>
            </w:r>
          </w:p>
        </w:tc>
        <w:tc>
          <w:tcPr>
            <w:tcW w:w="743" w:type="dxa"/>
            <w:vAlign w:val="center"/>
          </w:tcPr>
          <w:p>
            <w:pPr>
              <w:pStyle w:val="GesAbsatz"/>
              <w:jc w:val="center"/>
            </w:pPr>
            <w:r>
              <w:t>K</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1600"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r>
      <w:tr>
        <w:trPr>
          <w:cantSplit/>
          <w:trHeight w:val="313"/>
        </w:trPr>
        <w:tc>
          <w:tcPr>
            <w:tcW w:w="285" w:type="dxa"/>
            <w:vMerge/>
          </w:tcPr>
          <w:p>
            <w:pPr>
              <w:pStyle w:val="GesAbsatz"/>
              <w:jc w:val="left"/>
              <w:rPr>
                <w:sz w:val="18"/>
              </w:rPr>
            </w:pPr>
          </w:p>
        </w:tc>
        <w:tc>
          <w:tcPr>
            <w:tcW w:w="456" w:type="dxa"/>
          </w:tcPr>
          <w:p>
            <w:pPr>
              <w:pStyle w:val="GesAbsatz"/>
              <w:jc w:val="left"/>
              <w:rPr>
                <w:sz w:val="18"/>
              </w:rPr>
            </w:pPr>
            <w:r>
              <w:rPr>
                <w:sz w:val="18"/>
              </w:rPr>
              <w:t>8</w:t>
            </w:r>
          </w:p>
        </w:tc>
        <w:tc>
          <w:tcPr>
            <w:tcW w:w="2856" w:type="dxa"/>
          </w:tcPr>
          <w:p>
            <w:pPr>
              <w:pStyle w:val="GesAbsatz"/>
              <w:jc w:val="left"/>
              <w:rPr>
                <w:sz w:val="18"/>
              </w:rPr>
            </w:pPr>
            <w:r>
              <w:rPr>
                <w:sz w:val="18"/>
              </w:rPr>
              <w:t>Einsatz lfd. Nr. 1,4,5,6 in Straßen mit Entwässerungsrinnen</w:t>
            </w:r>
          </w:p>
        </w:tc>
        <w:tc>
          <w:tcPr>
            <w:tcW w:w="857"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1600"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D</w:t>
            </w:r>
          </w:p>
        </w:tc>
        <w:tc>
          <w:tcPr>
            <w:tcW w:w="743" w:type="dxa"/>
            <w:vAlign w:val="center"/>
          </w:tcPr>
          <w:p>
            <w:pPr>
              <w:pStyle w:val="GesAbsatz"/>
              <w:jc w:val="center"/>
            </w:pPr>
            <w:r>
              <w:t>D</w:t>
            </w:r>
          </w:p>
        </w:tc>
        <w:tc>
          <w:tcPr>
            <w:tcW w:w="858" w:type="dxa"/>
            <w:vAlign w:val="center"/>
          </w:tcPr>
          <w:p>
            <w:pPr>
              <w:pStyle w:val="GesAbsatz"/>
              <w:jc w:val="center"/>
            </w:pPr>
            <w:r>
              <w:t>D</w:t>
            </w:r>
          </w:p>
        </w:tc>
        <w:tc>
          <w:tcPr>
            <w:tcW w:w="743" w:type="dxa"/>
            <w:vAlign w:val="center"/>
          </w:tcPr>
          <w:p>
            <w:pPr>
              <w:pStyle w:val="GesAbsatz"/>
              <w:jc w:val="center"/>
            </w:pPr>
            <w:r>
              <w:t>D</w:t>
            </w:r>
          </w:p>
        </w:tc>
      </w:tr>
    </w:tbl>
    <w:p>
      <w:pPr>
        <w:pStyle w:val="GesAbsatz"/>
      </w:pPr>
    </w:p>
    <w:p>
      <w:pPr>
        <w:pStyle w:val="GesAbsatz"/>
      </w:pPr>
    </w:p>
    <w:tbl>
      <w:tblPr>
        <w:tblW w:w="14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5"/>
        <w:gridCol w:w="456"/>
        <w:gridCol w:w="2856"/>
        <w:gridCol w:w="857"/>
        <w:gridCol w:w="743"/>
        <w:gridCol w:w="858"/>
        <w:gridCol w:w="743"/>
        <w:gridCol w:w="858"/>
        <w:gridCol w:w="743"/>
        <w:gridCol w:w="1600"/>
        <w:gridCol w:w="858"/>
        <w:gridCol w:w="743"/>
        <w:gridCol w:w="858"/>
        <w:gridCol w:w="743"/>
        <w:gridCol w:w="858"/>
        <w:gridCol w:w="743"/>
      </w:tblGrid>
      <w:tr>
        <w:trPr>
          <w:cantSplit/>
        </w:trPr>
        <w:tc>
          <w:tcPr>
            <w:tcW w:w="3597" w:type="dxa"/>
            <w:gridSpan w:val="3"/>
            <w:vMerge w:val="restart"/>
            <w:vAlign w:val="center"/>
          </w:tcPr>
          <w:p>
            <w:pPr>
              <w:pStyle w:val="GesAbsatz"/>
              <w:jc w:val="center"/>
              <w:rPr>
                <w:b/>
                <w:bCs/>
                <w:sz w:val="18"/>
              </w:rPr>
            </w:pPr>
            <w:r>
              <w:rPr>
                <w:b/>
                <w:bCs/>
              </w:rPr>
              <w:t xml:space="preserve">Baustoff: </w:t>
            </w:r>
            <w:r>
              <w:rPr>
                <w:b/>
                <w:bCs/>
              </w:rPr>
              <w:br/>
              <w:t>Hausmüllverbrennungs-Asche</w:t>
            </w:r>
            <w:r>
              <w:rPr>
                <w:b/>
                <w:bCs/>
              </w:rPr>
              <w:br/>
              <w:t>(HMVA I)</w:t>
            </w:r>
          </w:p>
        </w:tc>
        <w:tc>
          <w:tcPr>
            <w:tcW w:w="11205" w:type="dxa"/>
            <w:gridSpan w:val="13"/>
          </w:tcPr>
          <w:p>
            <w:pPr>
              <w:pStyle w:val="GesAbsatz"/>
              <w:jc w:val="center"/>
              <w:rPr>
                <w:sz w:val="18"/>
                <w:lang w:val="it-IT"/>
              </w:rPr>
            </w:pPr>
            <w:r>
              <w:rPr>
                <w:b/>
                <w:bCs/>
                <w:sz w:val="18"/>
                <w:lang w:val="it-IT"/>
              </w:rPr>
              <w:t>V e r w e r t u n g s g e b i e t e</w:t>
            </w:r>
          </w:p>
        </w:tc>
      </w:tr>
      <w:tr>
        <w:trPr>
          <w:cantSplit/>
        </w:trPr>
        <w:tc>
          <w:tcPr>
            <w:tcW w:w="3597" w:type="dxa"/>
            <w:gridSpan w:val="3"/>
            <w:vMerge/>
          </w:tcPr>
          <w:p>
            <w:pPr>
              <w:pStyle w:val="GesAbsatz"/>
              <w:rPr>
                <w:sz w:val="18"/>
                <w:lang w:val="it-IT"/>
              </w:rPr>
            </w:pPr>
          </w:p>
        </w:tc>
        <w:tc>
          <w:tcPr>
            <w:tcW w:w="1600" w:type="dxa"/>
            <w:gridSpan w:val="2"/>
            <w:vMerge w:val="restart"/>
          </w:tcPr>
          <w:p>
            <w:pPr>
              <w:pStyle w:val="GesAbsatz"/>
              <w:jc w:val="center"/>
              <w:rPr>
                <w:b/>
                <w:bCs/>
                <w:sz w:val="18"/>
                <w:u w:val="single"/>
              </w:rPr>
            </w:pPr>
            <w:r>
              <w:rPr>
                <w:b/>
                <w:bCs/>
                <w:sz w:val="18"/>
                <w:u w:val="single"/>
              </w:rPr>
              <w:t>Außerhalb</w:t>
            </w:r>
          </w:p>
          <w:p>
            <w:pPr>
              <w:pStyle w:val="GesAbsatz"/>
              <w:jc w:val="center"/>
              <w:rPr>
                <w:b/>
                <w:bCs/>
                <w:sz w:val="18"/>
                <w:u w:val="single"/>
              </w:rPr>
            </w:pPr>
          </w:p>
          <w:p>
            <w:pPr>
              <w:pStyle w:val="GesAbsatz"/>
              <w:jc w:val="center"/>
              <w:rPr>
                <w:sz w:val="18"/>
              </w:rPr>
            </w:pPr>
            <w:r>
              <w:rPr>
                <w:sz w:val="18"/>
              </w:rPr>
              <w:t xml:space="preserve">wasserwirtschaftlich bedeutender u. empfindlicher sowie hydrogeologisch </w:t>
            </w:r>
            <w:r>
              <w:rPr>
                <w:sz w:val="18"/>
              </w:rPr>
              <w:br/>
              <w:t>sensitiver Gebiete (Spalten 2-7)</w:t>
            </w:r>
          </w:p>
        </w:tc>
        <w:tc>
          <w:tcPr>
            <w:tcW w:w="9605" w:type="dxa"/>
            <w:gridSpan w:val="11"/>
          </w:tcPr>
          <w:p>
            <w:pPr>
              <w:pStyle w:val="GesAbsatz"/>
              <w:jc w:val="center"/>
              <w:rPr>
                <w:sz w:val="18"/>
              </w:rPr>
            </w:pPr>
            <w:r>
              <w:rPr>
                <w:b/>
                <w:bCs/>
                <w:sz w:val="18"/>
                <w:u w:val="single"/>
              </w:rPr>
              <w:t>Innerhalb</w:t>
            </w:r>
            <w:r>
              <w:rPr>
                <w:sz w:val="18"/>
              </w:rPr>
              <w:br/>
              <w:t>wasserwirtschaftlich bedeutender und empfindlicher sowie hydrogeologisch sensitiver Gebiete</w:t>
            </w:r>
          </w:p>
        </w:tc>
      </w:tr>
      <w:tr>
        <w:trPr>
          <w:cantSplit/>
        </w:trPr>
        <w:tc>
          <w:tcPr>
            <w:tcW w:w="3597" w:type="dxa"/>
            <w:gridSpan w:val="3"/>
            <w:vMerge/>
          </w:tcPr>
          <w:p>
            <w:pPr>
              <w:pStyle w:val="GesAbsatz"/>
              <w:rPr>
                <w:sz w:val="18"/>
              </w:rPr>
            </w:pPr>
          </w:p>
        </w:tc>
        <w:tc>
          <w:tcPr>
            <w:tcW w:w="1600" w:type="dxa"/>
            <w:gridSpan w:val="2"/>
            <w:vMerge/>
          </w:tcPr>
          <w:p>
            <w:pPr>
              <w:pStyle w:val="GesAbsatz"/>
              <w:jc w:val="center"/>
              <w:rPr>
                <w:sz w:val="18"/>
              </w:rPr>
            </w:pPr>
          </w:p>
        </w:tc>
        <w:tc>
          <w:tcPr>
            <w:tcW w:w="1601" w:type="dxa"/>
            <w:gridSpan w:val="2"/>
          </w:tcPr>
          <w:p>
            <w:pPr>
              <w:pStyle w:val="GesAbsatz"/>
              <w:jc w:val="center"/>
              <w:rPr>
                <w:sz w:val="18"/>
              </w:rPr>
            </w:pPr>
            <w:r>
              <w:rPr>
                <w:sz w:val="18"/>
              </w:rPr>
              <w:t>Porengrundwasserleiter und wenig durchlässige Kluftgrundwasserleiter ohne ausreichende Deckschichten</w:t>
            </w:r>
          </w:p>
        </w:tc>
        <w:tc>
          <w:tcPr>
            <w:tcW w:w="1601" w:type="dxa"/>
            <w:gridSpan w:val="2"/>
          </w:tcPr>
          <w:p>
            <w:pPr>
              <w:pStyle w:val="GesAbsatz"/>
              <w:jc w:val="center"/>
              <w:rPr>
                <w:sz w:val="18"/>
              </w:rPr>
            </w:pPr>
            <w:r>
              <w:rPr>
                <w:sz w:val="18"/>
              </w:rPr>
              <w:t>gut durchlässige Kluftgrundwasserleiter einschl. Karstgrundwasserleiter ohne ausreichende Deckschichten</w:t>
            </w:r>
          </w:p>
        </w:tc>
        <w:tc>
          <w:tcPr>
            <w:tcW w:w="1600" w:type="dxa"/>
          </w:tcPr>
          <w:p>
            <w:pPr>
              <w:pStyle w:val="GesAbsatz"/>
              <w:jc w:val="center"/>
              <w:rPr>
                <w:sz w:val="18"/>
              </w:rPr>
            </w:pPr>
            <w:r>
              <w:rPr>
                <w:sz w:val="18"/>
              </w:rPr>
              <w:t>20 m breite Randstreifen an kleinen Gewässern: Hochwasser-Retentionsräume</w:t>
            </w:r>
          </w:p>
        </w:tc>
        <w:tc>
          <w:tcPr>
            <w:tcW w:w="1601" w:type="dxa"/>
            <w:gridSpan w:val="2"/>
          </w:tcPr>
          <w:p>
            <w:pPr>
              <w:pStyle w:val="GesAbsatz"/>
              <w:jc w:val="center"/>
              <w:rPr>
                <w:sz w:val="18"/>
              </w:rPr>
            </w:pPr>
            <w:r>
              <w:rPr>
                <w:sz w:val="18"/>
              </w:rPr>
              <w:t>WSG III B</w:t>
            </w:r>
          </w:p>
          <w:p>
            <w:pPr>
              <w:pStyle w:val="GesAbsatz"/>
              <w:jc w:val="center"/>
              <w:rPr>
                <w:sz w:val="18"/>
              </w:rPr>
            </w:pPr>
            <w:r>
              <w:rPr>
                <w:sz w:val="18"/>
              </w:rPr>
              <w:t>HSG IV</w:t>
            </w:r>
          </w:p>
        </w:tc>
        <w:tc>
          <w:tcPr>
            <w:tcW w:w="1601" w:type="dxa"/>
            <w:gridSpan w:val="2"/>
          </w:tcPr>
          <w:p>
            <w:pPr>
              <w:pStyle w:val="GesAbsatz"/>
              <w:jc w:val="center"/>
              <w:rPr>
                <w:sz w:val="18"/>
                <w:lang w:val="en-GB"/>
              </w:rPr>
            </w:pPr>
            <w:r>
              <w:rPr>
                <w:sz w:val="18"/>
                <w:lang w:val="en-GB"/>
              </w:rPr>
              <w:t>WSG III A</w:t>
            </w:r>
          </w:p>
          <w:p>
            <w:pPr>
              <w:pStyle w:val="GesAbsatz"/>
              <w:jc w:val="center"/>
              <w:rPr>
                <w:sz w:val="18"/>
                <w:lang w:val="en-GB"/>
              </w:rPr>
            </w:pPr>
            <w:r>
              <w:rPr>
                <w:sz w:val="18"/>
                <w:lang w:val="en-GB"/>
              </w:rPr>
              <w:t>HSG III</w:t>
            </w:r>
          </w:p>
        </w:tc>
        <w:tc>
          <w:tcPr>
            <w:tcW w:w="1601" w:type="dxa"/>
            <w:gridSpan w:val="2"/>
          </w:tcPr>
          <w:p>
            <w:pPr>
              <w:pStyle w:val="GesAbsatz"/>
              <w:jc w:val="center"/>
              <w:rPr>
                <w:sz w:val="18"/>
              </w:rPr>
            </w:pPr>
            <w:r>
              <w:rPr>
                <w:sz w:val="18"/>
              </w:rPr>
              <w:t>Bereich zum Schutz der Gewässer nach Landesplanungsrecht</w:t>
            </w:r>
          </w:p>
        </w:tc>
      </w:tr>
      <w:tr>
        <w:trPr>
          <w:cantSplit/>
        </w:trPr>
        <w:tc>
          <w:tcPr>
            <w:tcW w:w="285" w:type="dxa"/>
            <w:vMerge w:val="restart"/>
            <w:vAlign w:val="center"/>
          </w:tcPr>
          <w:p>
            <w:pPr>
              <w:pStyle w:val="GesAbsatz"/>
              <w:jc w:val="center"/>
              <w:rPr>
                <w:b/>
                <w:bCs/>
              </w:rPr>
            </w:pPr>
          </w:p>
        </w:tc>
        <w:tc>
          <w:tcPr>
            <w:tcW w:w="456" w:type="dxa"/>
            <w:vMerge w:val="restart"/>
          </w:tcPr>
          <w:p>
            <w:pPr>
              <w:pStyle w:val="GesAbsatz"/>
              <w:jc w:val="left"/>
              <w:rPr>
                <w:sz w:val="18"/>
              </w:rPr>
            </w:pPr>
            <w:r>
              <w:rPr>
                <w:sz w:val="18"/>
              </w:rPr>
              <w:t>lfd. Nr.</w:t>
            </w:r>
          </w:p>
        </w:tc>
        <w:tc>
          <w:tcPr>
            <w:tcW w:w="2856" w:type="dxa"/>
            <w:vMerge w:val="restart"/>
            <w:vAlign w:val="center"/>
          </w:tcPr>
          <w:p>
            <w:pPr>
              <w:pStyle w:val="GesAbsatz"/>
              <w:jc w:val="center"/>
              <w:rPr>
                <w:sz w:val="18"/>
              </w:rPr>
            </w:pPr>
            <w:r>
              <w:rPr>
                <w:sz w:val="18"/>
              </w:rPr>
              <w:t>Einsatz</w:t>
            </w:r>
          </w:p>
        </w:tc>
        <w:tc>
          <w:tcPr>
            <w:tcW w:w="1600" w:type="dxa"/>
            <w:gridSpan w:val="2"/>
          </w:tcPr>
          <w:p>
            <w:pPr>
              <w:pStyle w:val="GesAbsatz"/>
              <w:jc w:val="center"/>
              <w:rPr>
                <w:sz w:val="18"/>
              </w:rPr>
            </w:pPr>
            <w:r>
              <w:rPr>
                <w:sz w:val="18"/>
              </w:rPr>
              <w:t>1</w:t>
            </w:r>
          </w:p>
        </w:tc>
        <w:tc>
          <w:tcPr>
            <w:tcW w:w="1601" w:type="dxa"/>
            <w:gridSpan w:val="2"/>
          </w:tcPr>
          <w:p>
            <w:pPr>
              <w:pStyle w:val="GesAbsatz"/>
              <w:jc w:val="center"/>
              <w:rPr>
                <w:sz w:val="18"/>
              </w:rPr>
            </w:pPr>
            <w:r>
              <w:rPr>
                <w:sz w:val="18"/>
              </w:rPr>
              <w:t>2</w:t>
            </w:r>
          </w:p>
        </w:tc>
        <w:tc>
          <w:tcPr>
            <w:tcW w:w="1601" w:type="dxa"/>
            <w:gridSpan w:val="2"/>
          </w:tcPr>
          <w:p>
            <w:pPr>
              <w:pStyle w:val="GesAbsatz"/>
              <w:jc w:val="center"/>
              <w:rPr>
                <w:sz w:val="18"/>
              </w:rPr>
            </w:pPr>
            <w:r>
              <w:rPr>
                <w:sz w:val="18"/>
              </w:rPr>
              <w:t>3</w:t>
            </w:r>
          </w:p>
        </w:tc>
        <w:tc>
          <w:tcPr>
            <w:tcW w:w="1600" w:type="dxa"/>
          </w:tcPr>
          <w:p>
            <w:pPr>
              <w:pStyle w:val="GesAbsatz"/>
              <w:jc w:val="center"/>
              <w:rPr>
                <w:sz w:val="18"/>
              </w:rPr>
            </w:pPr>
            <w:r>
              <w:rPr>
                <w:sz w:val="18"/>
              </w:rPr>
              <w:t>4</w:t>
            </w:r>
          </w:p>
        </w:tc>
        <w:tc>
          <w:tcPr>
            <w:tcW w:w="1601" w:type="dxa"/>
            <w:gridSpan w:val="2"/>
          </w:tcPr>
          <w:p>
            <w:pPr>
              <w:pStyle w:val="GesAbsatz"/>
              <w:jc w:val="center"/>
              <w:rPr>
                <w:sz w:val="18"/>
              </w:rPr>
            </w:pPr>
            <w:r>
              <w:rPr>
                <w:sz w:val="18"/>
              </w:rPr>
              <w:t>5</w:t>
            </w:r>
          </w:p>
        </w:tc>
        <w:tc>
          <w:tcPr>
            <w:tcW w:w="1601" w:type="dxa"/>
            <w:gridSpan w:val="2"/>
          </w:tcPr>
          <w:p>
            <w:pPr>
              <w:pStyle w:val="GesAbsatz"/>
              <w:jc w:val="center"/>
              <w:rPr>
                <w:sz w:val="18"/>
              </w:rPr>
            </w:pPr>
            <w:r>
              <w:rPr>
                <w:sz w:val="18"/>
              </w:rPr>
              <w:t>6</w:t>
            </w:r>
          </w:p>
        </w:tc>
        <w:tc>
          <w:tcPr>
            <w:tcW w:w="1601" w:type="dxa"/>
            <w:gridSpan w:val="2"/>
          </w:tcPr>
          <w:p>
            <w:pPr>
              <w:pStyle w:val="GesAbsatz"/>
              <w:jc w:val="center"/>
              <w:rPr>
                <w:sz w:val="18"/>
              </w:rPr>
            </w:pPr>
            <w:r>
              <w:rPr>
                <w:sz w:val="18"/>
              </w:rPr>
              <w:t>7</w:t>
            </w:r>
          </w:p>
        </w:tc>
      </w:tr>
      <w:tr>
        <w:trPr>
          <w:cantSplit/>
        </w:trPr>
        <w:tc>
          <w:tcPr>
            <w:tcW w:w="285" w:type="dxa"/>
            <w:vMerge/>
          </w:tcPr>
          <w:p>
            <w:pPr>
              <w:pStyle w:val="GesAbsatz"/>
              <w:jc w:val="left"/>
              <w:rPr>
                <w:sz w:val="18"/>
              </w:rPr>
            </w:pPr>
          </w:p>
        </w:tc>
        <w:tc>
          <w:tcPr>
            <w:tcW w:w="456" w:type="dxa"/>
            <w:vMerge/>
          </w:tcPr>
          <w:p>
            <w:pPr>
              <w:pStyle w:val="GesAbsatz"/>
              <w:jc w:val="left"/>
              <w:rPr>
                <w:sz w:val="18"/>
              </w:rPr>
            </w:pPr>
          </w:p>
        </w:tc>
        <w:tc>
          <w:tcPr>
            <w:tcW w:w="2856" w:type="dxa"/>
            <w:vMerge/>
          </w:tcPr>
          <w:p>
            <w:pPr>
              <w:pStyle w:val="GesAbsatz"/>
              <w:jc w:val="left"/>
              <w:rPr>
                <w:sz w:val="18"/>
              </w:rPr>
            </w:pPr>
          </w:p>
        </w:tc>
        <w:tc>
          <w:tcPr>
            <w:tcW w:w="857" w:type="dxa"/>
          </w:tcPr>
          <w:p>
            <w:pPr>
              <w:pStyle w:val="GesAbsatz"/>
              <w:jc w:val="left"/>
              <w:rPr>
                <w:sz w:val="18"/>
              </w:rPr>
            </w:pPr>
            <w:r>
              <w:rPr>
                <w:sz w:val="18"/>
              </w:rPr>
              <w:t xml:space="preserve">GW </w:t>
            </w:r>
            <w:r>
              <w:rPr>
                <w:rFonts w:hint="eastAsia"/>
                <w:sz w:val="18"/>
              </w:rPr>
              <w:sym w:font="Symbol" w:char="F0A3"/>
            </w:r>
            <w:r>
              <w:rPr>
                <w:sz w:val="18"/>
              </w:rPr>
              <w:t>1</w:t>
            </w:r>
            <w:r>
              <w:rPr>
                <w:sz w:val="18"/>
              </w:rPr>
              <w:br/>
              <w:t>GW &gt;0,1</w:t>
            </w:r>
          </w:p>
        </w:tc>
        <w:tc>
          <w:tcPr>
            <w:tcW w:w="743" w:type="dxa"/>
          </w:tcPr>
          <w:p>
            <w:pPr>
              <w:pStyle w:val="GesAbsatz"/>
              <w:jc w:val="left"/>
              <w:rPr>
                <w:sz w:val="18"/>
                <w:lang w:val="en-GB"/>
              </w:rPr>
            </w:pPr>
            <w:r>
              <w:rPr>
                <w:sz w:val="18"/>
                <w:lang w:val="en-GB"/>
              </w:rPr>
              <w:t>GW &gt;1</w:t>
            </w:r>
          </w:p>
        </w:tc>
        <w:tc>
          <w:tcPr>
            <w:tcW w:w="858" w:type="dxa"/>
          </w:tcPr>
          <w:p>
            <w:pPr>
              <w:pStyle w:val="GesAbsatz"/>
              <w:jc w:val="left"/>
              <w:rPr>
                <w:sz w:val="18"/>
                <w:lang w:val="en-GB"/>
              </w:rPr>
            </w:pPr>
            <w:r>
              <w:rPr>
                <w:sz w:val="18"/>
                <w:lang w:val="en-GB"/>
              </w:rPr>
              <w:t xml:space="preserve">GW </w:t>
            </w:r>
            <w:r>
              <w:rPr>
                <w:rFonts w:hint="eastAsia"/>
                <w:sz w:val="18"/>
              </w:rPr>
              <w:sym w:font="Symbol" w:char="F0A3"/>
            </w:r>
            <w:r>
              <w:rPr>
                <w:sz w:val="18"/>
                <w:lang w:val="en-GB"/>
              </w:rPr>
              <w:t>1</w:t>
            </w:r>
            <w:r>
              <w:rPr>
                <w:sz w:val="18"/>
                <w:lang w:val="en-GB"/>
              </w:rPr>
              <w:br/>
              <w:t>GW &gt;0,1</w:t>
            </w:r>
          </w:p>
        </w:tc>
        <w:tc>
          <w:tcPr>
            <w:tcW w:w="743" w:type="dxa"/>
          </w:tcPr>
          <w:p>
            <w:pPr>
              <w:pStyle w:val="GesAbsatz"/>
              <w:jc w:val="left"/>
              <w:rPr>
                <w:sz w:val="18"/>
                <w:lang w:val="en-GB"/>
              </w:rPr>
            </w:pPr>
            <w:r>
              <w:rPr>
                <w:sz w:val="18"/>
                <w:lang w:val="en-GB"/>
              </w:rPr>
              <w:t>GW &gt;1</w:t>
            </w:r>
          </w:p>
        </w:tc>
        <w:tc>
          <w:tcPr>
            <w:tcW w:w="858" w:type="dxa"/>
          </w:tcPr>
          <w:p>
            <w:pPr>
              <w:pStyle w:val="GesAbsatz"/>
              <w:jc w:val="left"/>
              <w:rPr>
                <w:sz w:val="18"/>
                <w:lang w:val="en-GB"/>
              </w:rPr>
            </w:pPr>
            <w:r>
              <w:rPr>
                <w:sz w:val="18"/>
                <w:lang w:val="en-GB"/>
              </w:rPr>
              <w:t xml:space="preserve">GW </w:t>
            </w:r>
            <w:r>
              <w:rPr>
                <w:rFonts w:hint="eastAsia"/>
                <w:sz w:val="18"/>
              </w:rPr>
              <w:sym w:font="Symbol" w:char="F0A3"/>
            </w:r>
            <w:r>
              <w:rPr>
                <w:sz w:val="18"/>
                <w:lang w:val="en-GB"/>
              </w:rPr>
              <w:t>1</w:t>
            </w:r>
            <w:r>
              <w:rPr>
                <w:sz w:val="18"/>
                <w:lang w:val="en-GB"/>
              </w:rPr>
              <w:br/>
              <w:t>GW &gt;0,1</w:t>
            </w:r>
          </w:p>
        </w:tc>
        <w:tc>
          <w:tcPr>
            <w:tcW w:w="743" w:type="dxa"/>
          </w:tcPr>
          <w:p>
            <w:pPr>
              <w:pStyle w:val="GesAbsatz"/>
              <w:jc w:val="left"/>
              <w:rPr>
                <w:sz w:val="18"/>
                <w:lang w:val="en-GB"/>
              </w:rPr>
            </w:pPr>
            <w:r>
              <w:rPr>
                <w:sz w:val="18"/>
                <w:lang w:val="en-GB"/>
              </w:rPr>
              <w:t>GW &gt;1</w:t>
            </w:r>
          </w:p>
        </w:tc>
        <w:tc>
          <w:tcPr>
            <w:tcW w:w="1600" w:type="dxa"/>
          </w:tcPr>
          <w:p>
            <w:pPr>
              <w:pStyle w:val="GesAbsatz"/>
              <w:jc w:val="left"/>
              <w:rPr>
                <w:sz w:val="18"/>
                <w:lang w:val="en-GB"/>
              </w:rPr>
            </w:pPr>
          </w:p>
        </w:tc>
        <w:tc>
          <w:tcPr>
            <w:tcW w:w="858" w:type="dxa"/>
          </w:tcPr>
          <w:p>
            <w:pPr>
              <w:pStyle w:val="GesAbsatz"/>
              <w:jc w:val="left"/>
              <w:rPr>
                <w:sz w:val="18"/>
                <w:lang w:val="en-GB"/>
              </w:rPr>
            </w:pPr>
            <w:r>
              <w:rPr>
                <w:sz w:val="18"/>
                <w:lang w:val="en-GB"/>
              </w:rPr>
              <w:t xml:space="preserve">GW </w:t>
            </w:r>
            <w:r>
              <w:rPr>
                <w:rFonts w:hint="eastAsia"/>
                <w:sz w:val="18"/>
              </w:rPr>
              <w:sym w:font="Symbol" w:char="F0A3"/>
            </w:r>
            <w:r>
              <w:rPr>
                <w:sz w:val="18"/>
                <w:lang w:val="en-GB"/>
              </w:rPr>
              <w:t>1</w:t>
            </w:r>
            <w:r>
              <w:rPr>
                <w:sz w:val="18"/>
                <w:lang w:val="en-GB"/>
              </w:rPr>
              <w:br/>
              <w:t>GW &gt;0,1</w:t>
            </w:r>
          </w:p>
        </w:tc>
        <w:tc>
          <w:tcPr>
            <w:tcW w:w="743" w:type="dxa"/>
          </w:tcPr>
          <w:p>
            <w:pPr>
              <w:pStyle w:val="GesAbsatz"/>
              <w:jc w:val="left"/>
              <w:rPr>
                <w:sz w:val="18"/>
                <w:lang w:val="en-GB"/>
              </w:rPr>
            </w:pPr>
            <w:r>
              <w:rPr>
                <w:sz w:val="18"/>
                <w:lang w:val="en-GB"/>
              </w:rPr>
              <w:t>GW &gt;1</w:t>
            </w:r>
          </w:p>
        </w:tc>
        <w:tc>
          <w:tcPr>
            <w:tcW w:w="858" w:type="dxa"/>
          </w:tcPr>
          <w:p>
            <w:pPr>
              <w:pStyle w:val="GesAbsatz"/>
              <w:jc w:val="left"/>
              <w:rPr>
                <w:sz w:val="18"/>
                <w:lang w:val="en-GB"/>
              </w:rPr>
            </w:pPr>
            <w:r>
              <w:rPr>
                <w:sz w:val="18"/>
                <w:lang w:val="en-GB"/>
              </w:rPr>
              <w:t xml:space="preserve">GW </w:t>
            </w:r>
            <w:r>
              <w:rPr>
                <w:rFonts w:hint="eastAsia"/>
                <w:sz w:val="18"/>
              </w:rPr>
              <w:sym w:font="Symbol" w:char="F0A3"/>
            </w:r>
            <w:r>
              <w:rPr>
                <w:sz w:val="18"/>
                <w:lang w:val="en-GB"/>
              </w:rPr>
              <w:t>1</w:t>
            </w:r>
            <w:r>
              <w:rPr>
                <w:sz w:val="18"/>
                <w:lang w:val="en-GB"/>
              </w:rPr>
              <w:br/>
              <w:t>GW &gt;0,1</w:t>
            </w:r>
          </w:p>
        </w:tc>
        <w:tc>
          <w:tcPr>
            <w:tcW w:w="743" w:type="dxa"/>
          </w:tcPr>
          <w:p>
            <w:pPr>
              <w:pStyle w:val="GesAbsatz"/>
              <w:jc w:val="left"/>
              <w:rPr>
                <w:sz w:val="18"/>
                <w:lang w:val="en-GB"/>
              </w:rPr>
            </w:pPr>
            <w:r>
              <w:rPr>
                <w:sz w:val="18"/>
                <w:lang w:val="en-GB"/>
              </w:rPr>
              <w:t>GW &gt;1</w:t>
            </w:r>
          </w:p>
        </w:tc>
        <w:tc>
          <w:tcPr>
            <w:tcW w:w="858" w:type="dxa"/>
          </w:tcPr>
          <w:p>
            <w:pPr>
              <w:pStyle w:val="GesAbsatz"/>
              <w:jc w:val="left"/>
              <w:rPr>
                <w:sz w:val="18"/>
                <w:lang w:val="en-GB"/>
              </w:rPr>
            </w:pPr>
            <w:r>
              <w:rPr>
                <w:sz w:val="18"/>
                <w:lang w:val="en-GB"/>
              </w:rPr>
              <w:t xml:space="preserve">GW </w:t>
            </w:r>
            <w:r>
              <w:rPr>
                <w:rFonts w:hint="eastAsia"/>
                <w:sz w:val="18"/>
              </w:rPr>
              <w:sym w:font="Symbol" w:char="F0A3"/>
            </w:r>
            <w:r>
              <w:rPr>
                <w:sz w:val="18"/>
                <w:lang w:val="en-GB"/>
              </w:rPr>
              <w:t>1</w:t>
            </w:r>
            <w:r>
              <w:rPr>
                <w:sz w:val="18"/>
                <w:lang w:val="en-GB"/>
              </w:rPr>
              <w:br/>
              <w:t>GW &gt;0,1</w:t>
            </w:r>
          </w:p>
        </w:tc>
        <w:tc>
          <w:tcPr>
            <w:tcW w:w="743" w:type="dxa"/>
          </w:tcPr>
          <w:p>
            <w:pPr>
              <w:pStyle w:val="GesAbsatz"/>
              <w:jc w:val="left"/>
              <w:rPr>
                <w:sz w:val="18"/>
                <w:lang w:val="en-GB"/>
              </w:rPr>
            </w:pPr>
            <w:r>
              <w:rPr>
                <w:sz w:val="18"/>
                <w:lang w:val="en-GB"/>
              </w:rPr>
              <w:t>GW &gt;1</w:t>
            </w:r>
          </w:p>
        </w:tc>
      </w:tr>
      <w:tr>
        <w:trPr>
          <w:cantSplit/>
        </w:trPr>
        <w:tc>
          <w:tcPr>
            <w:tcW w:w="285" w:type="dxa"/>
            <w:vMerge w:val="restart"/>
            <w:vAlign w:val="center"/>
          </w:tcPr>
          <w:p>
            <w:pPr>
              <w:pStyle w:val="GesAbsatz"/>
              <w:jc w:val="center"/>
              <w:rPr>
                <w:b/>
                <w:bCs/>
                <w:lang w:val="en-GB"/>
              </w:rPr>
            </w:pPr>
            <w:r>
              <w:rPr>
                <w:b/>
                <w:bCs/>
                <w:lang w:val="en-GB"/>
              </w:rPr>
              <w:t>Erdbau</w:t>
            </w:r>
          </w:p>
        </w:tc>
        <w:tc>
          <w:tcPr>
            <w:tcW w:w="456" w:type="dxa"/>
          </w:tcPr>
          <w:p>
            <w:pPr>
              <w:pStyle w:val="GesAbsatz"/>
              <w:jc w:val="left"/>
              <w:rPr>
                <w:sz w:val="18"/>
              </w:rPr>
            </w:pPr>
            <w:r>
              <w:rPr>
                <w:sz w:val="18"/>
              </w:rPr>
              <w:t>9</w:t>
            </w:r>
          </w:p>
        </w:tc>
        <w:tc>
          <w:tcPr>
            <w:tcW w:w="2856" w:type="dxa"/>
          </w:tcPr>
          <w:p>
            <w:pPr>
              <w:pStyle w:val="GesAbsatz"/>
              <w:jc w:val="left"/>
              <w:rPr>
                <w:sz w:val="18"/>
              </w:rPr>
            </w:pPr>
            <w:r>
              <w:rPr>
                <w:sz w:val="18"/>
              </w:rPr>
              <w:t>Unterbau unter Asphalt oder Beton (einschl. Fundament-/Bodenplatten)</w:t>
            </w:r>
          </w:p>
        </w:tc>
        <w:tc>
          <w:tcPr>
            <w:tcW w:w="857"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1600"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sym w:font="Symbol" w:char="F0C5"/>
            </w:r>
          </w:p>
        </w:tc>
        <w:tc>
          <w:tcPr>
            <w:tcW w:w="858" w:type="dxa"/>
            <w:vAlign w:val="center"/>
          </w:tcPr>
          <w:p>
            <w:pPr>
              <w:pStyle w:val="GesAbsatz"/>
              <w:jc w:val="center"/>
            </w:pPr>
            <w:r>
              <w:t>-</w:t>
            </w:r>
          </w:p>
        </w:tc>
        <w:tc>
          <w:tcPr>
            <w:tcW w:w="743" w:type="dxa"/>
            <w:vAlign w:val="center"/>
          </w:tcPr>
          <w:p>
            <w:pPr>
              <w:pStyle w:val="GesAbsatz"/>
              <w:jc w:val="center"/>
            </w:pPr>
            <w:r>
              <w:sym w:font="Symbol" w:char="F0C5"/>
            </w:r>
          </w:p>
        </w:tc>
      </w:tr>
      <w:tr>
        <w:trPr>
          <w:cantSplit/>
        </w:trPr>
        <w:tc>
          <w:tcPr>
            <w:tcW w:w="285" w:type="dxa"/>
            <w:vMerge/>
          </w:tcPr>
          <w:p>
            <w:pPr>
              <w:pStyle w:val="GesAbsatz"/>
              <w:jc w:val="left"/>
              <w:rPr>
                <w:sz w:val="18"/>
              </w:rPr>
            </w:pPr>
          </w:p>
        </w:tc>
        <w:tc>
          <w:tcPr>
            <w:tcW w:w="456" w:type="dxa"/>
          </w:tcPr>
          <w:p>
            <w:pPr>
              <w:pStyle w:val="GesAbsatz"/>
              <w:jc w:val="left"/>
              <w:rPr>
                <w:sz w:val="18"/>
              </w:rPr>
            </w:pPr>
            <w:r>
              <w:rPr>
                <w:sz w:val="18"/>
              </w:rPr>
              <w:t>10</w:t>
            </w:r>
          </w:p>
        </w:tc>
        <w:tc>
          <w:tcPr>
            <w:tcW w:w="2856" w:type="dxa"/>
          </w:tcPr>
          <w:p>
            <w:pPr>
              <w:pStyle w:val="GesAbsatz"/>
              <w:jc w:val="left"/>
              <w:rPr>
                <w:sz w:val="18"/>
              </w:rPr>
            </w:pPr>
            <w:r>
              <w:rPr>
                <w:sz w:val="18"/>
              </w:rPr>
              <w:t>Unterbau bis 1 m mit kulturf. B.</w:t>
            </w:r>
          </w:p>
        </w:tc>
        <w:tc>
          <w:tcPr>
            <w:tcW w:w="857"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1600"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r>
      <w:tr>
        <w:trPr>
          <w:cantSplit/>
        </w:trPr>
        <w:tc>
          <w:tcPr>
            <w:tcW w:w="285" w:type="dxa"/>
            <w:vMerge/>
          </w:tcPr>
          <w:p>
            <w:pPr>
              <w:pStyle w:val="GesAbsatz"/>
              <w:jc w:val="left"/>
              <w:rPr>
                <w:sz w:val="18"/>
              </w:rPr>
            </w:pPr>
          </w:p>
        </w:tc>
        <w:tc>
          <w:tcPr>
            <w:tcW w:w="456" w:type="dxa"/>
          </w:tcPr>
          <w:p>
            <w:pPr>
              <w:pStyle w:val="GesAbsatz"/>
              <w:jc w:val="left"/>
              <w:rPr>
                <w:sz w:val="18"/>
              </w:rPr>
            </w:pPr>
            <w:r>
              <w:rPr>
                <w:sz w:val="18"/>
              </w:rPr>
              <w:t>11</w:t>
            </w:r>
          </w:p>
        </w:tc>
        <w:tc>
          <w:tcPr>
            <w:tcW w:w="2856" w:type="dxa"/>
          </w:tcPr>
          <w:p>
            <w:pPr>
              <w:pStyle w:val="GesAbsatz"/>
              <w:jc w:val="left"/>
              <w:rPr>
                <w:sz w:val="18"/>
              </w:rPr>
            </w:pPr>
            <w:r>
              <w:rPr>
                <w:sz w:val="18"/>
              </w:rPr>
              <w:t>Damm gemäß Bild 1</w:t>
            </w:r>
          </w:p>
        </w:tc>
        <w:tc>
          <w:tcPr>
            <w:tcW w:w="857"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1600"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r>
      <w:tr>
        <w:trPr>
          <w:cantSplit/>
        </w:trPr>
        <w:tc>
          <w:tcPr>
            <w:tcW w:w="285" w:type="dxa"/>
            <w:vMerge/>
          </w:tcPr>
          <w:p>
            <w:pPr>
              <w:pStyle w:val="GesAbsatz"/>
              <w:jc w:val="left"/>
              <w:rPr>
                <w:sz w:val="18"/>
              </w:rPr>
            </w:pPr>
          </w:p>
        </w:tc>
        <w:tc>
          <w:tcPr>
            <w:tcW w:w="456" w:type="dxa"/>
          </w:tcPr>
          <w:p>
            <w:pPr>
              <w:pStyle w:val="GesAbsatz"/>
              <w:jc w:val="left"/>
              <w:rPr>
                <w:sz w:val="18"/>
              </w:rPr>
            </w:pPr>
            <w:r>
              <w:rPr>
                <w:sz w:val="18"/>
              </w:rPr>
              <w:t>12</w:t>
            </w:r>
          </w:p>
        </w:tc>
        <w:tc>
          <w:tcPr>
            <w:tcW w:w="2856" w:type="dxa"/>
          </w:tcPr>
          <w:p>
            <w:pPr>
              <w:pStyle w:val="GesAbsatz"/>
              <w:jc w:val="left"/>
              <w:rPr>
                <w:sz w:val="18"/>
              </w:rPr>
            </w:pPr>
            <w:r>
              <w:rPr>
                <w:sz w:val="18"/>
              </w:rPr>
              <w:t>Damm gemäß Bild 2</w:t>
            </w:r>
          </w:p>
        </w:tc>
        <w:tc>
          <w:tcPr>
            <w:tcW w:w="857"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1600"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r>
      <w:tr>
        <w:trPr>
          <w:cantSplit/>
        </w:trPr>
        <w:tc>
          <w:tcPr>
            <w:tcW w:w="285" w:type="dxa"/>
            <w:vMerge/>
          </w:tcPr>
          <w:p>
            <w:pPr>
              <w:pStyle w:val="GesAbsatz"/>
              <w:jc w:val="left"/>
              <w:rPr>
                <w:sz w:val="18"/>
              </w:rPr>
            </w:pPr>
          </w:p>
        </w:tc>
        <w:tc>
          <w:tcPr>
            <w:tcW w:w="456" w:type="dxa"/>
          </w:tcPr>
          <w:p>
            <w:pPr>
              <w:pStyle w:val="GesAbsatz"/>
              <w:jc w:val="left"/>
              <w:rPr>
                <w:sz w:val="18"/>
              </w:rPr>
            </w:pPr>
            <w:r>
              <w:rPr>
                <w:sz w:val="18"/>
              </w:rPr>
              <w:t>13</w:t>
            </w:r>
          </w:p>
        </w:tc>
        <w:tc>
          <w:tcPr>
            <w:tcW w:w="2856" w:type="dxa"/>
          </w:tcPr>
          <w:p>
            <w:pPr>
              <w:pStyle w:val="GesAbsatz"/>
              <w:jc w:val="left"/>
              <w:rPr>
                <w:sz w:val="18"/>
              </w:rPr>
            </w:pPr>
            <w:r>
              <w:rPr>
                <w:sz w:val="18"/>
              </w:rPr>
              <w:t>Damm gemäß Bild 3</w:t>
            </w:r>
          </w:p>
        </w:tc>
        <w:tc>
          <w:tcPr>
            <w:tcW w:w="857"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1600"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r>
      <w:tr>
        <w:trPr>
          <w:cantSplit/>
        </w:trPr>
        <w:tc>
          <w:tcPr>
            <w:tcW w:w="285" w:type="dxa"/>
            <w:vMerge/>
          </w:tcPr>
          <w:p>
            <w:pPr>
              <w:pStyle w:val="GesAbsatz"/>
              <w:jc w:val="left"/>
              <w:rPr>
                <w:sz w:val="18"/>
              </w:rPr>
            </w:pPr>
          </w:p>
        </w:tc>
        <w:tc>
          <w:tcPr>
            <w:tcW w:w="456" w:type="dxa"/>
          </w:tcPr>
          <w:p>
            <w:pPr>
              <w:pStyle w:val="GesAbsatz"/>
              <w:jc w:val="left"/>
              <w:rPr>
                <w:sz w:val="18"/>
              </w:rPr>
            </w:pPr>
            <w:r>
              <w:rPr>
                <w:sz w:val="18"/>
              </w:rPr>
              <w:t>14</w:t>
            </w:r>
          </w:p>
        </w:tc>
        <w:tc>
          <w:tcPr>
            <w:tcW w:w="2856" w:type="dxa"/>
          </w:tcPr>
          <w:p>
            <w:pPr>
              <w:pStyle w:val="GesAbsatz"/>
              <w:jc w:val="left"/>
              <w:rPr>
                <w:sz w:val="18"/>
              </w:rPr>
            </w:pPr>
            <w:r>
              <w:rPr>
                <w:sz w:val="18"/>
              </w:rPr>
              <w:t>Lärmschutzwall mit kulturf. B.</w:t>
            </w:r>
          </w:p>
        </w:tc>
        <w:tc>
          <w:tcPr>
            <w:tcW w:w="857" w:type="dxa"/>
            <w:vAlign w:val="center"/>
          </w:tcPr>
          <w:p>
            <w:pPr>
              <w:pStyle w:val="GesAbsatz"/>
              <w:jc w:val="center"/>
            </w:pPr>
            <w:r>
              <w:t>A</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1600"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r>
      <w:tr>
        <w:trPr>
          <w:cantSplit/>
        </w:trPr>
        <w:tc>
          <w:tcPr>
            <w:tcW w:w="285" w:type="dxa"/>
            <w:vMerge/>
          </w:tcPr>
          <w:p>
            <w:pPr>
              <w:pStyle w:val="GesAbsatz"/>
              <w:jc w:val="left"/>
              <w:rPr>
                <w:sz w:val="18"/>
              </w:rPr>
            </w:pPr>
          </w:p>
        </w:tc>
        <w:tc>
          <w:tcPr>
            <w:tcW w:w="456" w:type="dxa"/>
          </w:tcPr>
          <w:p>
            <w:pPr>
              <w:pStyle w:val="GesAbsatz"/>
              <w:jc w:val="left"/>
              <w:rPr>
                <w:sz w:val="18"/>
              </w:rPr>
            </w:pPr>
            <w:r>
              <w:rPr>
                <w:sz w:val="18"/>
              </w:rPr>
              <w:t>15</w:t>
            </w:r>
          </w:p>
        </w:tc>
        <w:tc>
          <w:tcPr>
            <w:tcW w:w="2856" w:type="dxa"/>
          </w:tcPr>
          <w:p>
            <w:pPr>
              <w:pStyle w:val="GesAbsatz"/>
              <w:jc w:val="left"/>
              <w:rPr>
                <w:sz w:val="18"/>
              </w:rPr>
            </w:pPr>
            <w:r>
              <w:rPr>
                <w:sz w:val="18"/>
              </w:rPr>
              <w:t>Lärmschutzwall gem. Bild 4 od. 5</w:t>
            </w:r>
          </w:p>
        </w:tc>
        <w:tc>
          <w:tcPr>
            <w:tcW w:w="857"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1600"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r>
    </w:tbl>
    <w:p>
      <w:pPr>
        <w:pStyle w:val="GesAbsatz"/>
      </w:pPr>
    </w:p>
    <w:p>
      <w:pPr>
        <w:pStyle w:val="berschrift2"/>
        <w:jc w:val="left"/>
      </w:pPr>
      <w:r>
        <w:br w:type="page"/>
      </w:r>
      <w:bookmarkStart w:id="16" w:name="_Toc235867979"/>
      <w:r>
        <w:lastRenderedPageBreak/>
        <w:t>Anlage 2</w:t>
      </w:r>
      <w:bookmarkEnd w:id="16"/>
    </w:p>
    <w:tbl>
      <w:tblPr>
        <w:tblW w:w="14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5"/>
        <w:gridCol w:w="456"/>
        <w:gridCol w:w="2856"/>
        <w:gridCol w:w="857"/>
        <w:gridCol w:w="743"/>
        <w:gridCol w:w="858"/>
        <w:gridCol w:w="743"/>
        <w:gridCol w:w="858"/>
        <w:gridCol w:w="743"/>
        <w:gridCol w:w="1600"/>
        <w:gridCol w:w="858"/>
        <w:gridCol w:w="743"/>
        <w:gridCol w:w="858"/>
        <w:gridCol w:w="743"/>
        <w:gridCol w:w="858"/>
        <w:gridCol w:w="743"/>
      </w:tblGrid>
      <w:tr>
        <w:trPr>
          <w:cantSplit/>
        </w:trPr>
        <w:tc>
          <w:tcPr>
            <w:tcW w:w="3597" w:type="dxa"/>
            <w:gridSpan w:val="3"/>
            <w:vMerge w:val="restart"/>
            <w:vAlign w:val="center"/>
          </w:tcPr>
          <w:p>
            <w:pPr>
              <w:pStyle w:val="GesAbsatz"/>
              <w:jc w:val="center"/>
              <w:rPr>
                <w:b/>
                <w:bCs/>
                <w:sz w:val="18"/>
              </w:rPr>
            </w:pPr>
            <w:r>
              <w:rPr>
                <w:b/>
                <w:bCs/>
              </w:rPr>
              <w:t xml:space="preserve">Baustoff: </w:t>
            </w:r>
            <w:r>
              <w:rPr>
                <w:b/>
                <w:bCs/>
              </w:rPr>
              <w:br/>
              <w:t>Hausmüllverbrennungs-Asche</w:t>
            </w:r>
            <w:r>
              <w:rPr>
                <w:b/>
                <w:bCs/>
              </w:rPr>
              <w:br/>
              <w:t>(HMVA II)</w:t>
            </w:r>
          </w:p>
        </w:tc>
        <w:tc>
          <w:tcPr>
            <w:tcW w:w="11205" w:type="dxa"/>
            <w:gridSpan w:val="13"/>
          </w:tcPr>
          <w:p>
            <w:pPr>
              <w:pStyle w:val="GesAbsatz"/>
              <w:jc w:val="center"/>
              <w:rPr>
                <w:sz w:val="18"/>
                <w:lang w:val="it-IT"/>
              </w:rPr>
            </w:pPr>
            <w:r>
              <w:rPr>
                <w:b/>
                <w:bCs/>
                <w:sz w:val="18"/>
                <w:lang w:val="it-IT"/>
              </w:rPr>
              <w:t>V e r w e r t u n g s g e b i e t e</w:t>
            </w:r>
          </w:p>
        </w:tc>
      </w:tr>
      <w:tr>
        <w:trPr>
          <w:cantSplit/>
        </w:trPr>
        <w:tc>
          <w:tcPr>
            <w:tcW w:w="3597" w:type="dxa"/>
            <w:gridSpan w:val="3"/>
            <w:vMerge/>
          </w:tcPr>
          <w:p>
            <w:pPr>
              <w:pStyle w:val="GesAbsatz"/>
              <w:rPr>
                <w:sz w:val="18"/>
                <w:lang w:val="it-IT"/>
              </w:rPr>
            </w:pPr>
          </w:p>
        </w:tc>
        <w:tc>
          <w:tcPr>
            <w:tcW w:w="1600" w:type="dxa"/>
            <w:gridSpan w:val="2"/>
            <w:vMerge w:val="restart"/>
          </w:tcPr>
          <w:p>
            <w:pPr>
              <w:pStyle w:val="GesAbsatz"/>
              <w:jc w:val="center"/>
              <w:rPr>
                <w:b/>
                <w:bCs/>
                <w:sz w:val="18"/>
                <w:u w:val="single"/>
              </w:rPr>
            </w:pPr>
            <w:r>
              <w:rPr>
                <w:b/>
                <w:bCs/>
                <w:sz w:val="18"/>
                <w:u w:val="single"/>
              </w:rPr>
              <w:t>Außerhalb</w:t>
            </w:r>
          </w:p>
          <w:p>
            <w:pPr>
              <w:pStyle w:val="GesAbsatz"/>
              <w:jc w:val="center"/>
              <w:rPr>
                <w:b/>
                <w:bCs/>
                <w:sz w:val="18"/>
                <w:u w:val="single"/>
              </w:rPr>
            </w:pPr>
          </w:p>
          <w:p>
            <w:pPr>
              <w:pStyle w:val="GesAbsatz"/>
              <w:jc w:val="center"/>
              <w:rPr>
                <w:sz w:val="18"/>
              </w:rPr>
            </w:pPr>
            <w:r>
              <w:rPr>
                <w:sz w:val="18"/>
              </w:rPr>
              <w:t xml:space="preserve">wasserwirtschaftlich bedeutender u. empfindlicher sowie hydrogeologisch </w:t>
            </w:r>
            <w:r>
              <w:rPr>
                <w:sz w:val="18"/>
              </w:rPr>
              <w:br/>
              <w:t>sensitiver Gebiete (Spalten 2-7)</w:t>
            </w:r>
          </w:p>
        </w:tc>
        <w:tc>
          <w:tcPr>
            <w:tcW w:w="9605" w:type="dxa"/>
            <w:gridSpan w:val="11"/>
          </w:tcPr>
          <w:p>
            <w:pPr>
              <w:pStyle w:val="GesAbsatz"/>
              <w:jc w:val="center"/>
              <w:rPr>
                <w:sz w:val="18"/>
              </w:rPr>
            </w:pPr>
            <w:r>
              <w:rPr>
                <w:b/>
                <w:bCs/>
                <w:sz w:val="18"/>
                <w:u w:val="single"/>
              </w:rPr>
              <w:t>Innerhalb</w:t>
            </w:r>
            <w:r>
              <w:rPr>
                <w:sz w:val="18"/>
              </w:rPr>
              <w:br/>
              <w:t>wasserwirtschaftlich bedeutender und empfindlicher sowie hydrogeologisch sensitiver Gebiete</w:t>
            </w:r>
          </w:p>
        </w:tc>
      </w:tr>
      <w:tr>
        <w:trPr>
          <w:cantSplit/>
        </w:trPr>
        <w:tc>
          <w:tcPr>
            <w:tcW w:w="3597" w:type="dxa"/>
            <w:gridSpan w:val="3"/>
            <w:vMerge/>
          </w:tcPr>
          <w:p>
            <w:pPr>
              <w:pStyle w:val="GesAbsatz"/>
              <w:rPr>
                <w:sz w:val="18"/>
              </w:rPr>
            </w:pPr>
          </w:p>
        </w:tc>
        <w:tc>
          <w:tcPr>
            <w:tcW w:w="1600" w:type="dxa"/>
            <w:gridSpan w:val="2"/>
            <w:vMerge/>
          </w:tcPr>
          <w:p>
            <w:pPr>
              <w:pStyle w:val="GesAbsatz"/>
              <w:jc w:val="center"/>
              <w:rPr>
                <w:sz w:val="18"/>
              </w:rPr>
            </w:pPr>
          </w:p>
        </w:tc>
        <w:tc>
          <w:tcPr>
            <w:tcW w:w="1601" w:type="dxa"/>
            <w:gridSpan w:val="2"/>
          </w:tcPr>
          <w:p>
            <w:pPr>
              <w:pStyle w:val="GesAbsatz"/>
              <w:jc w:val="center"/>
              <w:rPr>
                <w:sz w:val="18"/>
              </w:rPr>
            </w:pPr>
            <w:r>
              <w:rPr>
                <w:sz w:val="18"/>
              </w:rPr>
              <w:t>Porengrundwasserleiter und wenig durchlässige Kluftgrundwasserleiter ohne ausreichende Deckschichten</w:t>
            </w:r>
          </w:p>
        </w:tc>
        <w:tc>
          <w:tcPr>
            <w:tcW w:w="1601" w:type="dxa"/>
            <w:gridSpan w:val="2"/>
          </w:tcPr>
          <w:p>
            <w:pPr>
              <w:pStyle w:val="GesAbsatz"/>
              <w:jc w:val="center"/>
              <w:rPr>
                <w:sz w:val="18"/>
              </w:rPr>
            </w:pPr>
            <w:r>
              <w:rPr>
                <w:sz w:val="18"/>
              </w:rPr>
              <w:t>gut durchlässige Kluftgrundwasserleiter einschl. Karstgrundwasserleiter ohne ausreichende Deckschichten</w:t>
            </w:r>
          </w:p>
        </w:tc>
        <w:tc>
          <w:tcPr>
            <w:tcW w:w="1600" w:type="dxa"/>
          </w:tcPr>
          <w:p>
            <w:pPr>
              <w:pStyle w:val="GesAbsatz"/>
              <w:jc w:val="center"/>
              <w:rPr>
                <w:sz w:val="18"/>
              </w:rPr>
            </w:pPr>
            <w:r>
              <w:rPr>
                <w:sz w:val="18"/>
              </w:rPr>
              <w:t>20 m breite Randstreifen an kleinen Gewässern: Hochwasser-Retentionsräume</w:t>
            </w:r>
          </w:p>
        </w:tc>
        <w:tc>
          <w:tcPr>
            <w:tcW w:w="1601" w:type="dxa"/>
            <w:gridSpan w:val="2"/>
          </w:tcPr>
          <w:p>
            <w:pPr>
              <w:pStyle w:val="GesAbsatz"/>
              <w:jc w:val="center"/>
              <w:rPr>
                <w:sz w:val="18"/>
              </w:rPr>
            </w:pPr>
            <w:r>
              <w:rPr>
                <w:sz w:val="18"/>
              </w:rPr>
              <w:t>WSG III B</w:t>
            </w:r>
          </w:p>
          <w:p>
            <w:pPr>
              <w:pStyle w:val="GesAbsatz"/>
              <w:jc w:val="center"/>
              <w:rPr>
                <w:sz w:val="18"/>
              </w:rPr>
            </w:pPr>
            <w:r>
              <w:rPr>
                <w:sz w:val="18"/>
              </w:rPr>
              <w:t>HSG IV</w:t>
            </w:r>
          </w:p>
        </w:tc>
        <w:tc>
          <w:tcPr>
            <w:tcW w:w="1601" w:type="dxa"/>
            <w:gridSpan w:val="2"/>
          </w:tcPr>
          <w:p>
            <w:pPr>
              <w:pStyle w:val="GesAbsatz"/>
              <w:jc w:val="center"/>
              <w:rPr>
                <w:sz w:val="18"/>
                <w:lang w:val="en-GB"/>
              </w:rPr>
            </w:pPr>
            <w:r>
              <w:rPr>
                <w:sz w:val="18"/>
                <w:lang w:val="en-GB"/>
              </w:rPr>
              <w:t>WSG III A</w:t>
            </w:r>
          </w:p>
          <w:p>
            <w:pPr>
              <w:pStyle w:val="GesAbsatz"/>
              <w:jc w:val="center"/>
              <w:rPr>
                <w:sz w:val="18"/>
                <w:lang w:val="en-GB"/>
              </w:rPr>
            </w:pPr>
            <w:r>
              <w:rPr>
                <w:sz w:val="18"/>
                <w:lang w:val="en-GB"/>
              </w:rPr>
              <w:t>HSG III</w:t>
            </w:r>
          </w:p>
        </w:tc>
        <w:tc>
          <w:tcPr>
            <w:tcW w:w="1601" w:type="dxa"/>
            <w:gridSpan w:val="2"/>
          </w:tcPr>
          <w:p>
            <w:pPr>
              <w:pStyle w:val="GesAbsatz"/>
              <w:jc w:val="center"/>
              <w:rPr>
                <w:sz w:val="18"/>
              </w:rPr>
            </w:pPr>
            <w:r>
              <w:rPr>
                <w:sz w:val="18"/>
              </w:rPr>
              <w:t>Bereich zum Schutz der Gewässer nach Landesplanungsrecht</w:t>
            </w:r>
          </w:p>
        </w:tc>
      </w:tr>
      <w:tr>
        <w:trPr>
          <w:cantSplit/>
        </w:trPr>
        <w:tc>
          <w:tcPr>
            <w:tcW w:w="285" w:type="dxa"/>
            <w:vMerge w:val="restart"/>
            <w:vAlign w:val="center"/>
          </w:tcPr>
          <w:p>
            <w:pPr>
              <w:pStyle w:val="GesAbsatz"/>
              <w:jc w:val="center"/>
              <w:rPr>
                <w:b/>
                <w:bCs/>
              </w:rPr>
            </w:pPr>
          </w:p>
        </w:tc>
        <w:tc>
          <w:tcPr>
            <w:tcW w:w="456" w:type="dxa"/>
            <w:vMerge w:val="restart"/>
          </w:tcPr>
          <w:p>
            <w:pPr>
              <w:pStyle w:val="GesAbsatz"/>
              <w:jc w:val="left"/>
              <w:rPr>
                <w:sz w:val="18"/>
              </w:rPr>
            </w:pPr>
            <w:r>
              <w:rPr>
                <w:sz w:val="18"/>
              </w:rPr>
              <w:t>lfd. Nr.</w:t>
            </w:r>
          </w:p>
        </w:tc>
        <w:tc>
          <w:tcPr>
            <w:tcW w:w="2856" w:type="dxa"/>
            <w:vMerge w:val="restart"/>
            <w:vAlign w:val="center"/>
          </w:tcPr>
          <w:p>
            <w:pPr>
              <w:pStyle w:val="GesAbsatz"/>
              <w:jc w:val="center"/>
              <w:rPr>
                <w:sz w:val="18"/>
              </w:rPr>
            </w:pPr>
            <w:r>
              <w:rPr>
                <w:sz w:val="18"/>
              </w:rPr>
              <w:t>Einsatz</w:t>
            </w:r>
          </w:p>
        </w:tc>
        <w:tc>
          <w:tcPr>
            <w:tcW w:w="1600" w:type="dxa"/>
            <w:gridSpan w:val="2"/>
          </w:tcPr>
          <w:p>
            <w:pPr>
              <w:pStyle w:val="GesAbsatz"/>
              <w:jc w:val="center"/>
              <w:rPr>
                <w:sz w:val="18"/>
              </w:rPr>
            </w:pPr>
            <w:r>
              <w:rPr>
                <w:sz w:val="18"/>
              </w:rPr>
              <w:t>1</w:t>
            </w:r>
          </w:p>
        </w:tc>
        <w:tc>
          <w:tcPr>
            <w:tcW w:w="1601" w:type="dxa"/>
            <w:gridSpan w:val="2"/>
          </w:tcPr>
          <w:p>
            <w:pPr>
              <w:pStyle w:val="GesAbsatz"/>
              <w:jc w:val="center"/>
              <w:rPr>
                <w:sz w:val="18"/>
              </w:rPr>
            </w:pPr>
            <w:r>
              <w:rPr>
                <w:sz w:val="18"/>
              </w:rPr>
              <w:t>2</w:t>
            </w:r>
          </w:p>
        </w:tc>
        <w:tc>
          <w:tcPr>
            <w:tcW w:w="1601" w:type="dxa"/>
            <w:gridSpan w:val="2"/>
          </w:tcPr>
          <w:p>
            <w:pPr>
              <w:pStyle w:val="GesAbsatz"/>
              <w:jc w:val="center"/>
              <w:rPr>
                <w:sz w:val="18"/>
              </w:rPr>
            </w:pPr>
            <w:r>
              <w:rPr>
                <w:sz w:val="18"/>
              </w:rPr>
              <w:t>3</w:t>
            </w:r>
          </w:p>
        </w:tc>
        <w:tc>
          <w:tcPr>
            <w:tcW w:w="1600" w:type="dxa"/>
          </w:tcPr>
          <w:p>
            <w:pPr>
              <w:pStyle w:val="GesAbsatz"/>
              <w:jc w:val="center"/>
              <w:rPr>
                <w:sz w:val="18"/>
              </w:rPr>
            </w:pPr>
            <w:r>
              <w:rPr>
                <w:sz w:val="18"/>
              </w:rPr>
              <w:t>4</w:t>
            </w:r>
          </w:p>
        </w:tc>
        <w:tc>
          <w:tcPr>
            <w:tcW w:w="1601" w:type="dxa"/>
            <w:gridSpan w:val="2"/>
          </w:tcPr>
          <w:p>
            <w:pPr>
              <w:pStyle w:val="GesAbsatz"/>
              <w:jc w:val="center"/>
              <w:rPr>
                <w:sz w:val="18"/>
              </w:rPr>
            </w:pPr>
            <w:r>
              <w:rPr>
                <w:sz w:val="18"/>
              </w:rPr>
              <w:t>5</w:t>
            </w:r>
          </w:p>
        </w:tc>
        <w:tc>
          <w:tcPr>
            <w:tcW w:w="1601" w:type="dxa"/>
            <w:gridSpan w:val="2"/>
          </w:tcPr>
          <w:p>
            <w:pPr>
              <w:pStyle w:val="GesAbsatz"/>
              <w:jc w:val="center"/>
              <w:rPr>
                <w:sz w:val="18"/>
              </w:rPr>
            </w:pPr>
            <w:r>
              <w:rPr>
                <w:sz w:val="18"/>
              </w:rPr>
              <w:t>6</w:t>
            </w:r>
          </w:p>
        </w:tc>
        <w:tc>
          <w:tcPr>
            <w:tcW w:w="1601" w:type="dxa"/>
            <w:gridSpan w:val="2"/>
          </w:tcPr>
          <w:p>
            <w:pPr>
              <w:pStyle w:val="GesAbsatz"/>
              <w:jc w:val="center"/>
              <w:rPr>
                <w:sz w:val="18"/>
              </w:rPr>
            </w:pPr>
            <w:r>
              <w:rPr>
                <w:sz w:val="18"/>
              </w:rPr>
              <w:t>7</w:t>
            </w:r>
          </w:p>
        </w:tc>
      </w:tr>
      <w:tr>
        <w:trPr>
          <w:cantSplit/>
        </w:trPr>
        <w:tc>
          <w:tcPr>
            <w:tcW w:w="285" w:type="dxa"/>
            <w:vMerge/>
          </w:tcPr>
          <w:p>
            <w:pPr>
              <w:pStyle w:val="GesAbsatz"/>
              <w:jc w:val="left"/>
              <w:rPr>
                <w:sz w:val="18"/>
              </w:rPr>
            </w:pPr>
          </w:p>
        </w:tc>
        <w:tc>
          <w:tcPr>
            <w:tcW w:w="456" w:type="dxa"/>
            <w:vMerge/>
          </w:tcPr>
          <w:p>
            <w:pPr>
              <w:pStyle w:val="GesAbsatz"/>
              <w:jc w:val="left"/>
              <w:rPr>
                <w:sz w:val="18"/>
              </w:rPr>
            </w:pPr>
          </w:p>
        </w:tc>
        <w:tc>
          <w:tcPr>
            <w:tcW w:w="2856" w:type="dxa"/>
            <w:vMerge/>
          </w:tcPr>
          <w:p>
            <w:pPr>
              <w:pStyle w:val="GesAbsatz"/>
              <w:jc w:val="left"/>
              <w:rPr>
                <w:sz w:val="18"/>
              </w:rPr>
            </w:pPr>
          </w:p>
        </w:tc>
        <w:tc>
          <w:tcPr>
            <w:tcW w:w="857" w:type="dxa"/>
          </w:tcPr>
          <w:p>
            <w:pPr>
              <w:pStyle w:val="GesAbsatz"/>
              <w:jc w:val="left"/>
              <w:rPr>
                <w:sz w:val="18"/>
              </w:rPr>
            </w:pPr>
            <w:r>
              <w:rPr>
                <w:sz w:val="18"/>
              </w:rPr>
              <w:t xml:space="preserve">GW </w:t>
            </w:r>
            <w:r>
              <w:rPr>
                <w:rFonts w:hint="eastAsia"/>
                <w:sz w:val="18"/>
              </w:rPr>
              <w:sym w:font="Symbol" w:char="F0A3"/>
            </w:r>
            <w:r>
              <w:rPr>
                <w:sz w:val="18"/>
              </w:rPr>
              <w:t>1</w:t>
            </w:r>
            <w:r>
              <w:rPr>
                <w:sz w:val="18"/>
              </w:rPr>
              <w:br/>
              <w:t>GW &gt;0,1</w:t>
            </w:r>
          </w:p>
        </w:tc>
        <w:tc>
          <w:tcPr>
            <w:tcW w:w="743" w:type="dxa"/>
          </w:tcPr>
          <w:p>
            <w:pPr>
              <w:pStyle w:val="GesAbsatz"/>
              <w:jc w:val="left"/>
              <w:rPr>
                <w:sz w:val="18"/>
              </w:rPr>
            </w:pPr>
            <w:r>
              <w:rPr>
                <w:sz w:val="18"/>
              </w:rPr>
              <w:t>GW &gt;1</w:t>
            </w:r>
          </w:p>
        </w:tc>
        <w:tc>
          <w:tcPr>
            <w:tcW w:w="858" w:type="dxa"/>
          </w:tcPr>
          <w:p>
            <w:pPr>
              <w:pStyle w:val="GesAbsatz"/>
              <w:jc w:val="left"/>
              <w:rPr>
                <w:sz w:val="18"/>
              </w:rPr>
            </w:pPr>
            <w:r>
              <w:rPr>
                <w:sz w:val="18"/>
              </w:rPr>
              <w:t xml:space="preserve">GW </w:t>
            </w:r>
            <w:r>
              <w:rPr>
                <w:rFonts w:hint="eastAsia"/>
                <w:sz w:val="18"/>
              </w:rPr>
              <w:sym w:font="Symbol" w:char="F0A3"/>
            </w:r>
            <w:r>
              <w:rPr>
                <w:sz w:val="18"/>
              </w:rPr>
              <w:t>1</w:t>
            </w:r>
            <w:r>
              <w:rPr>
                <w:sz w:val="18"/>
              </w:rPr>
              <w:br/>
              <w:t>GW &gt;0,1</w:t>
            </w:r>
          </w:p>
        </w:tc>
        <w:tc>
          <w:tcPr>
            <w:tcW w:w="743" w:type="dxa"/>
          </w:tcPr>
          <w:p>
            <w:pPr>
              <w:pStyle w:val="GesAbsatz"/>
              <w:jc w:val="left"/>
              <w:rPr>
                <w:sz w:val="18"/>
                <w:lang w:val="en-GB"/>
              </w:rPr>
            </w:pPr>
            <w:r>
              <w:rPr>
                <w:sz w:val="18"/>
                <w:lang w:val="en-GB"/>
              </w:rPr>
              <w:t>GW &gt;1</w:t>
            </w:r>
          </w:p>
        </w:tc>
        <w:tc>
          <w:tcPr>
            <w:tcW w:w="858" w:type="dxa"/>
          </w:tcPr>
          <w:p>
            <w:pPr>
              <w:pStyle w:val="GesAbsatz"/>
              <w:jc w:val="left"/>
              <w:rPr>
                <w:sz w:val="18"/>
                <w:lang w:val="en-GB"/>
              </w:rPr>
            </w:pPr>
            <w:r>
              <w:rPr>
                <w:sz w:val="18"/>
                <w:lang w:val="en-GB"/>
              </w:rPr>
              <w:t xml:space="preserve">GW </w:t>
            </w:r>
            <w:r>
              <w:rPr>
                <w:rFonts w:hint="eastAsia"/>
                <w:sz w:val="18"/>
              </w:rPr>
              <w:sym w:font="Symbol" w:char="F0A3"/>
            </w:r>
            <w:r>
              <w:rPr>
                <w:sz w:val="18"/>
                <w:lang w:val="en-GB"/>
              </w:rPr>
              <w:t>1</w:t>
            </w:r>
            <w:r>
              <w:rPr>
                <w:sz w:val="18"/>
                <w:lang w:val="en-GB"/>
              </w:rPr>
              <w:br/>
              <w:t>GW &gt;0,1</w:t>
            </w:r>
          </w:p>
        </w:tc>
        <w:tc>
          <w:tcPr>
            <w:tcW w:w="743" w:type="dxa"/>
          </w:tcPr>
          <w:p>
            <w:pPr>
              <w:pStyle w:val="GesAbsatz"/>
              <w:jc w:val="left"/>
              <w:rPr>
                <w:sz w:val="18"/>
                <w:lang w:val="en-GB"/>
              </w:rPr>
            </w:pPr>
            <w:r>
              <w:rPr>
                <w:sz w:val="18"/>
                <w:lang w:val="en-GB"/>
              </w:rPr>
              <w:t>GW &gt;1</w:t>
            </w:r>
          </w:p>
        </w:tc>
        <w:tc>
          <w:tcPr>
            <w:tcW w:w="1600" w:type="dxa"/>
          </w:tcPr>
          <w:p>
            <w:pPr>
              <w:pStyle w:val="GesAbsatz"/>
              <w:jc w:val="left"/>
              <w:rPr>
                <w:sz w:val="18"/>
                <w:lang w:val="en-GB"/>
              </w:rPr>
            </w:pPr>
          </w:p>
        </w:tc>
        <w:tc>
          <w:tcPr>
            <w:tcW w:w="858" w:type="dxa"/>
          </w:tcPr>
          <w:p>
            <w:pPr>
              <w:pStyle w:val="GesAbsatz"/>
              <w:jc w:val="left"/>
              <w:rPr>
                <w:sz w:val="18"/>
                <w:lang w:val="en-GB"/>
              </w:rPr>
            </w:pPr>
            <w:r>
              <w:rPr>
                <w:sz w:val="18"/>
                <w:lang w:val="en-GB"/>
              </w:rPr>
              <w:t xml:space="preserve">GW </w:t>
            </w:r>
            <w:r>
              <w:rPr>
                <w:rFonts w:hint="eastAsia"/>
                <w:sz w:val="18"/>
              </w:rPr>
              <w:sym w:font="Symbol" w:char="F0A3"/>
            </w:r>
            <w:r>
              <w:rPr>
                <w:sz w:val="18"/>
                <w:lang w:val="en-GB"/>
              </w:rPr>
              <w:t>1</w:t>
            </w:r>
            <w:r>
              <w:rPr>
                <w:sz w:val="18"/>
                <w:lang w:val="en-GB"/>
              </w:rPr>
              <w:br/>
              <w:t>GW &gt;0,1</w:t>
            </w:r>
          </w:p>
        </w:tc>
        <w:tc>
          <w:tcPr>
            <w:tcW w:w="743" w:type="dxa"/>
          </w:tcPr>
          <w:p>
            <w:pPr>
              <w:pStyle w:val="GesAbsatz"/>
              <w:jc w:val="left"/>
              <w:rPr>
                <w:sz w:val="18"/>
                <w:lang w:val="en-GB"/>
              </w:rPr>
            </w:pPr>
            <w:r>
              <w:rPr>
                <w:sz w:val="18"/>
                <w:lang w:val="en-GB"/>
              </w:rPr>
              <w:t>GW &gt;1</w:t>
            </w:r>
          </w:p>
        </w:tc>
        <w:tc>
          <w:tcPr>
            <w:tcW w:w="858" w:type="dxa"/>
          </w:tcPr>
          <w:p>
            <w:pPr>
              <w:pStyle w:val="GesAbsatz"/>
              <w:jc w:val="left"/>
              <w:rPr>
                <w:sz w:val="18"/>
                <w:lang w:val="en-GB"/>
              </w:rPr>
            </w:pPr>
            <w:r>
              <w:rPr>
                <w:sz w:val="18"/>
                <w:lang w:val="en-GB"/>
              </w:rPr>
              <w:t xml:space="preserve">GW </w:t>
            </w:r>
            <w:r>
              <w:rPr>
                <w:rFonts w:hint="eastAsia"/>
                <w:sz w:val="18"/>
              </w:rPr>
              <w:sym w:font="Symbol" w:char="F0A3"/>
            </w:r>
            <w:r>
              <w:rPr>
                <w:sz w:val="18"/>
                <w:lang w:val="en-GB"/>
              </w:rPr>
              <w:t>1</w:t>
            </w:r>
            <w:r>
              <w:rPr>
                <w:sz w:val="18"/>
                <w:lang w:val="en-GB"/>
              </w:rPr>
              <w:br/>
              <w:t>GW &gt;0,1</w:t>
            </w:r>
          </w:p>
        </w:tc>
        <w:tc>
          <w:tcPr>
            <w:tcW w:w="743" w:type="dxa"/>
          </w:tcPr>
          <w:p>
            <w:pPr>
              <w:pStyle w:val="GesAbsatz"/>
              <w:jc w:val="left"/>
              <w:rPr>
                <w:sz w:val="18"/>
                <w:lang w:val="en-GB"/>
              </w:rPr>
            </w:pPr>
            <w:r>
              <w:rPr>
                <w:sz w:val="18"/>
                <w:lang w:val="en-GB"/>
              </w:rPr>
              <w:t>GW &gt;1</w:t>
            </w:r>
          </w:p>
        </w:tc>
        <w:tc>
          <w:tcPr>
            <w:tcW w:w="858" w:type="dxa"/>
          </w:tcPr>
          <w:p>
            <w:pPr>
              <w:pStyle w:val="GesAbsatz"/>
              <w:jc w:val="left"/>
              <w:rPr>
                <w:sz w:val="18"/>
                <w:lang w:val="en-GB"/>
              </w:rPr>
            </w:pPr>
            <w:r>
              <w:rPr>
                <w:sz w:val="18"/>
                <w:lang w:val="en-GB"/>
              </w:rPr>
              <w:t xml:space="preserve">GW </w:t>
            </w:r>
            <w:r>
              <w:rPr>
                <w:rFonts w:hint="eastAsia"/>
                <w:sz w:val="18"/>
              </w:rPr>
              <w:sym w:font="Symbol" w:char="F0A3"/>
            </w:r>
            <w:r>
              <w:rPr>
                <w:sz w:val="18"/>
                <w:lang w:val="en-GB"/>
              </w:rPr>
              <w:t>1</w:t>
            </w:r>
            <w:r>
              <w:rPr>
                <w:sz w:val="18"/>
                <w:lang w:val="en-GB"/>
              </w:rPr>
              <w:br/>
              <w:t>GW &gt;0,1</w:t>
            </w:r>
          </w:p>
        </w:tc>
        <w:tc>
          <w:tcPr>
            <w:tcW w:w="743" w:type="dxa"/>
          </w:tcPr>
          <w:p>
            <w:pPr>
              <w:pStyle w:val="GesAbsatz"/>
              <w:jc w:val="left"/>
              <w:rPr>
                <w:sz w:val="18"/>
                <w:lang w:val="en-GB"/>
              </w:rPr>
            </w:pPr>
            <w:r>
              <w:rPr>
                <w:sz w:val="18"/>
                <w:lang w:val="en-GB"/>
              </w:rPr>
              <w:t>GW &gt;1</w:t>
            </w:r>
          </w:p>
        </w:tc>
      </w:tr>
      <w:tr>
        <w:trPr>
          <w:cantSplit/>
        </w:trPr>
        <w:tc>
          <w:tcPr>
            <w:tcW w:w="285" w:type="dxa"/>
            <w:vMerge w:val="restart"/>
            <w:vAlign w:val="center"/>
          </w:tcPr>
          <w:p>
            <w:pPr>
              <w:pStyle w:val="GesAbsatz"/>
              <w:jc w:val="center"/>
              <w:rPr>
                <w:b/>
                <w:bCs/>
              </w:rPr>
            </w:pPr>
            <w:r>
              <w:rPr>
                <w:b/>
                <w:bCs/>
              </w:rPr>
              <w:t>STRAßENOBERBAU</w:t>
            </w:r>
          </w:p>
        </w:tc>
        <w:tc>
          <w:tcPr>
            <w:tcW w:w="456" w:type="dxa"/>
          </w:tcPr>
          <w:p>
            <w:pPr>
              <w:pStyle w:val="GesAbsatz"/>
              <w:jc w:val="left"/>
              <w:rPr>
                <w:sz w:val="18"/>
              </w:rPr>
            </w:pPr>
            <w:r>
              <w:rPr>
                <w:sz w:val="18"/>
              </w:rPr>
              <w:t>1</w:t>
            </w:r>
          </w:p>
        </w:tc>
        <w:tc>
          <w:tcPr>
            <w:tcW w:w="2856" w:type="dxa"/>
          </w:tcPr>
          <w:p>
            <w:pPr>
              <w:pStyle w:val="GesAbsatz"/>
              <w:jc w:val="left"/>
              <w:rPr>
                <w:sz w:val="18"/>
              </w:rPr>
            </w:pPr>
            <w:r>
              <w:rPr>
                <w:sz w:val="18"/>
              </w:rPr>
              <w:t>ToB unter wasserundurchlässiger Deckschicht (Asphalt, Beton, Pflaster mit abgedichteten Fugen)</w:t>
            </w:r>
          </w:p>
        </w:tc>
        <w:tc>
          <w:tcPr>
            <w:tcW w:w="857" w:type="dxa"/>
            <w:vAlign w:val="center"/>
          </w:tcPr>
          <w:p>
            <w:pPr>
              <w:pStyle w:val="GesAbsatz"/>
              <w:jc w:val="center"/>
              <w:rPr>
                <w:sz w:val="18"/>
              </w:rPr>
            </w:pPr>
            <w:r>
              <w:t>+</w:t>
            </w:r>
          </w:p>
        </w:tc>
        <w:tc>
          <w:tcPr>
            <w:tcW w:w="743" w:type="dxa"/>
            <w:vAlign w:val="center"/>
          </w:tcPr>
          <w:p>
            <w:pPr>
              <w:pStyle w:val="GesAbsatz"/>
              <w:jc w:val="center"/>
              <w:rPr>
                <w:sz w:val="18"/>
              </w:rPr>
            </w:pPr>
            <w:r>
              <w:t>+</w:t>
            </w:r>
          </w:p>
        </w:tc>
        <w:tc>
          <w:tcPr>
            <w:tcW w:w="858" w:type="dxa"/>
            <w:vAlign w:val="center"/>
          </w:tcPr>
          <w:p>
            <w:pPr>
              <w:pStyle w:val="GesAbsatz"/>
              <w:jc w:val="center"/>
              <w:rPr>
                <w:sz w:val="18"/>
              </w:rPr>
            </w:pPr>
            <w:r>
              <w:t>-</w:t>
            </w:r>
          </w:p>
        </w:tc>
        <w:tc>
          <w:tcPr>
            <w:tcW w:w="743" w:type="dxa"/>
            <w:vAlign w:val="center"/>
          </w:tcPr>
          <w:p>
            <w:pPr>
              <w:pStyle w:val="GesAbsatz"/>
              <w:jc w:val="center"/>
              <w:rPr>
                <w:sz w:val="18"/>
              </w:rPr>
            </w:pPr>
            <w: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1600"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sym w:font="Symbol" w:char="F0C5"/>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r>
      <w:tr>
        <w:trPr>
          <w:cantSplit/>
        </w:trPr>
        <w:tc>
          <w:tcPr>
            <w:tcW w:w="285" w:type="dxa"/>
            <w:vMerge/>
          </w:tcPr>
          <w:p>
            <w:pPr>
              <w:pStyle w:val="GesAbsatz"/>
              <w:jc w:val="left"/>
              <w:rPr>
                <w:sz w:val="18"/>
              </w:rPr>
            </w:pPr>
          </w:p>
        </w:tc>
        <w:tc>
          <w:tcPr>
            <w:tcW w:w="456" w:type="dxa"/>
          </w:tcPr>
          <w:p>
            <w:pPr>
              <w:pStyle w:val="GesAbsatz"/>
              <w:jc w:val="left"/>
              <w:rPr>
                <w:sz w:val="18"/>
              </w:rPr>
            </w:pPr>
            <w:r>
              <w:rPr>
                <w:sz w:val="18"/>
              </w:rPr>
              <w:t>2</w:t>
            </w:r>
          </w:p>
        </w:tc>
        <w:tc>
          <w:tcPr>
            <w:tcW w:w="2856" w:type="dxa"/>
          </w:tcPr>
          <w:p>
            <w:pPr>
              <w:pStyle w:val="GesAbsatz"/>
              <w:jc w:val="left"/>
              <w:rPr>
                <w:sz w:val="18"/>
              </w:rPr>
            </w:pPr>
            <w:r>
              <w:rPr>
                <w:sz w:val="18"/>
              </w:rPr>
              <w:t>ToB unter teildurchlässiger Deckschicht (Pflaster, Platten)</w:t>
            </w:r>
          </w:p>
        </w:tc>
        <w:tc>
          <w:tcPr>
            <w:tcW w:w="857" w:type="dxa"/>
            <w:vAlign w:val="center"/>
          </w:tcPr>
          <w:p>
            <w:pPr>
              <w:pStyle w:val="GesAbsatz"/>
              <w:jc w:val="center"/>
            </w:pPr>
            <w:r>
              <w:t>-</w:t>
            </w:r>
          </w:p>
        </w:tc>
        <w:tc>
          <w:tcPr>
            <w:tcW w:w="743" w:type="dxa"/>
            <w:vAlign w:val="center"/>
          </w:tcPr>
          <w:p>
            <w:pPr>
              <w:pStyle w:val="GesAbsatz"/>
              <w:jc w:val="center"/>
            </w:pPr>
            <w:r>
              <w:t>H</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1600"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r>
      <w:tr>
        <w:trPr>
          <w:cantSplit/>
        </w:trPr>
        <w:tc>
          <w:tcPr>
            <w:tcW w:w="285" w:type="dxa"/>
            <w:vMerge/>
          </w:tcPr>
          <w:p>
            <w:pPr>
              <w:pStyle w:val="GesAbsatz"/>
              <w:jc w:val="left"/>
              <w:rPr>
                <w:sz w:val="18"/>
              </w:rPr>
            </w:pPr>
          </w:p>
        </w:tc>
        <w:tc>
          <w:tcPr>
            <w:tcW w:w="456" w:type="dxa"/>
          </w:tcPr>
          <w:p>
            <w:pPr>
              <w:pStyle w:val="GesAbsatz"/>
              <w:jc w:val="left"/>
              <w:rPr>
                <w:sz w:val="18"/>
              </w:rPr>
            </w:pPr>
            <w:r>
              <w:rPr>
                <w:sz w:val="18"/>
              </w:rPr>
              <w:t>3</w:t>
            </w:r>
          </w:p>
        </w:tc>
        <w:tc>
          <w:tcPr>
            <w:tcW w:w="2856" w:type="dxa"/>
          </w:tcPr>
          <w:p>
            <w:pPr>
              <w:pStyle w:val="GesAbsatz"/>
              <w:jc w:val="left"/>
              <w:rPr>
                <w:sz w:val="18"/>
              </w:rPr>
            </w:pPr>
            <w:r>
              <w:rPr>
                <w:sz w:val="18"/>
              </w:rPr>
              <w:t>ToB unter wasserdurchlässiger Deckschicht (Rasengittersteine, Deckschicht ohne Bindemittel)</w:t>
            </w:r>
          </w:p>
        </w:tc>
        <w:tc>
          <w:tcPr>
            <w:tcW w:w="857"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1600"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r>
      <w:tr>
        <w:trPr>
          <w:cantSplit/>
        </w:trPr>
        <w:tc>
          <w:tcPr>
            <w:tcW w:w="285" w:type="dxa"/>
            <w:vMerge/>
          </w:tcPr>
          <w:p>
            <w:pPr>
              <w:pStyle w:val="GesAbsatz"/>
              <w:jc w:val="left"/>
              <w:rPr>
                <w:sz w:val="18"/>
              </w:rPr>
            </w:pPr>
          </w:p>
        </w:tc>
        <w:tc>
          <w:tcPr>
            <w:tcW w:w="456" w:type="dxa"/>
          </w:tcPr>
          <w:p>
            <w:pPr>
              <w:pStyle w:val="GesAbsatz"/>
              <w:jc w:val="left"/>
              <w:rPr>
                <w:sz w:val="18"/>
              </w:rPr>
            </w:pPr>
            <w:r>
              <w:rPr>
                <w:sz w:val="18"/>
              </w:rPr>
              <w:t>4</w:t>
            </w:r>
          </w:p>
        </w:tc>
        <w:tc>
          <w:tcPr>
            <w:tcW w:w="2856" w:type="dxa"/>
          </w:tcPr>
          <w:p>
            <w:pPr>
              <w:pStyle w:val="GesAbsatz"/>
              <w:jc w:val="left"/>
              <w:rPr>
                <w:sz w:val="18"/>
              </w:rPr>
            </w:pPr>
            <w:r>
              <w:rPr>
                <w:sz w:val="18"/>
              </w:rPr>
              <w:t>Tragschicht bitumengebunden</w:t>
            </w:r>
          </w:p>
        </w:tc>
        <w:tc>
          <w:tcPr>
            <w:tcW w:w="857"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1600"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r>
      <w:tr>
        <w:trPr>
          <w:cantSplit/>
        </w:trPr>
        <w:tc>
          <w:tcPr>
            <w:tcW w:w="285" w:type="dxa"/>
            <w:vMerge/>
          </w:tcPr>
          <w:p>
            <w:pPr>
              <w:pStyle w:val="GesAbsatz"/>
              <w:jc w:val="left"/>
              <w:rPr>
                <w:sz w:val="18"/>
              </w:rPr>
            </w:pPr>
          </w:p>
        </w:tc>
        <w:tc>
          <w:tcPr>
            <w:tcW w:w="456" w:type="dxa"/>
          </w:tcPr>
          <w:p>
            <w:pPr>
              <w:pStyle w:val="GesAbsatz"/>
              <w:jc w:val="left"/>
              <w:rPr>
                <w:sz w:val="18"/>
              </w:rPr>
            </w:pPr>
            <w:r>
              <w:rPr>
                <w:sz w:val="18"/>
              </w:rPr>
              <w:t>5</w:t>
            </w:r>
          </w:p>
        </w:tc>
        <w:tc>
          <w:tcPr>
            <w:tcW w:w="2856" w:type="dxa"/>
          </w:tcPr>
          <w:p>
            <w:pPr>
              <w:pStyle w:val="GesAbsatz"/>
              <w:jc w:val="left"/>
              <w:rPr>
                <w:sz w:val="18"/>
              </w:rPr>
            </w:pPr>
            <w:r>
              <w:rPr>
                <w:sz w:val="18"/>
              </w:rPr>
              <w:t>Tragschicht hydraul. gebunden</w:t>
            </w:r>
          </w:p>
        </w:tc>
        <w:tc>
          <w:tcPr>
            <w:tcW w:w="857"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1600"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r>
      <w:tr>
        <w:trPr>
          <w:cantSplit/>
        </w:trPr>
        <w:tc>
          <w:tcPr>
            <w:tcW w:w="285" w:type="dxa"/>
            <w:vMerge/>
          </w:tcPr>
          <w:p>
            <w:pPr>
              <w:pStyle w:val="GesAbsatz"/>
              <w:jc w:val="left"/>
              <w:rPr>
                <w:sz w:val="18"/>
              </w:rPr>
            </w:pPr>
          </w:p>
        </w:tc>
        <w:tc>
          <w:tcPr>
            <w:tcW w:w="456" w:type="dxa"/>
          </w:tcPr>
          <w:p>
            <w:pPr>
              <w:pStyle w:val="GesAbsatz"/>
              <w:jc w:val="left"/>
              <w:rPr>
                <w:sz w:val="18"/>
              </w:rPr>
            </w:pPr>
            <w:r>
              <w:rPr>
                <w:sz w:val="18"/>
              </w:rPr>
              <w:t>6</w:t>
            </w:r>
          </w:p>
        </w:tc>
        <w:tc>
          <w:tcPr>
            <w:tcW w:w="2856" w:type="dxa"/>
          </w:tcPr>
          <w:p>
            <w:pPr>
              <w:pStyle w:val="GesAbsatz"/>
              <w:jc w:val="left"/>
              <w:rPr>
                <w:sz w:val="18"/>
              </w:rPr>
            </w:pPr>
            <w:r>
              <w:rPr>
                <w:sz w:val="18"/>
              </w:rPr>
              <w:t>Decke bitumen- oder hydraul gebunden</w:t>
            </w:r>
          </w:p>
        </w:tc>
        <w:tc>
          <w:tcPr>
            <w:tcW w:w="857"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1600"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r>
      <w:tr>
        <w:trPr>
          <w:cantSplit/>
        </w:trPr>
        <w:tc>
          <w:tcPr>
            <w:tcW w:w="285" w:type="dxa"/>
            <w:vMerge/>
          </w:tcPr>
          <w:p>
            <w:pPr>
              <w:pStyle w:val="GesAbsatz"/>
              <w:jc w:val="left"/>
              <w:rPr>
                <w:sz w:val="18"/>
              </w:rPr>
            </w:pPr>
          </w:p>
        </w:tc>
        <w:tc>
          <w:tcPr>
            <w:tcW w:w="456" w:type="dxa"/>
          </w:tcPr>
          <w:p>
            <w:pPr>
              <w:pStyle w:val="GesAbsatz"/>
              <w:jc w:val="left"/>
              <w:rPr>
                <w:sz w:val="18"/>
              </w:rPr>
            </w:pPr>
            <w:r>
              <w:rPr>
                <w:sz w:val="18"/>
              </w:rPr>
              <w:t>7</w:t>
            </w:r>
          </w:p>
        </w:tc>
        <w:tc>
          <w:tcPr>
            <w:tcW w:w="2856" w:type="dxa"/>
          </w:tcPr>
          <w:p>
            <w:pPr>
              <w:pStyle w:val="GesAbsatz"/>
              <w:jc w:val="left"/>
              <w:rPr>
                <w:sz w:val="18"/>
              </w:rPr>
            </w:pPr>
            <w:r>
              <w:rPr>
                <w:sz w:val="18"/>
              </w:rPr>
              <w:t>Deckschicht ohne Bindemittel</w:t>
            </w:r>
          </w:p>
        </w:tc>
        <w:tc>
          <w:tcPr>
            <w:tcW w:w="857"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1600"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r>
      <w:tr>
        <w:trPr>
          <w:cantSplit/>
        </w:trPr>
        <w:tc>
          <w:tcPr>
            <w:tcW w:w="285" w:type="dxa"/>
            <w:vMerge/>
          </w:tcPr>
          <w:p>
            <w:pPr>
              <w:pStyle w:val="GesAbsatz"/>
              <w:jc w:val="left"/>
              <w:rPr>
                <w:sz w:val="18"/>
              </w:rPr>
            </w:pPr>
          </w:p>
        </w:tc>
        <w:tc>
          <w:tcPr>
            <w:tcW w:w="456" w:type="dxa"/>
          </w:tcPr>
          <w:p>
            <w:pPr>
              <w:pStyle w:val="GesAbsatz"/>
              <w:jc w:val="left"/>
              <w:rPr>
                <w:sz w:val="18"/>
              </w:rPr>
            </w:pPr>
            <w:r>
              <w:rPr>
                <w:sz w:val="18"/>
              </w:rPr>
              <w:t>8</w:t>
            </w:r>
          </w:p>
        </w:tc>
        <w:tc>
          <w:tcPr>
            <w:tcW w:w="2856" w:type="dxa"/>
          </w:tcPr>
          <w:p>
            <w:pPr>
              <w:pStyle w:val="GesAbsatz"/>
              <w:jc w:val="left"/>
              <w:rPr>
                <w:sz w:val="18"/>
              </w:rPr>
            </w:pPr>
            <w:r>
              <w:rPr>
                <w:sz w:val="18"/>
              </w:rPr>
              <w:t>Einsatz lfd. Nr. 1,4,5,6 in Straßen mit Entwässerungsrinnen</w:t>
            </w:r>
          </w:p>
        </w:tc>
        <w:tc>
          <w:tcPr>
            <w:tcW w:w="857" w:type="dxa"/>
            <w:vAlign w:val="center"/>
          </w:tcPr>
          <w:p>
            <w:pPr>
              <w:pStyle w:val="GesAbsatz"/>
              <w:jc w:val="center"/>
            </w:pPr>
            <w:r>
              <w:t>D</w:t>
            </w:r>
          </w:p>
        </w:tc>
        <w:tc>
          <w:tcPr>
            <w:tcW w:w="743" w:type="dxa"/>
            <w:vAlign w:val="center"/>
          </w:tcPr>
          <w:p>
            <w:pPr>
              <w:pStyle w:val="GesAbsatz"/>
              <w:jc w:val="center"/>
            </w:pPr>
            <w:r>
              <w:t>D</w:t>
            </w:r>
          </w:p>
        </w:tc>
        <w:tc>
          <w:tcPr>
            <w:tcW w:w="858" w:type="dxa"/>
            <w:vAlign w:val="center"/>
          </w:tcPr>
          <w:p>
            <w:pPr>
              <w:pStyle w:val="GesAbsatz"/>
              <w:jc w:val="center"/>
            </w:pPr>
            <w:r>
              <w:t>D</w:t>
            </w:r>
          </w:p>
        </w:tc>
        <w:tc>
          <w:tcPr>
            <w:tcW w:w="743" w:type="dxa"/>
            <w:vAlign w:val="center"/>
          </w:tcPr>
          <w:p>
            <w:pPr>
              <w:pStyle w:val="GesAbsatz"/>
              <w:jc w:val="center"/>
            </w:pPr>
            <w:r>
              <w:t>D</w:t>
            </w:r>
          </w:p>
        </w:tc>
        <w:tc>
          <w:tcPr>
            <w:tcW w:w="858" w:type="dxa"/>
            <w:vAlign w:val="center"/>
          </w:tcPr>
          <w:p>
            <w:pPr>
              <w:pStyle w:val="GesAbsatz"/>
              <w:jc w:val="center"/>
              <w:rPr>
                <w:sz w:val="18"/>
              </w:rPr>
            </w:pPr>
            <w:r>
              <w:rPr>
                <w:sz w:val="18"/>
              </w:rPr>
              <w:t>D</w:t>
            </w:r>
          </w:p>
        </w:tc>
        <w:tc>
          <w:tcPr>
            <w:tcW w:w="743" w:type="dxa"/>
            <w:vAlign w:val="center"/>
          </w:tcPr>
          <w:p>
            <w:pPr>
              <w:pStyle w:val="GesAbsatz"/>
              <w:jc w:val="center"/>
              <w:rPr>
                <w:sz w:val="18"/>
              </w:rPr>
            </w:pPr>
            <w:r>
              <w:rPr>
                <w:sz w:val="18"/>
              </w:rPr>
              <w:t>D</w:t>
            </w:r>
          </w:p>
        </w:tc>
        <w:tc>
          <w:tcPr>
            <w:tcW w:w="1600" w:type="dxa"/>
            <w:vAlign w:val="center"/>
          </w:tcPr>
          <w:p>
            <w:pPr>
              <w:pStyle w:val="GesAbsatz"/>
              <w:jc w:val="center"/>
              <w:rPr>
                <w:sz w:val="18"/>
              </w:rPr>
            </w:pPr>
            <w:r>
              <w:rPr>
                <w:sz w:val="18"/>
              </w:rPr>
              <w:t>D</w:t>
            </w:r>
          </w:p>
        </w:tc>
        <w:tc>
          <w:tcPr>
            <w:tcW w:w="858" w:type="dxa"/>
            <w:vAlign w:val="center"/>
          </w:tcPr>
          <w:p>
            <w:pPr>
              <w:pStyle w:val="GesAbsatz"/>
              <w:jc w:val="center"/>
              <w:rPr>
                <w:sz w:val="18"/>
              </w:rPr>
            </w:pPr>
            <w:r>
              <w:rPr>
                <w:sz w:val="18"/>
              </w:rPr>
              <w:t>D</w:t>
            </w:r>
          </w:p>
        </w:tc>
        <w:tc>
          <w:tcPr>
            <w:tcW w:w="743" w:type="dxa"/>
            <w:vAlign w:val="center"/>
          </w:tcPr>
          <w:p>
            <w:pPr>
              <w:pStyle w:val="GesAbsatz"/>
              <w:jc w:val="center"/>
              <w:rPr>
                <w:sz w:val="18"/>
              </w:rPr>
            </w:pPr>
            <w:r>
              <w:rPr>
                <w:sz w:val="18"/>
              </w:rPr>
              <w:t>D</w:t>
            </w:r>
          </w:p>
        </w:tc>
        <w:tc>
          <w:tcPr>
            <w:tcW w:w="858" w:type="dxa"/>
            <w:vAlign w:val="center"/>
          </w:tcPr>
          <w:p>
            <w:pPr>
              <w:pStyle w:val="GesAbsatz"/>
              <w:jc w:val="center"/>
              <w:rPr>
                <w:sz w:val="18"/>
              </w:rPr>
            </w:pPr>
            <w:r>
              <w:rPr>
                <w:sz w:val="18"/>
              </w:rPr>
              <w:t>D</w:t>
            </w:r>
          </w:p>
        </w:tc>
        <w:tc>
          <w:tcPr>
            <w:tcW w:w="743" w:type="dxa"/>
            <w:vAlign w:val="center"/>
          </w:tcPr>
          <w:p>
            <w:pPr>
              <w:pStyle w:val="GesAbsatz"/>
              <w:jc w:val="center"/>
              <w:rPr>
                <w:sz w:val="18"/>
              </w:rPr>
            </w:pPr>
            <w:r>
              <w:rPr>
                <w:sz w:val="18"/>
              </w:rPr>
              <w:t>D</w:t>
            </w:r>
          </w:p>
        </w:tc>
        <w:tc>
          <w:tcPr>
            <w:tcW w:w="858" w:type="dxa"/>
            <w:vAlign w:val="center"/>
          </w:tcPr>
          <w:p>
            <w:pPr>
              <w:pStyle w:val="GesAbsatz"/>
              <w:jc w:val="center"/>
              <w:rPr>
                <w:sz w:val="18"/>
              </w:rPr>
            </w:pPr>
            <w:r>
              <w:rPr>
                <w:sz w:val="18"/>
              </w:rPr>
              <w:t>D</w:t>
            </w:r>
          </w:p>
        </w:tc>
        <w:tc>
          <w:tcPr>
            <w:tcW w:w="743" w:type="dxa"/>
            <w:vAlign w:val="center"/>
          </w:tcPr>
          <w:p>
            <w:pPr>
              <w:pStyle w:val="GesAbsatz"/>
              <w:jc w:val="center"/>
              <w:rPr>
                <w:sz w:val="18"/>
              </w:rPr>
            </w:pPr>
            <w:r>
              <w:rPr>
                <w:sz w:val="18"/>
              </w:rPr>
              <w:t>D</w:t>
            </w:r>
          </w:p>
        </w:tc>
      </w:tr>
    </w:tbl>
    <w:p>
      <w:r>
        <w:br w:type="page"/>
      </w:r>
    </w:p>
    <w:p/>
    <w:tbl>
      <w:tblPr>
        <w:tblW w:w="14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5"/>
        <w:gridCol w:w="456"/>
        <w:gridCol w:w="2856"/>
        <w:gridCol w:w="857"/>
        <w:gridCol w:w="743"/>
        <w:gridCol w:w="858"/>
        <w:gridCol w:w="743"/>
        <w:gridCol w:w="858"/>
        <w:gridCol w:w="743"/>
        <w:gridCol w:w="1600"/>
        <w:gridCol w:w="858"/>
        <w:gridCol w:w="743"/>
        <w:gridCol w:w="858"/>
        <w:gridCol w:w="743"/>
        <w:gridCol w:w="858"/>
        <w:gridCol w:w="743"/>
      </w:tblGrid>
      <w:tr>
        <w:trPr>
          <w:cantSplit/>
        </w:trPr>
        <w:tc>
          <w:tcPr>
            <w:tcW w:w="3597" w:type="dxa"/>
            <w:gridSpan w:val="3"/>
            <w:vMerge w:val="restart"/>
            <w:vAlign w:val="center"/>
          </w:tcPr>
          <w:p>
            <w:pPr>
              <w:pStyle w:val="GesAbsatz"/>
              <w:jc w:val="center"/>
              <w:rPr>
                <w:b/>
                <w:bCs/>
                <w:sz w:val="18"/>
              </w:rPr>
            </w:pPr>
            <w:r>
              <w:rPr>
                <w:b/>
                <w:bCs/>
              </w:rPr>
              <w:t xml:space="preserve">Baustoff: </w:t>
            </w:r>
            <w:r>
              <w:rPr>
                <w:b/>
                <w:bCs/>
              </w:rPr>
              <w:br/>
              <w:t>Hausmüllverbrennungs-Asche</w:t>
            </w:r>
            <w:r>
              <w:rPr>
                <w:b/>
                <w:bCs/>
              </w:rPr>
              <w:br/>
              <w:t>(HMVA II)</w:t>
            </w:r>
          </w:p>
        </w:tc>
        <w:tc>
          <w:tcPr>
            <w:tcW w:w="11205" w:type="dxa"/>
            <w:gridSpan w:val="13"/>
          </w:tcPr>
          <w:p>
            <w:pPr>
              <w:pStyle w:val="GesAbsatz"/>
              <w:jc w:val="center"/>
              <w:rPr>
                <w:sz w:val="18"/>
                <w:lang w:val="it-IT"/>
              </w:rPr>
            </w:pPr>
            <w:r>
              <w:rPr>
                <w:b/>
                <w:bCs/>
                <w:sz w:val="18"/>
                <w:lang w:val="it-IT"/>
              </w:rPr>
              <w:t>V e r w e r t u n g s g e b i e t e</w:t>
            </w:r>
          </w:p>
        </w:tc>
      </w:tr>
      <w:tr>
        <w:trPr>
          <w:cantSplit/>
        </w:trPr>
        <w:tc>
          <w:tcPr>
            <w:tcW w:w="3597" w:type="dxa"/>
            <w:gridSpan w:val="3"/>
            <w:vMerge/>
          </w:tcPr>
          <w:p>
            <w:pPr>
              <w:pStyle w:val="GesAbsatz"/>
              <w:rPr>
                <w:sz w:val="18"/>
                <w:lang w:val="it-IT"/>
              </w:rPr>
            </w:pPr>
          </w:p>
        </w:tc>
        <w:tc>
          <w:tcPr>
            <w:tcW w:w="1600" w:type="dxa"/>
            <w:gridSpan w:val="2"/>
            <w:vMerge w:val="restart"/>
          </w:tcPr>
          <w:p>
            <w:pPr>
              <w:pStyle w:val="GesAbsatz"/>
              <w:jc w:val="center"/>
              <w:rPr>
                <w:b/>
                <w:bCs/>
                <w:sz w:val="18"/>
                <w:u w:val="single"/>
              </w:rPr>
            </w:pPr>
            <w:r>
              <w:rPr>
                <w:b/>
                <w:bCs/>
                <w:sz w:val="18"/>
                <w:u w:val="single"/>
              </w:rPr>
              <w:t>Außerhalb</w:t>
            </w:r>
          </w:p>
          <w:p>
            <w:pPr>
              <w:pStyle w:val="GesAbsatz"/>
              <w:jc w:val="center"/>
              <w:rPr>
                <w:b/>
                <w:bCs/>
                <w:sz w:val="18"/>
                <w:u w:val="single"/>
              </w:rPr>
            </w:pPr>
          </w:p>
          <w:p>
            <w:pPr>
              <w:pStyle w:val="GesAbsatz"/>
              <w:jc w:val="center"/>
              <w:rPr>
                <w:sz w:val="18"/>
              </w:rPr>
            </w:pPr>
            <w:r>
              <w:rPr>
                <w:sz w:val="18"/>
              </w:rPr>
              <w:t xml:space="preserve">wasserwirtschaftlich bedeutender u. empfindlicher sowie hydrogeologisch </w:t>
            </w:r>
            <w:r>
              <w:rPr>
                <w:sz w:val="18"/>
              </w:rPr>
              <w:br/>
              <w:t>sensitiver Gebiete (Spalten 2-7)</w:t>
            </w:r>
          </w:p>
        </w:tc>
        <w:tc>
          <w:tcPr>
            <w:tcW w:w="9605" w:type="dxa"/>
            <w:gridSpan w:val="11"/>
          </w:tcPr>
          <w:p>
            <w:pPr>
              <w:pStyle w:val="GesAbsatz"/>
              <w:jc w:val="center"/>
              <w:rPr>
                <w:sz w:val="18"/>
              </w:rPr>
            </w:pPr>
            <w:r>
              <w:rPr>
                <w:b/>
                <w:bCs/>
                <w:sz w:val="18"/>
                <w:u w:val="single"/>
              </w:rPr>
              <w:t>Innerhalb</w:t>
            </w:r>
            <w:r>
              <w:rPr>
                <w:sz w:val="18"/>
              </w:rPr>
              <w:br/>
              <w:t>wasserwirtschaftlich bedeutender und empfindlicher sowie hydrogeologisch sensitiver Gebiete</w:t>
            </w:r>
          </w:p>
        </w:tc>
      </w:tr>
      <w:tr>
        <w:trPr>
          <w:cantSplit/>
        </w:trPr>
        <w:tc>
          <w:tcPr>
            <w:tcW w:w="3597" w:type="dxa"/>
            <w:gridSpan w:val="3"/>
            <w:vMerge/>
          </w:tcPr>
          <w:p>
            <w:pPr>
              <w:pStyle w:val="GesAbsatz"/>
              <w:rPr>
                <w:sz w:val="18"/>
              </w:rPr>
            </w:pPr>
          </w:p>
        </w:tc>
        <w:tc>
          <w:tcPr>
            <w:tcW w:w="1600" w:type="dxa"/>
            <w:gridSpan w:val="2"/>
            <w:vMerge/>
          </w:tcPr>
          <w:p>
            <w:pPr>
              <w:pStyle w:val="GesAbsatz"/>
              <w:jc w:val="center"/>
              <w:rPr>
                <w:sz w:val="18"/>
              </w:rPr>
            </w:pPr>
          </w:p>
        </w:tc>
        <w:tc>
          <w:tcPr>
            <w:tcW w:w="1601" w:type="dxa"/>
            <w:gridSpan w:val="2"/>
          </w:tcPr>
          <w:p>
            <w:pPr>
              <w:pStyle w:val="GesAbsatz"/>
              <w:jc w:val="center"/>
              <w:rPr>
                <w:sz w:val="18"/>
              </w:rPr>
            </w:pPr>
            <w:r>
              <w:rPr>
                <w:sz w:val="18"/>
              </w:rPr>
              <w:t>Porengrundwasserleiter und wenig durchlässige Kluftgrundwasserleiter ohne ausreichende Deckschichten</w:t>
            </w:r>
          </w:p>
        </w:tc>
        <w:tc>
          <w:tcPr>
            <w:tcW w:w="1601" w:type="dxa"/>
            <w:gridSpan w:val="2"/>
          </w:tcPr>
          <w:p>
            <w:pPr>
              <w:pStyle w:val="GesAbsatz"/>
              <w:jc w:val="center"/>
              <w:rPr>
                <w:sz w:val="18"/>
              </w:rPr>
            </w:pPr>
            <w:r>
              <w:rPr>
                <w:sz w:val="18"/>
              </w:rPr>
              <w:t>gut durchlässige Kluftgrundwasserleiter einschl. Karstgrundwasserleiter ohne ausreichende Deckschichten</w:t>
            </w:r>
          </w:p>
        </w:tc>
        <w:tc>
          <w:tcPr>
            <w:tcW w:w="1600" w:type="dxa"/>
          </w:tcPr>
          <w:p>
            <w:pPr>
              <w:pStyle w:val="GesAbsatz"/>
              <w:jc w:val="center"/>
              <w:rPr>
                <w:sz w:val="18"/>
              </w:rPr>
            </w:pPr>
            <w:r>
              <w:rPr>
                <w:sz w:val="18"/>
              </w:rPr>
              <w:t>20 m breite Randstreifen an kleinen Gewässern: Hochwasser-Retentionsräume</w:t>
            </w:r>
          </w:p>
        </w:tc>
        <w:tc>
          <w:tcPr>
            <w:tcW w:w="1601" w:type="dxa"/>
            <w:gridSpan w:val="2"/>
          </w:tcPr>
          <w:p>
            <w:pPr>
              <w:pStyle w:val="GesAbsatz"/>
              <w:jc w:val="center"/>
              <w:rPr>
                <w:sz w:val="18"/>
              </w:rPr>
            </w:pPr>
            <w:r>
              <w:rPr>
                <w:sz w:val="18"/>
              </w:rPr>
              <w:t>WSG III B</w:t>
            </w:r>
          </w:p>
          <w:p>
            <w:pPr>
              <w:pStyle w:val="GesAbsatz"/>
              <w:jc w:val="center"/>
              <w:rPr>
                <w:sz w:val="18"/>
              </w:rPr>
            </w:pPr>
            <w:r>
              <w:rPr>
                <w:sz w:val="18"/>
              </w:rPr>
              <w:t>HSG IV</w:t>
            </w:r>
          </w:p>
        </w:tc>
        <w:tc>
          <w:tcPr>
            <w:tcW w:w="1601" w:type="dxa"/>
            <w:gridSpan w:val="2"/>
          </w:tcPr>
          <w:p>
            <w:pPr>
              <w:pStyle w:val="GesAbsatz"/>
              <w:jc w:val="center"/>
              <w:rPr>
                <w:sz w:val="18"/>
                <w:lang w:val="en-GB"/>
              </w:rPr>
            </w:pPr>
            <w:r>
              <w:rPr>
                <w:sz w:val="18"/>
                <w:lang w:val="en-GB"/>
              </w:rPr>
              <w:t>WSG III A</w:t>
            </w:r>
          </w:p>
          <w:p>
            <w:pPr>
              <w:pStyle w:val="GesAbsatz"/>
              <w:jc w:val="center"/>
              <w:rPr>
                <w:sz w:val="18"/>
                <w:lang w:val="en-GB"/>
              </w:rPr>
            </w:pPr>
            <w:r>
              <w:rPr>
                <w:sz w:val="18"/>
                <w:lang w:val="en-GB"/>
              </w:rPr>
              <w:t>HSG III</w:t>
            </w:r>
          </w:p>
        </w:tc>
        <w:tc>
          <w:tcPr>
            <w:tcW w:w="1601" w:type="dxa"/>
            <w:gridSpan w:val="2"/>
          </w:tcPr>
          <w:p>
            <w:pPr>
              <w:pStyle w:val="GesAbsatz"/>
              <w:jc w:val="center"/>
              <w:rPr>
                <w:sz w:val="18"/>
              </w:rPr>
            </w:pPr>
            <w:r>
              <w:rPr>
                <w:sz w:val="18"/>
              </w:rPr>
              <w:t>Bereich zum Schutz der Gewässer nach Landesplanungsrecht</w:t>
            </w:r>
          </w:p>
        </w:tc>
      </w:tr>
      <w:tr>
        <w:trPr>
          <w:cantSplit/>
        </w:trPr>
        <w:tc>
          <w:tcPr>
            <w:tcW w:w="285" w:type="dxa"/>
            <w:vMerge w:val="restart"/>
            <w:vAlign w:val="center"/>
          </w:tcPr>
          <w:p>
            <w:pPr>
              <w:pStyle w:val="GesAbsatz"/>
              <w:jc w:val="center"/>
              <w:rPr>
                <w:b/>
                <w:bCs/>
              </w:rPr>
            </w:pPr>
          </w:p>
        </w:tc>
        <w:tc>
          <w:tcPr>
            <w:tcW w:w="456" w:type="dxa"/>
            <w:vMerge w:val="restart"/>
          </w:tcPr>
          <w:p>
            <w:pPr>
              <w:pStyle w:val="GesAbsatz"/>
              <w:jc w:val="left"/>
              <w:rPr>
                <w:sz w:val="18"/>
              </w:rPr>
            </w:pPr>
            <w:r>
              <w:rPr>
                <w:sz w:val="18"/>
              </w:rPr>
              <w:t>lfd. Nr.</w:t>
            </w:r>
          </w:p>
        </w:tc>
        <w:tc>
          <w:tcPr>
            <w:tcW w:w="2856" w:type="dxa"/>
            <w:vMerge w:val="restart"/>
            <w:vAlign w:val="center"/>
          </w:tcPr>
          <w:p>
            <w:pPr>
              <w:pStyle w:val="GesAbsatz"/>
              <w:jc w:val="center"/>
              <w:rPr>
                <w:sz w:val="18"/>
              </w:rPr>
            </w:pPr>
            <w:r>
              <w:rPr>
                <w:sz w:val="18"/>
              </w:rPr>
              <w:t>Einsatz</w:t>
            </w:r>
          </w:p>
        </w:tc>
        <w:tc>
          <w:tcPr>
            <w:tcW w:w="1600" w:type="dxa"/>
            <w:gridSpan w:val="2"/>
          </w:tcPr>
          <w:p>
            <w:pPr>
              <w:pStyle w:val="GesAbsatz"/>
              <w:jc w:val="center"/>
              <w:rPr>
                <w:sz w:val="18"/>
              </w:rPr>
            </w:pPr>
            <w:r>
              <w:rPr>
                <w:sz w:val="18"/>
              </w:rPr>
              <w:t>1</w:t>
            </w:r>
          </w:p>
        </w:tc>
        <w:tc>
          <w:tcPr>
            <w:tcW w:w="1601" w:type="dxa"/>
            <w:gridSpan w:val="2"/>
          </w:tcPr>
          <w:p>
            <w:pPr>
              <w:pStyle w:val="GesAbsatz"/>
              <w:jc w:val="center"/>
              <w:rPr>
                <w:sz w:val="18"/>
              </w:rPr>
            </w:pPr>
            <w:r>
              <w:rPr>
                <w:sz w:val="18"/>
              </w:rPr>
              <w:t>2</w:t>
            </w:r>
          </w:p>
        </w:tc>
        <w:tc>
          <w:tcPr>
            <w:tcW w:w="1601" w:type="dxa"/>
            <w:gridSpan w:val="2"/>
          </w:tcPr>
          <w:p>
            <w:pPr>
              <w:pStyle w:val="GesAbsatz"/>
              <w:jc w:val="center"/>
              <w:rPr>
                <w:sz w:val="18"/>
              </w:rPr>
            </w:pPr>
            <w:r>
              <w:rPr>
                <w:sz w:val="18"/>
              </w:rPr>
              <w:t>3</w:t>
            </w:r>
          </w:p>
        </w:tc>
        <w:tc>
          <w:tcPr>
            <w:tcW w:w="1600" w:type="dxa"/>
          </w:tcPr>
          <w:p>
            <w:pPr>
              <w:pStyle w:val="GesAbsatz"/>
              <w:jc w:val="center"/>
              <w:rPr>
                <w:sz w:val="18"/>
              </w:rPr>
            </w:pPr>
            <w:r>
              <w:rPr>
                <w:sz w:val="18"/>
              </w:rPr>
              <w:t>4</w:t>
            </w:r>
          </w:p>
        </w:tc>
        <w:tc>
          <w:tcPr>
            <w:tcW w:w="1601" w:type="dxa"/>
            <w:gridSpan w:val="2"/>
          </w:tcPr>
          <w:p>
            <w:pPr>
              <w:pStyle w:val="GesAbsatz"/>
              <w:jc w:val="center"/>
              <w:rPr>
                <w:sz w:val="18"/>
              </w:rPr>
            </w:pPr>
            <w:r>
              <w:rPr>
                <w:sz w:val="18"/>
              </w:rPr>
              <w:t>5</w:t>
            </w:r>
          </w:p>
        </w:tc>
        <w:tc>
          <w:tcPr>
            <w:tcW w:w="1601" w:type="dxa"/>
            <w:gridSpan w:val="2"/>
          </w:tcPr>
          <w:p>
            <w:pPr>
              <w:pStyle w:val="GesAbsatz"/>
              <w:jc w:val="center"/>
              <w:rPr>
                <w:sz w:val="18"/>
              </w:rPr>
            </w:pPr>
            <w:r>
              <w:rPr>
                <w:sz w:val="18"/>
              </w:rPr>
              <w:t>6</w:t>
            </w:r>
          </w:p>
        </w:tc>
        <w:tc>
          <w:tcPr>
            <w:tcW w:w="1601" w:type="dxa"/>
            <w:gridSpan w:val="2"/>
          </w:tcPr>
          <w:p>
            <w:pPr>
              <w:pStyle w:val="GesAbsatz"/>
              <w:jc w:val="center"/>
              <w:rPr>
                <w:sz w:val="18"/>
              </w:rPr>
            </w:pPr>
            <w:r>
              <w:rPr>
                <w:sz w:val="18"/>
              </w:rPr>
              <w:t>7</w:t>
            </w:r>
          </w:p>
        </w:tc>
      </w:tr>
      <w:tr>
        <w:trPr>
          <w:cantSplit/>
        </w:trPr>
        <w:tc>
          <w:tcPr>
            <w:tcW w:w="285" w:type="dxa"/>
            <w:vMerge/>
          </w:tcPr>
          <w:p>
            <w:pPr>
              <w:pStyle w:val="GesAbsatz"/>
              <w:jc w:val="left"/>
              <w:rPr>
                <w:sz w:val="18"/>
              </w:rPr>
            </w:pPr>
          </w:p>
        </w:tc>
        <w:tc>
          <w:tcPr>
            <w:tcW w:w="456" w:type="dxa"/>
            <w:vMerge/>
          </w:tcPr>
          <w:p>
            <w:pPr>
              <w:pStyle w:val="GesAbsatz"/>
              <w:jc w:val="left"/>
              <w:rPr>
                <w:sz w:val="18"/>
              </w:rPr>
            </w:pPr>
          </w:p>
        </w:tc>
        <w:tc>
          <w:tcPr>
            <w:tcW w:w="2856" w:type="dxa"/>
            <w:vMerge/>
          </w:tcPr>
          <w:p>
            <w:pPr>
              <w:pStyle w:val="GesAbsatz"/>
              <w:jc w:val="left"/>
              <w:rPr>
                <w:sz w:val="18"/>
              </w:rPr>
            </w:pPr>
          </w:p>
        </w:tc>
        <w:tc>
          <w:tcPr>
            <w:tcW w:w="857" w:type="dxa"/>
          </w:tcPr>
          <w:p>
            <w:pPr>
              <w:pStyle w:val="GesAbsatz"/>
              <w:jc w:val="left"/>
              <w:rPr>
                <w:sz w:val="18"/>
              </w:rPr>
            </w:pPr>
            <w:r>
              <w:rPr>
                <w:sz w:val="18"/>
              </w:rPr>
              <w:t xml:space="preserve">GW </w:t>
            </w:r>
            <w:r>
              <w:rPr>
                <w:rFonts w:hint="eastAsia"/>
                <w:sz w:val="18"/>
              </w:rPr>
              <w:sym w:font="Symbol" w:char="F0A3"/>
            </w:r>
            <w:r>
              <w:rPr>
                <w:sz w:val="18"/>
              </w:rPr>
              <w:t>1</w:t>
            </w:r>
            <w:r>
              <w:rPr>
                <w:sz w:val="18"/>
              </w:rPr>
              <w:br/>
              <w:t>GW &gt;0,1</w:t>
            </w:r>
          </w:p>
        </w:tc>
        <w:tc>
          <w:tcPr>
            <w:tcW w:w="743" w:type="dxa"/>
          </w:tcPr>
          <w:p>
            <w:pPr>
              <w:pStyle w:val="GesAbsatz"/>
              <w:jc w:val="left"/>
              <w:rPr>
                <w:sz w:val="18"/>
              </w:rPr>
            </w:pPr>
            <w:r>
              <w:rPr>
                <w:sz w:val="18"/>
              </w:rPr>
              <w:t>GW &gt;1</w:t>
            </w:r>
          </w:p>
        </w:tc>
        <w:tc>
          <w:tcPr>
            <w:tcW w:w="858" w:type="dxa"/>
          </w:tcPr>
          <w:p>
            <w:pPr>
              <w:pStyle w:val="GesAbsatz"/>
              <w:jc w:val="left"/>
              <w:rPr>
                <w:sz w:val="18"/>
              </w:rPr>
            </w:pPr>
            <w:r>
              <w:rPr>
                <w:sz w:val="18"/>
              </w:rPr>
              <w:t xml:space="preserve">GW </w:t>
            </w:r>
            <w:r>
              <w:rPr>
                <w:rFonts w:hint="eastAsia"/>
                <w:sz w:val="18"/>
              </w:rPr>
              <w:sym w:font="Symbol" w:char="F0A3"/>
            </w:r>
            <w:r>
              <w:rPr>
                <w:sz w:val="18"/>
              </w:rPr>
              <w:t>1</w:t>
            </w:r>
            <w:r>
              <w:rPr>
                <w:sz w:val="18"/>
              </w:rPr>
              <w:br/>
              <w:t>GW &gt;0,1</w:t>
            </w:r>
          </w:p>
        </w:tc>
        <w:tc>
          <w:tcPr>
            <w:tcW w:w="743" w:type="dxa"/>
          </w:tcPr>
          <w:p>
            <w:pPr>
              <w:pStyle w:val="GesAbsatz"/>
              <w:jc w:val="left"/>
              <w:rPr>
                <w:sz w:val="18"/>
                <w:lang w:val="en-GB"/>
              </w:rPr>
            </w:pPr>
            <w:r>
              <w:rPr>
                <w:sz w:val="18"/>
                <w:lang w:val="en-GB"/>
              </w:rPr>
              <w:t>GW &gt;1</w:t>
            </w:r>
          </w:p>
        </w:tc>
        <w:tc>
          <w:tcPr>
            <w:tcW w:w="858" w:type="dxa"/>
          </w:tcPr>
          <w:p>
            <w:pPr>
              <w:pStyle w:val="GesAbsatz"/>
              <w:jc w:val="left"/>
              <w:rPr>
                <w:sz w:val="18"/>
                <w:lang w:val="en-GB"/>
              </w:rPr>
            </w:pPr>
            <w:r>
              <w:rPr>
                <w:sz w:val="18"/>
                <w:lang w:val="en-GB"/>
              </w:rPr>
              <w:t xml:space="preserve">GW </w:t>
            </w:r>
            <w:r>
              <w:rPr>
                <w:rFonts w:hint="eastAsia"/>
                <w:sz w:val="18"/>
              </w:rPr>
              <w:sym w:font="Symbol" w:char="F0A3"/>
            </w:r>
            <w:r>
              <w:rPr>
                <w:sz w:val="18"/>
                <w:lang w:val="en-GB"/>
              </w:rPr>
              <w:t>1</w:t>
            </w:r>
            <w:r>
              <w:rPr>
                <w:sz w:val="18"/>
                <w:lang w:val="en-GB"/>
              </w:rPr>
              <w:br/>
              <w:t>GW &gt;0,1</w:t>
            </w:r>
          </w:p>
        </w:tc>
        <w:tc>
          <w:tcPr>
            <w:tcW w:w="743" w:type="dxa"/>
          </w:tcPr>
          <w:p>
            <w:pPr>
              <w:pStyle w:val="GesAbsatz"/>
              <w:jc w:val="left"/>
              <w:rPr>
                <w:sz w:val="18"/>
                <w:lang w:val="en-GB"/>
              </w:rPr>
            </w:pPr>
            <w:r>
              <w:rPr>
                <w:sz w:val="18"/>
                <w:lang w:val="en-GB"/>
              </w:rPr>
              <w:t>GW &gt;1</w:t>
            </w:r>
          </w:p>
        </w:tc>
        <w:tc>
          <w:tcPr>
            <w:tcW w:w="1600" w:type="dxa"/>
          </w:tcPr>
          <w:p>
            <w:pPr>
              <w:pStyle w:val="GesAbsatz"/>
              <w:jc w:val="left"/>
              <w:rPr>
                <w:sz w:val="18"/>
                <w:lang w:val="en-GB"/>
              </w:rPr>
            </w:pPr>
          </w:p>
        </w:tc>
        <w:tc>
          <w:tcPr>
            <w:tcW w:w="858" w:type="dxa"/>
          </w:tcPr>
          <w:p>
            <w:pPr>
              <w:pStyle w:val="GesAbsatz"/>
              <w:jc w:val="left"/>
              <w:rPr>
                <w:sz w:val="18"/>
                <w:lang w:val="en-GB"/>
              </w:rPr>
            </w:pPr>
            <w:r>
              <w:rPr>
                <w:sz w:val="18"/>
                <w:lang w:val="en-GB"/>
              </w:rPr>
              <w:t xml:space="preserve">GW </w:t>
            </w:r>
            <w:r>
              <w:rPr>
                <w:rFonts w:hint="eastAsia"/>
                <w:sz w:val="18"/>
              </w:rPr>
              <w:sym w:font="Symbol" w:char="F0A3"/>
            </w:r>
            <w:r>
              <w:rPr>
                <w:sz w:val="18"/>
                <w:lang w:val="en-GB"/>
              </w:rPr>
              <w:t>1</w:t>
            </w:r>
            <w:r>
              <w:rPr>
                <w:sz w:val="18"/>
                <w:lang w:val="en-GB"/>
              </w:rPr>
              <w:br/>
              <w:t>GW &gt;0,1</w:t>
            </w:r>
          </w:p>
        </w:tc>
        <w:tc>
          <w:tcPr>
            <w:tcW w:w="743" w:type="dxa"/>
          </w:tcPr>
          <w:p>
            <w:pPr>
              <w:pStyle w:val="GesAbsatz"/>
              <w:jc w:val="left"/>
              <w:rPr>
                <w:sz w:val="18"/>
                <w:lang w:val="en-GB"/>
              </w:rPr>
            </w:pPr>
            <w:r>
              <w:rPr>
                <w:sz w:val="18"/>
                <w:lang w:val="en-GB"/>
              </w:rPr>
              <w:t>GW &gt;1</w:t>
            </w:r>
          </w:p>
        </w:tc>
        <w:tc>
          <w:tcPr>
            <w:tcW w:w="858" w:type="dxa"/>
          </w:tcPr>
          <w:p>
            <w:pPr>
              <w:pStyle w:val="GesAbsatz"/>
              <w:jc w:val="left"/>
              <w:rPr>
                <w:sz w:val="18"/>
                <w:lang w:val="en-GB"/>
              </w:rPr>
            </w:pPr>
            <w:r>
              <w:rPr>
                <w:sz w:val="18"/>
                <w:lang w:val="en-GB"/>
              </w:rPr>
              <w:t xml:space="preserve">GW </w:t>
            </w:r>
            <w:r>
              <w:rPr>
                <w:rFonts w:hint="eastAsia"/>
                <w:sz w:val="18"/>
              </w:rPr>
              <w:sym w:font="Symbol" w:char="F0A3"/>
            </w:r>
            <w:r>
              <w:rPr>
                <w:sz w:val="18"/>
                <w:lang w:val="en-GB"/>
              </w:rPr>
              <w:t>1</w:t>
            </w:r>
            <w:r>
              <w:rPr>
                <w:sz w:val="18"/>
                <w:lang w:val="en-GB"/>
              </w:rPr>
              <w:br/>
              <w:t>GW &gt;0,1</w:t>
            </w:r>
          </w:p>
        </w:tc>
        <w:tc>
          <w:tcPr>
            <w:tcW w:w="743" w:type="dxa"/>
          </w:tcPr>
          <w:p>
            <w:pPr>
              <w:pStyle w:val="GesAbsatz"/>
              <w:jc w:val="left"/>
              <w:rPr>
                <w:sz w:val="18"/>
                <w:lang w:val="en-GB"/>
              </w:rPr>
            </w:pPr>
            <w:r>
              <w:rPr>
                <w:sz w:val="18"/>
                <w:lang w:val="en-GB"/>
              </w:rPr>
              <w:t>GW &gt;1</w:t>
            </w:r>
          </w:p>
        </w:tc>
        <w:tc>
          <w:tcPr>
            <w:tcW w:w="858" w:type="dxa"/>
          </w:tcPr>
          <w:p>
            <w:pPr>
              <w:pStyle w:val="GesAbsatz"/>
              <w:jc w:val="left"/>
              <w:rPr>
                <w:sz w:val="18"/>
                <w:lang w:val="en-GB"/>
              </w:rPr>
            </w:pPr>
            <w:r>
              <w:rPr>
                <w:sz w:val="18"/>
                <w:lang w:val="en-GB"/>
              </w:rPr>
              <w:t xml:space="preserve">GW </w:t>
            </w:r>
            <w:r>
              <w:rPr>
                <w:rFonts w:hint="eastAsia"/>
                <w:sz w:val="18"/>
              </w:rPr>
              <w:sym w:font="Symbol" w:char="F0A3"/>
            </w:r>
            <w:r>
              <w:rPr>
                <w:sz w:val="18"/>
                <w:lang w:val="en-GB"/>
              </w:rPr>
              <w:t>1</w:t>
            </w:r>
            <w:r>
              <w:rPr>
                <w:sz w:val="18"/>
                <w:lang w:val="en-GB"/>
              </w:rPr>
              <w:br/>
              <w:t>GW &gt;0,1</w:t>
            </w:r>
          </w:p>
        </w:tc>
        <w:tc>
          <w:tcPr>
            <w:tcW w:w="743" w:type="dxa"/>
          </w:tcPr>
          <w:p>
            <w:pPr>
              <w:pStyle w:val="GesAbsatz"/>
              <w:jc w:val="left"/>
              <w:rPr>
                <w:sz w:val="18"/>
                <w:lang w:val="en-GB"/>
              </w:rPr>
            </w:pPr>
            <w:r>
              <w:rPr>
                <w:sz w:val="18"/>
                <w:lang w:val="en-GB"/>
              </w:rPr>
              <w:t>GW &gt;1</w:t>
            </w:r>
          </w:p>
        </w:tc>
      </w:tr>
      <w:tr>
        <w:trPr>
          <w:cantSplit/>
        </w:trPr>
        <w:tc>
          <w:tcPr>
            <w:tcW w:w="285" w:type="dxa"/>
            <w:vMerge w:val="restart"/>
            <w:vAlign w:val="center"/>
          </w:tcPr>
          <w:p>
            <w:pPr>
              <w:pStyle w:val="GesAbsatz"/>
              <w:jc w:val="center"/>
              <w:rPr>
                <w:b/>
                <w:bCs/>
                <w:lang w:val="en-GB"/>
              </w:rPr>
            </w:pPr>
            <w:r>
              <w:rPr>
                <w:b/>
                <w:bCs/>
                <w:lang w:val="en-GB"/>
              </w:rPr>
              <w:t>Erdbau</w:t>
            </w:r>
          </w:p>
        </w:tc>
        <w:tc>
          <w:tcPr>
            <w:tcW w:w="456" w:type="dxa"/>
          </w:tcPr>
          <w:p>
            <w:pPr>
              <w:pStyle w:val="GesAbsatz"/>
              <w:jc w:val="left"/>
              <w:rPr>
                <w:sz w:val="18"/>
              </w:rPr>
            </w:pPr>
            <w:r>
              <w:rPr>
                <w:sz w:val="18"/>
              </w:rPr>
              <w:t>9</w:t>
            </w:r>
          </w:p>
        </w:tc>
        <w:tc>
          <w:tcPr>
            <w:tcW w:w="2856" w:type="dxa"/>
          </w:tcPr>
          <w:p>
            <w:pPr>
              <w:pStyle w:val="GesAbsatz"/>
              <w:jc w:val="left"/>
              <w:rPr>
                <w:sz w:val="18"/>
              </w:rPr>
            </w:pPr>
            <w:r>
              <w:rPr>
                <w:sz w:val="18"/>
              </w:rPr>
              <w:t>Unterbau unter Asphalt oder Beton (einschl. Fundament-/Bodenplatten)</w:t>
            </w:r>
          </w:p>
        </w:tc>
        <w:tc>
          <w:tcPr>
            <w:tcW w:w="857"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1600"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sym w:font="Symbol" w:char="F0C5"/>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r>
      <w:tr>
        <w:trPr>
          <w:cantSplit/>
        </w:trPr>
        <w:tc>
          <w:tcPr>
            <w:tcW w:w="285" w:type="dxa"/>
            <w:vMerge/>
          </w:tcPr>
          <w:p>
            <w:pPr>
              <w:pStyle w:val="GesAbsatz"/>
              <w:jc w:val="left"/>
              <w:rPr>
                <w:sz w:val="18"/>
              </w:rPr>
            </w:pPr>
          </w:p>
        </w:tc>
        <w:tc>
          <w:tcPr>
            <w:tcW w:w="456" w:type="dxa"/>
          </w:tcPr>
          <w:p>
            <w:pPr>
              <w:pStyle w:val="GesAbsatz"/>
              <w:jc w:val="left"/>
              <w:rPr>
                <w:sz w:val="18"/>
              </w:rPr>
            </w:pPr>
            <w:r>
              <w:rPr>
                <w:sz w:val="18"/>
              </w:rPr>
              <w:t>10</w:t>
            </w:r>
          </w:p>
        </w:tc>
        <w:tc>
          <w:tcPr>
            <w:tcW w:w="2856" w:type="dxa"/>
          </w:tcPr>
          <w:p>
            <w:pPr>
              <w:pStyle w:val="GesAbsatz"/>
              <w:jc w:val="left"/>
              <w:rPr>
                <w:sz w:val="18"/>
              </w:rPr>
            </w:pPr>
            <w:r>
              <w:rPr>
                <w:sz w:val="18"/>
              </w:rPr>
              <w:t>Unterbau bis 1 m mit kulturf. B.</w:t>
            </w:r>
          </w:p>
        </w:tc>
        <w:tc>
          <w:tcPr>
            <w:tcW w:w="857"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1600"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r>
      <w:tr>
        <w:trPr>
          <w:cantSplit/>
        </w:trPr>
        <w:tc>
          <w:tcPr>
            <w:tcW w:w="285" w:type="dxa"/>
            <w:vMerge/>
          </w:tcPr>
          <w:p>
            <w:pPr>
              <w:pStyle w:val="GesAbsatz"/>
              <w:jc w:val="left"/>
              <w:rPr>
                <w:sz w:val="18"/>
              </w:rPr>
            </w:pPr>
          </w:p>
        </w:tc>
        <w:tc>
          <w:tcPr>
            <w:tcW w:w="456" w:type="dxa"/>
          </w:tcPr>
          <w:p>
            <w:pPr>
              <w:pStyle w:val="GesAbsatz"/>
              <w:jc w:val="left"/>
              <w:rPr>
                <w:sz w:val="18"/>
              </w:rPr>
            </w:pPr>
            <w:r>
              <w:rPr>
                <w:sz w:val="18"/>
              </w:rPr>
              <w:t>11</w:t>
            </w:r>
          </w:p>
        </w:tc>
        <w:tc>
          <w:tcPr>
            <w:tcW w:w="2856" w:type="dxa"/>
          </w:tcPr>
          <w:p>
            <w:pPr>
              <w:pStyle w:val="GesAbsatz"/>
              <w:jc w:val="left"/>
              <w:rPr>
                <w:sz w:val="18"/>
              </w:rPr>
            </w:pPr>
            <w:r>
              <w:rPr>
                <w:sz w:val="18"/>
              </w:rPr>
              <w:t>Damm gemäß Bild 1</w:t>
            </w:r>
          </w:p>
        </w:tc>
        <w:tc>
          <w:tcPr>
            <w:tcW w:w="857"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1600"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r>
      <w:tr>
        <w:trPr>
          <w:cantSplit/>
        </w:trPr>
        <w:tc>
          <w:tcPr>
            <w:tcW w:w="285" w:type="dxa"/>
            <w:vMerge/>
          </w:tcPr>
          <w:p>
            <w:pPr>
              <w:pStyle w:val="GesAbsatz"/>
              <w:jc w:val="left"/>
              <w:rPr>
                <w:sz w:val="18"/>
              </w:rPr>
            </w:pPr>
          </w:p>
        </w:tc>
        <w:tc>
          <w:tcPr>
            <w:tcW w:w="456" w:type="dxa"/>
          </w:tcPr>
          <w:p>
            <w:pPr>
              <w:pStyle w:val="GesAbsatz"/>
              <w:jc w:val="left"/>
              <w:rPr>
                <w:sz w:val="18"/>
              </w:rPr>
            </w:pPr>
            <w:r>
              <w:rPr>
                <w:sz w:val="18"/>
              </w:rPr>
              <w:t>12</w:t>
            </w:r>
          </w:p>
        </w:tc>
        <w:tc>
          <w:tcPr>
            <w:tcW w:w="2856" w:type="dxa"/>
          </w:tcPr>
          <w:p>
            <w:pPr>
              <w:pStyle w:val="GesAbsatz"/>
              <w:jc w:val="left"/>
              <w:rPr>
                <w:sz w:val="18"/>
              </w:rPr>
            </w:pPr>
            <w:r>
              <w:rPr>
                <w:sz w:val="18"/>
              </w:rPr>
              <w:t>Damm gemäß Bild 2</w:t>
            </w:r>
          </w:p>
        </w:tc>
        <w:tc>
          <w:tcPr>
            <w:tcW w:w="857"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1600"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C</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r>
      <w:tr>
        <w:trPr>
          <w:cantSplit/>
        </w:trPr>
        <w:tc>
          <w:tcPr>
            <w:tcW w:w="285" w:type="dxa"/>
            <w:vMerge/>
          </w:tcPr>
          <w:p>
            <w:pPr>
              <w:pStyle w:val="GesAbsatz"/>
              <w:jc w:val="left"/>
              <w:rPr>
                <w:sz w:val="18"/>
              </w:rPr>
            </w:pPr>
          </w:p>
        </w:tc>
        <w:tc>
          <w:tcPr>
            <w:tcW w:w="456" w:type="dxa"/>
          </w:tcPr>
          <w:p>
            <w:pPr>
              <w:pStyle w:val="GesAbsatz"/>
              <w:jc w:val="left"/>
              <w:rPr>
                <w:sz w:val="18"/>
              </w:rPr>
            </w:pPr>
            <w:r>
              <w:rPr>
                <w:sz w:val="18"/>
              </w:rPr>
              <w:t>13</w:t>
            </w:r>
          </w:p>
        </w:tc>
        <w:tc>
          <w:tcPr>
            <w:tcW w:w="2856" w:type="dxa"/>
          </w:tcPr>
          <w:p>
            <w:pPr>
              <w:pStyle w:val="GesAbsatz"/>
              <w:jc w:val="left"/>
              <w:rPr>
                <w:sz w:val="18"/>
              </w:rPr>
            </w:pPr>
            <w:r>
              <w:rPr>
                <w:sz w:val="18"/>
              </w:rPr>
              <w:t>Damm gemäß Bild 3</w:t>
            </w:r>
          </w:p>
        </w:tc>
        <w:tc>
          <w:tcPr>
            <w:tcW w:w="857"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1600"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r>
      <w:tr>
        <w:trPr>
          <w:cantSplit/>
        </w:trPr>
        <w:tc>
          <w:tcPr>
            <w:tcW w:w="285" w:type="dxa"/>
            <w:vMerge/>
          </w:tcPr>
          <w:p>
            <w:pPr>
              <w:pStyle w:val="GesAbsatz"/>
              <w:jc w:val="left"/>
              <w:rPr>
                <w:sz w:val="18"/>
              </w:rPr>
            </w:pPr>
          </w:p>
        </w:tc>
        <w:tc>
          <w:tcPr>
            <w:tcW w:w="456" w:type="dxa"/>
          </w:tcPr>
          <w:p>
            <w:pPr>
              <w:pStyle w:val="GesAbsatz"/>
              <w:jc w:val="left"/>
              <w:rPr>
                <w:sz w:val="18"/>
              </w:rPr>
            </w:pPr>
            <w:r>
              <w:rPr>
                <w:sz w:val="18"/>
              </w:rPr>
              <w:t>14</w:t>
            </w:r>
          </w:p>
        </w:tc>
        <w:tc>
          <w:tcPr>
            <w:tcW w:w="2856" w:type="dxa"/>
          </w:tcPr>
          <w:p>
            <w:pPr>
              <w:pStyle w:val="GesAbsatz"/>
              <w:jc w:val="left"/>
              <w:rPr>
                <w:sz w:val="18"/>
              </w:rPr>
            </w:pPr>
            <w:r>
              <w:rPr>
                <w:sz w:val="18"/>
              </w:rPr>
              <w:t>Lärmschutzwall mit kulturf. B.</w:t>
            </w:r>
          </w:p>
        </w:tc>
        <w:tc>
          <w:tcPr>
            <w:tcW w:w="857"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1600"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r>
      <w:tr>
        <w:trPr>
          <w:cantSplit/>
        </w:trPr>
        <w:tc>
          <w:tcPr>
            <w:tcW w:w="285" w:type="dxa"/>
            <w:vMerge/>
          </w:tcPr>
          <w:p>
            <w:pPr>
              <w:pStyle w:val="GesAbsatz"/>
              <w:jc w:val="left"/>
              <w:rPr>
                <w:sz w:val="18"/>
              </w:rPr>
            </w:pPr>
          </w:p>
        </w:tc>
        <w:tc>
          <w:tcPr>
            <w:tcW w:w="456" w:type="dxa"/>
          </w:tcPr>
          <w:p>
            <w:pPr>
              <w:pStyle w:val="GesAbsatz"/>
              <w:jc w:val="left"/>
              <w:rPr>
                <w:sz w:val="18"/>
              </w:rPr>
            </w:pPr>
            <w:r>
              <w:rPr>
                <w:sz w:val="18"/>
              </w:rPr>
              <w:t>15</w:t>
            </w:r>
          </w:p>
        </w:tc>
        <w:tc>
          <w:tcPr>
            <w:tcW w:w="2856" w:type="dxa"/>
          </w:tcPr>
          <w:p>
            <w:pPr>
              <w:pStyle w:val="GesAbsatz"/>
              <w:jc w:val="left"/>
              <w:rPr>
                <w:sz w:val="18"/>
              </w:rPr>
            </w:pPr>
            <w:r>
              <w:rPr>
                <w:sz w:val="18"/>
              </w:rPr>
              <w:t>Lärmschutzwall gem. Bild 4 od. 5</w:t>
            </w:r>
          </w:p>
        </w:tc>
        <w:tc>
          <w:tcPr>
            <w:tcW w:w="857"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pPr>
            <w:r>
              <w:t>+</w:t>
            </w:r>
          </w:p>
        </w:tc>
        <w:tc>
          <w:tcPr>
            <w:tcW w:w="743" w:type="dxa"/>
            <w:vAlign w:val="center"/>
          </w:tcPr>
          <w:p>
            <w:pPr>
              <w:pStyle w:val="GesAbsatz"/>
              <w:jc w:val="center"/>
            </w:pPr>
            <w: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B</w:t>
            </w:r>
          </w:p>
        </w:tc>
        <w:tc>
          <w:tcPr>
            <w:tcW w:w="1600"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c>
          <w:tcPr>
            <w:tcW w:w="858" w:type="dxa"/>
            <w:vAlign w:val="center"/>
          </w:tcPr>
          <w:p>
            <w:pPr>
              <w:pStyle w:val="GesAbsatz"/>
              <w:jc w:val="center"/>
              <w:rPr>
                <w:sz w:val="18"/>
              </w:rPr>
            </w:pPr>
            <w:r>
              <w:rPr>
                <w:sz w:val="18"/>
              </w:rPr>
              <w:t>-</w:t>
            </w:r>
          </w:p>
        </w:tc>
        <w:tc>
          <w:tcPr>
            <w:tcW w:w="743" w:type="dxa"/>
            <w:vAlign w:val="center"/>
          </w:tcPr>
          <w:p>
            <w:pPr>
              <w:pStyle w:val="GesAbsatz"/>
              <w:jc w:val="center"/>
              <w:rPr>
                <w:sz w:val="18"/>
              </w:rPr>
            </w:pPr>
            <w:r>
              <w:rPr>
                <w:sz w:val="18"/>
              </w:rPr>
              <w:t>-</w:t>
            </w:r>
          </w:p>
        </w:tc>
      </w:tr>
    </w:tbl>
    <w:p>
      <w:pPr>
        <w:pStyle w:val="GesAbsatz"/>
      </w:pPr>
    </w:p>
    <w:p>
      <w:pPr>
        <w:pStyle w:val="GesAbsatz"/>
      </w:pPr>
    </w:p>
    <w:p>
      <w:pPr>
        <w:pStyle w:val="GesAbsatz"/>
        <w:sectPr>
          <w:pgSz w:w="16838" w:h="11906" w:orient="landscape" w:code="9"/>
          <w:pgMar w:top="1418" w:right="851" w:bottom="1418" w:left="1418" w:header="709" w:footer="709" w:gutter="0"/>
          <w:cols w:space="708"/>
          <w:docGrid w:linePitch="360"/>
        </w:sectPr>
      </w:pPr>
    </w:p>
    <w:p>
      <w:pPr>
        <w:pStyle w:val="berschrift2"/>
        <w:jc w:val="left"/>
      </w:pPr>
      <w:bookmarkStart w:id="17" w:name="_Toc235867980"/>
      <w:r>
        <w:lastRenderedPageBreak/>
        <w:t>Anhang:</w:t>
      </w:r>
      <w:r>
        <w:rPr>
          <w:rFonts w:eastAsia="Arial Unicode MS"/>
        </w:rPr>
        <w:br/>
      </w:r>
      <w:r>
        <w:t>Abkürzungen, Definitionen und Erläuterungen zu Anlage 1 und 2</w:t>
      </w:r>
      <w:bookmarkEnd w:id="17"/>
      <w:r>
        <w:t xml:space="preserve"> </w:t>
      </w:r>
    </w:p>
    <w:p>
      <w:pPr>
        <w:pStyle w:val="GesAbsatz"/>
        <w:rPr>
          <w:b/>
          <w:bCs/>
        </w:rPr>
      </w:pPr>
      <w:r>
        <w:rPr>
          <w:b/>
          <w:bCs/>
        </w:rPr>
        <w:t xml:space="preserve">1 Verwertungsgebiete </w:t>
      </w:r>
    </w:p>
    <w:p>
      <w:pPr>
        <w:pStyle w:val="GesAbsatz"/>
        <w:ind w:left="1440" w:hanging="1440"/>
      </w:pPr>
      <w:r>
        <w:rPr>
          <w:b/>
          <w:bCs/>
        </w:rPr>
        <w:t>Zu Spalte 2</w:t>
      </w:r>
      <w:r>
        <w:t>:</w:t>
      </w:r>
      <w:r>
        <w:tab/>
        <w:t xml:space="preserve">Porengrundwasserleiter und wenig wasserdurchlässige Kluftgrundwasserleiter ohne ausreichende Deckschichten </w:t>
      </w:r>
    </w:p>
    <w:p>
      <w:pPr>
        <w:pStyle w:val="GesAbsatz"/>
        <w:rPr>
          <w:b/>
          <w:bCs/>
        </w:rPr>
      </w:pPr>
      <w:r>
        <w:rPr>
          <w:b/>
          <w:bCs/>
        </w:rPr>
        <w:t xml:space="preserve">Wenig wasserdurchlässige Kluftgrundwasserleiter sind </w:t>
      </w:r>
    </w:p>
    <w:p>
      <w:pPr>
        <w:pStyle w:val="GesAbsatz"/>
        <w:numPr>
          <w:ilvl w:val="0"/>
          <w:numId w:val="8"/>
        </w:numPr>
      </w:pPr>
      <w:r>
        <w:t xml:space="preserve">Tonschiefer, </w:t>
      </w:r>
    </w:p>
    <w:p>
      <w:pPr>
        <w:pStyle w:val="GesAbsatz"/>
        <w:numPr>
          <w:ilvl w:val="0"/>
          <w:numId w:val="8"/>
        </w:numPr>
      </w:pPr>
      <w:r>
        <w:t xml:space="preserve">Schieferton, </w:t>
      </w:r>
    </w:p>
    <w:p>
      <w:pPr>
        <w:pStyle w:val="GesAbsatz"/>
        <w:numPr>
          <w:ilvl w:val="0"/>
          <w:numId w:val="8"/>
        </w:numPr>
      </w:pPr>
      <w:r>
        <w:t xml:space="preserve">Tonstein, </w:t>
      </w:r>
    </w:p>
    <w:p>
      <w:pPr>
        <w:pStyle w:val="GesAbsatz"/>
        <w:numPr>
          <w:ilvl w:val="0"/>
          <w:numId w:val="8"/>
        </w:numPr>
      </w:pPr>
      <w:r>
        <w:t xml:space="preserve">Tonmergelstein, </w:t>
      </w:r>
    </w:p>
    <w:p>
      <w:pPr>
        <w:pStyle w:val="GesAbsatz"/>
        <w:numPr>
          <w:ilvl w:val="0"/>
          <w:numId w:val="8"/>
        </w:numPr>
      </w:pPr>
      <w:r>
        <w:t xml:space="preserve">Wechsellagerung von Sandstein/Tonschief er, Kalkstein/Mergelstein, Quarzit/Glimmerschiefer, </w:t>
      </w:r>
    </w:p>
    <w:p>
      <w:pPr>
        <w:pStyle w:val="GesAbsatz"/>
        <w:numPr>
          <w:ilvl w:val="0"/>
          <w:numId w:val="8"/>
        </w:numPr>
      </w:pPr>
      <w:r>
        <w:t xml:space="preserve">Mergelstein, </w:t>
      </w:r>
    </w:p>
    <w:p>
      <w:pPr>
        <w:pStyle w:val="GesAbsatz"/>
        <w:numPr>
          <w:ilvl w:val="0"/>
          <w:numId w:val="8"/>
        </w:numPr>
      </w:pPr>
      <w:r>
        <w:t xml:space="preserve">Kalkmergelsteine der Trias und der Oberkreide, </w:t>
      </w:r>
    </w:p>
    <w:p>
      <w:pPr>
        <w:pStyle w:val="GesAbsatz"/>
        <w:numPr>
          <w:ilvl w:val="0"/>
          <w:numId w:val="8"/>
        </w:numPr>
      </w:pPr>
      <w:r>
        <w:t xml:space="preserve">Sandsteine des Devons im Sauer- und Siegerland. </w:t>
      </w:r>
    </w:p>
    <w:p>
      <w:pPr>
        <w:pStyle w:val="GesAbsatz"/>
      </w:pPr>
      <w:r>
        <w:t xml:space="preserve">Anhaltspunkte über die Gesteinsverteilung von Porengrundwasserleitern und wenig wasserdurchlässigen Kluftgrundwasserleitern liefert die Karte der Grundwasserlandschaften des geologischen Dienstes NRW. Detailinformationen sind den geologischen Detailkarten zu entnehmen. In Zweifelsfällen sind örtliche Untersuchungen vorzunehmen. </w:t>
      </w:r>
    </w:p>
    <w:p>
      <w:pPr>
        <w:pStyle w:val="GesAbsatz"/>
      </w:pPr>
      <w:r>
        <w:rPr>
          <w:b/>
          <w:bCs/>
        </w:rPr>
        <w:t>Nicht ausreichende Deckschichten</w:t>
      </w:r>
      <w:r>
        <w:t xml:space="preserve"> sind natürliche Deckschichten mit einer Mächtigkeit &lt;1 m und einem k</w:t>
      </w:r>
      <w:r>
        <w:rPr>
          <w:vertAlign w:val="subscript"/>
        </w:rPr>
        <w:t>f</w:t>
      </w:r>
      <w:r>
        <w:t>-Wert &gt; 10</w:t>
      </w:r>
      <w:r>
        <w:rPr>
          <w:vertAlign w:val="superscript"/>
        </w:rPr>
        <w:t>-7</w:t>
      </w:r>
      <w:r>
        <w:t xml:space="preserve"> m/s oder mit einer Mächtigkeit von &lt;0,5 m und einem k</w:t>
      </w:r>
      <w:r>
        <w:rPr>
          <w:vertAlign w:val="subscript"/>
        </w:rPr>
        <w:t>f</w:t>
      </w:r>
      <w:r>
        <w:t>-Wert &gt; 10</w:t>
      </w:r>
      <w:r>
        <w:rPr>
          <w:vertAlign w:val="superscript"/>
        </w:rPr>
        <w:t>-8</w:t>
      </w:r>
      <w:r>
        <w:t xml:space="preserve"> m/s </w:t>
      </w:r>
    </w:p>
    <w:p>
      <w:pPr>
        <w:pStyle w:val="GesAbsatz"/>
      </w:pPr>
      <w:r>
        <w:t>Anhaltspunkte über die k</w:t>
      </w:r>
      <w:r>
        <w:rPr>
          <w:vertAlign w:val="subscript"/>
        </w:rPr>
        <w:t>f</w:t>
      </w:r>
      <w:r>
        <w:t xml:space="preserve">-Werte in den oberen zwei Metern der Böden liefern die Bodenkarten (Maßstab 1:50000) des geologischen Dienstes NRW. Detailinformationen sind den geologischen Detailkarten zu entnehmen. In Zweifelsfällen sind örtliche Untersuchungen vorzunehmen. </w:t>
      </w:r>
    </w:p>
    <w:p>
      <w:pPr>
        <w:pStyle w:val="GesAbsatz"/>
        <w:ind w:left="1440" w:hanging="1440"/>
      </w:pPr>
      <w:r>
        <w:rPr>
          <w:b/>
          <w:bCs/>
        </w:rPr>
        <w:t>Zu Spalte 3:</w:t>
      </w:r>
      <w:r>
        <w:rPr>
          <w:b/>
          <w:bCs/>
        </w:rPr>
        <w:tab/>
      </w:r>
      <w:r>
        <w:t xml:space="preserve">Gut wasserdurchlässige Kluftgrundwasserleiter einschließlich Karstgrundwasserleiter ohne ausreichende Deckschichten </w:t>
      </w:r>
    </w:p>
    <w:p>
      <w:pPr>
        <w:pStyle w:val="GesAbsatz"/>
        <w:rPr>
          <w:b/>
          <w:bCs/>
        </w:rPr>
      </w:pPr>
      <w:r>
        <w:rPr>
          <w:b/>
          <w:bCs/>
        </w:rPr>
        <w:t xml:space="preserve">Gut wasserdurchlässige Kluftgrundwasserleiter einschließlich Karstgrundwasserleiter </w:t>
      </w:r>
      <w:r>
        <w:t>sind</w:t>
      </w:r>
      <w:r>
        <w:rPr>
          <w:b/>
          <w:bCs/>
        </w:rPr>
        <w:t xml:space="preserve"> </w:t>
      </w:r>
    </w:p>
    <w:p>
      <w:pPr>
        <w:pStyle w:val="GesAbsatz"/>
        <w:numPr>
          <w:ilvl w:val="0"/>
          <w:numId w:val="9"/>
        </w:numPr>
      </w:pPr>
      <w:r>
        <w:t xml:space="preserve">Mittel- und oberdevonischer Kalkstein, </w:t>
      </w:r>
    </w:p>
    <w:p>
      <w:pPr>
        <w:pStyle w:val="GesAbsatz"/>
        <w:numPr>
          <w:ilvl w:val="0"/>
          <w:numId w:val="9"/>
        </w:numPr>
      </w:pPr>
      <w:r>
        <w:t xml:space="preserve">Kalkstein des Karbons und Zechsteins, </w:t>
      </w:r>
    </w:p>
    <w:p>
      <w:pPr>
        <w:pStyle w:val="GesAbsatz"/>
        <w:numPr>
          <w:ilvl w:val="0"/>
          <w:numId w:val="9"/>
        </w:numPr>
      </w:pPr>
      <w:r>
        <w:t xml:space="preserve">Kalk- und Sandsteine, untergeordnet Vulkanite, des Devons und Karbons, </w:t>
      </w:r>
    </w:p>
    <w:p>
      <w:pPr>
        <w:pStyle w:val="GesAbsatz"/>
        <w:numPr>
          <w:ilvl w:val="0"/>
          <w:numId w:val="9"/>
        </w:numPr>
      </w:pPr>
      <w:r>
        <w:t xml:space="preserve">Kalk- und Sandsteine der Trias, </w:t>
      </w:r>
    </w:p>
    <w:p>
      <w:pPr>
        <w:pStyle w:val="GesAbsatz"/>
        <w:numPr>
          <w:ilvl w:val="0"/>
          <w:numId w:val="9"/>
        </w:numPr>
      </w:pPr>
      <w:r>
        <w:t xml:space="preserve">Kalksandsteine des Obercampans, </w:t>
      </w:r>
    </w:p>
    <w:p>
      <w:pPr>
        <w:pStyle w:val="GesAbsatz"/>
        <w:numPr>
          <w:ilvl w:val="0"/>
          <w:numId w:val="9"/>
        </w:numPr>
      </w:pPr>
      <w:r>
        <w:t xml:space="preserve">Kalkstein, Sandstein, Sandmergelstein des Jura und der Kreide. </w:t>
      </w:r>
    </w:p>
    <w:p>
      <w:pPr>
        <w:pStyle w:val="GesAbsatz"/>
      </w:pPr>
      <w:r>
        <w:t xml:space="preserve">Anhaltspunkte über die Gesteinsverteilung von gut wasserdurchlässigen Kluftgrundwasserleitern einschl. Karstgrundwasserleitern liefert die Karte der Grundwasserlandschaften des geologischen Dienstes NRW. Detailinformationen sind den geologischen Detailkarten zu entnehmen. In Zweifelsfällen sind örtliche Untersuchungen vorzunehmen. </w:t>
      </w:r>
    </w:p>
    <w:p>
      <w:pPr>
        <w:pStyle w:val="GesAbsatz"/>
      </w:pPr>
      <w:r>
        <w:rPr>
          <w:b/>
          <w:bCs/>
        </w:rPr>
        <w:t>Zu Spalte 4:</w:t>
      </w:r>
      <w:r>
        <w:tab/>
        <w:t xml:space="preserve">20 m breite Randstreifen an kleinen Gewässern; Hochwasser-Retentionsräume </w:t>
      </w:r>
    </w:p>
    <w:p>
      <w:pPr>
        <w:pStyle w:val="GesAbsatz"/>
      </w:pPr>
      <w:r>
        <w:rPr>
          <w:b/>
          <w:bCs/>
        </w:rPr>
        <w:t>Kleine Gewässer</w:t>
      </w:r>
      <w:r>
        <w:t xml:space="preserve"> sind Gewässeroberläufe mit einem oberirdischen Einzugsgebiet von </w:t>
      </w:r>
      <w:r>
        <w:rPr>
          <w:rFonts w:ascii="Symbol" w:hAnsi="Symbol"/>
        </w:rPr>
        <w:t></w:t>
      </w:r>
      <w:r>
        <w:t xml:space="preserve"> 5 km</w:t>
      </w:r>
      <w:r>
        <w:rPr>
          <w:vertAlign w:val="superscript"/>
        </w:rPr>
        <w:t>2</w:t>
      </w:r>
      <w:r>
        <w:t xml:space="preserve">. Die Größe der Gewässer ist den Stationierungskarten des Landesumweltamtes NRW (1:25000) sowie dem zugehörigen Tabellenwerk ,,Gebietsbezeichnung und Verzeichnis der Gewässer in NRW" zu entnehmen. </w:t>
      </w:r>
    </w:p>
    <w:p>
      <w:pPr>
        <w:pStyle w:val="GesAbsatz"/>
      </w:pPr>
      <w:r>
        <w:t xml:space="preserve">Straßenseitengräben zählen hier nicht zu den Gewässern. </w:t>
      </w:r>
    </w:p>
    <w:p>
      <w:pPr>
        <w:pStyle w:val="GesAbsatz"/>
      </w:pPr>
      <w:r>
        <w:t xml:space="preserve">Beim Einsatz der hier angesprochenen Mineralstoffe im Straßenbau innerhalb eines </w:t>
      </w:r>
      <w:r>
        <w:rPr>
          <w:b/>
          <w:bCs/>
        </w:rPr>
        <w:t xml:space="preserve">20 m breiten Randstreifens </w:t>
      </w:r>
      <w:r>
        <w:t xml:space="preserve">parallel zu den kleinen Gewässern sind die in den Anlagen 1 bis 10 eingetragenen Anforderungen zu beachten. Kreuzungen zwischen Straßen und Gewässern sind ausgenommen. </w:t>
      </w:r>
    </w:p>
    <w:p>
      <w:pPr>
        <w:pStyle w:val="GesAbsatz"/>
      </w:pPr>
      <w:r>
        <w:rPr>
          <w:b/>
          <w:bCs/>
        </w:rPr>
        <w:t>Hochwasser-Retentionsräume</w:t>
      </w:r>
      <w:r>
        <w:t xml:space="preserve"> sind Gebiete, die zur Rückhaltung von Hochwasserabflüssen dienen. </w:t>
      </w:r>
    </w:p>
    <w:p>
      <w:pPr>
        <w:pStyle w:val="GesAbsatz"/>
      </w:pPr>
      <w:r>
        <w:rPr>
          <w:b/>
          <w:bCs/>
        </w:rPr>
        <w:t>Zu Spalte 5</w:t>
      </w:r>
      <w:r>
        <w:rPr>
          <w:b/>
          <w:bCs/>
        </w:rPr>
        <w:tab/>
      </w:r>
      <w:r>
        <w:t xml:space="preserve">WSG III B, HSG IV </w:t>
      </w:r>
    </w:p>
    <w:p>
      <w:pPr>
        <w:pStyle w:val="GesAbsatz"/>
      </w:pPr>
      <w:r>
        <w:rPr>
          <w:b/>
          <w:bCs/>
        </w:rPr>
        <w:t>WSG III B</w:t>
      </w:r>
      <w:r>
        <w:t>:</w:t>
      </w:r>
      <w:r>
        <w:tab/>
        <w:t xml:space="preserve">Schutzzone III B von festgesetzten oder geplanten Trinkwasserschutzgebieten </w:t>
      </w:r>
    </w:p>
    <w:p>
      <w:pPr>
        <w:pStyle w:val="GesAbsatz"/>
        <w:ind w:left="1440" w:hanging="1440"/>
      </w:pPr>
      <w:r>
        <w:rPr>
          <w:b/>
          <w:bCs/>
        </w:rPr>
        <w:lastRenderedPageBreak/>
        <w:t>HSG IV:</w:t>
      </w:r>
      <w:r>
        <w:tab/>
        <w:t xml:space="preserve">Schutzzone IV gegen qualitative Beeinträchtigungen von festgesetzten oder geplanten Heilquellenschutzgebieten </w:t>
      </w:r>
    </w:p>
    <w:p>
      <w:pPr>
        <w:pStyle w:val="GesAbsatz"/>
      </w:pPr>
      <w:r>
        <w:t xml:space="preserve">Festgesetzte WSG und HSG werden in den Amtsblättern der Bezirksregierungen veröffentlicht. </w:t>
      </w:r>
    </w:p>
    <w:p>
      <w:pPr>
        <w:pStyle w:val="GesAbsatz"/>
      </w:pPr>
      <w:r>
        <w:t xml:space="preserve">Geplante WSG und HSG sind bei den unteren Wasserbehörden (Kreise und kreisfreie Städte) und den zuständigen Staatlichen Umweltämtern NRW zu erfragen. </w:t>
      </w:r>
    </w:p>
    <w:p>
      <w:pPr>
        <w:pStyle w:val="GesAbsatz"/>
      </w:pPr>
      <w:r>
        <w:rPr>
          <w:b/>
          <w:bCs/>
        </w:rPr>
        <w:t>Zu Spalte 6:</w:t>
      </w:r>
      <w:r>
        <w:tab/>
        <w:t xml:space="preserve">WSG III A, HSG III </w:t>
      </w:r>
    </w:p>
    <w:p>
      <w:pPr>
        <w:pStyle w:val="GesAbsatz"/>
      </w:pPr>
      <w:r>
        <w:rPr>
          <w:b/>
          <w:bCs/>
        </w:rPr>
        <w:t>WSG III A:</w:t>
      </w:r>
      <w:r>
        <w:tab/>
        <w:t xml:space="preserve">Schutzzone III A von festgesetzten oder geplanten Trinkwasserschutzgebieten </w:t>
      </w:r>
    </w:p>
    <w:p>
      <w:pPr>
        <w:pStyle w:val="GesAbsatz"/>
        <w:ind w:left="1440" w:hanging="1440"/>
      </w:pPr>
      <w:r>
        <w:rPr>
          <w:b/>
          <w:bCs/>
        </w:rPr>
        <w:t>HSG III:</w:t>
      </w:r>
      <w:r>
        <w:tab/>
        <w:t xml:space="preserve">Schutzzone III gegen qualitative Beeinträchtigungen von festgesetzten oder geplanten Heilquellenschutzgebieten </w:t>
      </w:r>
    </w:p>
    <w:p>
      <w:pPr>
        <w:pStyle w:val="GesAbsatz"/>
      </w:pPr>
      <w:r>
        <w:rPr>
          <w:b/>
          <w:bCs/>
        </w:rPr>
        <w:t>Zu Spalte 7</w:t>
      </w:r>
      <w:r>
        <w:tab/>
        <w:t xml:space="preserve">Bereich zum Schutz der Gewässer nach Landesplanungsrecht </w:t>
      </w:r>
    </w:p>
    <w:p>
      <w:pPr>
        <w:pStyle w:val="GesAbsatz"/>
      </w:pPr>
      <w:r>
        <w:t xml:space="preserve">Nach Landesplanungsrecht können solche Gebiete noch zu Wasserschutzgebieten erklärt werden. Hinsichtlich Flächengröße und Schutzwürdigkeit entsprechen sie den Schutzzonen III A von Trinkwasserschutzgebieten. Die Lage der künftigen Fassungsanlage ist noch frei wählbar. Diese Gebiete sind in den Gebietsentwicklungsplänen der Bezirksregierungen ausgewiesen. </w:t>
      </w:r>
    </w:p>
    <w:p>
      <w:pPr>
        <w:pStyle w:val="GesAbsatz"/>
      </w:pPr>
      <w:r>
        <w:rPr>
          <w:b/>
          <w:bCs/>
        </w:rPr>
        <w:t>Unterspalten 1 bis 7:</w:t>
      </w:r>
      <w:r>
        <w:t xml:space="preserve"> Gw &gt;0,1 </w:t>
      </w:r>
      <w:r>
        <w:rPr>
          <w:rFonts w:ascii="Symbol" w:hAnsi="Symbol"/>
        </w:rPr>
        <w:t></w:t>
      </w:r>
      <w:r>
        <w:t xml:space="preserve"> 1; Gw &gt;1 </w:t>
      </w:r>
    </w:p>
    <w:p>
      <w:pPr>
        <w:pStyle w:val="GesAbsatz"/>
        <w:tabs>
          <w:tab w:val="left" w:pos="1440"/>
        </w:tabs>
        <w:ind w:left="1440" w:hanging="1440"/>
      </w:pPr>
      <w:r>
        <w:rPr>
          <w:b/>
          <w:bCs/>
        </w:rPr>
        <w:t xml:space="preserve">Gw &gt;0,1 </w:t>
      </w:r>
      <w:r>
        <w:rPr>
          <w:rFonts w:ascii="Symbol" w:hAnsi="Symbol"/>
          <w:b/>
          <w:bCs/>
        </w:rPr>
        <w:t></w:t>
      </w:r>
      <w:r>
        <w:rPr>
          <w:b/>
          <w:bCs/>
        </w:rPr>
        <w:t xml:space="preserve"> 1:</w:t>
      </w:r>
      <w:r>
        <w:t xml:space="preserve"> </w:t>
      </w:r>
      <w:r>
        <w:tab/>
        <w:t>Abstand zwischen höchstem zu erwartenden Grundwasserstand und Planum/Schütt</w:t>
      </w:r>
      <w:r>
        <w:softHyphen/>
        <w:t xml:space="preserve">körperbasis zwischen mehr als 0,1 m und 1 m. Wichtig ist hier, dass der eingebaute Stoff dauerhaft oberhalb des höchsten Grundwasserstandes liegt. </w:t>
      </w:r>
    </w:p>
    <w:p>
      <w:pPr>
        <w:pStyle w:val="GesAbsatz"/>
        <w:ind w:left="1440" w:hanging="1440"/>
      </w:pPr>
      <w:r>
        <w:rPr>
          <w:b/>
          <w:bCs/>
        </w:rPr>
        <w:t>Gw&gt; 1:</w:t>
      </w:r>
      <w:r>
        <w:t xml:space="preserve"> </w:t>
      </w:r>
      <w:r>
        <w:tab/>
        <w:t>Abstand zwischen höchstem zu erwartendem Grundwasserstand und Planum/Schütt</w:t>
      </w:r>
      <w:r>
        <w:softHyphen/>
        <w:t xml:space="preserve">körperbasis von mehr als 1 m. </w:t>
      </w:r>
    </w:p>
    <w:p>
      <w:pPr>
        <w:pStyle w:val="GesAbsatz"/>
      </w:pPr>
      <w:r>
        <w:t xml:space="preserve">Der höchste zu erwartende Grundwasserstand im Bereich einer Baumaßnahme ergibt sich aus den langjährigen Messungen des Landesgrundwasserdienstes NRW anhand der verfügbaren Messstellen im Umfeld. Auskunft geben die zuständigen Staatlichen Umweltämter. </w:t>
      </w:r>
    </w:p>
    <w:p>
      <w:pPr>
        <w:pStyle w:val="GesAbsatz"/>
        <w:rPr>
          <w:b/>
          <w:bCs/>
        </w:rPr>
      </w:pPr>
      <w:r>
        <w:rPr>
          <w:b/>
          <w:bCs/>
        </w:rPr>
        <w:t xml:space="preserve">2 Einsatz </w:t>
      </w:r>
    </w:p>
    <w:p>
      <w:pPr>
        <w:pStyle w:val="GesAbsatz"/>
      </w:pPr>
      <w:r>
        <w:rPr>
          <w:b/>
          <w:bCs/>
        </w:rPr>
        <w:t>Lfd. Nr. 1 bis 3:</w:t>
      </w:r>
      <w:r>
        <w:t xml:space="preserve"> </w:t>
      </w:r>
      <w:r>
        <w:tab/>
        <w:t xml:space="preserve">ToB </w:t>
      </w:r>
    </w:p>
    <w:p>
      <w:pPr>
        <w:pStyle w:val="GesAbsatz"/>
      </w:pPr>
      <w:r>
        <w:t xml:space="preserve">ToB: Tragschicht ohne Bindemittel </w:t>
      </w:r>
    </w:p>
    <w:p>
      <w:pPr>
        <w:pStyle w:val="GesAbsatz"/>
      </w:pPr>
      <w:r>
        <w:rPr>
          <w:b/>
          <w:bCs/>
        </w:rPr>
        <w:t xml:space="preserve">Lfd. Nr. 8: </w:t>
      </w:r>
      <w:r>
        <w:tab/>
        <w:t xml:space="preserve">Einsatz lfd. Nr. 1, 4, 5, 6 in Straßen mit Entwässerungsrinnen </w:t>
      </w:r>
    </w:p>
    <w:p>
      <w:pPr>
        <w:pStyle w:val="GesAbsatz"/>
      </w:pPr>
      <w:r>
        <w:t xml:space="preserve">Gemeint sind hier z. B. Stadtstraßen. Die Eintragungen in dieser Zeile ergeben sich aus den Eintragungen in den lfd. Nrn. 1, 4, 5 und 6. </w:t>
      </w:r>
    </w:p>
    <w:p>
      <w:pPr>
        <w:pStyle w:val="GesAbsatz"/>
      </w:pPr>
      <w:r>
        <w:rPr>
          <w:b/>
          <w:bCs/>
        </w:rPr>
        <w:t>Lfd. Nr. 10:</w:t>
      </w:r>
      <w:r>
        <w:tab/>
        <w:t xml:space="preserve"> Unterbau bis 1 m mit kulturfähigem Boden </w:t>
      </w:r>
    </w:p>
    <w:p>
      <w:pPr>
        <w:pStyle w:val="GesAbsatz"/>
      </w:pPr>
      <w:r>
        <w:rPr>
          <w:b/>
          <w:bCs/>
        </w:rPr>
        <w:t xml:space="preserve">Lfd. Nr. 14: </w:t>
      </w:r>
      <w:r>
        <w:tab/>
        <w:t xml:space="preserve">Lärmschutzwall mit kulturfähigem Boden </w:t>
      </w:r>
    </w:p>
    <w:p>
      <w:pPr>
        <w:pStyle w:val="GesAbsatz"/>
      </w:pPr>
      <w:r>
        <w:t xml:space="preserve">Der kulturfähige Boden nach lfd. Nr. 10 und 14 muss die Anforderungen an die Herstellung einer durchwurzelbaren Bodenschicht gemäß § 12 der Bundes-Bodenschutz- und Altlastenverordnung, insbesondere die Vorsorgewerte (in mg/kg Trockenmasse) des Anhanges 2, Nr. 4 in Verbindung mit den Anwendungsregelungen einhalten: </w:t>
      </w:r>
    </w:p>
    <w:p/>
    <w:tbl>
      <w:tblPr>
        <w:tblW w:w="9473" w:type="dxa"/>
        <w:tblLayout w:type="fixed"/>
        <w:tblCellMar>
          <w:left w:w="68" w:type="dxa"/>
          <w:right w:w="68" w:type="dxa"/>
        </w:tblCellMar>
        <w:tblLook w:val="0000" w:firstRow="0" w:lastRow="0" w:firstColumn="0" w:lastColumn="0" w:noHBand="0" w:noVBand="0"/>
      </w:tblPr>
      <w:tblGrid>
        <w:gridCol w:w="1174"/>
        <w:gridCol w:w="1162"/>
        <w:gridCol w:w="1162"/>
        <w:gridCol w:w="1163"/>
        <w:gridCol w:w="1163"/>
        <w:gridCol w:w="1264"/>
        <w:gridCol w:w="1260"/>
        <w:gridCol w:w="1125"/>
      </w:tblGrid>
      <w:tr>
        <w:trPr>
          <w:trHeight w:val="443"/>
        </w:trPr>
        <w:tc>
          <w:tcPr>
            <w:tcW w:w="1174" w:type="dxa"/>
            <w:tcBorders>
              <w:top w:val="single" w:sz="6" w:space="0" w:color="000000"/>
              <w:left w:val="single" w:sz="6" w:space="0" w:color="000000"/>
              <w:bottom w:val="single" w:sz="6" w:space="0" w:color="000000"/>
              <w:right w:val="single" w:sz="6" w:space="0" w:color="000000"/>
            </w:tcBorders>
          </w:tcPr>
          <w:p>
            <w:pPr>
              <w:pStyle w:val="GesAbsatz"/>
              <w:jc w:val="left"/>
            </w:pPr>
            <w:r>
              <w:t xml:space="preserve">Bodenart </w:t>
            </w:r>
          </w:p>
        </w:tc>
        <w:tc>
          <w:tcPr>
            <w:tcW w:w="1162" w:type="dxa"/>
            <w:tcBorders>
              <w:top w:val="single" w:sz="6" w:space="0" w:color="000000"/>
              <w:left w:val="single" w:sz="6" w:space="0" w:color="000000"/>
              <w:bottom w:val="single" w:sz="6" w:space="0" w:color="000000"/>
              <w:right w:val="single" w:sz="6" w:space="0" w:color="000000"/>
            </w:tcBorders>
          </w:tcPr>
          <w:p>
            <w:pPr>
              <w:pStyle w:val="GesAbsatz"/>
              <w:jc w:val="center"/>
            </w:pPr>
            <w:r>
              <w:t>Cadmium</w:t>
            </w:r>
          </w:p>
        </w:tc>
        <w:tc>
          <w:tcPr>
            <w:tcW w:w="1162" w:type="dxa"/>
            <w:tcBorders>
              <w:top w:val="single" w:sz="6" w:space="0" w:color="000000"/>
              <w:left w:val="single" w:sz="6" w:space="0" w:color="000000"/>
              <w:bottom w:val="single" w:sz="6" w:space="0" w:color="000000"/>
              <w:right w:val="single" w:sz="6" w:space="0" w:color="000000"/>
            </w:tcBorders>
          </w:tcPr>
          <w:p>
            <w:pPr>
              <w:pStyle w:val="GesAbsatz"/>
              <w:jc w:val="center"/>
            </w:pPr>
            <w:r>
              <w:t>Blei</w:t>
            </w:r>
          </w:p>
        </w:tc>
        <w:tc>
          <w:tcPr>
            <w:tcW w:w="1163" w:type="dxa"/>
            <w:tcBorders>
              <w:top w:val="single" w:sz="6" w:space="0" w:color="000000"/>
              <w:left w:val="single" w:sz="6" w:space="0" w:color="000000"/>
              <w:bottom w:val="single" w:sz="6" w:space="0" w:color="000000"/>
              <w:right w:val="single" w:sz="6" w:space="0" w:color="000000"/>
            </w:tcBorders>
          </w:tcPr>
          <w:p>
            <w:pPr>
              <w:pStyle w:val="GesAbsatz"/>
              <w:jc w:val="center"/>
            </w:pPr>
            <w:r>
              <w:t>Chrom</w:t>
            </w:r>
          </w:p>
        </w:tc>
        <w:tc>
          <w:tcPr>
            <w:tcW w:w="1163" w:type="dxa"/>
            <w:tcBorders>
              <w:top w:val="single" w:sz="6" w:space="0" w:color="000000"/>
              <w:left w:val="single" w:sz="6" w:space="0" w:color="000000"/>
              <w:bottom w:val="single" w:sz="6" w:space="0" w:color="000000"/>
              <w:right w:val="single" w:sz="6" w:space="0" w:color="000000"/>
            </w:tcBorders>
          </w:tcPr>
          <w:p>
            <w:pPr>
              <w:pStyle w:val="GesAbsatz"/>
              <w:jc w:val="center"/>
            </w:pPr>
            <w:r>
              <w:t>Kupfer</w:t>
            </w:r>
          </w:p>
        </w:tc>
        <w:tc>
          <w:tcPr>
            <w:tcW w:w="1264" w:type="dxa"/>
            <w:tcBorders>
              <w:top w:val="single" w:sz="6" w:space="0" w:color="000000"/>
              <w:left w:val="single" w:sz="6" w:space="0" w:color="000000"/>
              <w:bottom w:val="single" w:sz="6" w:space="0" w:color="000000"/>
              <w:right w:val="single" w:sz="6" w:space="0" w:color="000000"/>
            </w:tcBorders>
          </w:tcPr>
          <w:p>
            <w:pPr>
              <w:pStyle w:val="GesAbsatz"/>
              <w:jc w:val="center"/>
            </w:pPr>
            <w:r>
              <w:t>Quecksilber</w:t>
            </w:r>
          </w:p>
        </w:tc>
        <w:tc>
          <w:tcPr>
            <w:tcW w:w="1260" w:type="dxa"/>
            <w:tcBorders>
              <w:top w:val="single" w:sz="6" w:space="0" w:color="000000"/>
              <w:left w:val="single" w:sz="6" w:space="0" w:color="000000"/>
              <w:bottom w:val="single" w:sz="6" w:space="0" w:color="000000"/>
              <w:right w:val="single" w:sz="6" w:space="0" w:color="000000"/>
            </w:tcBorders>
          </w:tcPr>
          <w:p>
            <w:pPr>
              <w:pStyle w:val="GesAbsatz"/>
              <w:jc w:val="center"/>
            </w:pPr>
            <w:r>
              <w:t>Nickel</w:t>
            </w:r>
          </w:p>
        </w:tc>
        <w:tc>
          <w:tcPr>
            <w:tcW w:w="1125" w:type="dxa"/>
            <w:tcBorders>
              <w:top w:val="single" w:sz="6" w:space="0" w:color="000000"/>
              <w:left w:val="single" w:sz="6" w:space="0" w:color="000000"/>
              <w:bottom w:val="single" w:sz="6" w:space="0" w:color="000000"/>
              <w:right w:val="single" w:sz="6" w:space="0" w:color="000000"/>
            </w:tcBorders>
          </w:tcPr>
          <w:p>
            <w:pPr>
              <w:pStyle w:val="GesAbsatz"/>
              <w:jc w:val="center"/>
            </w:pPr>
            <w:r>
              <w:t>Zink</w:t>
            </w:r>
          </w:p>
        </w:tc>
      </w:tr>
      <w:tr>
        <w:trPr>
          <w:trHeight w:val="428"/>
        </w:trPr>
        <w:tc>
          <w:tcPr>
            <w:tcW w:w="1174" w:type="dxa"/>
            <w:tcBorders>
              <w:top w:val="single" w:sz="6" w:space="0" w:color="000000"/>
              <w:left w:val="single" w:sz="6" w:space="0" w:color="000000"/>
              <w:bottom w:val="single" w:sz="6" w:space="0" w:color="000000"/>
              <w:right w:val="single" w:sz="6" w:space="0" w:color="000000"/>
            </w:tcBorders>
          </w:tcPr>
          <w:p>
            <w:pPr>
              <w:pStyle w:val="GesAbsatz"/>
              <w:jc w:val="left"/>
            </w:pPr>
            <w:r>
              <w:t xml:space="preserve">Ton </w:t>
            </w:r>
          </w:p>
        </w:tc>
        <w:tc>
          <w:tcPr>
            <w:tcW w:w="1162" w:type="dxa"/>
            <w:tcBorders>
              <w:top w:val="single" w:sz="6" w:space="0" w:color="000000"/>
              <w:left w:val="single" w:sz="6" w:space="0" w:color="000000"/>
              <w:bottom w:val="single" w:sz="6" w:space="0" w:color="000000"/>
              <w:right w:val="single" w:sz="6" w:space="0" w:color="000000"/>
            </w:tcBorders>
          </w:tcPr>
          <w:p>
            <w:pPr>
              <w:pStyle w:val="GesAbsatz"/>
              <w:jc w:val="center"/>
            </w:pPr>
            <w:r>
              <w:t>1,5</w:t>
            </w:r>
          </w:p>
        </w:tc>
        <w:tc>
          <w:tcPr>
            <w:tcW w:w="1162" w:type="dxa"/>
            <w:tcBorders>
              <w:top w:val="single" w:sz="6" w:space="0" w:color="000000"/>
              <w:left w:val="single" w:sz="6" w:space="0" w:color="000000"/>
              <w:bottom w:val="single" w:sz="6" w:space="0" w:color="000000"/>
              <w:right w:val="single" w:sz="6" w:space="0" w:color="000000"/>
            </w:tcBorders>
          </w:tcPr>
          <w:p>
            <w:pPr>
              <w:pStyle w:val="GesAbsatz"/>
              <w:jc w:val="center"/>
            </w:pPr>
            <w:r>
              <w:t>100</w:t>
            </w:r>
          </w:p>
        </w:tc>
        <w:tc>
          <w:tcPr>
            <w:tcW w:w="1163" w:type="dxa"/>
            <w:tcBorders>
              <w:top w:val="single" w:sz="6" w:space="0" w:color="000000"/>
              <w:left w:val="single" w:sz="6" w:space="0" w:color="000000"/>
              <w:bottom w:val="single" w:sz="6" w:space="0" w:color="000000"/>
              <w:right w:val="single" w:sz="6" w:space="0" w:color="000000"/>
            </w:tcBorders>
          </w:tcPr>
          <w:p>
            <w:pPr>
              <w:pStyle w:val="GesAbsatz"/>
              <w:jc w:val="center"/>
            </w:pPr>
            <w:r>
              <w:t>100</w:t>
            </w:r>
          </w:p>
        </w:tc>
        <w:tc>
          <w:tcPr>
            <w:tcW w:w="1163" w:type="dxa"/>
            <w:tcBorders>
              <w:top w:val="single" w:sz="6" w:space="0" w:color="000000"/>
              <w:left w:val="single" w:sz="6" w:space="0" w:color="000000"/>
              <w:bottom w:val="single" w:sz="6" w:space="0" w:color="000000"/>
              <w:right w:val="single" w:sz="6" w:space="0" w:color="000000"/>
            </w:tcBorders>
          </w:tcPr>
          <w:p>
            <w:pPr>
              <w:pStyle w:val="GesAbsatz"/>
              <w:jc w:val="center"/>
            </w:pPr>
            <w:r>
              <w:t>60</w:t>
            </w:r>
          </w:p>
        </w:tc>
        <w:tc>
          <w:tcPr>
            <w:tcW w:w="1264" w:type="dxa"/>
            <w:tcBorders>
              <w:top w:val="single" w:sz="6" w:space="0" w:color="000000"/>
              <w:left w:val="single" w:sz="6" w:space="0" w:color="000000"/>
              <w:bottom w:val="single" w:sz="6" w:space="0" w:color="000000"/>
              <w:right w:val="single" w:sz="6" w:space="0" w:color="000000"/>
            </w:tcBorders>
          </w:tcPr>
          <w:p>
            <w:pPr>
              <w:pStyle w:val="GesAbsatz"/>
              <w:jc w:val="center"/>
            </w:pPr>
            <w:r>
              <w:t>1</w:t>
            </w:r>
          </w:p>
        </w:tc>
        <w:tc>
          <w:tcPr>
            <w:tcW w:w="1260" w:type="dxa"/>
            <w:tcBorders>
              <w:top w:val="single" w:sz="6" w:space="0" w:color="000000"/>
              <w:left w:val="single" w:sz="6" w:space="0" w:color="000000"/>
              <w:bottom w:val="single" w:sz="6" w:space="0" w:color="000000"/>
              <w:right w:val="single" w:sz="6" w:space="0" w:color="000000"/>
            </w:tcBorders>
          </w:tcPr>
          <w:p>
            <w:pPr>
              <w:pStyle w:val="GesAbsatz"/>
              <w:jc w:val="center"/>
            </w:pPr>
            <w:r>
              <w:t>70</w:t>
            </w:r>
          </w:p>
        </w:tc>
        <w:tc>
          <w:tcPr>
            <w:tcW w:w="1125" w:type="dxa"/>
            <w:tcBorders>
              <w:top w:val="single" w:sz="6" w:space="0" w:color="000000"/>
              <w:left w:val="single" w:sz="6" w:space="0" w:color="000000"/>
              <w:bottom w:val="single" w:sz="6" w:space="0" w:color="000000"/>
              <w:right w:val="single" w:sz="6" w:space="0" w:color="000000"/>
            </w:tcBorders>
          </w:tcPr>
          <w:p>
            <w:pPr>
              <w:pStyle w:val="GesAbsatz"/>
              <w:jc w:val="center"/>
            </w:pPr>
            <w:r>
              <w:t>200</w:t>
            </w:r>
          </w:p>
        </w:tc>
      </w:tr>
      <w:tr>
        <w:trPr>
          <w:trHeight w:val="595"/>
        </w:trPr>
        <w:tc>
          <w:tcPr>
            <w:tcW w:w="1174" w:type="dxa"/>
            <w:tcBorders>
              <w:top w:val="single" w:sz="6" w:space="0" w:color="000000"/>
              <w:left w:val="single" w:sz="6" w:space="0" w:color="000000"/>
              <w:bottom w:val="single" w:sz="6" w:space="0" w:color="000000"/>
              <w:right w:val="single" w:sz="6" w:space="0" w:color="000000"/>
            </w:tcBorders>
          </w:tcPr>
          <w:p>
            <w:pPr>
              <w:pStyle w:val="GesAbsatz"/>
              <w:jc w:val="left"/>
            </w:pPr>
            <w:r>
              <w:t xml:space="preserve">Lehm/ Schluff </w:t>
            </w:r>
          </w:p>
        </w:tc>
        <w:tc>
          <w:tcPr>
            <w:tcW w:w="1162" w:type="dxa"/>
            <w:tcBorders>
              <w:top w:val="single" w:sz="6" w:space="0" w:color="000000"/>
              <w:left w:val="single" w:sz="6" w:space="0" w:color="000000"/>
              <w:bottom w:val="single" w:sz="6" w:space="0" w:color="000000"/>
              <w:right w:val="single" w:sz="6" w:space="0" w:color="000000"/>
            </w:tcBorders>
          </w:tcPr>
          <w:p>
            <w:pPr>
              <w:pStyle w:val="GesAbsatz"/>
              <w:jc w:val="center"/>
            </w:pPr>
            <w:r>
              <w:t>1</w:t>
            </w:r>
          </w:p>
        </w:tc>
        <w:tc>
          <w:tcPr>
            <w:tcW w:w="1162" w:type="dxa"/>
            <w:tcBorders>
              <w:top w:val="single" w:sz="6" w:space="0" w:color="000000"/>
              <w:left w:val="single" w:sz="6" w:space="0" w:color="000000"/>
              <w:bottom w:val="single" w:sz="6" w:space="0" w:color="000000"/>
              <w:right w:val="single" w:sz="6" w:space="0" w:color="000000"/>
            </w:tcBorders>
          </w:tcPr>
          <w:p>
            <w:pPr>
              <w:pStyle w:val="GesAbsatz"/>
              <w:jc w:val="center"/>
            </w:pPr>
            <w:r>
              <w:t>70</w:t>
            </w:r>
          </w:p>
        </w:tc>
        <w:tc>
          <w:tcPr>
            <w:tcW w:w="1163" w:type="dxa"/>
            <w:tcBorders>
              <w:top w:val="single" w:sz="6" w:space="0" w:color="000000"/>
              <w:left w:val="single" w:sz="6" w:space="0" w:color="000000"/>
              <w:bottom w:val="single" w:sz="6" w:space="0" w:color="000000"/>
              <w:right w:val="single" w:sz="6" w:space="0" w:color="000000"/>
            </w:tcBorders>
          </w:tcPr>
          <w:p>
            <w:pPr>
              <w:pStyle w:val="GesAbsatz"/>
              <w:jc w:val="center"/>
            </w:pPr>
            <w:r>
              <w:t>60</w:t>
            </w:r>
          </w:p>
        </w:tc>
        <w:tc>
          <w:tcPr>
            <w:tcW w:w="1163" w:type="dxa"/>
            <w:tcBorders>
              <w:top w:val="single" w:sz="6" w:space="0" w:color="000000"/>
              <w:left w:val="single" w:sz="6" w:space="0" w:color="000000"/>
              <w:bottom w:val="single" w:sz="6" w:space="0" w:color="000000"/>
              <w:right w:val="single" w:sz="6" w:space="0" w:color="000000"/>
            </w:tcBorders>
          </w:tcPr>
          <w:p>
            <w:pPr>
              <w:pStyle w:val="GesAbsatz"/>
              <w:jc w:val="center"/>
            </w:pPr>
            <w:r>
              <w:t>40</w:t>
            </w:r>
          </w:p>
        </w:tc>
        <w:tc>
          <w:tcPr>
            <w:tcW w:w="1264" w:type="dxa"/>
            <w:tcBorders>
              <w:top w:val="single" w:sz="6" w:space="0" w:color="000000"/>
              <w:left w:val="single" w:sz="6" w:space="0" w:color="000000"/>
              <w:bottom w:val="single" w:sz="6" w:space="0" w:color="000000"/>
              <w:right w:val="single" w:sz="6" w:space="0" w:color="000000"/>
            </w:tcBorders>
          </w:tcPr>
          <w:p>
            <w:pPr>
              <w:pStyle w:val="GesAbsatz"/>
              <w:jc w:val="center"/>
            </w:pPr>
            <w:r>
              <w:t>0,5</w:t>
            </w:r>
          </w:p>
        </w:tc>
        <w:tc>
          <w:tcPr>
            <w:tcW w:w="1260" w:type="dxa"/>
            <w:tcBorders>
              <w:top w:val="single" w:sz="6" w:space="0" w:color="000000"/>
              <w:left w:val="single" w:sz="6" w:space="0" w:color="000000"/>
              <w:bottom w:val="single" w:sz="6" w:space="0" w:color="000000"/>
              <w:right w:val="single" w:sz="6" w:space="0" w:color="000000"/>
            </w:tcBorders>
          </w:tcPr>
          <w:p>
            <w:pPr>
              <w:pStyle w:val="GesAbsatz"/>
              <w:jc w:val="center"/>
            </w:pPr>
            <w:r>
              <w:t>50</w:t>
            </w:r>
          </w:p>
        </w:tc>
        <w:tc>
          <w:tcPr>
            <w:tcW w:w="1125" w:type="dxa"/>
            <w:tcBorders>
              <w:top w:val="single" w:sz="6" w:space="0" w:color="000000"/>
              <w:left w:val="single" w:sz="6" w:space="0" w:color="000000"/>
              <w:bottom w:val="single" w:sz="6" w:space="0" w:color="000000"/>
              <w:right w:val="single" w:sz="6" w:space="0" w:color="000000"/>
            </w:tcBorders>
          </w:tcPr>
          <w:p>
            <w:pPr>
              <w:pStyle w:val="GesAbsatz"/>
              <w:jc w:val="center"/>
            </w:pPr>
            <w:r>
              <w:t>150</w:t>
            </w:r>
          </w:p>
        </w:tc>
      </w:tr>
      <w:tr>
        <w:trPr>
          <w:trHeight w:val="430"/>
        </w:trPr>
        <w:tc>
          <w:tcPr>
            <w:tcW w:w="1174" w:type="dxa"/>
            <w:tcBorders>
              <w:top w:val="single" w:sz="6" w:space="0" w:color="000000"/>
              <w:left w:val="single" w:sz="6" w:space="0" w:color="000000"/>
              <w:bottom w:val="single" w:sz="6" w:space="0" w:color="000000"/>
              <w:right w:val="single" w:sz="6" w:space="0" w:color="000000"/>
            </w:tcBorders>
          </w:tcPr>
          <w:p>
            <w:pPr>
              <w:pStyle w:val="GesAbsatz"/>
              <w:jc w:val="left"/>
            </w:pPr>
            <w:r>
              <w:t xml:space="preserve">Sand </w:t>
            </w:r>
          </w:p>
        </w:tc>
        <w:tc>
          <w:tcPr>
            <w:tcW w:w="1162" w:type="dxa"/>
            <w:tcBorders>
              <w:top w:val="single" w:sz="6" w:space="0" w:color="000000"/>
              <w:left w:val="single" w:sz="6" w:space="0" w:color="000000"/>
              <w:bottom w:val="single" w:sz="6" w:space="0" w:color="000000"/>
              <w:right w:val="single" w:sz="6" w:space="0" w:color="000000"/>
            </w:tcBorders>
          </w:tcPr>
          <w:p>
            <w:pPr>
              <w:pStyle w:val="GesAbsatz"/>
              <w:jc w:val="center"/>
            </w:pPr>
            <w:r>
              <w:t>0,4</w:t>
            </w:r>
          </w:p>
        </w:tc>
        <w:tc>
          <w:tcPr>
            <w:tcW w:w="1162" w:type="dxa"/>
            <w:tcBorders>
              <w:top w:val="single" w:sz="6" w:space="0" w:color="000000"/>
              <w:left w:val="single" w:sz="6" w:space="0" w:color="000000"/>
              <w:bottom w:val="single" w:sz="6" w:space="0" w:color="000000"/>
              <w:right w:val="single" w:sz="6" w:space="0" w:color="000000"/>
            </w:tcBorders>
          </w:tcPr>
          <w:p>
            <w:pPr>
              <w:pStyle w:val="GesAbsatz"/>
              <w:jc w:val="center"/>
            </w:pPr>
            <w:r>
              <w:t>40</w:t>
            </w:r>
          </w:p>
        </w:tc>
        <w:tc>
          <w:tcPr>
            <w:tcW w:w="1163" w:type="dxa"/>
            <w:tcBorders>
              <w:top w:val="single" w:sz="6" w:space="0" w:color="000000"/>
              <w:left w:val="single" w:sz="6" w:space="0" w:color="000000"/>
              <w:bottom w:val="single" w:sz="6" w:space="0" w:color="000000"/>
              <w:right w:val="single" w:sz="6" w:space="0" w:color="000000"/>
            </w:tcBorders>
          </w:tcPr>
          <w:p>
            <w:pPr>
              <w:pStyle w:val="GesAbsatz"/>
              <w:jc w:val="center"/>
            </w:pPr>
            <w:r>
              <w:t>30</w:t>
            </w:r>
          </w:p>
        </w:tc>
        <w:tc>
          <w:tcPr>
            <w:tcW w:w="1163" w:type="dxa"/>
            <w:tcBorders>
              <w:top w:val="single" w:sz="6" w:space="0" w:color="000000"/>
              <w:left w:val="single" w:sz="6" w:space="0" w:color="000000"/>
              <w:bottom w:val="single" w:sz="6" w:space="0" w:color="000000"/>
              <w:right w:val="single" w:sz="6" w:space="0" w:color="000000"/>
            </w:tcBorders>
          </w:tcPr>
          <w:p>
            <w:pPr>
              <w:pStyle w:val="GesAbsatz"/>
              <w:jc w:val="center"/>
            </w:pPr>
            <w:r>
              <w:t>20</w:t>
            </w:r>
          </w:p>
        </w:tc>
        <w:tc>
          <w:tcPr>
            <w:tcW w:w="1264" w:type="dxa"/>
            <w:tcBorders>
              <w:top w:val="single" w:sz="6" w:space="0" w:color="000000"/>
              <w:left w:val="single" w:sz="6" w:space="0" w:color="000000"/>
              <w:bottom w:val="single" w:sz="6" w:space="0" w:color="000000"/>
              <w:right w:val="single" w:sz="6" w:space="0" w:color="000000"/>
            </w:tcBorders>
          </w:tcPr>
          <w:p>
            <w:pPr>
              <w:pStyle w:val="GesAbsatz"/>
              <w:jc w:val="center"/>
            </w:pPr>
            <w:r>
              <w:t>0,1</w:t>
            </w:r>
          </w:p>
        </w:tc>
        <w:tc>
          <w:tcPr>
            <w:tcW w:w="1260" w:type="dxa"/>
            <w:tcBorders>
              <w:top w:val="single" w:sz="6" w:space="0" w:color="000000"/>
              <w:left w:val="single" w:sz="6" w:space="0" w:color="000000"/>
              <w:bottom w:val="single" w:sz="6" w:space="0" w:color="000000"/>
              <w:right w:val="single" w:sz="6" w:space="0" w:color="000000"/>
            </w:tcBorders>
          </w:tcPr>
          <w:p>
            <w:pPr>
              <w:pStyle w:val="GesAbsatz"/>
              <w:jc w:val="center"/>
            </w:pPr>
            <w:r>
              <w:t>15</w:t>
            </w:r>
          </w:p>
        </w:tc>
        <w:tc>
          <w:tcPr>
            <w:tcW w:w="1125" w:type="dxa"/>
            <w:tcBorders>
              <w:top w:val="single" w:sz="6" w:space="0" w:color="000000"/>
              <w:left w:val="single" w:sz="6" w:space="0" w:color="000000"/>
              <w:bottom w:val="single" w:sz="6" w:space="0" w:color="000000"/>
              <w:right w:val="single" w:sz="6" w:space="0" w:color="000000"/>
            </w:tcBorders>
          </w:tcPr>
          <w:p>
            <w:pPr>
              <w:pStyle w:val="GesAbsatz"/>
              <w:jc w:val="center"/>
            </w:pPr>
            <w:r>
              <w:t>60</w:t>
            </w:r>
          </w:p>
        </w:tc>
      </w:tr>
    </w:tbl>
    <w:p>
      <w:pPr>
        <w:pStyle w:val="GesAbsatz"/>
      </w:pPr>
    </w:p>
    <w:tbl>
      <w:tblPr>
        <w:tblW w:w="9428" w:type="dxa"/>
        <w:tblLayout w:type="fixed"/>
        <w:tblCellMar>
          <w:left w:w="68" w:type="dxa"/>
          <w:right w:w="68" w:type="dxa"/>
        </w:tblCellMar>
        <w:tblLook w:val="0000" w:firstRow="0" w:lastRow="0" w:firstColumn="0" w:lastColumn="0" w:noHBand="0" w:noVBand="0"/>
      </w:tblPr>
      <w:tblGrid>
        <w:gridCol w:w="2336"/>
        <w:gridCol w:w="2323"/>
        <w:gridCol w:w="2323"/>
        <w:gridCol w:w="2446"/>
      </w:tblGrid>
      <w:tr>
        <w:tc>
          <w:tcPr>
            <w:tcW w:w="2336" w:type="dxa"/>
            <w:tcBorders>
              <w:top w:val="single" w:sz="6" w:space="0" w:color="000000"/>
              <w:left w:val="single" w:sz="6" w:space="0" w:color="000000"/>
              <w:bottom w:val="single" w:sz="6" w:space="0" w:color="000000"/>
              <w:right w:val="single" w:sz="6" w:space="0" w:color="000000"/>
            </w:tcBorders>
          </w:tcPr>
          <w:p>
            <w:pPr>
              <w:pStyle w:val="GesAbsatz"/>
              <w:jc w:val="left"/>
            </w:pPr>
            <w:r>
              <w:t>Böden</w:t>
            </w:r>
          </w:p>
        </w:tc>
        <w:tc>
          <w:tcPr>
            <w:tcW w:w="2323" w:type="dxa"/>
            <w:tcBorders>
              <w:top w:val="single" w:sz="6" w:space="0" w:color="000000"/>
              <w:left w:val="single" w:sz="6" w:space="0" w:color="000000"/>
              <w:bottom w:val="single" w:sz="6" w:space="0" w:color="000000"/>
              <w:right w:val="single" w:sz="6" w:space="0" w:color="000000"/>
            </w:tcBorders>
          </w:tcPr>
          <w:p>
            <w:pPr>
              <w:pStyle w:val="GesAbsatz"/>
              <w:jc w:val="center"/>
            </w:pPr>
            <w:r>
              <w:t>polychlorierte Biphenyle (PCB</w:t>
            </w:r>
            <w:r>
              <w:rPr>
                <w:sz w:val="9"/>
                <w:szCs w:val="9"/>
              </w:rPr>
              <w:t>6</w:t>
            </w:r>
            <w:r>
              <w:t>)</w:t>
            </w:r>
          </w:p>
        </w:tc>
        <w:tc>
          <w:tcPr>
            <w:tcW w:w="2323" w:type="dxa"/>
            <w:tcBorders>
              <w:top w:val="single" w:sz="6" w:space="0" w:color="000000"/>
              <w:left w:val="single" w:sz="6" w:space="0" w:color="000000"/>
              <w:bottom w:val="single" w:sz="6" w:space="0" w:color="000000"/>
              <w:right w:val="single" w:sz="6" w:space="0" w:color="000000"/>
            </w:tcBorders>
          </w:tcPr>
          <w:p>
            <w:pPr>
              <w:pStyle w:val="GesAbsatz"/>
              <w:jc w:val="center"/>
              <w:rPr>
                <w:lang w:val="it-IT"/>
              </w:rPr>
            </w:pPr>
            <w:r>
              <w:rPr>
                <w:lang w:val="it-IT"/>
              </w:rPr>
              <w:t>Benzo(a)pyren</w:t>
            </w:r>
          </w:p>
        </w:tc>
        <w:tc>
          <w:tcPr>
            <w:tcW w:w="2446" w:type="dxa"/>
            <w:tcBorders>
              <w:top w:val="single" w:sz="6" w:space="0" w:color="000000"/>
              <w:left w:val="single" w:sz="6" w:space="0" w:color="000000"/>
              <w:bottom w:val="single" w:sz="6" w:space="0" w:color="000000"/>
              <w:right w:val="single" w:sz="6" w:space="0" w:color="000000"/>
            </w:tcBorders>
          </w:tcPr>
          <w:p>
            <w:pPr>
              <w:pStyle w:val="GesAbsatz"/>
              <w:jc w:val="center"/>
            </w:pPr>
            <w:r>
              <w:t>polycycl. arom. Kohlenwasserstoffe (PAK</w:t>
            </w:r>
            <w:r>
              <w:rPr>
                <w:sz w:val="9"/>
                <w:szCs w:val="9"/>
              </w:rPr>
              <w:t>16</w:t>
            </w:r>
            <w:r>
              <w:t>)</w:t>
            </w:r>
          </w:p>
        </w:tc>
      </w:tr>
      <w:tr>
        <w:trPr>
          <w:trHeight w:val="428"/>
        </w:trPr>
        <w:tc>
          <w:tcPr>
            <w:tcW w:w="2336" w:type="dxa"/>
            <w:tcBorders>
              <w:top w:val="single" w:sz="6" w:space="0" w:color="000000"/>
              <w:left w:val="single" w:sz="6" w:space="0" w:color="000000"/>
              <w:bottom w:val="single" w:sz="6" w:space="0" w:color="000000"/>
              <w:right w:val="single" w:sz="6" w:space="0" w:color="000000"/>
            </w:tcBorders>
          </w:tcPr>
          <w:p>
            <w:pPr>
              <w:pStyle w:val="GesAbsatz"/>
              <w:jc w:val="left"/>
            </w:pPr>
            <w:r>
              <w:t xml:space="preserve">Humusgehalt &gt; 8% </w:t>
            </w:r>
          </w:p>
        </w:tc>
        <w:tc>
          <w:tcPr>
            <w:tcW w:w="2323" w:type="dxa"/>
            <w:tcBorders>
              <w:top w:val="single" w:sz="6" w:space="0" w:color="000000"/>
              <w:left w:val="single" w:sz="6" w:space="0" w:color="000000"/>
              <w:bottom w:val="single" w:sz="6" w:space="0" w:color="000000"/>
              <w:right w:val="single" w:sz="6" w:space="0" w:color="000000"/>
            </w:tcBorders>
          </w:tcPr>
          <w:p>
            <w:pPr>
              <w:pStyle w:val="GesAbsatz"/>
              <w:jc w:val="center"/>
            </w:pPr>
            <w:r>
              <w:t>0,1</w:t>
            </w:r>
          </w:p>
        </w:tc>
        <w:tc>
          <w:tcPr>
            <w:tcW w:w="2323" w:type="dxa"/>
            <w:tcBorders>
              <w:top w:val="single" w:sz="6" w:space="0" w:color="000000"/>
              <w:left w:val="single" w:sz="6" w:space="0" w:color="000000"/>
              <w:bottom w:val="single" w:sz="6" w:space="0" w:color="000000"/>
              <w:right w:val="single" w:sz="6" w:space="0" w:color="000000"/>
            </w:tcBorders>
          </w:tcPr>
          <w:p>
            <w:pPr>
              <w:pStyle w:val="GesAbsatz"/>
              <w:jc w:val="center"/>
            </w:pPr>
            <w:r>
              <w:t>1</w:t>
            </w:r>
          </w:p>
        </w:tc>
        <w:tc>
          <w:tcPr>
            <w:tcW w:w="2446" w:type="dxa"/>
            <w:tcBorders>
              <w:top w:val="single" w:sz="6" w:space="0" w:color="000000"/>
              <w:left w:val="single" w:sz="6" w:space="0" w:color="000000"/>
              <w:bottom w:val="single" w:sz="6" w:space="0" w:color="000000"/>
              <w:right w:val="single" w:sz="6" w:space="0" w:color="000000"/>
            </w:tcBorders>
          </w:tcPr>
          <w:p>
            <w:pPr>
              <w:pStyle w:val="GesAbsatz"/>
              <w:jc w:val="center"/>
            </w:pPr>
            <w:r>
              <w:t>10</w:t>
            </w:r>
          </w:p>
        </w:tc>
      </w:tr>
      <w:tr>
        <w:trPr>
          <w:trHeight w:val="428"/>
        </w:trPr>
        <w:tc>
          <w:tcPr>
            <w:tcW w:w="2336" w:type="dxa"/>
            <w:tcBorders>
              <w:top w:val="single" w:sz="6" w:space="0" w:color="000000"/>
              <w:left w:val="single" w:sz="6" w:space="0" w:color="000000"/>
              <w:bottom w:val="single" w:sz="6" w:space="0" w:color="000000"/>
              <w:right w:val="single" w:sz="6" w:space="0" w:color="000000"/>
            </w:tcBorders>
          </w:tcPr>
          <w:p>
            <w:pPr>
              <w:pStyle w:val="GesAbsatz"/>
              <w:jc w:val="left"/>
            </w:pPr>
            <w:r>
              <w:t xml:space="preserve">Humusgehalt ≤ 8% </w:t>
            </w:r>
          </w:p>
        </w:tc>
        <w:tc>
          <w:tcPr>
            <w:tcW w:w="2323" w:type="dxa"/>
            <w:tcBorders>
              <w:top w:val="single" w:sz="6" w:space="0" w:color="000000"/>
              <w:left w:val="single" w:sz="6" w:space="0" w:color="000000"/>
              <w:bottom w:val="single" w:sz="6" w:space="0" w:color="000000"/>
              <w:right w:val="single" w:sz="6" w:space="0" w:color="000000"/>
            </w:tcBorders>
          </w:tcPr>
          <w:p>
            <w:pPr>
              <w:pStyle w:val="GesAbsatz"/>
              <w:jc w:val="center"/>
            </w:pPr>
            <w:r>
              <w:t>0,05</w:t>
            </w:r>
          </w:p>
        </w:tc>
        <w:tc>
          <w:tcPr>
            <w:tcW w:w="2323" w:type="dxa"/>
            <w:tcBorders>
              <w:top w:val="single" w:sz="6" w:space="0" w:color="000000"/>
              <w:left w:val="single" w:sz="6" w:space="0" w:color="000000"/>
              <w:bottom w:val="single" w:sz="6" w:space="0" w:color="000000"/>
              <w:right w:val="single" w:sz="6" w:space="0" w:color="000000"/>
            </w:tcBorders>
          </w:tcPr>
          <w:p>
            <w:pPr>
              <w:pStyle w:val="GesAbsatz"/>
              <w:jc w:val="center"/>
            </w:pPr>
            <w:r>
              <w:t>0,3</w:t>
            </w:r>
          </w:p>
        </w:tc>
        <w:tc>
          <w:tcPr>
            <w:tcW w:w="2446" w:type="dxa"/>
            <w:tcBorders>
              <w:top w:val="single" w:sz="6" w:space="0" w:color="000000"/>
              <w:left w:val="single" w:sz="6" w:space="0" w:color="000000"/>
              <w:bottom w:val="single" w:sz="6" w:space="0" w:color="000000"/>
              <w:right w:val="single" w:sz="6" w:space="0" w:color="000000"/>
            </w:tcBorders>
          </w:tcPr>
          <w:p>
            <w:pPr>
              <w:pStyle w:val="GesAbsatz"/>
              <w:jc w:val="center"/>
            </w:pPr>
            <w:r>
              <w:t>3</w:t>
            </w:r>
          </w:p>
        </w:tc>
      </w:tr>
    </w:tbl>
    <w:p>
      <w:pPr>
        <w:pStyle w:val="GesAbsatz"/>
      </w:pPr>
    </w:p>
    <w:p>
      <w:pPr>
        <w:pStyle w:val="GesAbsatz"/>
      </w:pPr>
      <w:r>
        <w:rPr>
          <w:b/>
        </w:rPr>
        <w:t>3 Eintragungen</w:t>
      </w:r>
      <w:r>
        <w:t xml:space="preserve"> </w:t>
      </w:r>
    </w:p>
    <w:p>
      <w:pPr>
        <w:pStyle w:val="GesAbsatz"/>
        <w:tabs>
          <w:tab w:val="clear" w:pos="425"/>
          <w:tab w:val="left" w:pos="360"/>
        </w:tabs>
        <w:rPr>
          <w:rFonts w:cs="Arial"/>
        </w:rPr>
      </w:pPr>
      <w:r>
        <w:rPr>
          <w:rFonts w:cs="Arial"/>
        </w:rPr>
        <w:t>+:</w:t>
      </w:r>
      <w:r>
        <w:rPr>
          <w:rFonts w:cs="Arial"/>
        </w:rPr>
        <w:tab/>
        <w:t>Zugelassen</w:t>
      </w:r>
    </w:p>
    <w:p>
      <w:pPr>
        <w:pStyle w:val="GesAbsatz"/>
        <w:tabs>
          <w:tab w:val="clear" w:pos="425"/>
          <w:tab w:val="left" w:pos="360"/>
        </w:tabs>
        <w:rPr>
          <w:rFonts w:cs="Arial"/>
        </w:rPr>
      </w:pPr>
      <w:r>
        <w:rPr>
          <w:rFonts w:cs="Arial"/>
        </w:rPr>
        <w:t>-:</w:t>
      </w:r>
      <w:r>
        <w:rPr>
          <w:rFonts w:cs="Arial"/>
        </w:rPr>
        <w:tab/>
        <w:t>Nicht zugelassen</w:t>
      </w:r>
    </w:p>
    <w:p>
      <w:pPr>
        <w:pStyle w:val="GesAbsatz"/>
        <w:tabs>
          <w:tab w:val="clear" w:pos="425"/>
          <w:tab w:val="left" w:pos="360"/>
        </w:tabs>
        <w:rPr>
          <w:rFonts w:cs="Arial"/>
        </w:rPr>
      </w:pPr>
      <w:r>
        <w:rPr>
          <w:rFonts w:cs="Arial"/>
        </w:rPr>
        <w:t>/:</w:t>
      </w:r>
      <w:r>
        <w:rPr>
          <w:rFonts w:cs="Arial"/>
        </w:rPr>
        <w:tab/>
        <w:t>Bautechnisch nicht relevant</w:t>
      </w:r>
    </w:p>
    <w:p>
      <w:pPr>
        <w:pStyle w:val="GesAbsatz"/>
        <w:tabs>
          <w:tab w:val="clear" w:pos="425"/>
          <w:tab w:val="left" w:pos="360"/>
        </w:tabs>
        <w:ind w:left="360" w:hanging="360"/>
        <w:jc w:val="left"/>
        <w:rPr>
          <w:rFonts w:cs="Arial"/>
        </w:rPr>
      </w:pPr>
      <w:r>
        <w:rPr>
          <w:rFonts w:cs="Arial"/>
          <w:b/>
          <w:bCs/>
        </w:rPr>
        <w:t>A</w:t>
      </w:r>
      <w:r>
        <w:rPr>
          <w:rFonts w:cs="Arial"/>
          <w:b/>
          <w:bCs/>
        </w:rPr>
        <w:tab/>
      </w:r>
      <w:r>
        <w:rPr>
          <w:rFonts w:cs="Arial"/>
        </w:rPr>
        <w:t>(betr. Spalten 1):</w:t>
      </w:r>
      <w:r>
        <w:rPr>
          <w:rFonts w:cs="Arial"/>
        </w:rPr>
        <w:br/>
        <w:t>Zugelassen auf Porengrundwasserleitern und wenig wasserdurchlässigen Kluftgrundwasserleitern (entsprechend Erläuterungen zu Spalte 2).</w:t>
      </w:r>
    </w:p>
    <w:p>
      <w:pPr>
        <w:pStyle w:val="GesAbsatz"/>
        <w:tabs>
          <w:tab w:val="clear" w:pos="425"/>
          <w:tab w:val="left" w:pos="360"/>
        </w:tabs>
        <w:rPr>
          <w:rFonts w:cs="Arial"/>
        </w:rPr>
      </w:pPr>
      <w:r>
        <w:rPr>
          <w:rFonts w:eastAsia="Arial Unicode MS" w:cs="Arial"/>
          <w:b/>
          <w:bCs/>
          <w:szCs w:val="24"/>
        </w:rPr>
        <w:t>B</w:t>
      </w:r>
      <w:r>
        <w:rPr>
          <w:rFonts w:eastAsia="Arial Unicode MS" w:cs="Arial"/>
          <w:b/>
          <w:bCs/>
          <w:szCs w:val="24"/>
        </w:rPr>
        <w:tab/>
      </w:r>
      <w:r>
        <w:rPr>
          <w:rFonts w:cs="Arial"/>
        </w:rPr>
        <w:t>(betr. Spalte 3): Zugelassen auf folgenden paläozoischen Karstgrundwasserleitern:</w:t>
      </w:r>
    </w:p>
    <w:p>
      <w:pPr>
        <w:pStyle w:val="GesAbsatz"/>
        <w:rPr>
          <w:rFonts w:cs="Arial"/>
          <w:b/>
          <w:bCs/>
        </w:rPr>
      </w:pPr>
      <w:r>
        <w:rPr>
          <w:rFonts w:cs="Arial"/>
          <w:b/>
          <w:bCs/>
        </w:rPr>
        <w:t>Devonische Massenkalke</w:t>
      </w:r>
    </w:p>
    <w:p>
      <w:pPr>
        <w:pStyle w:val="GesAbsatz"/>
        <w:tabs>
          <w:tab w:val="left" w:pos="3780"/>
        </w:tabs>
        <w:rPr>
          <w:rFonts w:cs="Arial"/>
        </w:rPr>
      </w:pPr>
      <w:r>
        <w:rPr>
          <w:rFonts w:cs="Arial"/>
        </w:rPr>
        <w:t>Wülfrather Massenkalk</w:t>
      </w:r>
      <w:r>
        <w:rPr>
          <w:rFonts w:cs="Arial"/>
        </w:rPr>
        <w:tab/>
        <w:t>von Velbert bis Wülfrath</w:t>
      </w:r>
    </w:p>
    <w:p>
      <w:pPr>
        <w:pStyle w:val="GesAbsatz"/>
        <w:tabs>
          <w:tab w:val="left" w:pos="3780"/>
        </w:tabs>
        <w:rPr>
          <w:rFonts w:cs="Arial"/>
        </w:rPr>
      </w:pPr>
      <w:r>
        <w:rPr>
          <w:rFonts w:cs="Arial"/>
        </w:rPr>
        <w:t>Massenkalkzug Heiligenhaus</w:t>
      </w:r>
      <w:r>
        <w:rPr>
          <w:rFonts w:cs="Arial"/>
        </w:rPr>
        <w:tab/>
        <w:t>Heiligenhaus</w:t>
      </w:r>
    </w:p>
    <w:p>
      <w:pPr>
        <w:pStyle w:val="GesAbsatz"/>
        <w:tabs>
          <w:tab w:val="left" w:pos="3780"/>
        </w:tabs>
        <w:rPr>
          <w:rFonts w:cs="Arial"/>
        </w:rPr>
      </w:pPr>
      <w:r>
        <w:rPr>
          <w:rFonts w:cs="Arial"/>
        </w:rPr>
        <w:t>Wuppertaler Massenkalk</w:t>
      </w:r>
      <w:r>
        <w:rPr>
          <w:rFonts w:cs="Arial"/>
        </w:rPr>
        <w:tab/>
        <w:t>von Mettmann über Wuppertal bis Schwelm</w:t>
      </w:r>
    </w:p>
    <w:p>
      <w:pPr>
        <w:pStyle w:val="GesAbsatz"/>
        <w:tabs>
          <w:tab w:val="left" w:pos="3780"/>
        </w:tabs>
        <w:jc w:val="left"/>
        <w:rPr>
          <w:rFonts w:cs="Arial"/>
        </w:rPr>
      </w:pPr>
      <w:r>
        <w:rPr>
          <w:rFonts w:cs="Arial"/>
        </w:rPr>
        <w:t>Attendorn-Elsper Doppelmulde</w:t>
      </w:r>
      <w:r>
        <w:rPr>
          <w:rFonts w:cs="Arial"/>
        </w:rPr>
        <w:br/>
        <w:t>(Massenkalk)</w:t>
      </w:r>
      <w:r>
        <w:rPr>
          <w:rFonts w:cs="Arial"/>
        </w:rPr>
        <w:tab/>
        <w:t>Attendorn, Finnentrop, Lennestadt</w:t>
      </w:r>
    </w:p>
    <w:p>
      <w:pPr>
        <w:pStyle w:val="GesAbsatz"/>
        <w:tabs>
          <w:tab w:val="left" w:pos="3780"/>
        </w:tabs>
        <w:rPr>
          <w:rFonts w:cs="Arial"/>
        </w:rPr>
      </w:pPr>
      <w:r>
        <w:rPr>
          <w:rFonts w:cs="Arial"/>
        </w:rPr>
        <w:t>Warsteiner Massenkalk</w:t>
      </w:r>
      <w:r>
        <w:rPr>
          <w:rFonts w:cs="Arial"/>
        </w:rPr>
        <w:tab/>
        <w:t>Warstein, Suttrop, Kallenhardt</w:t>
      </w:r>
    </w:p>
    <w:p>
      <w:pPr>
        <w:pStyle w:val="GesAbsatz"/>
        <w:tabs>
          <w:tab w:val="left" w:pos="3780"/>
        </w:tabs>
        <w:rPr>
          <w:rFonts w:cs="Arial"/>
        </w:rPr>
      </w:pPr>
      <w:r>
        <w:rPr>
          <w:rFonts w:cs="Arial"/>
        </w:rPr>
        <w:t>Briloner Massenkalk</w:t>
      </w:r>
      <w:r>
        <w:rPr>
          <w:rFonts w:cs="Arial"/>
        </w:rPr>
        <w:tab/>
        <w:t>zwischen Altenbüren, Brilon, Alme, Bleiwäsche und Madfeld</w:t>
      </w:r>
    </w:p>
    <w:p>
      <w:pPr>
        <w:pStyle w:val="GesAbsatz"/>
        <w:tabs>
          <w:tab w:val="clear" w:pos="425"/>
          <w:tab w:val="left" w:pos="3780"/>
        </w:tabs>
        <w:jc w:val="left"/>
        <w:rPr>
          <w:rFonts w:cs="Arial"/>
        </w:rPr>
      </w:pPr>
      <w:r>
        <w:rPr>
          <w:rFonts w:cs="Arial"/>
        </w:rPr>
        <w:t>Remscheid-Altenaer Sattel</w:t>
      </w:r>
      <w:r>
        <w:rPr>
          <w:rFonts w:cs="Arial"/>
        </w:rPr>
        <w:br/>
        <w:t>(Massenkalk)</w:t>
      </w:r>
      <w:r>
        <w:rPr>
          <w:rFonts w:cs="Arial"/>
        </w:rPr>
        <w:tab/>
        <w:t>zwischen Hagen und Hönnetal</w:t>
      </w:r>
      <w:r>
        <w:rPr>
          <w:rFonts w:cs="Arial"/>
        </w:rPr>
        <w:br/>
      </w:r>
      <w:r>
        <w:rPr>
          <w:rFonts w:cs="Arial"/>
        </w:rPr>
        <w:tab/>
        <w:t>(Hagen, Hohenlimburg, Lethmathe, Iserlohn, Hemer, Volkring</w:t>
      </w:r>
      <w:r>
        <w:rPr>
          <w:rFonts w:cs="Arial"/>
        </w:rPr>
        <w:tab/>
        <w:t>hausen, Balve, Garbeck, Höveringhausen)</w:t>
      </w:r>
    </w:p>
    <w:p>
      <w:pPr>
        <w:pStyle w:val="GesAbsatz"/>
        <w:tabs>
          <w:tab w:val="clear" w:pos="425"/>
          <w:tab w:val="left" w:pos="3780"/>
        </w:tabs>
        <w:jc w:val="left"/>
        <w:rPr>
          <w:rFonts w:cs="Arial"/>
        </w:rPr>
      </w:pPr>
      <w:r>
        <w:rPr>
          <w:rFonts w:cs="Arial"/>
        </w:rPr>
        <w:t>Sötenicher Mulde(Dolomit)</w:t>
      </w:r>
      <w:r>
        <w:rPr>
          <w:rFonts w:cs="Arial"/>
        </w:rPr>
        <w:tab/>
        <w:t>Sötenich, Marmagen, Urft, Nöthen, Arloff</w:t>
      </w:r>
    </w:p>
    <w:p>
      <w:pPr>
        <w:pStyle w:val="GesAbsatz"/>
        <w:tabs>
          <w:tab w:val="clear" w:pos="425"/>
          <w:tab w:val="left" w:pos="3780"/>
        </w:tabs>
        <w:jc w:val="left"/>
        <w:rPr>
          <w:rFonts w:cs="Arial"/>
        </w:rPr>
      </w:pPr>
      <w:r>
        <w:rPr>
          <w:rFonts w:cs="Arial"/>
        </w:rPr>
        <w:t>Blankenheimer Mulde</w:t>
      </w:r>
      <w:r>
        <w:rPr>
          <w:rFonts w:cs="Arial"/>
        </w:rPr>
        <w:br/>
        <w:t>(Massenkalk und Dolomit)</w:t>
      </w:r>
      <w:r>
        <w:rPr>
          <w:rFonts w:cs="Arial"/>
        </w:rPr>
        <w:tab/>
        <w:t>Kronenburg, Dahlem, Schmidtheim, Blankenheim, Tondorf, Buir</w:t>
      </w:r>
    </w:p>
    <w:p>
      <w:pPr>
        <w:pStyle w:val="GesAbsatz"/>
        <w:tabs>
          <w:tab w:val="clear" w:pos="425"/>
          <w:tab w:val="left" w:pos="3780"/>
        </w:tabs>
        <w:jc w:val="left"/>
        <w:rPr>
          <w:rFonts w:cs="Arial"/>
        </w:rPr>
      </w:pPr>
      <w:r>
        <w:rPr>
          <w:rFonts w:cs="Arial"/>
        </w:rPr>
        <w:t xml:space="preserve">Dollendorfer Mulde (Massenkalk) </w:t>
      </w:r>
      <w:r>
        <w:rPr>
          <w:rFonts w:cs="Arial"/>
        </w:rPr>
        <w:tab/>
        <w:t>von Landesgrenze über Ripsdorf, Lommersdorf bis Landesgrenze</w:t>
      </w:r>
    </w:p>
    <w:p>
      <w:pPr>
        <w:pStyle w:val="GesAbsatz"/>
        <w:tabs>
          <w:tab w:val="clear" w:pos="425"/>
          <w:tab w:val="left" w:pos="3780"/>
        </w:tabs>
        <w:jc w:val="left"/>
        <w:rPr>
          <w:rFonts w:cs="Arial"/>
        </w:rPr>
      </w:pPr>
      <w:r>
        <w:rPr>
          <w:rFonts w:cs="Arial"/>
        </w:rPr>
        <w:t>Kalkzüge Aachen-Stolberg(Kohlenkalk)</w:t>
      </w:r>
      <w:r>
        <w:rPr>
          <w:rFonts w:cs="Arial"/>
        </w:rPr>
        <w:tab/>
        <w:t xml:space="preserve">Aachen bis Haaren/Landesgrenze, Kornelimünster, Stolberg, </w:t>
      </w:r>
      <w:r>
        <w:rPr>
          <w:rFonts w:cs="Arial"/>
        </w:rPr>
        <w:tab/>
        <w:t>Hastenrath</w:t>
      </w:r>
    </w:p>
    <w:p>
      <w:pPr>
        <w:pStyle w:val="GesAbsatz"/>
        <w:tabs>
          <w:tab w:val="clear" w:pos="425"/>
          <w:tab w:val="left" w:pos="3780"/>
        </w:tabs>
        <w:ind w:left="360" w:hanging="360"/>
        <w:jc w:val="left"/>
        <w:rPr>
          <w:rFonts w:cs="Arial"/>
        </w:rPr>
      </w:pPr>
      <w:r>
        <w:rPr>
          <w:rFonts w:cs="Arial"/>
          <w:b/>
          <w:bCs/>
        </w:rPr>
        <w:t>C</w:t>
      </w:r>
      <w:r>
        <w:rPr>
          <w:rFonts w:cs="Arial"/>
          <w:b/>
          <w:bCs/>
        </w:rPr>
        <w:tab/>
      </w:r>
      <w:r>
        <w:rPr>
          <w:rFonts w:cs="Arial"/>
        </w:rPr>
        <w:t xml:space="preserve">(betr. Spalte 5): </w:t>
      </w:r>
      <w:r>
        <w:rPr>
          <w:rFonts w:cs="Arial"/>
        </w:rPr>
        <w:br/>
        <w:t>Zugelassen auf Porengrundwasserleitern und wenig wasserdurchlässigen Kluftgrundwasserleitern (entsprechend Erläuterungen zu Spalte 2) im Abstand von mindestens 1 km zur Fassungsanlage</w:t>
      </w:r>
    </w:p>
    <w:p>
      <w:pPr>
        <w:pStyle w:val="GesAbsatz"/>
        <w:tabs>
          <w:tab w:val="clear" w:pos="425"/>
          <w:tab w:val="left" w:pos="3780"/>
        </w:tabs>
        <w:ind w:left="360" w:hanging="360"/>
        <w:jc w:val="left"/>
        <w:rPr>
          <w:rFonts w:cs="Arial"/>
        </w:rPr>
      </w:pPr>
      <w:r>
        <w:rPr>
          <w:rFonts w:cs="Arial"/>
          <w:b/>
          <w:bCs/>
        </w:rPr>
        <w:t>D</w:t>
      </w:r>
      <w:r>
        <w:rPr>
          <w:rFonts w:cs="Arial"/>
          <w:b/>
          <w:bCs/>
        </w:rPr>
        <w:tab/>
      </w:r>
      <w:r>
        <w:rPr>
          <w:rFonts w:cs="Arial"/>
        </w:rPr>
        <w:t xml:space="preserve">(betr. lfd. Nr. 8): </w:t>
      </w:r>
      <w:r>
        <w:rPr>
          <w:rFonts w:cs="Arial"/>
        </w:rPr>
        <w:br/>
        <w:t>Zugelassen wie in den lfd. Nrn. 1, 4, 5, 6 ausgeführt.</w:t>
      </w:r>
    </w:p>
    <w:p>
      <w:pPr>
        <w:pStyle w:val="GesAbsatz"/>
        <w:tabs>
          <w:tab w:val="clear" w:pos="425"/>
          <w:tab w:val="left" w:pos="3780"/>
        </w:tabs>
        <w:ind w:left="360" w:hanging="360"/>
        <w:jc w:val="left"/>
        <w:rPr>
          <w:rFonts w:cs="Arial"/>
        </w:rPr>
      </w:pPr>
      <w:r>
        <w:rPr>
          <w:rFonts w:cs="Arial"/>
          <w:b/>
          <w:bCs/>
        </w:rPr>
        <w:t>H</w:t>
      </w:r>
      <w:r>
        <w:rPr>
          <w:rFonts w:cs="Arial"/>
          <w:b/>
          <w:bCs/>
        </w:rPr>
        <w:tab/>
      </w:r>
      <w:r>
        <w:rPr>
          <w:rFonts w:cs="Arial"/>
        </w:rPr>
        <w:t xml:space="preserve">(betr. lfd. Nr. 2): </w:t>
      </w:r>
      <w:r>
        <w:rPr>
          <w:rFonts w:cs="Arial"/>
        </w:rPr>
        <w:br/>
        <w:t xml:space="preserve">Verdichtungsgrad der ToB </w:t>
      </w:r>
      <w:r>
        <w:rPr>
          <w:rFonts w:cs="Arial"/>
        </w:rPr>
        <w:sym w:font="Symbol" w:char="F0B3"/>
      </w:r>
      <w:r>
        <w:rPr>
          <w:rFonts w:cs="Arial"/>
        </w:rPr>
        <w:t xml:space="preserve"> 103%, Gefälle (Quer- oder Längsgefälle) der Pflasterdecke oder des Plattenbelags &gt;3 5%, Fugenbreite </w:t>
      </w:r>
      <w:r>
        <w:rPr>
          <w:rFonts w:cs="Arial"/>
        </w:rPr>
        <w:sym w:font="Symbol" w:char="F0A3"/>
      </w:r>
      <w:r>
        <w:rPr>
          <w:rFonts w:cs="Arial"/>
        </w:rPr>
        <w:t xml:space="preserve"> 5 mm.</w:t>
      </w:r>
    </w:p>
    <w:p>
      <w:pPr>
        <w:pStyle w:val="GesAbsatz"/>
        <w:tabs>
          <w:tab w:val="clear" w:pos="425"/>
          <w:tab w:val="left" w:pos="360"/>
        </w:tabs>
        <w:ind w:left="360" w:hanging="360"/>
        <w:jc w:val="left"/>
      </w:pPr>
      <w:r>
        <w:rPr>
          <w:rFonts w:cs="Arial"/>
          <w:b/>
          <w:bCs/>
        </w:rPr>
        <w:t>K</w:t>
      </w:r>
      <w:r>
        <w:rPr>
          <w:rFonts w:cs="Arial"/>
          <w:b/>
          <w:bCs/>
        </w:rPr>
        <w:tab/>
      </w:r>
      <w:r>
        <w:rPr>
          <w:rFonts w:cs="Arial"/>
        </w:rPr>
        <w:t>(betr. lfd. Nr. 7):</w:t>
      </w:r>
      <w:r>
        <w:rPr>
          <w:rFonts w:cs="Arial"/>
        </w:rPr>
        <w:br/>
        <w:t>Zugelassen außerhalb von Wohngebieten.</w:t>
      </w:r>
    </w:p>
    <w:p>
      <w:pPr>
        <w:pStyle w:val="GesAbsatz"/>
        <w:tabs>
          <w:tab w:val="clear" w:pos="425"/>
          <w:tab w:val="left" w:pos="360"/>
        </w:tabs>
        <w:ind w:left="360" w:hanging="360"/>
      </w:pPr>
      <w:r>
        <w:rPr>
          <w:rFonts w:cs="Arial"/>
          <w:b/>
          <w:bCs/>
        </w:rPr>
        <w:t>O</w:t>
      </w:r>
      <w:r>
        <w:rPr>
          <w:rFonts w:cs="Arial"/>
          <w:b/>
          <w:bCs/>
        </w:rPr>
        <w:tab/>
        <w:t>(= Kreis, betr. Spalten 5, 6, 7):</w:t>
      </w:r>
    </w:p>
    <w:p>
      <w:pPr>
        <w:pStyle w:val="GesAbsatz"/>
        <w:ind w:left="360" w:hanging="360"/>
        <w:rPr>
          <w:rFonts w:cs="Arial"/>
        </w:rPr>
      </w:pPr>
      <w:r>
        <w:tab/>
      </w:r>
      <w:r>
        <w:rPr>
          <w:rFonts w:cs="Arial"/>
        </w:rPr>
        <w:t>Während der Bauphase darf die offene Fläche folgende Werte nicht überschreiten:</w:t>
      </w:r>
    </w:p>
    <w:p>
      <w:pPr>
        <w:pStyle w:val="GesAbsatz"/>
        <w:tabs>
          <w:tab w:val="left" w:pos="5400"/>
        </w:tabs>
        <w:ind w:left="360" w:hanging="360"/>
        <w:rPr>
          <w:rFonts w:cs="Arial"/>
        </w:rPr>
      </w:pPr>
      <w:r>
        <w:rPr>
          <w:rFonts w:cs="Arial"/>
        </w:rPr>
        <w:tab/>
        <w:t xml:space="preserve">WSG III B/HSG IV: </w:t>
      </w:r>
      <w:r>
        <w:rPr>
          <w:rFonts w:cs="Arial"/>
        </w:rPr>
        <w:tab/>
        <w:t>(Spalte 5) 5000 m</w:t>
      </w:r>
      <w:r>
        <w:rPr>
          <w:rFonts w:cs="Arial"/>
          <w:vertAlign w:val="superscript"/>
        </w:rPr>
        <w:t>2</w:t>
      </w:r>
    </w:p>
    <w:p>
      <w:pPr>
        <w:pStyle w:val="GesAbsatz"/>
        <w:tabs>
          <w:tab w:val="left" w:pos="5400"/>
        </w:tabs>
        <w:ind w:left="360" w:hanging="360"/>
        <w:rPr>
          <w:rFonts w:cs="Arial"/>
          <w:lang w:val="en-US"/>
        </w:rPr>
      </w:pPr>
      <w:r>
        <w:rPr>
          <w:rFonts w:cs="Arial"/>
        </w:rPr>
        <w:tab/>
      </w:r>
      <w:r>
        <w:rPr>
          <w:rFonts w:cs="Arial"/>
          <w:lang w:val="en-US"/>
        </w:rPr>
        <w:t>WSG III A/HSG III:</w:t>
      </w:r>
      <w:r>
        <w:rPr>
          <w:rFonts w:cs="Arial"/>
          <w:lang w:val="en-US"/>
        </w:rPr>
        <w:tab/>
        <w:t>(</w:t>
      </w:r>
      <w:r>
        <w:rPr>
          <w:rFonts w:cs="Arial"/>
        </w:rPr>
        <w:t>Spalte</w:t>
      </w:r>
      <w:r>
        <w:rPr>
          <w:rFonts w:cs="Arial"/>
          <w:lang w:val="en-US"/>
        </w:rPr>
        <w:t xml:space="preserve"> 6) 2000 m</w:t>
      </w:r>
      <w:r>
        <w:rPr>
          <w:rFonts w:cs="Arial"/>
          <w:vertAlign w:val="superscript"/>
          <w:lang w:val="en-US"/>
        </w:rPr>
        <w:t>2</w:t>
      </w:r>
    </w:p>
    <w:p>
      <w:pPr>
        <w:pStyle w:val="GesAbsatz"/>
        <w:tabs>
          <w:tab w:val="left" w:pos="5400"/>
        </w:tabs>
        <w:ind w:left="360" w:hanging="360"/>
        <w:jc w:val="left"/>
      </w:pPr>
      <w:r>
        <w:rPr>
          <w:lang w:val="en-US"/>
        </w:rPr>
        <w:tab/>
      </w:r>
      <w:r>
        <w:t>Bereiche zum Schutz der Gewässer nach</w:t>
      </w:r>
      <w:r>
        <w:br/>
        <w:t>Landesplanungsrecht:</w:t>
      </w:r>
      <w:r>
        <w:tab/>
        <w:t>(Spalte 7) 2000 m</w:t>
      </w:r>
      <w:r>
        <w:rPr>
          <w:vertAlign w:val="superscript"/>
        </w:rPr>
        <w:t>2</w:t>
      </w:r>
    </w:p>
    <w:p>
      <w:pPr>
        <w:pStyle w:val="berschrift2"/>
        <w:jc w:val="left"/>
      </w:pPr>
      <w:r>
        <w:br w:type="page"/>
      </w:r>
      <w:bookmarkStart w:id="18" w:name="_Toc235867981"/>
      <w:r>
        <w:lastRenderedPageBreak/>
        <w:t>Anlage 3</w:t>
      </w:r>
      <w:bookmarkEnd w:id="18"/>
    </w:p>
    <w:p>
      <w:pPr>
        <w:pStyle w:val="GesAbsatz"/>
        <w:rPr>
          <w:rFonts w:eastAsia="Arial Unicode MS"/>
        </w:rPr>
      </w:pPr>
    </w:p>
    <w:p>
      <w:pPr>
        <w:pStyle w:val="GesAbsatz"/>
        <w:tabs>
          <w:tab w:val="clear" w:pos="425"/>
          <w:tab w:val="left" w:pos="1080"/>
        </w:tabs>
        <w:rPr>
          <w:b/>
        </w:rPr>
      </w:pPr>
      <w:r>
        <w:rPr>
          <w:b/>
        </w:rPr>
        <w:t>Tabelle 1:</w:t>
      </w:r>
      <w:r>
        <w:rPr>
          <w:b/>
        </w:rPr>
        <w:tab/>
        <w:t>Im Werk hergestellte Gemische aus güteüberwachten Mineralstoffen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6"/>
        <w:gridCol w:w="1086"/>
        <w:gridCol w:w="1086"/>
        <w:gridCol w:w="1086"/>
        <w:gridCol w:w="1086"/>
        <w:gridCol w:w="1086"/>
        <w:gridCol w:w="1087"/>
        <w:gridCol w:w="1087"/>
        <w:gridCol w:w="1087"/>
      </w:tblGrid>
      <w:tr>
        <w:trPr>
          <w:cantSplit/>
        </w:trPr>
        <w:tc>
          <w:tcPr>
            <w:tcW w:w="9777" w:type="dxa"/>
            <w:gridSpan w:val="9"/>
          </w:tcPr>
          <w:p>
            <w:pPr>
              <w:pStyle w:val="GesAbsatz"/>
            </w:pPr>
            <w:r>
              <w:t>Anteil der</w:t>
            </w:r>
            <w:r>
              <w:rPr>
                <w:rFonts w:cs="Arial"/>
              </w:rPr>
              <w:t xml:space="preserve"> Mineralstoffkomponenten in M.-% </w:t>
            </w:r>
            <w:r>
              <w:rPr>
                <w:rFonts w:cs="Arial"/>
                <w:vertAlign w:val="superscript"/>
              </w:rPr>
              <w:t>1)</w:t>
            </w:r>
          </w:p>
        </w:tc>
      </w:tr>
      <w:tr>
        <w:tc>
          <w:tcPr>
            <w:tcW w:w="1086" w:type="dxa"/>
          </w:tcPr>
          <w:p>
            <w:pPr>
              <w:pStyle w:val="GesAbsatz"/>
            </w:pPr>
            <w:r>
              <w:rPr>
                <w:rFonts w:cs="Arial"/>
              </w:rPr>
              <w:t>Gemisch-Nr.</w:t>
            </w:r>
          </w:p>
        </w:tc>
        <w:tc>
          <w:tcPr>
            <w:tcW w:w="1086" w:type="dxa"/>
          </w:tcPr>
          <w:p>
            <w:pPr>
              <w:pStyle w:val="GesAbsatz"/>
              <w:jc w:val="center"/>
            </w:pPr>
            <w:r>
              <w:rPr>
                <w:rFonts w:cs="Arial"/>
              </w:rPr>
              <w:t xml:space="preserve">HOS </w:t>
            </w:r>
            <w:r>
              <w:rPr>
                <w:rFonts w:cs="Arial"/>
                <w:vertAlign w:val="superscript"/>
              </w:rPr>
              <w:t>2)</w:t>
            </w:r>
          </w:p>
        </w:tc>
        <w:tc>
          <w:tcPr>
            <w:tcW w:w="1086" w:type="dxa"/>
          </w:tcPr>
          <w:p>
            <w:pPr>
              <w:pStyle w:val="GesAbsatz"/>
              <w:jc w:val="center"/>
            </w:pPr>
            <w:r>
              <w:rPr>
                <w:rFonts w:cs="Arial"/>
              </w:rPr>
              <w:t>LDS</w:t>
            </w:r>
          </w:p>
        </w:tc>
        <w:tc>
          <w:tcPr>
            <w:tcW w:w="1086" w:type="dxa"/>
          </w:tcPr>
          <w:p>
            <w:pPr>
              <w:pStyle w:val="GesAbsatz"/>
              <w:jc w:val="center"/>
            </w:pPr>
            <w:r>
              <w:rPr>
                <w:rFonts w:cs="Arial"/>
              </w:rPr>
              <w:t>EOS</w:t>
            </w:r>
          </w:p>
        </w:tc>
        <w:tc>
          <w:tcPr>
            <w:tcW w:w="1086" w:type="dxa"/>
          </w:tcPr>
          <w:p>
            <w:pPr>
              <w:pStyle w:val="GesAbsatz"/>
              <w:jc w:val="center"/>
              <w:rPr>
                <w:lang w:val="en-GB"/>
              </w:rPr>
            </w:pPr>
            <w:r>
              <w:rPr>
                <w:rFonts w:cs="Arial"/>
                <w:lang w:val="en-GB"/>
              </w:rPr>
              <w:t>RCL</w:t>
            </w:r>
          </w:p>
        </w:tc>
        <w:tc>
          <w:tcPr>
            <w:tcW w:w="1086" w:type="dxa"/>
          </w:tcPr>
          <w:p>
            <w:pPr>
              <w:pStyle w:val="GesAbsatz"/>
              <w:jc w:val="center"/>
              <w:rPr>
                <w:lang w:val="en-GB"/>
              </w:rPr>
            </w:pPr>
            <w:r>
              <w:rPr>
                <w:rFonts w:cs="Arial"/>
                <w:lang w:val="en-GB"/>
              </w:rPr>
              <w:t>HMVA</w:t>
            </w:r>
          </w:p>
        </w:tc>
        <w:tc>
          <w:tcPr>
            <w:tcW w:w="1087" w:type="dxa"/>
          </w:tcPr>
          <w:p>
            <w:pPr>
              <w:pStyle w:val="GesAbsatz"/>
              <w:jc w:val="center"/>
              <w:rPr>
                <w:lang w:val="en-GB"/>
              </w:rPr>
            </w:pPr>
            <w:r>
              <w:rPr>
                <w:rFonts w:cs="Arial"/>
                <w:lang w:val="en-GB"/>
              </w:rPr>
              <w:t>WB</w:t>
            </w:r>
          </w:p>
        </w:tc>
        <w:tc>
          <w:tcPr>
            <w:tcW w:w="1087" w:type="dxa"/>
          </w:tcPr>
          <w:p>
            <w:pPr>
              <w:pStyle w:val="GesAbsatz"/>
              <w:jc w:val="center"/>
            </w:pPr>
            <w:r>
              <w:rPr>
                <w:rFonts w:cs="Arial"/>
              </w:rPr>
              <w:t>SKG</w:t>
            </w:r>
          </w:p>
        </w:tc>
        <w:tc>
          <w:tcPr>
            <w:tcW w:w="1087" w:type="dxa"/>
          </w:tcPr>
          <w:p>
            <w:pPr>
              <w:pStyle w:val="GesAbsatz"/>
              <w:jc w:val="center"/>
            </w:pPr>
            <w:r>
              <w:rPr>
                <w:rFonts w:cs="Arial"/>
              </w:rPr>
              <w:t>SFA</w:t>
            </w:r>
          </w:p>
        </w:tc>
      </w:tr>
      <w:tr>
        <w:tc>
          <w:tcPr>
            <w:tcW w:w="1086" w:type="dxa"/>
          </w:tcPr>
          <w:p>
            <w:pPr>
              <w:pStyle w:val="GesAbsatz"/>
              <w:rPr>
                <w:rFonts w:cs="Arial"/>
              </w:rPr>
            </w:pPr>
            <w:r>
              <w:rPr>
                <w:rFonts w:cs="Arial"/>
              </w:rPr>
              <w:t>1</w:t>
            </w:r>
          </w:p>
        </w:tc>
        <w:tc>
          <w:tcPr>
            <w:tcW w:w="1086" w:type="dxa"/>
          </w:tcPr>
          <w:p>
            <w:pPr>
              <w:pStyle w:val="GesAbsatz"/>
              <w:jc w:val="center"/>
              <w:rPr>
                <w:rFonts w:cs="Arial"/>
              </w:rPr>
            </w:pPr>
          </w:p>
        </w:tc>
        <w:tc>
          <w:tcPr>
            <w:tcW w:w="1086" w:type="dxa"/>
          </w:tcPr>
          <w:p>
            <w:pPr>
              <w:pStyle w:val="GesAbsatz"/>
              <w:jc w:val="center"/>
              <w:rPr>
                <w:rFonts w:cs="Arial"/>
              </w:rPr>
            </w:pPr>
          </w:p>
        </w:tc>
        <w:tc>
          <w:tcPr>
            <w:tcW w:w="1086" w:type="dxa"/>
          </w:tcPr>
          <w:p>
            <w:pPr>
              <w:pStyle w:val="GesAbsatz"/>
              <w:jc w:val="center"/>
              <w:rPr>
                <w:rFonts w:cs="Arial"/>
              </w:rPr>
            </w:pPr>
          </w:p>
        </w:tc>
        <w:tc>
          <w:tcPr>
            <w:tcW w:w="1086" w:type="dxa"/>
          </w:tcPr>
          <w:p>
            <w:pPr>
              <w:pStyle w:val="GesAbsatz"/>
              <w:jc w:val="center"/>
              <w:rPr>
                <w:rFonts w:cs="Arial"/>
              </w:rPr>
            </w:pPr>
          </w:p>
        </w:tc>
        <w:tc>
          <w:tcPr>
            <w:tcW w:w="1086" w:type="dxa"/>
          </w:tcPr>
          <w:p>
            <w:pPr>
              <w:pStyle w:val="GesAbsatz"/>
              <w:jc w:val="center"/>
              <w:rPr>
                <w:rFonts w:cs="Arial"/>
              </w:rPr>
            </w:pPr>
            <w:r>
              <w:rPr>
                <w:rFonts w:cs="Arial"/>
              </w:rPr>
              <w:t>70</w:t>
            </w:r>
          </w:p>
        </w:tc>
        <w:tc>
          <w:tcPr>
            <w:tcW w:w="1087" w:type="dxa"/>
          </w:tcPr>
          <w:p>
            <w:pPr>
              <w:pStyle w:val="GesAbsatz"/>
              <w:jc w:val="center"/>
              <w:rPr>
                <w:rFonts w:cs="Arial"/>
              </w:rPr>
            </w:pPr>
          </w:p>
        </w:tc>
        <w:tc>
          <w:tcPr>
            <w:tcW w:w="1087" w:type="dxa"/>
          </w:tcPr>
          <w:p>
            <w:pPr>
              <w:pStyle w:val="GesAbsatz"/>
              <w:jc w:val="center"/>
              <w:rPr>
                <w:rFonts w:cs="Arial"/>
              </w:rPr>
            </w:pPr>
          </w:p>
        </w:tc>
        <w:tc>
          <w:tcPr>
            <w:tcW w:w="1087" w:type="dxa"/>
          </w:tcPr>
          <w:p>
            <w:pPr>
              <w:pStyle w:val="GesAbsatz"/>
              <w:jc w:val="center"/>
              <w:rPr>
                <w:rFonts w:cs="Arial"/>
              </w:rPr>
            </w:pPr>
          </w:p>
        </w:tc>
      </w:tr>
      <w:tr>
        <w:tc>
          <w:tcPr>
            <w:tcW w:w="1086" w:type="dxa"/>
          </w:tcPr>
          <w:p>
            <w:pPr>
              <w:pStyle w:val="GesAbsatz"/>
              <w:rPr>
                <w:rFonts w:cs="Arial"/>
              </w:rPr>
            </w:pPr>
            <w:r>
              <w:rPr>
                <w:rFonts w:cs="Arial"/>
              </w:rPr>
              <w:t>2</w:t>
            </w:r>
          </w:p>
        </w:tc>
        <w:tc>
          <w:tcPr>
            <w:tcW w:w="1086" w:type="dxa"/>
          </w:tcPr>
          <w:p>
            <w:pPr>
              <w:pStyle w:val="GesAbsatz"/>
              <w:jc w:val="center"/>
              <w:rPr>
                <w:rFonts w:cs="Arial"/>
              </w:rPr>
            </w:pPr>
            <w:r>
              <w:rPr>
                <w:rFonts w:cs="Arial"/>
              </w:rPr>
              <w:t>30</w:t>
            </w:r>
          </w:p>
        </w:tc>
        <w:tc>
          <w:tcPr>
            <w:tcW w:w="1086" w:type="dxa"/>
          </w:tcPr>
          <w:p>
            <w:pPr>
              <w:pStyle w:val="GesAbsatz"/>
              <w:jc w:val="center"/>
              <w:rPr>
                <w:rFonts w:cs="Arial"/>
              </w:rPr>
            </w:pPr>
          </w:p>
        </w:tc>
        <w:tc>
          <w:tcPr>
            <w:tcW w:w="1086" w:type="dxa"/>
          </w:tcPr>
          <w:p>
            <w:pPr>
              <w:pStyle w:val="GesAbsatz"/>
              <w:jc w:val="center"/>
              <w:rPr>
                <w:rFonts w:cs="Arial"/>
              </w:rPr>
            </w:pPr>
          </w:p>
        </w:tc>
        <w:tc>
          <w:tcPr>
            <w:tcW w:w="1086" w:type="dxa"/>
          </w:tcPr>
          <w:p>
            <w:pPr>
              <w:pStyle w:val="GesAbsatz"/>
              <w:jc w:val="center"/>
              <w:rPr>
                <w:rFonts w:cs="Arial"/>
              </w:rPr>
            </w:pPr>
            <w:r>
              <w:rPr>
                <w:rFonts w:cs="Arial"/>
              </w:rPr>
              <w:t>50</w:t>
            </w:r>
          </w:p>
        </w:tc>
        <w:tc>
          <w:tcPr>
            <w:tcW w:w="1086" w:type="dxa"/>
          </w:tcPr>
          <w:p>
            <w:pPr>
              <w:pStyle w:val="GesAbsatz"/>
              <w:jc w:val="center"/>
              <w:rPr>
                <w:rFonts w:cs="Arial"/>
              </w:rPr>
            </w:pPr>
            <w:r>
              <w:rPr>
                <w:rFonts w:cs="Arial"/>
              </w:rPr>
              <w:t>50</w:t>
            </w:r>
          </w:p>
        </w:tc>
        <w:tc>
          <w:tcPr>
            <w:tcW w:w="1087" w:type="dxa"/>
          </w:tcPr>
          <w:p>
            <w:pPr>
              <w:pStyle w:val="GesAbsatz"/>
              <w:jc w:val="center"/>
              <w:rPr>
                <w:rFonts w:cs="Arial"/>
              </w:rPr>
            </w:pPr>
          </w:p>
        </w:tc>
        <w:tc>
          <w:tcPr>
            <w:tcW w:w="1087" w:type="dxa"/>
          </w:tcPr>
          <w:p>
            <w:pPr>
              <w:pStyle w:val="GesAbsatz"/>
              <w:jc w:val="center"/>
              <w:rPr>
                <w:rFonts w:cs="Arial"/>
              </w:rPr>
            </w:pPr>
          </w:p>
        </w:tc>
        <w:tc>
          <w:tcPr>
            <w:tcW w:w="1087" w:type="dxa"/>
          </w:tcPr>
          <w:p>
            <w:pPr>
              <w:pStyle w:val="GesAbsatz"/>
              <w:jc w:val="center"/>
              <w:rPr>
                <w:rFonts w:cs="Arial"/>
              </w:rPr>
            </w:pPr>
          </w:p>
        </w:tc>
      </w:tr>
      <w:tr>
        <w:tc>
          <w:tcPr>
            <w:tcW w:w="1086" w:type="dxa"/>
          </w:tcPr>
          <w:p>
            <w:pPr>
              <w:pStyle w:val="GesAbsatz"/>
              <w:rPr>
                <w:rFonts w:cs="Arial"/>
              </w:rPr>
            </w:pPr>
            <w:r>
              <w:rPr>
                <w:rFonts w:cs="Arial"/>
              </w:rPr>
              <w:t>3</w:t>
            </w:r>
          </w:p>
        </w:tc>
        <w:tc>
          <w:tcPr>
            <w:tcW w:w="1086" w:type="dxa"/>
          </w:tcPr>
          <w:p>
            <w:pPr>
              <w:pStyle w:val="GesAbsatz"/>
              <w:jc w:val="center"/>
              <w:rPr>
                <w:rFonts w:cs="Arial"/>
              </w:rPr>
            </w:pPr>
          </w:p>
        </w:tc>
        <w:tc>
          <w:tcPr>
            <w:tcW w:w="1086" w:type="dxa"/>
          </w:tcPr>
          <w:p>
            <w:pPr>
              <w:pStyle w:val="GesAbsatz"/>
              <w:jc w:val="center"/>
              <w:rPr>
                <w:rFonts w:cs="Arial"/>
              </w:rPr>
            </w:pPr>
          </w:p>
        </w:tc>
        <w:tc>
          <w:tcPr>
            <w:tcW w:w="1086" w:type="dxa"/>
          </w:tcPr>
          <w:p>
            <w:pPr>
              <w:pStyle w:val="GesAbsatz"/>
              <w:jc w:val="center"/>
              <w:rPr>
                <w:rFonts w:cs="Arial"/>
              </w:rPr>
            </w:pPr>
          </w:p>
        </w:tc>
        <w:tc>
          <w:tcPr>
            <w:tcW w:w="1086" w:type="dxa"/>
          </w:tcPr>
          <w:p>
            <w:pPr>
              <w:pStyle w:val="GesAbsatz"/>
              <w:jc w:val="center"/>
              <w:rPr>
                <w:rFonts w:cs="Arial"/>
              </w:rPr>
            </w:pPr>
          </w:p>
        </w:tc>
        <w:tc>
          <w:tcPr>
            <w:tcW w:w="1086" w:type="dxa"/>
          </w:tcPr>
          <w:p>
            <w:pPr>
              <w:pStyle w:val="GesAbsatz"/>
              <w:jc w:val="center"/>
              <w:rPr>
                <w:rFonts w:cs="Arial"/>
              </w:rPr>
            </w:pPr>
            <w:r>
              <w:rPr>
                <w:rFonts w:cs="Arial"/>
              </w:rPr>
              <w:t>70</w:t>
            </w:r>
          </w:p>
        </w:tc>
        <w:tc>
          <w:tcPr>
            <w:tcW w:w="1087" w:type="dxa"/>
          </w:tcPr>
          <w:p>
            <w:pPr>
              <w:pStyle w:val="GesAbsatz"/>
              <w:jc w:val="center"/>
              <w:rPr>
                <w:rFonts w:cs="Arial"/>
              </w:rPr>
            </w:pPr>
          </w:p>
        </w:tc>
        <w:tc>
          <w:tcPr>
            <w:tcW w:w="1087" w:type="dxa"/>
          </w:tcPr>
          <w:p>
            <w:pPr>
              <w:pStyle w:val="GesAbsatz"/>
              <w:jc w:val="center"/>
              <w:rPr>
                <w:rFonts w:cs="Arial"/>
              </w:rPr>
            </w:pPr>
            <w:r>
              <w:rPr>
                <w:rFonts w:cs="Arial"/>
              </w:rPr>
              <w:t>30</w:t>
            </w:r>
          </w:p>
        </w:tc>
        <w:tc>
          <w:tcPr>
            <w:tcW w:w="1087" w:type="dxa"/>
          </w:tcPr>
          <w:p>
            <w:pPr>
              <w:pStyle w:val="GesAbsatz"/>
              <w:jc w:val="center"/>
              <w:rPr>
                <w:rFonts w:cs="Arial"/>
              </w:rPr>
            </w:pPr>
          </w:p>
        </w:tc>
      </w:tr>
      <w:tr>
        <w:tc>
          <w:tcPr>
            <w:tcW w:w="1086" w:type="dxa"/>
          </w:tcPr>
          <w:p>
            <w:pPr>
              <w:pStyle w:val="GesAbsatz"/>
              <w:rPr>
                <w:rFonts w:cs="Arial"/>
              </w:rPr>
            </w:pPr>
            <w:r>
              <w:rPr>
                <w:rFonts w:cs="Arial"/>
              </w:rPr>
              <w:t>4</w:t>
            </w:r>
          </w:p>
        </w:tc>
        <w:tc>
          <w:tcPr>
            <w:tcW w:w="1086" w:type="dxa"/>
          </w:tcPr>
          <w:p>
            <w:pPr>
              <w:pStyle w:val="GesAbsatz"/>
              <w:jc w:val="center"/>
              <w:rPr>
                <w:rFonts w:cs="Arial"/>
              </w:rPr>
            </w:pPr>
          </w:p>
        </w:tc>
        <w:tc>
          <w:tcPr>
            <w:tcW w:w="1086" w:type="dxa"/>
          </w:tcPr>
          <w:p>
            <w:pPr>
              <w:pStyle w:val="GesAbsatz"/>
              <w:jc w:val="center"/>
              <w:rPr>
                <w:rFonts w:cs="Arial"/>
              </w:rPr>
            </w:pPr>
            <w:r>
              <w:rPr>
                <w:rFonts w:cs="Arial"/>
              </w:rPr>
              <w:t>30</w:t>
            </w:r>
          </w:p>
        </w:tc>
        <w:tc>
          <w:tcPr>
            <w:tcW w:w="1086" w:type="dxa"/>
          </w:tcPr>
          <w:p>
            <w:pPr>
              <w:pStyle w:val="GesAbsatz"/>
              <w:jc w:val="center"/>
              <w:rPr>
                <w:rFonts w:cs="Arial"/>
              </w:rPr>
            </w:pPr>
          </w:p>
        </w:tc>
        <w:tc>
          <w:tcPr>
            <w:tcW w:w="1086" w:type="dxa"/>
          </w:tcPr>
          <w:p>
            <w:pPr>
              <w:pStyle w:val="GesAbsatz"/>
              <w:jc w:val="center"/>
              <w:rPr>
                <w:rFonts w:cs="Arial"/>
              </w:rPr>
            </w:pPr>
          </w:p>
        </w:tc>
        <w:tc>
          <w:tcPr>
            <w:tcW w:w="1086" w:type="dxa"/>
          </w:tcPr>
          <w:p>
            <w:pPr>
              <w:pStyle w:val="GesAbsatz"/>
              <w:jc w:val="center"/>
              <w:rPr>
                <w:rFonts w:cs="Arial"/>
              </w:rPr>
            </w:pPr>
            <w:r>
              <w:rPr>
                <w:rFonts w:cs="Arial"/>
              </w:rPr>
              <w:t>70</w:t>
            </w:r>
          </w:p>
        </w:tc>
        <w:tc>
          <w:tcPr>
            <w:tcW w:w="1087" w:type="dxa"/>
          </w:tcPr>
          <w:p>
            <w:pPr>
              <w:pStyle w:val="GesAbsatz"/>
              <w:jc w:val="center"/>
              <w:rPr>
                <w:rFonts w:cs="Arial"/>
              </w:rPr>
            </w:pPr>
          </w:p>
        </w:tc>
        <w:tc>
          <w:tcPr>
            <w:tcW w:w="1087" w:type="dxa"/>
          </w:tcPr>
          <w:p>
            <w:pPr>
              <w:pStyle w:val="GesAbsatz"/>
              <w:jc w:val="center"/>
              <w:rPr>
                <w:rFonts w:cs="Arial"/>
              </w:rPr>
            </w:pPr>
          </w:p>
        </w:tc>
        <w:tc>
          <w:tcPr>
            <w:tcW w:w="1087" w:type="dxa"/>
          </w:tcPr>
          <w:p>
            <w:pPr>
              <w:pStyle w:val="GesAbsatz"/>
              <w:jc w:val="center"/>
              <w:rPr>
                <w:rFonts w:cs="Arial"/>
              </w:rPr>
            </w:pPr>
          </w:p>
        </w:tc>
      </w:tr>
      <w:tr>
        <w:tc>
          <w:tcPr>
            <w:tcW w:w="1086" w:type="dxa"/>
          </w:tcPr>
          <w:p>
            <w:pPr>
              <w:pStyle w:val="GesAbsatz"/>
              <w:rPr>
                <w:rFonts w:cs="Arial"/>
              </w:rPr>
            </w:pPr>
            <w:r>
              <w:rPr>
                <w:rFonts w:cs="Arial"/>
              </w:rPr>
              <w:t>5</w:t>
            </w:r>
          </w:p>
        </w:tc>
        <w:tc>
          <w:tcPr>
            <w:tcW w:w="1086" w:type="dxa"/>
          </w:tcPr>
          <w:p>
            <w:pPr>
              <w:pStyle w:val="GesAbsatz"/>
              <w:jc w:val="center"/>
              <w:rPr>
                <w:rFonts w:cs="Arial"/>
              </w:rPr>
            </w:pPr>
          </w:p>
        </w:tc>
        <w:tc>
          <w:tcPr>
            <w:tcW w:w="1086" w:type="dxa"/>
          </w:tcPr>
          <w:p>
            <w:pPr>
              <w:pStyle w:val="GesAbsatz"/>
              <w:jc w:val="center"/>
              <w:rPr>
                <w:rFonts w:cs="Arial"/>
              </w:rPr>
            </w:pPr>
          </w:p>
        </w:tc>
        <w:tc>
          <w:tcPr>
            <w:tcW w:w="1086" w:type="dxa"/>
          </w:tcPr>
          <w:p>
            <w:pPr>
              <w:pStyle w:val="GesAbsatz"/>
              <w:jc w:val="center"/>
              <w:rPr>
                <w:rFonts w:cs="Arial"/>
              </w:rPr>
            </w:pPr>
          </w:p>
        </w:tc>
        <w:tc>
          <w:tcPr>
            <w:tcW w:w="1086" w:type="dxa"/>
          </w:tcPr>
          <w:p>
            <w:pPr>
              <w:pStyle w:val="GesAbsatz"/>
              <w:jc w:val="center"/>
              <w:rPr>
                <w:rFonts w:cs="Arial"/>
              </w:rPr>
            </w:pPr>
          </w:p>
        </w:tc>
        <w:tc>
          <w:tcPr>
            <w:tcW w:w="1086" w:type="dxa"/>
          </w:tcPr>
          <w:p>
            <w:pPr>
              <w:pStyle w:val="GesAbsatz"/>
              <w:jc w:val="center"/>
              <w:rPr>
                <w:rFonts w:cs="Arial"/>
              </w:rPr>
            </w:pPr>
            <w:r>
              <w:rPr>
                <w:rFonts w:cs="Arial"/>
              </w:rPr>
              <w:t>80</w:t>
            </w:r>
          </w:p>
        </w:tc>
        <w:tc>
          <w:tcPr>
            <w:tcW w:w="1087" w:type="dxa"/>
          </w:tcPr>
          <w:p>
            <w:pPr>
              <w:pStyle w:val="GesAbsatz"/>
              <w:jc w:val="center"/>
              <w:rPr>
                <w:rFonts w:cs="Arial"/>
              </w:rPr>
            </w:pPr>
          </w:p>
        </w:tc>
        <w:tc>
          <w:tcPr>
            <w:tcW w:w="1087" w:type="dxa"/>
          </w:tcPr>
          <w:p>
            <w:pPr>
              <w:pStyle w:val="GesAbsatz"/>
              <w:jc w:val="center"/>
              <w:rPr>
                <w:rFonts w:cs="Arial"/>
              </w:rPr>
            </w:pPr>
          </w:p>
        </w:tc>
        <w:tc>
          <w:tcPr>
            <w:tcW w:w="1087" w:type="dxa"/>
          </w:tcPr>
          <w:p>
            <w:pPr>
              <w:pStyle w:val="GesAbsatz"/>
              <w:jc w:val="center"/>
              <w:rPr>
                <w:rFonts w:cs="Arial"/>
              </w:rPr>
            </w:pPr>
            <w:r>
              <w:rPr>
                <w:rFonts w:cs="Arial"/>
              </w:rPr>
              <w:t>20</w:t>
            </w:r>
          </w:p>
        </w:tc>
      </w:tr>
      <w:tr>
        <w:trPr>
          <w:cantSplit/>
        </w:trPr>
        <w:tc>
          <w:tcPr>
            <w:tcW w:w="9777" w:type="dxa"/>
            <w:gridSpan w:val="9"/>
          </w:tcPr>
          <w:p>
            <w:pPr>
              <w:pStyle w:val="GesAbsatz"/>
              <w:jc w:val="left"/>
              <w:rPr>
                <w:rFonts w:cs="Arial"/>
              </w:rPr>
            </w:pPr>
            <w:r>
              <w:rPr>
                <w:rFonts w:cs="Arial"/>
                <w:vertAlign w:val="superscript"/>
              </w:rPr>
              <w:t>1)</w:t>
            </w:r>
            <w:r>
              <w:rPr>
                <w:rFonts w:cs="Arial"/>
              </w:rPr>
              <w:t xml:space="preserve"> Abweichungen von bis zu 10 M.-% im fertigen Baustoffgemisch sind zulässig.</w:t>
            </w:r>
            <w:r>
              <w:rPr>
                <w:rFonts w:cs="Arial"/>
              </w:rPr>
              <w:br/>
            </w:r>
            <w:r>
              <w:rPr>
                <w:rFonts w:cs="Arial"/>
                <w:vertAlign w:val="superscript"/>
              </w:rPr>
              <w:t>2)</w:t>
            </w:r>
            <w:r>
              <w:rPr>
                <w:rFonts w:cs="Arial"/>
              </w:rPr>
              <w:t xml:space="preserve"> HOS kann ganz oder teilweise durch Hüttensand oder Kupolofenschlacke ersetzt werden.</w:t>
            </w:r>
          </w:p>
        </w:tc>
      </w:tr>
    </w:tbl>
    <w:p>
      <w:pPr>
        <w:pStyle w:val="GesAbsatz"/>
      </w:pPr>
    </w:p>
    <w:p>
      <w:pPr>
        <w:pStyle w:val="GesAbsatz"/>
        <w:tabs>
          <w:tab w:val="clear" w:pos="425"/>
          <w:tab w:val="left" w:pos="1080"/>
        </w:tabs>
        <w:rPr>
          <w:b/>
        </w:rPr>
      </w:pPr>
      <w:r>
        <w:rPr>
          <w:b/>
        </w:rPr>
        <w:t>Tabelle 2:</w:t>
      </w:r>
      <w:r>
        <w:rPr>
          <w:b/>
        </w:rPr>
        <w:tab/>
        <w:t>Im Rahmen der Eigenüberwachung durchzuführende wasserwirtschaftliche Prüfungen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0"/>
        <w:gridCol w:w="1948"/>
        <w:gridCol w:w="1832"/>
      </w:tblGrid>
      <w:tr>
        <w:trPr>
          <w:cantSplit/>
        </w:trPr>
        <w:tc>
          <w:tcPr>
            <w:tcW w:w="6518" w:type="dxa"/>
            <w:gridSpan w:val="2"/>
          </w:tcPr>
          <w:p>
            <w:pPr>
              <w:pStyle w:val="GesAbsatz"/>
            </w:pPr>
          </w:p>
        </w:tc>
        <w:tc>
          <w:tcPr>
            <w:tcW w:w="1832" w:type="dxa"/>
          </w:tcPr>
          <w:p>
            <w:pPr>
              <w:pStyle w:val="GesAbsatz"/>
              <w:jc w:val="center"/>
            </w:pPr>
            <w:r>
              <w:t>HMVA</w:t>
            </w:r>
          </w:p>
        </w:tc>
      </w:tr>
      <w:tr>
        <w:tc>
          <w:tcPr>
            <w:tcW w:w="4570" w:type="dxa"/>
          </w:tcPr>
          <w:p>
            <w:pPr>
              <w:pStyle w:val="GesAbsatz"/>
            </w:pPr>
            <w:r>
              <w:rPr>
                <w:rFonts w:cs="Arial"/>
              </w:rPr>
              <w:t>eine Untersuchung je Produktionsmonat(e)</w:t>
            </w:r>
          </w:p>
        </w:tc>
        <w:tc>
          <w:tcPr>
            <w:tcW w:w="1948" w:type="dxa"/>
          </w:tcPr>
          <w:p>
            <w:pPr>
              <w:pStyle w:val="GesAbsatz"/>
              <w:jc w:val="center"/>
            </w:pPr>
            <w:r>
              <w:t>I</w:t>
            </w:r>
          </w:p>
        </w:tc>
        <w:tc>
          <w:tcPr>
            <w:tcW w:w="1832" w:type="dxa"/>
          </w:tcPr>
          <w:p>
            <w:pPr>
              <w:pStyle w:val="GesAbsatz"/>
              <w:jc w:val="center"/>
            </w:pPr>
            <w:r>
              <w:t>II</w:t>
            </w:r>
          </w:p>
        </w:tc>
      </w:tr>
      <w:tr>
        <w:tc>
          <w:tcPr>
            <w:tcW w:w="4570" w:type="dxa"/>
          </w:tcPr>
          <w:p>
            <w:pPr>
              <w:pStyle w:val="GesAbsatz"/>
              <w:rPr>
                <w:rFonts w:cs="Arial"/>
              </w:rPr>
            </w:pPr>
            <w:r>
              <w:rPr>
                <w:rFonts w:cs="Arial"/>
              </w:rPr>
              <w:t>Kenngrößen</w:t>
            </w:r>
          </w:p>
        </w:tc>
        <w:tc>
          <w:tcPr>
            <w:tcW w:w="1948" w:type="dxa"/>
          </w:tcPr>
          <w:p>
            <w:pPr>
              <w:pStyle w:val="GesAbsatz"/>
              <w:jc w:val="center"/>
            </w:pPr>
            <w:r>
              <w:rPr>
                <w:rFonts w:cs="Arial"/>
              </w:rPr>
              <w:t>2</w:t>
            </w:r>
          </w:p>
        </w:tc>
        <w:tc>
          <w:tcPr>
            <w:tcW w:w="1832" w:type="dxa"/>
          </w:tcPr>
          <w:p>
            <w:pPr>
              <w:pStyle w:val="GesAbsatz"/>
              <w:jc w:val="center"/>
            </w:pPr>
            <w:r>
              <w:rPr>
                <w:rFonts w:cs="Arial"/>
              </w:rPr>
              <w:t>1</w:t>
            </w:r>
          </w:p>
        </w:tc>
      </w:tr>
      <w:tr>
        <w:trPr>
          <w:cantSplit/>
        </w:trPr>
        <w:tc>
          <w:tcPr>
            <w:tcW w:w="4570" w:type="dxa"/>
          </w:tcPr>
          <w:p>
            <w:pPr>
              <w:pStyle w:val="GesAbsatz"/>
              <w:rPr>
                <w:rFonts w:cs="Arial"/>
              </w:rPr>
            </w:pPr>
          </w:p>
        </w:tc>
        <w:tc>
          <w:tcPr>
            <w:tcW w:w="3780" w:type="dxa"/>
            <w:gridSpan w:val="2"/>
          </w:tcPr>
          <w:p>
            <w:pPr>
              <w:pStyle w:val="GesAbsatz"/>
              <w:rPr>
                <w:rFonts w:cs="Arial"/>
              </w:rPr>
            </w:pPr>
            <w:r>
              <w:rPr>
                <w:rFonts w:cs="Arial"/>
              </w:rPr>
              <w:t>pH, el. Leitf. , Cl, SO</w:t>
            </w:r>
            <w:r>
              <w:rPr>
                <w:rFonts w:cs="Arial"/>
                <w:vertAlign w:val="subscript"/>
              </w:rPr>
              <w:t>4</w:t>
            </w:r>
            <w:r>
              <w:rPr>
                <w:rFonts w:cs="Arial"/>
              </w:rPr>
              <w:t>, Cu, Pb</w:t>
            </w:r>
          </w:p>
        </w:tc>
      </w:tr>
    </w:tbl>
    <w:p>
      <w:pPr>
        <w:pStyle w:val="GesAbsatz"/>
      </w:pPr>
    </w:p>
    <w:p>
      <w:pPr>
        <w:pStyle w:val="GesAbsatz"/>
        <w:tabs>
          <w:tab w:val="clear" w:pos="425"/>
          <w:tab w:val="left" w:pos="1080"/>
        </w:tabs>
        <w:rPr>
          <w:b/>
          <w:bCs/>
        </w:rPr>
      </w:pPr>
      <w:r>
        <w:rPr>
          <w:b/>
          <w:bCs/>
        </w:rPr>
        <w:t>Tabelle 3:</w:t>
      </w:r>
      <w:r>
        <w:rPr>
          <w:b/>
          <w:bCs/>
        </w:rPr>
        <w:tab/>
        <w:t xml:space="preserve">Zulässige Abweichungen vom Bezugsverfahren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3420"/>
        <w:gridCol w:w="3780"/>
      </w:tblGrid>
      <w:tr>
        <w:tc>
          <w:tcPr>
            <w:tcW w:w="1150" w:type="dxa"/>
          </w:tcPr>
          <w:p>
            <w:pPr>
              <w:pStyle w:val="GesAbsatz"/>
            </w:pPr>
            <w:r>
              <w:t>Nr.</w:t>
            </w:r>
          </w:p>
        </w:tc>
        <w:tc>
          <w:tcPr>
            <w:tcW w:w="3420" w:type="dxa"/>
          </w:tcPr>
          <w:p>
            <w:pPr>
              <w:pStyle w:val="GesAbsatz"/>
              <w:jc w:val="center"/>
            </w:pPr>
            <w:r>
              <w:t>Kenngröße</w:t>
            </w:r>
          </w:p>
        </w:tc>
        <w:tc>
          <w:tcPr>
            <w:tcW w:w="3780" w:type="dxa"/>
          </w:tcPr>
          <w:p>
            <w:pPr>
              <w:pStyle w:val="GesAbsatz"/>
              <w:jc w:val="center"/>
            </w:pPr>
            <w:r>
              <w:t>Zulässige Abweichung (+/-)</w:t>
            </w:r>
          </w:p>
        </w:tc>
      </w:tr>
      <w:tr>
        <w:tc>
          <w:tcPr>
            <w:tcW w:w="1150" w:type="dxa"/>
          </w:tcPr>
          <w:p>
            <w:pPr>
              <w:pStyle w:val="GesAbsatz"/>
            </w:pPr>
            <w:r>
              <w:t>1</w:t>
            </w:r>
          </w:p>
        </w:tc>
        <w:tc>
          <w:tcPr>
            <w:tcW w:w="3420" w:type="dxa"/>
          </w:tcPr>
          <w:p>
            <w:pPr>
              <w:pStyle w:val="GesAbsatz"/>
            </w:pPr>
            <w:r>
              <w:t>pH-Wert</w:t>
            </w:r>
          </w:p>
        </w:tc>
        <w:tc>
          <w:tcPr>
            <w:tcW w:w="3780" w:type="dxa"/>
          </w:tcPr>
          <w:p>
            <w:pPr>
              <w:pStyle w:val="GesAbsatz"/>
              <w:jc w:val="center"/>
            </w:pPr>
            <w:r>
              <w:t>5 %</w:t>
            </w:r>
          </w:p>
        </w:tc>
      </w:tr>
      <w:tr>
        <w:tc>
          <w:tcPr>
            <w:tcW w:w="1150" w:type="dxa"/>
          </w:tcPr>
          <w:p>
            <w:pPr>
              <w:pStyle w:val="GesAbsatz"/>
            </w:pPr>
            <w:r>
              <w:t>2</w:t>
            </w:r>
          </w:p>
        </w:tc>
        <w:tc>
          <w:tcPr>
            <w:tcW w:w="3420" w:type="dxa"/>
          </w:tcPr>
          <w:p>
            <w:pPr>
              <w:pStyle w:val="GesAbsatz"/>
            </w:pPr>
            <w:r>
              <w:t>El. Leitfähigkeit</w:t>
            </w:r>
          </w:p>
        </w:tc>
        <w:tc>
          <w:tcPr>
            <w:tcW w:w="3780" w:type="dxa"/>
          </w:tcPr>
          <w:p>
            <w:pPr>
              <w:pStyle w:val="GesAbsatz"/>
              <w:jc w:val="center"/>
              <w:rPr>
                <w:lang w:val="en-GB"/>
              </w:rPr>
            </w:pPr>
            <w:r>
              <w:rPr>
                <w:lang w:val="en-GB"/>
              </w:rPr>
              <w:t>5 %</w:t>
            </w:r>
          </w:p>
        </w:tc>
      </w:tr>
      <w:tr>
        <w:tc>
          <w:tcPr>
            <w:tcW w:w="1150" w:type="dxa"/>
          </w:tcPr>
          <w:p>
            <w:pPr>
              <w:pStyle w:val="GesAbsatz"/>
              <w:rPr>
                <w:lang w:val="en-GB"/>
              </w:rPr>
            </w:pPr>
            <w:r>
              <w:rPr>
                <w:lang w:val="en-GB"/>
              </w:rPr>
              <w:t>3</w:t>
            </w:r>
          </w:p>
        </w:tc>
        <w:tc>
          <w:tcPr>
            <w:tcW w:w="3420" w:type="dxa"/>
          </w:tcPr>
          <w:p>
            <w:pPr>
              <w:pStyle w:val="GesAbsatz"/>
              <w:rPr>
                <w:lang w:val="en-GB"/>
              </w:rPr>
            </w:pPr>
            <w:r>
              <w:rPr>
                <w:lang w:val="en-GB"/>
              </w:rPr>
              <w:t>Chlorid</w:t>
            </w:r>
          </w:p>
        </w:tc>
        <w:tc>
          <w:tcPr>
            <w:tcW w:w="3780" w:type="dxa"/>
          </w:tcPr>
          <w:p>
            <w:pPr>
              <w:pStyle w:val="GesAbsatz"/>
              <w:jc w:val="center"/>
              <w:rPr>
                <w:lang w:val="en-GB"/>
              </w:rPr>
            </w:pPr>
            <w:r>
              <w:rPr>
                <w:lang w:val="en-GB"/>
              </w:rPr>
              <w:t>30 %</w:t>
            </w:r>
          </w:p>
        </w:tc>
      </w:tr>
      <w:tr>
        <w:tc>
          <w:tcPr>
            <w:tcW w:w="1150" w:type="dxa"/>
          </w:tcPr>
          <w:p>
            <w:pPr>
              <w:pStyle w:val="GesAbsatz"/>
              <w:rPr>
                <w:lang w:val="en-GB"/>
              </w:rPr>
            </w:pPr>
            <w:r>
              <w:rPr>
                <w:lang w:val="en-GB"/>
              </w:rPr>
              <w:t>4</w:t>
            </w:r>
          </w:p>
        </w:tc>
        <w:tc>
          <w:tcPr>
            <w:tcW w:w="3420" w:type="dxa"/>
          </w:tcPr>
          <w:p>
            <w:pPr>
              <w:pStyle w:val="GesAbsatz"/>
              <w:rPr>
                <w:lang w:val="en-GB"/>
              </w:rPr>
            </w:pPr>
            <w:r>
              <w:rPr>
                <w:lang w:val="en-GB"/>
              </w:rPr>
              <w:t>Sulfat</w:t>
            </w:r>
          </w:p>
        </w:tc>
        <w:tc>
          <w:tcPr>
            <w:tcW w:w="3780" w:type="dxa"/>
          </w:tcPr>
          <w:p>
            <w:pPr>
              <w:pStyle w:val="GesAbsatz"/>
              <w:jc w:val="center"/>
              <w:rPr>
                <w:lang w:val="en-GB"/>
              </w:rPr>
            </w:pPr>
            <w:r>
              <w:rPr>
                <w:lang w:val="en-GB"/>
              </w:rPr>
              <w:t>30 %</w:t>
            </w:r>
          </w:p>
        </w:tc>
      </w:tr>
      <w:tr>
        <w:tc>
          <w:tcPr>
            <w:tcW w:w="1150" w:type="dxa"/>
          </w:tcPr>
          <w:p>
            <w:pPr>
              <w:pStyle w:val="GesAbsatz"/>
              <w:rPr>
                <w:lang w:val="en-GB"/>
              </w:rPr>
            </w:pPr>
            <w:r>
              <w:rPr>
                <w:lang w:val="en-GB"/>
              </w:rPr>
              <w:t>5</w:t>
            </w:r>
          </w:p>
        </w:tc>
        <w:tc>
          <w:tcPr>
            <w:tcW w:w="3420" w:type="dxa"/>
          </w:tcPr>
          <w:p>
            <w:pPr>
              <w:pStyle w:val="GesAbsatz"/>
              <w:rPr>
                <w:lang w:val="en-GB"/>
              </w:rPr>
            </w:pPr>
            <w:r>
              <w:rPr>
                <w:lang w:val="en-GB"/>
              </w:rPr>
              <w:t>Blei</w:t>
            </w:r>
          </w:p>
        </w:tc>
        <w:tc>
          <w:tcPr>
            <w:tcW w:w="3780" w:type="dxa"/>
          </w:tcPr>
          <w:p>
            <w:pPr>
              <w:pStyle w:val="GesAbsatz"/>
              <w:jc w:val="center"/>
            </w:pPr>
            <w:r>
              <w:t>30 %</w:t>
            </w:r>
          </w:p>
        </w:tc>
      </w:tr>
      <w:tr>
        <w:tc>
          <w:tcPr>
            <w:tcW w:w="1150" w:type="dxa"/>
          </w:tcPr>
          <w:p>
            <w:pPr>
              <w:pStyle w:val="GesAbsatz"/>
            </w:pPr>
            <w:r>
              <w:t>6</w:t>
            </w:r>
          </w:p>
        </w:tc>
        <w:tc>
          <w:tcPr>
            <w:tcW w:w="3420" w:type="dxa"/>
          </w:tcPr>
          <w:p>
            <w:pPr>
              <w:pStyle w:val="GesAbsatz"/>
            </w:pPr>
            <w:r>
              <w:t>Kupfer</w:t>
            </w:r>
          </w:p>
        </w:tc>
        <w:tc>
          <w:tcPr>
            <w:tcW w:w="3780" w:type="dxa"/>
          </w:tcPr>
          <w:p>
            <w:pPr>
              <w:pStyle w:val="GesAbsatz"/>
              <w:jc w:val="center"/>
            </w:pPr>
            <w:r>
              <w:t>30 %</w:t>
            </w:r>
          </w:p>
        </w:tc>
      </w:tr>
    </w:tbl>
    <w:p>
      <w:pPr>
        <w:pStyle w:val="GesAbsatz"/>
      </w:pPr>
    </w:p>
    <w:p>
      <w:pPr>
        <w:pStyle w:val="GesAbsatz"/>
        <w:ind w:left="1260" w:hanging="1260"/>
        <w:rPr>
          <w:b/>
        </w:rPr>
      </w:pPr>
      <w:r>
        <w:br w:type="page"/>
      </w:r>
      <w:r>
        <w:rPr>
          <w:b/>
        </w:rPr>
        <w:lastRenderedPageBreak/>
        <w:t>Tabelle 4 a:</w:t>
      </w:r>
      <w:r>
        <w:rPr>
          <w:b/>
        </w:rPr>
        <w:tab/>
        <w:t xml:space="preserve">Im Rahmen des Eignungsnachweises und der Güteüberwachung einzuhaltende wasserwirtschaftliche Merkmale - Eluatwerte </w:t>
      </w:r>
    </w:p>
    <w:p>
      <w:pPr>
        <w:pStyle w:val="GesAbsatz"/>
        <w:ind w:left="1260" w:hanging="1260"/>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1620"/>
        <w:gridCol w:w="2520"/>
        <w:gridCol w:w="1620"/>
      </w:tblGrid>
      <w:tr>
        <w:tc>
          <w:tcPr>
            <w:tcW w:w="3780" w:type="dxa"/>
          </w:tcPr>
          <w:p>
            <w:pPr>
              <w:pStyle w:val="GesAbsatz"/>
              <w:rPr>
                <w:rFonts w:eastAsia="Arial Unicode MS"/>
              </w:rPr>
            </w:pPr>
          </w:p>
        </w:tc>
        <w:tc>
          <w:tcPr>
            <w:tcW w:w="1620" w:type="dxa"/>
          </w:tcPr>
          <w:p>
            <w:pPr>
              <w:pStyle w:val="GesAbsatz"/>
              <w:rPr>
                <w:rFonts w:eastAsia="Arial Unicode MS"/>
              </w:rPr>
            </w:pPr>
          </w:p>
        </w:tc>
        <w:tc>
          <w:tcPr>
            <w:tcW w:w="2520" w:type="dxa"/>
          </w:tcPr>
          <w:p>
            <w:pPr>
              <w:pStyle w:val="GesAbsatz"/>
              <w:jc w:val="center"/>
              <w:rPr>
                <w:rFonts w:eastAsia="Arial Unicode MS"/>
                <w:lang w:val="it-IT"/>
              </w:rPr>
            </w:pPr>
            <w:r>
              <w:rPr>
                <w:rFonts w:cs="Arial"/>
                <w:lang w:val="it-IT"/>
              </w:rPr>
              <w:t>HMVA I</w:t>
            </w:r>
          </w:p>
        </w:tc>
        <w:tc>
          <w:tcPr>
            <w:tcW w:w="1620" w:type="dxa"/>
          </w:tcPr>
          <w:p>
            <w:pPr>
              <w:pStyle w:val="GesAbsatz"/>
              <w:jc w:val="center"/>
              <w:rPr>
                <w:rFonts w:eastAsia="Arial Unicode MS"/>
                <w:lang w:val="it-IT"/>
              </w:rPr>
            </w:pPr>
            <w:r>
              <w:rPr>
                <w:rFonts w:cs="Arial"/>
                <w:lang w:val="it-IT"/>
              </w:rPr>
              <w:t>HMVA II</w:t>
            </w:r>
          </w:p>
        </w:tc>
      </w:tr>
      <w:tr>
        <w:tc>
          <w:tcPr>
            <w:tcW w:w="3780" w:type="dxa"/>
          </w:tcPr>
          <w:p>
            <w:pPr>
              <w:pStyle w:val="GesAbsatz"/>
              <w:rPr>
                <w:rFonts w:eastAsia="Arial Unicode MS"/>
              </w:rPr>
            </w:pPr>
            <w:r>
              <w:rPr>
                <w:rFonts w:cs="Arial"/>
                <w:b/>
                <w:bCs/>
              </w:rPr>
              <w:t>Kenngröße</w:t>
            </w:r>
          </w:p>
        </w:tc>
        <w:tc>
          <w:tcPr>
            <w:tcW w:w="1620" w:type="dxa"/>
          </w:tcPr>
          <w:p>
            <w:pPr>
              <w:pStyle w:val="GesAbsatz"/>
              <w:jc w:val="center"/>
              <w:rPr>
                <w:rFonts w:eastAsia="Arial Unicode MS"/>
              </w:rPr>
            </w:pPr>
            <w:r>
              <w:rPr>
                <w:rFonts w:cs="Arial"/>
              </w:rPr>
              <w:t>Dimension</w:t>
            </w:r>
          </w:p>
        </w:tc>
        <w:tc>
          <w:tcPr>
            <w:tcW w:w="2520" w:type="dxa"/>
          </w:tcPr>
          <w:p>
            <w:pPr>
              <w:pStyle w:val="GesAbsatz"/>
              <w:rPr>
                <w:rFonts w:cs="Arial"/>
              </w:rPr>
            </w:pPr>
          </w:p>
        </w:tc>
        <w:tc>
          <w:tcPr>
            <w:tcW w:w="1620" w:type="dxa"/>
          </w:tcPr>
          <w:p>
            <w:pPr>
              <w:pStyle w:val="GesAbsatz"/>
              <w:rPr>
                <w:rFonts w:cs="Arial"/>
              </w:rPr>
            </w:pPr>
          </w:p>
        </w:tc>
      </w:tr>
      <w:tr>
        <w:tc>
          <w:tcPr>
            <w:tcW w:w="3780" w:type="dxa"/>
          </w:tcPr>
          <w:p>
            <w:pPr>
              <w:pStyle w:val="GesAbsatz"/>
              <w:rPr>
                <w:rFonts w:cs="Arial"/>
              </w:rPr>
            </w:pPr>
            <w:r>
              <w:rPr>
                <w:rFonts w:cs="Arial"/>
              </w:rPr>
              <w:t xml:space="preserve">pH-Wert </w:t>
            </w:r>
            <w:r>
              <w:rPr>
                <w:rFonts w:cs="Arial"/>
                <w:vertAlign w:val="superscript"/>
              </w:rPr>
              <w:t>1)</w:t>
            </w:r>
          </w:p>
        </w:tc>
        <w:tc>
          <w:tcPr>
            <w:tcW w:w="1620" w:type="dxa"/>
          </w:tcPr>
          <w:p>
            <w:pPr>
              <w:pStyle w:val="GesAbsatz"/>
              <w:jc w:val="center"/>
              <w:rPr>
                <w:rFonts w:cs="Arial"/>
              </w:rPr>
            </w:pPr>
          </w:p>
        </w:tc>
        <w:tc>
          <w:tcPr>
            <w:tcW w:w="2520" w:type="dxa"/>
          </w:tcPr>
          <w:p>
            <w:pPr>
              <w:pStyle w:val="GesAbsatz"/>
              <w:jc w:val="center"/>
              <w:rPr>
                <w:rFonts w:cs="Arial"/>
              </w:rPr>
            </w:pPr>
            <w:r>
              <w:rPr>
                <w:rFonts w:cs="Arial"/>
              </w:rPr>
              <w:t>7-13</w:t>
            </w:r>
          </w:p>
        </w:tc>
        <w:tc>
          <w:tcPr>
            <w:tcW w:w="1620" w:type="dxa"/>
          </w:tcPr>
          <w:p>
            <w:pPr>
              <w:pStyle w:val="GesAbsatz"/>
              <w:jc w:val="center"/>
              <w:rPr>
                <w:rFonts w:cs="Arial"/>
              </w:rPr>
            </w:pPr>
            <w:r>
              <w:rPr>
                <w:rFonts w:cs="Arial"/>
              </w:rPr>
              <w:t>7-13</w:t>
            </w:r>
          </w:p>
        </w:tc>
      </w:tr>
      <w:tr>
        <w:tc>
          <w:tcPr>
            <w:tcW w:w="3780" w:type="dxa"/>
          </w:tcPr>
          <w:p>
            <w:pPr>
              <w:pStyle w:val="GesAbsatz"/>
              <w:rPr>
                <w:rFonts w:cs="Arial"/>
              </w:rPr>
            </w:pPr>
            <w:r>
              <w:rPr>
                <w:rFonts w:cs="Arial"/>
              </w:rPr>
              <w:t>el. Leitfähigkeit</w:t>
            </w:r>
          </w:p>
        </w:tc>
        <w:tc>
          <w:tcPr>
            <w:tcW w:w="1620" w:type="dxa"/>
          </w:tcPr>
          <w:p>
            <w:pPr>
              <w:pStyle w:val="GesAbsatz"/>
              <w:jc w:val="center"/>
              <w:rPr>
                <w:rFonts w:cs="Arial"/>
              </w:rPr>
            </w:pPr>
            <w:r>
              <w:rPr>
                <w:rFonts w:cs="Arial"/>
              </w:rPr>
              <w:t>µS/cm</w:t>
            </w:r>
          </w:p>
        </w:tc>
        <w:tc>
          <w:tcPr>
            <w:tcW w:w="2520" w:type="dxa"/>
          </w:tcPr>
          <w:p>
            <w:pPr>
              <w:pStyle w:val="GesAbsatz"/>
              <w:jc w:val="center"/>
              <w:rPr>
                <w:rFonts w:cs="Arial"/>
                <w:lang w:val="en-GB"/>
              </w:rPr>
            </w:pPr>
            <w:r>
              <w:rPr>
                <w:rFonts w:cs="Arial"/>
                <w:lang w:val="en-GB"/>
              </w:rPr>
              <w:t>2000</w:t>
            </w:r>
          </w:p>
        </w:tc>
        <w:tc>
          <w:tcPr>
            <w:tcW w:w="1620" w:type="dxa"/>
          </w:tcPr>
          <w:p>
            <w:pPr>
              <w:pStyle w:val="GesAbsatz"/>
              <w:jc w:val="center"/>
              <w:rPr>
                <w:rFonts w:cs="Arial"/>
                <w:lang w:val="en-GB"/>
              </w:rPr>
            </w:pPr>
            <w:r>
              <w:rPr>
                <w:rFonts w:cs="Arial"/>
                <w:lang w:val="en-GB"/>
              </w:rPr>
              <w:t>5000</w:t>
            </w:r>
          </w:p>
        </w:tc>
      </w:tr>
      <w:tr>
        <w:tc>
          <w:tcPr>
            <w:tcW w:w="3780" w:type="dxa"/>
          </w:tcPr>
          <w:p>
            <w:pPr>
              <w:pStyle w:val="GesAbsatz"/>
              <w:rPr>
                <w:rFonts w:cs="Arial"/>
                <w:lang w:val="en-GB"/>
              </w:rPr>
            </w:pPr>
            <w:r>
              <w:rPr>
                <w:rFonts w:cs="Arial"/>
                <w:lang w:val="en-GB"/>
              </w:rPr>
              <w:t>Chlorid</w:t>
            </w:r>
          </w:p>
        </w:tc>
        <w:tc>
          <w:tcPr>
            <w:tcW w:w="1620" w:type="dxa"/>
          </w:tcPr>
          <w:p>
            <w:pPr>
              <w:pStyle w:val="GesAbsatz"/>
              <w:jc w:val="center"/>
              <w:rPr>
                <w:rFonts w:cs="Arial"/>
                <w:lang w:val="en-GB"/>
              </w:rPr>
            </w:pPr>
            <w:r>
              <w:rPr>
                <w:rFonts w:cs="Arial"/>
                <w:lang w:val="en-GB"/>
              </w:rPr>
              <w:t>mg/l</w:t>
            </w:r>
          </w:p>
        </w:tc>
        <w:tc>
          <w:tcPr>
            <w:tcW w:w="2520" w:type="dxa"/>
          </w:tcPr>
          <w:p>
            <w:pPr>
              <w:pStyle w:val="GesAbsatz"/>
              <w:jc w:val="center"/>
              <w:rPr>
                <w:rFonts w:cs="Arial"/>
                <w:lang w:val="en-GB"/>
              </w:rPr>
            </w:pPr>
            <w:r>
              <w:rPr>
                <w:rFonts w:cs="Arial"/>
                <w:lang w:val="en-GB"/>
              </w:rPr>
              <w:t>50</w:t>
            </w:r>
          </w:p>
        </w:tc>
        <w:tc>
          <w:tcPr>
            <w:tcW w:w="1620" w:type="dxa"/>
          </w:tcPr>
          <w:p>
            <w:pPr>
              <w:pStyle w:val="GesAbsatz"/>
              <w:jc w:val="center"/>
              <w:rPr>
                <w:rFonts w:cs="Arial"/>
                <w:lang w:val="en-GB"/>
              </w:rPr>
            </w:pPr>
            <w:r>
              <w:rPr>
                <w:rFonts w:cs="Arial"/>
                <w:lang w:val="en-GB"/>
              </w:rPr>
              <w:t>250</w:t>
            </w:r>
          </w:p>
        </w:tc>
      </w:tr>
      <w:tr>
        <w:tc>
          <w:tcPr>
            <w:tcW w:w="3780" w:type="dxa"/>
          </w:tcPr>
          <w:p>
            <w:pPr>
              <w:pStyle w:val="GesAbsatz"/>
              <w:rPr>
                <w:rFonts w:cs="Arial"/>
                <w:lang w:val="en-GB"/>
              </w:rPr>
            </w:pPr>
            <w:r>
              <w:rPr>
                <w:rFonts w:cs="Arial"/>
                <w:lang w:val="en-GB"/>
              </w:rPr>
              <w:t>Sulfat</w:t>
            </w:r>
          </w:p>
        </w:tc>
        <w:tc>
          <w:tcPr>
            <w:tcW w:w="1620" w:type="dxa"/>
          </w:tcPr>
          <w:p>
            <w:pPr>
              <w:pStyle w:val="GesAbsatz"/>
              <w:jc w:val="center"/>
              <w:rPr>
                <w:rFonts w:cs="Arial"/>
                <w:lang w:val="en-GB"/>
              </w:rPr>
            </w:pPr>
            <w:r>
              <w:rPr>
                <w:rFonts w:cs="Arial"/>
                <w:lang w:val="en-GB"/>
              </w:rPr>
              <w:t>mg/l</w:t>
            </w:r>
          </w:p>
        </w:tc>
        <w:tc>
          <w:tcPr>
            <w:tcW w:w="2520" w:type="dxa"/>
          </w:tcPr>
          <w:p>
            <w:pPr>
              <w:pStyle w:val="GesAbsatz"/>
              <w:jc w:val="center"/>
              <w:rPr>
                <w:rFonts w:cs="Arial"/>
              </w:rPr>
            </w:pPr>
            <w:r>
              <w:rPr>
                <w:rFonts w:cs="Arial"/>
              </w:rPr>
              <w:t>200</w:t>
            </w:r>
          </w:p>
        </w:tc>
        <w:tc>
          <w:tcPr>
            <w:tcW w:w="1620" w:type="dxa"/>
          </w:tcPr>
          <w:p>
            <w:pPr>
              <w:pStyle w:val="GesAbsatz"/>
              <w:jc w:val="center"/>
              <w:rPr>
                <w:rFonts w:cs="Arial"/>
              </w:rPr>
            </w:pPr>
            <w:r>
              <w:rPr>
                <w:rFonts w:cs="Arial"/>
              </w:rPr>
              <w:t>600</w:t>
            </w:r>
          </w:p>
        </w:tc>
      </w:tr>
      <w:tr>
        <w:tc>
          <w:tcPr>
            <w:tcW w:w="3780" w:type="dxa"/>
          </w:tcPr>
          <w:p>
            <w:pPr>
              <w:pStyle w:val="GesAbsatz"/>
              <w:rPr>
                <w:rFonts w:cs="Arial"/>
              </w:rPr>
            </w:pPr>
            <w:r>
              <w:rPr>
                <w:rFonts w:cs="Arial"/>
              </w:rPr>
              <w:t>DOC</w:t>
            </w:r>
          </w:p>
        </w:tc>
        <w:tc>
          <w:tcPr>
            <w:tcW w:w="1620" w:type="dxa"/>
          </w:tcPr>
          <w:p>
            <w:pPr>
              <w:pStyle w:val="GesAbsatz"/>
              <w:jc w:val="center"/>
              <w:rPr>
                <w:rFonts w:cs="Arial"/>
              </w:rPr>
            </w:pPr>
            <w:r>
              <w:rPr>
                <w:rFonts w:cs="Arial"/>
              </w:rPr>
              <w:t>mg/l</w:t>
            </w:r>
          </w:p>
        </w:tc>
        <w:tc>
          <w:tcPr>
            <w:tcW w:w="2520" w:type="dxa"/>
          </w:tcPr>
          <w:p>
            <w:pPr>
              <w:pStyle w:val="GesAbsatz"/>
              <w:jc w:val="center"/>
              <w:rPr>
                <w:rFonts w:cs="Arial"/>
              </w:rPr>
            </w:pPr>
            <w:r>
              <w:rPr>
                <w:rFonts w:cs="Arial"/>
                <w:vertAlign w:val="superscript"/>
              </w:rPr>
              <w:t>3)</w:t>
            </w:r>
          </w:p>
        </w:tc>
        <w:tc>
          <w:tcPr>
            <w:tcW w:w="1620" w:type="dxa"/>
          </w:tcPr>
          <w:p>
            <w:pPr>
              <w:pStyle w:val="GesAbsatz"/>
              <w:jc w:val="center"/>
              <w:rPr>
                <w:rFonts w:cs="Arial"/>
              </w:rPr>
            </w:pPr>
            <w:r>
              <w:rPr>
                <w:rFonts w:cs="Arial"/>
                <w:vertAlign w:val="superscript"/>
              </w:rPr>
              <w:t>3)</w:t>
            </w:r>
          </w:p>
        </w:tc>
      </w:tr>
      <w:tr>
        <w:tc>
          <w:tcPr>
            <w:tcW w:w="3780" w:type="dxa"/>
          </w:tcPr>
          <w:p>
            <w:pPr>
              <w:pStyle w:val="GesAbsatz"/>
              <w:rPr>
                <w:rFonts w:cs="Arial"/>
              </w:rPr>
            </w:pPr>
            <w:r>
              <w:rPr>
                <w:rFonts w:cs="Arial"/>
              </w:rPr>
              <w:t>Blei</w:t>
            </w:r>
          </w:p>
        </w:tc>
        <w:tc>
          <w:tcPr>
            <w:tcW w:w="1620" w:type="dxa"/>
          </w:tcPr>
          <w:p>
            <w:pPr>
              <w:pStyle w:val="GesAbsatz"/>
              <w:jc w:val="center"/>
              <w:rPr>
                <w:rFonts w:cs="Arial"/>
              </w:rPr>
            </w:pPr>
            <w:r>
              <w:rPr>
                <w:rFonts w:cs="Arial"/>
              </w:rPr>
              <w:t>µg/l</w:t>
            </w:r>
          </w:p>
        </w:tc>
        <w:tc>
          <w:tcPr>
            <w:tcW w:w="2520" w:type="dxa"/>
          </w:tcPr>
          <w:p>
            <w:pPr>
              <w:pStyle w:val="GesAbsatz"/>
              <w:jc w:val="center"/>
              <w:rPr>
                <w:rFonts w:cs="Arial"/>
                <w:vertAlign w:val="superscript"/>
                <w:lang w:val="en-GB"/>
              </w:rPr>
            </w:pPr>
            <w:r>
              <w:rPr>
                <w:rFonts w:cs="Arial"/>
                <w:lang w:val="en-GB"/>
              </w:rPr>
              <w:t>50</w:t>
            </w:r>
          </w:p>
        </w:tc>
        <w:tc>
          <w:tcPr>
            <w:tcW w:w="1620" w:type="dxa"/>
          </w:tcPr>
          <w:p>
            <w:pPr>
              <w:pStyle w:val="GesAbsatz"/>
              <w:jc w:val="center"/>
              <w:rPr>
                <w:rFonts w:cs="Arial"/>
                <w:vertAlign w:val="superscript"/>
                <w:lang w:val="en-GB"/>
              </w:rPr>
            </w:pPr>
            <w:r>
              <w:rPr>
                <w:rFonts w:cs="Arial"/>
                <w:lang w:val="en-GB"/>
              </w:rPr>
              <w:t>50</w:t>
            </w:r>
          </w:p>
        </w:tc>
      </w:tr>
      <w:tr>
        <w:tc>
          <w:tcPr>
            <w:tcW w:w="3780" w:type="dxa"/>
          </w:tcPr>
          <w:p>
            <w:pPr>
              <w:pStyle w:val="GesAbsatz"/>
              <w:rPr>
                <w:rFonts w:cs="Arial"/>
                <w:lang w:val="en-GB"/>
              </w:rPr>
            </w:pPr>
            <w:r>
              <w:rPr>
                <w:rFonts w:cs="Arial"/>
                <w:lang w:val="en-GB"/>
              </w:rPr>
              <w:t>Cadmium</w:t>
            </w:r>
          </w:p>
        </w:tc>
        <w:tc>
          <w:tcPr>
            <w:tcW w:w="1620" w:type="dxa"/>
          </w:tcPr>
          <w:p>
            <w:pPr>
              <w:pStyle w:val="GesAbsatz"/>
              <w:jc w:val="center"/>
              <w:rPr>
                <w:rFonts w:cs="Arial"/>
                <w:lang w:val="en-GB"/>
              </w:rPr>
            </w:pPr>
            <w:r>
              <w:rPr>
                <w:rFonts w:cs="Arial"/>
                <w:lang w:val="en-GB"/>
              </w:rPr>
              <w:t>µg/l</w:t>
            </w:r>
          </w:p>
        </w:tc>
        <w:tc>
          <w:tcPr>
            <w:tcW w:w="2520" w:type="dxa"/>
          </w:tcPr>
          <w:p>
            <w:pPr>
              <w:pStyle w:val="GesAbsatz"/>
              <w:jc w:val="center"/>
              <w:rPr>
                <w:rFonts w:cs="Arial"/>
                <w:lang w:val="en-GB"/>
              </w:rPr>
            </w:pPr>
            <w:r>
              <w:rPr>
                <w:rFonts w:cs="Arial"/>
                <w:lang w:val="en-GB"/>
              </w:rPr>
              <w:t>5</w:t>
            </w:r>
          </w:p>
        </w:tc>
        <w:tc>
          <w:tcPr>
            <w:tcW w:w="1620" w:type="dxa"/>
          </w:tcPr>
          <w:p>
            <w:pPr>
              <w:pStyle w:val="GesAbsatz"/>
              <w:jc w:val="center"/>
              <w:rPr>
                <w:rFonts w:cs="Arial"/>
                <w:lang w:val="en-GB"/>
              </w:rPr>
            </w:pPr>
            <w:r>
              <w:rPr>
                <w:rFonts w:cs="Arial"/>
                <w:lang w:val="en-GB"/>
              </w:rPr>
              <w:t>5</w:t>
            </w:r>
          </w:p>
        </w:tc>
      </w:tr>
      <w:tr>
        <w:tc>
          <w:tcPr>
            <w:tcW w:w="3780" w:type="dxa"/>
          </w:tcPr>
          <w:p>
            <w:pPr>
              <w:pStyle w:val="GesAbsatz"/>
              <w:rPr>
                <w:rFonts w:cs="Arial"/>
                <w:lang w:val="en-GB"/>
              </w:rPr>
            </w:pPr>
            <w:r>
              <w:rPr>
                <w:rFonts w:cs="Arial"/>
                <w:lang w:val="en-GB"/>
              </w:rPr>
              <w:t xml:space="preserve">Chrom VI </w:t>
            </w:r>
            <w:r>
              <w:rPr>
                <w:rFonts w:cs="Arial"/>
                <w:vertAlign w:val="superscript"/>
                <w:lang w:val="en-GB"/>
              </w:rPr>
              <w:t>2)</w:t>
            </w:r>
          </w:p>
        </w:tc>
        <w:tc>
          <w:tcPr>
            <w:tcW w:w="1620" w:type="dxa"/>
          </w:tcPr>
          <w:p>
            <w:pPr>
              <w:pStyle w:val="GesAbsatz"/>
              <w:jc w:val="center"/>
              <w:rPr>
                <w:rFonts w:cs="Arial"/>
              </w:rPr>
            </w:pPr>
            <w:r>
              <w:rPr>
                <w:rFonts w:cs="Arial"/>
              </w:rPr>
              <w:t>µg/l</w:t>
            </w:r>
          </w:p>
        </w:tc>
        <w:tc>
          <w:tcPr>
            <w:tcW w:w="2520" w:type="dxa"/>
          </w:tcPr>
          <w:p>
            <w:pPr>
              <w:pStyle w:val="GesAbsatz"/>
              <w:jc w:val="center"/>
              <w:rPr>
                <w:rFonts w:cs="Arial"/>
              </w:rPr>
            </w:pPr>
            <w:r>
              <w:rPr>
                <w:rFonts w:cs="Arial"/>
              </w:rPr>
              <w:t>50</w:t>
            </w:r>
          </w:p>
        </w:tc>
        <w:tc>
          <w:tcPr>
            <w:tcW w:w="1620" w:type="dxa"/>
          </w:tcPr>
          <w:p>
            <w:pPr>
              <w:pStyle w:val="GesAbsatz"/>
              <w:jc w:val="center"/>
              <w:rPr>
                <w:rFonts w:cs="Arial"/>
              </w:rPr>
            </w:pPr>
            <w:r>
              <w:rPr>
                <w:rFonts w:cs="Arial"/>
              </w:rPr>
              <w:t>50</w:t>
            </w:r>
          </w:p>
        </w:tc>
      </w:tr>
      <w:tr>
        <w:tc>
          <w:tcPr>
            <w:tcW w:w="3780" w:type="dxa"/>
          </w:tcPr>
          <w:p>
            <w:pPr>
              <w:pStyle w:val="GesAbsatz"/>
              <w:rPr>
                <w:rFonts w:cs="Arial"/>
              </w:rPr>
            </w:pPr>
            <w:r>
              <w:rPr>
                <w:rFonts w:cs="Arial"/>
              </w:rPr>
              <w:t>Kupfer</w:t>
            </w:r>
          </w:p>
        </w:tc>
        <w:tc>
          <w:tcPr>
            <w:tcW w:w="1620" w:type="dxa"/>
          </w:tcPr>
          <w:p>
            <w:pPr>
              <w:pStyle w:val="GesAbsatz"/>
              <w:jc w:val="center"/>
              <w:rPr>
                <w:rFonts w:cs="Arial"/>
              </w:rPr>
            </w:pPr>
            <w:r>
              <w:rPr>
                <w:rFonts w:cs="Arial"/>
              </w:rPr>
              <w:t>µg/l</w:t>
            </w:r>
          </w:p>
        </w:tc>
        <w:tc>
          <w:tcPr>
            <w:tcW w:w="2520" w:type="dxa"/>
          </w:tcPr>
          <w:p>
            <w:pPr>
              <w:pStyle w:val="GesAbsatz"/>
              <w:jc w:val="center"/>
              <w:rPr>
                <w:rFonts w:cs="Arial"/>
              </w:rPr>
            </w:pPr>
            <w:r>
              <w:rPr>
                <w:rFonts w:cs="Arial"/>
              </w:rPr>
              <w:t>300</w:t>
            </w:r>
          </w:p>
        </w:tc>
        <w:tc>
          <w:tcPr>
            <w:tcW w:w="1620" w:type="dxa"/>
          </w:tcPr>
          <w:p>
            <w:pPr>
              <w:pStyle w:val="GesAbsatz"/>
              <w:jc w:val="center"/>
              <w:rPr>
                <w:rFonts w:cs="Arial"/>
              </w:rPr>
            </w:pPr>
            <w:r>
              <w:rPr>
                <w:rFonts w:cs="Arial"/>
              </w:rPr>
              <w:t>300</w:t>
            </w:r>
          </w:p>
        </w:tc>
      </w:tr>
      <w:tr>
        <w:tc>
          <w:tcPr>
            <w:tcW w:w="3780" w:type="dxa"/>
          </w:tcPr>
          <w:p>
            <w:pPr>
              <w:pStyle w:val="GesAbsatz"/>
              <w:rPr>
                <w:rFonts w:cs="Arial"/>
              </w:rPr>
            </w:pPr>
            <w:r>
              <w:rPr>
                <w:rFonts w:cs="Arial"/>
              </w:rPr>
              <w:t xml:space="preserve">Quecksilber </w:t>
            </w:r>
            <w:r>
              <w:rPr>
                <w:rFonts w:cs="Arial"/>
                <w:vertAlign w:val="superscript"/>
              </w:rPr>
              <w:t>4)</w:t>
            </w:r>
          </w:p>
        </w:tc>
        <w:tc>
          <w:tcPr>
            <w:tcW w:w="1620" w:type="dxa"/>
          </w:tcPr>
          <w:p>
            <w:pPr>
              <w:pStyle w:val="GesAbsatz"/>
              <w:jc w:val="center"/>
              <w:rPr>
                <w:rFonts w:cs="Arial"/>
              </w:rPr>
            </w:pPr>
            <w:r>
              <w:rPr>
                <w:rFonts w:cs="Arial"/>
              </w:rPr>
              <w:t>µg/l</w:t>
            </w:r>
          </w:p>
        </w:tc>
        <w:tc>
          <w:tcPr>
            <w:tcW w:w="2520" w:type="dxa"/>
          </w:tcPr>
          <w:p>
            <w:pPr>
              <w:pStyle w:val="GesAbsatz"/>
              <w:jc w:val="center"/>
              <w:rPr>
                <w:rFonts w:cs="Arial"/>
              </w:rPr>
            </w:pPr>
            <w:r>
              <w:rPr>
                <w:rFonts w:cs="Arial"/>
              </w:rPr>
              <w:t>1</w:t>
            </w:r>
          </w:p>
        </w:tc>
        <w:tc>
          <w:tcPr>
            <w:tcW w:w="1620" w:type="dxa"/>
          </w:tcPr>
          <w:p>
            <w:pPr>
              <w:pStyle w:val="GesAbsatz"/>
              <w:jc w:val="center"/>
              <w:rPr>
                <w:rFonts w:cs="Arial"/>
              </w:rPr>
            </w:pPr>
            <w:r>
              <w:rPr>
                <w:rFonts w:cs="Arial"/>
              </w:rPr>
              <w:t>1</w:t>
            </w:r>
          </w:p>
        </w:tc>
      </w:tr>
      <w:tr>
        <w:tc>
          <w:tcPr>
            <w:tcW w:w="3780" w:type="dxa"/>
          </w:tcPr>
          <w:p>
            <w:pPr>
              <w:pStyle w:val="GesAbsatz"/>
              <w:rPr>
                <w:rFonts w:cs="Arial"/>
              </w:rPr>
            </w:pPr>
            <w:r>
              <w:rPr>
                <w:rFonts w:cs="Arial"/>
              </w:rPr>
              <w:t>Zink</w:t>
            </w:r>
          </w:p>
        </w:tc>
        <w:tc>
          <w:tcPr>
            <w:tcW w:w="1620" w:type="dxa"/>
          </w:tcPr>
          <w:p>
            <w:pPr>
              <w:pStyle w:val="GesAbsatz"/>
              <w:jc w:val="center"/>
              <w:rPr>
                <w:rFonts w:cs="Arial"/>
              </w:rPr>
            </w:pPr>
            <w:r>
              <w:rPr>
                <w:rFonts w:cs="Arial"/>
              </w:rPr>
              <w:t>µg/l</w:t>
            </w:r>
          </w:p>
        </w:tc>
        <w:tc>
          <w:tcPr>
            <w:tcW w:w="2520" w:type="dxa"/>
          </w:tcPr>
          <w:p>
            <w:pPr>
              <w:pStyle w:val="GesAbsatz"/>
              <w:jc w:val="center"/>
              <w:rPr>
                <w:rFonts w:cs="Arial"/>
              </w:rPr>
            </w:pPr>
            <w:r>
              <w:rPr>
                <w:rFonts w:cs="Arial"/>
              </w:rPr>
              <w:t>300</w:t>
            </w:r>
          </w:p>
        </w:tc>
        <w:tc>
          <w:tcPr>
            <w:tcW w:w="1620" w:type="dxa"/>
          </w:tcPr>
          <w:p>
            <w:pPr>
              <w:pStyle w:val="GesAbsatz"/>
              <w:jc w:val="center"/>
              <w:rPr>
                <w:rFonts w:cs="Arial"/>
              </w:rPr>
            </w:pPr>
            <w:r>
              <w:rPr>
                <w:rFonts w:cs="Arial"/>
              </w:rPr>
              <w:t>300</w:t>
            </w:r>
          </w:p>
        </w:tc>
      </w:tr>
      <w:tr>
        <w:trPr>
          <w:cantSplit/>
        </w:trPr>
        <w:tc>
          <w:tcPr>
            <w:tcW w:w="9540" w:type="dxa"/>
            <w:gridSpan w:val="4"/>
          </w:tcPr>
          <w:p>
            <w:pPr>
              <w:pStyle w:val="GesAbsatz"/>
              <w:rPr>
                <w:rFonts w:cs="Arial"/>
              </w:rPr>
            </w:pPr>
            <w:r>
              <w:rPr>
                <w:rFonts w:cs="Arial"/>
                <w:vertAlign w:val="superscript"/>
              </w:rPr>
              <w:t>1)</w:t>
            </w:r>
            <w:r>
              <w:rPr>
                <w:rFonts w:cs="Arial"/>
              </w:rPr>
              <w:t xml:space="preserve"> kein Grenzwert</w:t>
            </w:r>
          </w:p>
          <w:p>
            <w:pPr>
              <w:pStyle w:val="GesAbsatz"/>
              <w:rPr>
                <w:rFonts w:cs="Arial"/>
              </w:rPr>
            </w:pPr>
            <w:r>
              <w:rPr>
                <w:rFonts w:cs="Arial"/>
                <w:vertAlign w:val="superscript"/>
              </w:rPr>
              <w:t>2)</w:t>
            </w:r>
            <w:r>
              <w:rPr>
                <w:rFonts w:cs="Arial"/>
              </w:rPr>
              <w:t xml:space="preserve"> Wert gilt als eingehalten, wenn Chrom gesamt </w:t>
            </w:r>
            <w:r>
              <w:rPr>
                <w:rFonts w:cs="Arial"/>
              </w:rPr>
              <w:sym w:font="Symbol" w:char="F0A3"/>
            </w:r>
            <w:r>
              <w:rPr>
                <w:rFonts w:cs="Arial"/>
              </w:rPr>
              <w:t xml:space="preserve"> dem angegebenen Grenzwert</w:t>
            </w:r>
          </w:p>
          <w:p>
            <w:pPr>
              <w:pStyle w:val="GesAbsatz"/>
              <w:rPr>
                <w:rFonts w:cs="Arial"/>
              </w:rPr>
            </w:pPr>
            <w:r>
              <w:rPr>
                <w:rFonts w:cs="Arial"/>
                <w:vertAlign w:val="superscript"/>
              </w:rPr>
              <w:t>3)</w:t>
            </w:r>
            <w:r>
              <w:rPr>
                <w:rFonts w:cs="Arial"/>
              </w:rPr>
              <w:t xml:space="preserve"> zur Erfahrungssammlung zu bestimmen</w:t>
            </w:r>
          </w:p>
          <w:p>
            <w:pPr>
              <w:pStyle w:val="GesAbsatz"/>
              <w:rPr>
                <w:rFonts w:cs="Arial"/>
              </w:rPr>
            </w:pPr>
            <w:r>
              <w:rPr>
                <w:rFonts w:cs="Arial"/>
                <w:vertAlign w:val="superscript"/>
              </w:rPr>
              <w:t>4)</w:t>
            </w:r>
            <w:r>
              <w:rPr>
                <w:rFonts w:cs="Arial"/>
              </w:rPr>
              <w:t xml:space="preserve"> nur beim Eignungsnachweis zu bestimmen</w:t>
            </w:r>
          </w:p>
        </w:tc>
      </w:tr>
    </w:tbl>
    <w:p>
      <w:pPr>
        <w:pStyle w:val="GesAbsatz"/>
        <w:ind w:left="1260" w:hanging="1260"/>
        <w:rPr>
          <w:rFonts w:eastAsia="Arial Unicode MS"/>
        </w:rPr>
      </w:pPr>
    </w:p>
    <w:p>
      <w:pPr>
        <w:pStyle w:val="GesAbsatz"/>
        <w:ind w:left="1260" w:hanging="1260"/>
        <w:rPr>
          <w:rFonts w:eastAsia="Arial Unicode MS"/>
        </w:rPr>
      </w:pPr>
    </w:p>
    <w:p>
      <w:pPr>
        <w:pStyle w:val="GesAbsatz"/>
        <w:ind w:left="1260" w:hanging="1260"/>
        <w:rPr>
          <w:b/>
          <w:bCs/>
        </w:rPr>
      </w:pPr>
      <w:r>
        <w:rPr>
          <w:b/>
          <w:bCs/>
        </w:rPr>
        <w:t>Tabelle 4 b:</w:t>
      </w:r>
      <w:r>
        <w:rPr>
          <w:b/>
          <w:bCs/>
        </w:rPr>
        <w:tab/>
        <w:t xml:space="preserve">Im Rahmen des Eignungsnachweises und der Güteüberwachung einzuhaltende wasserwirtschaftliche Merkmale - Feststoffwerte </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520"/>
        <w:gridCol w:w="2520"/>
        <w:gridCol w:w="1800"/>
      </w:tblGrid>
      <w:tr>
        <w:tc>
          <w:tcPr>
            <w:tcW w:w="2700" w:type="dxa"/>
          </w:tcPr>
          <w:p>
            <w:pPr>
              <w:pStyle w:val="GesAbsatz"/>
              <w:rPr>
                <w:lang w:val="it-IT"/>
              </w:rPr>
            </w:pPr>
            <w:r>
              <w:rPr>
                <w:b/>
                <w:bCs/>
              </w:rPr>
              <w:t>Kenngröße</w:t>
            </w:r>
          </w:p>
        </w:tc>
        <w:tc>
          <w:tcPr>
            <w:tcW w:w="2520" w:type="dxa"/>
          </w:tcPr>
          <w:p>
            <w:pPr>
              <w:pStyle w:val="GesAbsatz"/>
              <w:rPr>
                <w:lang w:val="it-IT"/>
              </w:rPr>
            </w:pPr>
          </w:p>
        </w:tc>
        <w:tc>
          <w:tcPr>
            <w:tcW w:w="2520" w:type="dxa"/>
          </w:tcPr>
          <w:p>
            <w:pPr>
              <w:pStyle w:val="GesAbsatz"/>
              <w:jc w:val="center"/>
              <w:rPr>
                <w:lang w:val="it-IT"/>
              </w:rPr>
            </w:pPr>
            <w:r>
              <w:rPr>
                <w:b/>
                <w:bCs/>
                <w:lang w:val="it-IT"/>
              </w:rPr>
              <w:t>HMVA I</w:t>
            </w:r>
          </w:p>
        </w:tc>
        <w:tc>
          <w:tcPr>
            <w:tcW w:w="1800" w:type="dxa"/>
          </w:tcPr>
          <w:p>
            <w:pPr>
              <w:pStyle w:val="GesAbsatz"/>
              <w:jc w:val="center"/>
              <w:rPr>
                <w:lang w:val="it-IT"/>
              </w:rPr>
            </w:pPr>
            <w:r>
              <w:rPr>
                <w:b/>
                <w:bCs/>
                <w:lang w:val="it-IT"/>
              </w:rPr>
              <w:t>HMVA II</w:t>
            </w:r>
          </w:p>
        </w:tc>
      </w:tr>
      <w:tr>
        <w:tc>
          <w:tcPr>
            <w:tcW w:w="2700" w:type="dxa"/>
          </w:tcPr>
          <w:p>
            <w:pPr>
              <w:pStyle w:val="GesAbsatz"/>
              <w:rPr>
                <w:b/>
                <w:bCs/>
                <w:lang w:val="it-IT"/>
              </w:rPr>
            </w:pPr>
            <w:r>
              <w:rPr>
                <w:lang w:val="it-IT"/>
              </w:rPr>
              <w:t>TOC</w:t>
            </w:r>
          </w:p>
        </w:tc>
        <w:tc>
          <w:tcPr>
            <w:tcW w:w="2520" w:type="dxa"/>
          </w:tcPr>
          <w:p>
            <w:pPr>
              <w:pStyle w:val="GesAbsatz"/>
              <w:jc w:val="center"/>
              <w:rPr>
                <w:b/>
                <w:bCs/>
                <w:lang w:val="fr-FR"/>
              </w:rPr>
            </w:pPr>
            <w:r>
              <w:rPr>
                <w:lang w:val="fr-FR"/>
              </w:rPr>
              <w:t>Masse-%</w:t>
            </w:r>
          </w:p>
        </w:tc>
        <w:tc>
          <w:tcPr>
            <w:tcW w:w="2520" w:type="dxa"/>
          </w:tcPr>
          <w:p>
            <w:pPr>
              <w:pStyle w:val="GesAbsatz"/>
              <w:jc w:val="center"/>
              <w:rPr>
                <w:lang w:val="fr-FR"/>
              </w:rPr>
            </w:pPr>
            <w:r>
              <w:rPr>
                <w:lang w:val="fr-FR"/>
              </w:rPr>
              <w:t>3</w:t>
            </w:r>
          </w:p>
        </w:tc>
        <w:tc>
          <w:tcPr>
            <w:tcW w:w="1800" w:type="dxa"/>
          </w:tcPr>
          <w:p>
            <w:pPr>
              <w:pStyle w:val="GesAbsatz"/>
              <w:jc w:val="center"/>
              <w:rPr>
                <w:b/>
                <w:bCs/>
                <w:lang w:val="fr-FR"/>
              </w:rPr>
            </w:pPr>
            <w:r>
              <w:rPr>
                <w:lang w:val="fr-FR"/>
              </w:rPr>
              <w:t>3</w:t>
            </w:r>
          </w:p>
        </w:tc>
      </w:tr>
      <w:tr>
        <w:tc>
          <w:tcPr>
            <w:tcW w:w="2700" w:type="dxa"/>
          </w:tcPr>
          <w:p>
            <w:pPr>
              <w:pStyle w:val="GesAbsatz"/>
              <w:rPr>
                <w:lang w:val="fr-FR"/>
              </w:rPr>
            </w:pPr>
            <w:r>
              <w:rPr>
                <w:lang w:val="fr-FR"/>
              </w:rPr>
              <w:t>EOX</w:t>
            </w:r>
          </w:p>
        </w:tc>
        <w:tc>
          <w:tcPr>
            <w:tcW w:w="2520" w:type="dxa"/>
          </w:tcPr>
          <w:p>
            <w:pPr>
              <w:pStyle w:val="GesAbsatz"/>
              <w:jc w:val="center"/>
              <w:rPr>
                <w:lang w:val="fr-FR"/>
              </w:rPr>
            </w:pPr>
            <w:r>
              <w:rPr>
                <w:lang w:val="fr-FR"/>
              </w:rPr>
              <w:t>mg/kg</w:t>
            </w:r>
          </w:p>
        </w:tc>
        <w:tc>
          <w:tcPr>
            <w:tcW w:w="2520" w:type="dxa"/>
          </w:tcPr>
          <w:p>
            <w:pPr>
              <w:pStyle w:val="GesAbsatz"/>
              <w:jc w:val="center"/>
              <w:rPr>
                <w:lang w:val="fr-FR"/>
              </w:rPr>
            </w:pPr>
            <w:r>
              <w:t>3</w:t>
            </w:r>
          </w:p>
        </w:tc>
        <w:tc>
          <w:tcPr>
            <w:tcW w:w="1800" w:type="dxa"/>
          </w:tcPr>
          <w:p>
            <w:pPr>
              <w:pStyle w:val="GesAbsatz"/>
              <w:jc w:val="center"/>
              <w:rPr>
                <w:lang w:val="fr-FR"/>
              </w:rPr>
            </w:pPr>
            <w:r>
              <w:t>3</w:t>
            </w:r>
          </w:p>
        </w:tc>
      </w:tr>
    </w:tbl>
    <w:p>
      <w:pPr>
        <w:pStyle w:val="GesAbsatz"/>
        <w:ind w:left="1440" w:hanging="1440"/>
        <w:rPr>
          <w:lang w:val="fr-FR"/>
        </w:rPr>
      </w:pPr>
    </w:p>
    <w:p>
      <w:pPr>
        <w:pStyle w:val="GesAbsatz"/>
        <w:tabs>
          <w:tab w:val="left" w:pos="1080"/>
        </w:tabs>
        <w:rPr>
          <w:b/>
          <w:bCs/>
        </w:rPr>
      </w:pPr>
      <w:r>
        <w:rPr>
          <w:b/>
          <w:bCs/>
        </w:rPr>
        <w:t>Tabelle 5:</w:t>
      </w:r>
      <w:r>
        <w:rPr>
          <w:b/>
          <w:bCs/>
        </w:rPr>
        <w:tab/>
        <w:t xml:space="preserve">Zulässige Überschreitungen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800"/>
        <w:gridCol w:w="1980"/>
        <w:gridCol w:w="1800"/>
        <w:gridCol w:w="1800"/>
        <w:gridCol w:w="1787"/>
      </w:tblGrid>
      <w:tr>
        <w:tc>
          <w:tcPr>
            <w:tcW w:w="610" w:type="dxa"/>
          </w:tcPr>
          <w:p>
            <w:pPr>
              <w:pStyle w:val="GesAbsatz"/>
              <w:tabs>
                <w:tab w:val="left" w:pos="1260"/>
              </w:tabs>
            </w:pPr>
          </w:p>
        </w:tc>
        <w:tc>
          <w:tcPr>
            <w:tcW w:w="1800" w:type="dxa"/>
          </w:tcPr>
          <w:p>
            <w:pPr>
              <w:pStyle w:val="GesAbsatz"/>
              <w:tabs>
                <w:tab w:val="left" w:pos="1260"/>
              </w:tabs>
              <w:jc w:val="center"/>
            </w:pPr>
            <w:r>
              <w:rPr>
                <w:b/>
                <w:bCs/>
              </w:rPr>
              <w:t>Kenngrößengruppe</w:t>
            </w:r>
          </w:p>
        </w:tc>
        <w:tc>
          <w:tcPr>
            <w:tcW w:w="1980" w:type="dxa"/>
          </w:tcPr>
          <w:p>
            <w:pPr>
              <w:pStyle w:val="GesAbsatz"/>
              <w:tabs>
                <w:tab w:val="left" w:pos="1260"/>
              </w:tabs>
              <w:jc w:val="center"/>
            </w:pPr>
            <w:r>
              <w:rPr>
                <w:b/>
                <w:bCs/>
              </w:rPr>
              <w:t>Grenzwert gem. Tab. 4a / 4b</w:t>
            </w:r>
          </w:p>
        </w:tc>
        <w:tc>
          <w:tcPr>
            <w:tcW w:w="1800" w:type="dxa"/>
          </w:tcPr>
          <w:p>
            <w:pPr>
              <w:pStyle w:val="GesAbsatz"/>
              <w:tabs>
                <w:tab w:val="left" w:pos="1260"/>
              </w:tabs>
              <w:jc w:val="center"/>
            </w:pPr>
            <w:r>
              <w:rPr>
                <w:b/>
                <w:bCs/>
              </w:rPr>
              <w:t>Zulässige Überschreitung in %</w:t>
            </w:r>
          </w:p>
        </w:tc>
        <w:tc>
          <w:tcPr>
            <w:tcW w:w="1800" w:type="dxa"/>
          </w:tcPr>
          <w:p>
            <w:pPr>
              <w:pStyle w:val="GesAbsatz"/>
              <w:tabs>
                <w:tab w:val="left" w:pos="1260"/>
              </w:tabs>
              <w:jc w:val="center"/>
            </w:pPr>
            <w:r>
              <w:rPr>
                <w:b/>
                <w:bCs/>
              </w:rPr>
              <w:t>Grenzwert gem. Tab. 4a / 4b</w:t>
            </w:r>
          </w:p>
        </w:tc>
        <w:tc>
          <w:tcPr>
            <w:tcW w:w="1787" w:type="dxa"/>
          </w:tcPr>
          <w:p>
            <w:pPr>
              <w:pStyle w:val="GesAbsatz"/>
              <w:tabs>
                <w:tab w:val="left" w:pos="1260"/>
              </w:tabs>
              <w:jc w:val="center"/>
            </w:pPr>
            <w:r>
              <w:rPr>
                <w:b/>
                <w:bCs/>
              </w:rPr>
              <w:t>Zulässige Überschreitung in %</w:t>
            </w:r>
          </w:p>
        </w:tc>
      </w:tr>
      <w:tr>
        <w:tc>
          <w:tcPr>
            <w:tcW w:w="610" w:type="dxa"/>
          </w:tcPr>
          <w:p>
            <w:pPr>
              <w:pStyle w:val="GesAbsatz"/>
              <w:tabs>
                <w:tab w:val="left" w:pos="1260"/>
              </w:tabs>
            </w:pPr>
            <w:r>
              <w:t>1</w:t>
            </w:r>
          </w:p>
        </w:tc>
        <w:tc>
          <w:tcPr>
            <w:tcW w:w="1800" w:type="dxa"/>
          </w:tcPr>
          <w:p>
            <w:pPr>
              <w:pStyle w:val="GesAbsatz"/>
              <w:tabs>
                <w:tab w:val="left" w:pos="1260"/>
              </w:tabs>
              <w:rPr>
                <w:b/>
                <w:bCs/>
              </w:rPr>
            </w:pPr>
            <w:r>
              <w:t xml:space="preserve">Sulfat </w:t>
            </w:r>
            <w:r>
              <w:br/>
              <w:t>Chlorid</w:t>
            </w:r>
          </w:p>
        </w:tc>
        <w:tc>
          <w:tcPr>
            <w:tcW w:w="1980" w:type="dxa"/>
          </w:tcPr>
          <w:p>
            <w:pPr>
              <w:pStyle w:val="GesAbsatz"/>
              <w:tabs>
                <w:tab w:val="left" w:pos="1260"/>
              </w:tabs>
              <w:jc w:val="center"/>
            </w:pPr>
            <w:r>
              <w:br/>
            </w:r>
            <w:r>
              <w:rPr>
                <w:rFonts w:ascii="Symbol" w:hAnsi="Symbol"/>
              </w:rPr>
              <w:t></w:t>
            </w:r>
            <w:r>
              <w:t xml:space="preserve"> 150</w:t>
            </w:r>
          </w:p>
        </w:tc>
        <w:tc>
          <w:tcPr>
            <w:tcW w:w="1800" w:type="dxa"/>
          </w:tcPr>
          <w:p>
            <w:pPr>
              <w:pStyle w:val="GesAbsatz"/>
              <w:tabs>
                <w:tab w:val="left" w:pos="1260"/>
              </w:tabs>
              <w:jc w:val="center"/>
            </w:pPr>
            <w:r>
              <w:br/>
              <w:t>10</w:t>
            </w:r>
          </w:p>
        </w:tc>
        <w:tc>
          <w:tcPr>
            <w:tcW w:w="1800" w:type="dxa"/>
          </w:tcPr>
          <w:p>
            <w:pPr>
              <w:pStyle w:val="GesAbsatz"/>
              <w:tabs>
                <w:tab w:val="left" w:pos="1260"/>
              </w:tabs>
              <w:jc w:val="center"/>
            </w:pPr>
            <w:r>
              <w:t>&gt;150</w:t>
            </w:r>
            <w:r>
              <w:br/>
              <w:t>&gt;150</w:t>
            </w:r>
          </w:p>
        </w:tc>
        <w:tc>
          <w:tcPr>
            <w:tcW w:w="1787" w:type="dxa"/>
          </w:tcPr>
          <w:p>
            <w:pPr>
              <w:pStyle w:val="GesAbsatz"/>
              <w:tabs>
                <w:tab w:val="left" w:pos="1260"/>
              </w:tabs>
              <w:jc w:val="center"/>
            </w:pPr>
            <w:r>
              <w:t>5</w:t>
            </w:r>
            <w:r>
              <w:br/>
              <w:t>5</w:t>
            </w:r>
          </w:p>
        </w:tc>
      </w:tr>
      <w:tr>
        <w:tc>
          <w:tcPr>
            <w:tcW w:w="610" w:type="dxa"/>
          </w:tcPr>
          <w:p>
            <w:pPr>
              <w:pStyle w:val="GesAbsatz"/>
              <w:tabs>
                <w:tab w:val="left" w:pos="1260"/>
              </w:tabs>
            </w:pPr>
            <w:r>
              <w:t>2</w:t>
            </w:r>
          </w:p>
        </w:tc>
        <w:tc>
          <w:tcPr>
            <w:tcW w:w="1800" w:type="dxa"/>
          </w:tcPr>
          <w:p>
            <w:pPr>
              <w:pStyle w:val="GesAbsatz"/>
              <w:tabs>
                <w:tab w:val="left" w:pos="1260"/>
              </w:tabs>
              <w:rPr>
                <w:b/>
                <w:bCs/>
              </w:rPr>
            </w:pPr>
            <w:r>
              <w:t>El. Leitfähigkeit</w:t>
            </w:r>
          </w:p>
        </w:tc>
        <w:tc>
          <w:tcPr>
            <w:tcW w:w="1980" w:type="dxa"/>
          </w:tcPr>
          <w:p>
            <w:pPr>
              <w:pStyle w:val="GesAbsatz"/>
              <w:tabs>
                <w:tab w:val="left" w:pos="1260"/>
              </w:tabs>
              <w:jc w:val="center"/>
            </w:pPr>
          </w:p>
        </w:tc>
        <w:tc>
          <w:tcPr>
            <w:tcW w:w="1800" w:type="dxa"/>
          </w:tcPr>
          <w:p>
            <w:pPr>
              <w:pStyle w:val="GesAbsatz"/>
              <w:tabs>
                <w:tab w:val="left" w:pos="1260"/>
              </w:tabs>
              <w:jc w:val="center"/>
            </w:pPr>
          </w:p>
        </w:tc>
        <w:tc>
          <w:tcPr>
            <w:tcW w:w="1800" w:type="dxa"/>
          </w:tcPr>
          <w:p>
            <w:pPr>
              <w:pStyle w:val="GesAbsatz"/>
              <w:tabs>
                <w:tab w:val="left" w:pos="1260"/>
              </w:tabs>
              <w:jc w:val="center"/>
            </w:pPr>
            <w:r>
              <w:t>&gt;1000</w:t>
            </w:r>
          </w:p>
        </w:tc>
        <w:tc>
          <w:tcPr>
            <w:tcW w:w="1787" w:type="dxa"/>
          </w:tcPr>
          <w:p>
            <w:pPr>
              <w:pStyle w:val="GesAbsatz"/>
              <w:tabs>
                <w:tab w:val="left" w:pos="1260"/>
              </w:tabs>
              <w:jc w:val="center"/>
            </w:pPr>
            <w:r>
              <w:t>5</w:t>
            </w:r>
          </w:p>
        </w:tc>
      </w:tr>
      <w:tr>
        <w:tc>
          <w:tcPr>
            <w:tcW w:w="610" w:type="dxa"/>
          </w:tcPr>
          <w:p>
            <w:pPr>
              <w:pStyle w:val="GesAbsatz"/>
              <w:tabs>
                <w:tab w:val="left" w:pos="1260"/>
              </w:tabs>
            </w:pPr>
            <w:r>
              <w:t>3</w:t>
            </w:r>
          </w:p>
        </w:tc>
        <w:tc>
          <w:tcPr>
            <w:tcW w:w="1800" w:type="dxa"/>
          </w:tcPr>
          <w:p>
            <w:pPr>
              <w:pStyle w:val="GesAbsatz"/>
              <w:tabs>
                <w:tab w:val="left" w:pos="1260"/>
              </w:tabs>
              <w:rPr>
                <w:b/>
                <w:bCs/>
              </w:rPr>
            </w:pPr>
            <w:r>
              <w:t>Metalle/Metalloide</w:t>
            </w:r>
          </w:p>
        </w:tc>
        <w:tc>
          <w:tcPr>
            <w:tcW w:w="1980" w:type="dxa"/>
          </w:tcPr>
          <w:p>
            <w:pPr>
              <w:pStyle w:val="GesAbsatz"/>
              <w:tabs>
                <w:tab w:val="left" w:pos="1260"/>
              </w:tabs>
              <w:jc w:val="center"/>
            </w:pPr>
            <w:r>
              <w:rPr>
                <w:rFonts w:ascii="Symbol" w:hAnsi="Symbol"/>
              </w:rPr>
              <w:t></w:t>
            </w:r>
            <w:r>
              <w:t xml:space="preserve"> 100</w:t>
            </w:r>
          </w:p>
        </w:tc>
        <w:tc>
          <w:tcPr>
            <w:tcW w:w="1800" w:type="dxa"/>
          </w:tcPr>
          <w:p>
            <w:pPr>
              <w:pStyle w:val="GesAbsatz"/>
              <w:tabs>
                <w:tab w:val="left" w:pos="1260"/>
              </w:tabs>
              <w:jc w:val="center"/>
            </w:pPr>
            <w:r>
              <w:t>20</w:t>
            </w:r>
          </w:p>
        </w:tc>
        <w:tc>
          <w:tcPr>
            <w:tcW w:w="1800" w:type="dxa"/>
          </w:tcPr>
          <w:p>
            <w:pPr>
              <w:pStyle w:val="GesAbsatz"/>
              <w:tabs>
                <w:tab w:val="left" w:pos="1260"/>
              </w:tabs>
              <w:jc w:val="center"/>
            </w:pPr>
            <w:r>
              <w:t>&gt;100</w:t>
            </w:r>
          </w:p>
        </w:tc>
        <w:tc>
          <w:tcPr>
            <w:tcW w:w="1787" w:type="dxa"/>
          </w:tcPr>
          <w:p>
            <w:pPr>
              <w:pStyle w:val="GesAbsatz"/>
              <w:tabs>
                <w:tab w:val="left" w:pos="1260"/>
              </w:tabs>
              <w:jc w:val="center"/>
            </w:pPr>
            <w:r>
              <w:t>10</w:t>
            </w:r>
          </w:p>
        </w:tc>
      </w:tr>
      <w:tr>
        <w:tc>
          <w:tcPr>
            <w:tcW w:w="610" w:type="dxa"/>
          </w:tcPr>
          <w:p>
            <w:pPr>
              <w:pStyle w:val="GesAbsatz"/>
              <w:tabs>
                <w:tab w:val="left" w:pos="1260"/>
              </w:tabs>
            </w:pPr>
            <w:r>
              <w:t>4</w:t>
            </w:r>
          </w:p>
        </w:tc>
        <w:tc>
          <w:tcPr>
            <w:tcW w:w="1800" w:type="dxa"/>
          </w:tcPr>
          <w:p>
            <w:pPr>
              <w:pStyle w:val="GesAbsatz"/>
              <w:tabs>
                <w:tab w:val="left" w:pos="1260"/>
              </w:tabs>
              <w:rPr>
                <w:b/>
                <w:bCs/>
              </w:rPr>
            </w:pPr>
            <w:r>
              <w:t>TOC</w:t>
            </w:r>
            <w:r>
              <w:br/>
              <w:t>EOX</w:t>
            </w:r>
          </w:p>
        </w:tc>
        <w:tc>
          <w:tcPr>
            <w:tcW w:w="1980" w:type="dxa"/>
          </w:tcPr>
          <w:p>
            <w:pPr>
              <w:pStyle w:val="GesAbsatz"/>
              <w:tabs>
                <w:tab w:val="left" w:pos="1260"/>
              </w:tabs>
              <w:jc w:val="center"/>
            </w:pPr>
            <w:r>
              <w:t>3</w:t>
            </w:r>
          </w:p>
        </w:tc>
        <w:tc>
          <w:tcPr>
            <w:tcW w:w="1800" w:type="dxa"/>
          </w:tcPr>
          <w:p>
            <w:pPr>
              <w:pStyle w:val="GesAbsatz"/>
              <w:tabs>
                <w:tab w:val="left" w:pos="1260"/>
              </w:tabs>
              <w:jc w:val="center"/>
            </w:pPr>
            <w:r>
              <w:t>10</w:t>
            </w:r>
          </w:p>
        </w:tc>
        <w:tc>
          <w:tcPr>
            <w:tcW w:w="1800" w:type="dxa"/>
          </w:tcPr>
          <w:p>
            <w:pPr>
              <w:pStyle w:val="GesAbsatz"/>
              <w:tabs>
                <w:tab w:val="left" w:pos="1260"/>
              </w:tabs>
              <w:jc w:val="center"/>
            </w:pPr>
          </w:p>
        </w:tc>
        <w:tc>
          <w:tcPr>
            <w:tcW w:w="1787" w:type="dxa"/>
          </w:tcPr>
          <w:p>
            <w:pPr>
              <w:pStyle w:val="GesAbsatz"/>
              <w:tabs>
                <w:tab w:val="left" w:pos="1260"/>
              </w:tabs>
              <w:jc w:val="center"/>
            </w:pPr>
          </w:p>
        </w:tc>
      </w:tr>
    </w:tbl>
    <w:p>
      <w:pPr>
        <w:pStyle w:val="GesAbsatz"/>
        <w:tabs>
          <w:tab w:val="left" w:pos="1260"/>
        </w:tabs>
      </w:pPr>
    </w:p>
    <w:p>
      <w:pPr>
        <w:pStyle w:val="GesAbsatz"/>
      </w:pPr>
    </w:p>
    <w:p>
      <w:pPr>
        <w:pStyle w:val="GesAbsatz"/>
        <w:rPr>
          <w:rFonts w:eastAsia="Arial Unicode MS"/>
          <w:sz w:val="24"/>
          <w:szCs w:val="24"/>
        </w:rPr>
      </w:pPr>
      <w:r>
        <w:rPr>
          <w:sz w:val="24"/>
          <w:szCs w:val="24"/>
        </w:rPr>
        <w:lastRenderedPageBreak/>
        <w:t>Bild 1:</w:t>
      </w:r>
      <w:r>
        <w:rPr>
          <w:sz w:val="24"/>
          <w:szCs w:val="24"/>
        </w:rPr>
        <w:tab/>
        <w:t xml:space="preserve">Damm, Anspritzung mit Bitumenemulsion und Abdeckung mit kulturfähigem Boden </w:t>
      </w:r>
    </w:p>
    <w:p>
      <w:pPr>
        <w:jc w:val="center"/>
      </w:pPr>
      <w:r>
        <w:rPr>
          <w:noProof/>
        </w:rPr>
        <w:drawing>
          <wp:inline distT="0" distB="0" distL="0" distR="0">
            <wp:extent cx="5151120" cy="2438400"/>
            <wp:effectExtent l="0" t="0" r="0" b="0"/>
            <wp:docPr id="1" name="Bild 1" descr="msin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ind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1120" cy="2438400"/>
                    </a:xfrm>
                    <a:prstGeom prst="rect">
                      <a:avLst/>
                    </a:prstGeom>
                    <a:noFill/>
                    <a:ln>
                      <a:noFill/>
                    </a:ln>
                  </pic:spPr>
                </pic:pic>
              </a:graphicData>
            </a:graphic>
          </wp:inline>
        </w:drawing>
      </w:r>
    </w:p>
    <w:p>
      <w:pPr>
        <w:jc w:val="center"/>
      </w:pPr>
    </w:p>
    <w:p>
      <w:pPr>
        <w:pStyle w:val="GesAbsatz"/>
        <w:rPr>
          <w:rFonts w:eastAsia="Arial Unicode MS"/>
          <w:sz w:val="24"/>
          <w:szCs w:val="24"/>
        </w:rPr>
      </w:pPr>
      <w:r>
        <w:rPr>
          <w:sz w:val="24"/>
          <w:szCs w:val="24"/>
        </w:rPr>
        <w:t>Bild 2:</w:t>
      </w:r>
      <w:r>
        <w:rPr>
          <w:sz w:val="24"/>
          <w:szCs w:val="24"/>
        </w:rPr>
        <w:tab/>
        <w:t xml:space="preserve">Damm, Abdeckung mit natürlichem/kulturfähigem Boden </w:t>
      </w:r>
    </w:p>
    <w:p>
      <w:pPr>
        <w:jc w:val="center"/>
      </w:pPr>
      <w:r>
        <w:rPr>
          <w:noProof/>
        </w:rPr>
        <w:drawing>
          <wp:inline distT="0" distB="0" distL="0" distR="0">
            <wp:extent cx="5128260" cy="2278380"/>
            <wp:effectExtent l="0" t="0" r="0" b="0"/>
            <wp:docPr id="2" name="Bild 2" descr="msind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indb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8260" cy="2278380"/>
                    </a:xfrm>
                    <a:prstGeom prst="rect">
                      <a:avLst/>
                    </a:prstGeom>
                    <a:noFill/>
                    <a:ln>
                      <a:noFill/>
                    </a:ln>
                  </pic:spPr>
                </pic:pic>
              </a:graphicData>
            </a:graphic>
          </wp:inline>
        </w:drawing>
      </w:r>
    </w:p>
    <w:p>
      <w:pPr>
        <w:pStyle w:val="GesAbsatz"/>
        <w:ind w:left="709" w:hanging="709"/>
        <w:rPr>
          <w:rFonts w:eastAsia="Arial Unicode MS"/>
          <w:sz w:val="24"/>
          <w:szCs w:val="24"/>
        </w:rPr>
      </w:pPr>
      <w:r>
        <w:br w:type="page"/>
      </w:r>
      <w:r>
        <w:rPr>
          <w:sz w:val="24"/>
          <w:szCs w:val="24"/>
        </w:rPr>
        <w:lastRenderedPageBreak/>
        <w:t>Bild 3:</w:t>
      </w:r>
      <w:r>
        <w:rPr>
          <w:sz w:val="24"/>
          <w:szCs w:val="24"/>
        </w:rPr>
        <w:tab/>
        <w:t xml:space="preserve">Damm, Anspritzungen mit Bitumenemulsion und Abdeckung mit natürlichem/kulturfähigem Boden </w:t>
      </w:r>
    </w:p>
    <w:p>
      <w:pPr>
        <w:jc w:val="center"/>
      </w:pPr>
      <w:r>
        <w:rPr>
          <w:noProof/>
        </w:rPr>
        <w:drawing>
          <wp:inline distT="0" distB="0" distL="0" distR="0">
            <wp:extent cx="4762500" cy="2461260"/>
            <wp:effectExtent l="0" t="0" r="0" b="0"/>
            <wp:docPr id="3" name="Bild 3" descr="msind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indb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2461260"/>
                    </a:xfrm>
                    <a:prstGeom prst="rect">
                      <a:avLst/>
                    </a:prstGeom>
                    <a:noFill/>
                    <a:ln>
                      <a:noFill/>
                    </a:ln>
                  </pic:spPr>
                </pic:pic>
              </a:graphicData>
            </a:graphic>
          </wp:inline>
        </w:drawing>
      </w:r>
    </w:p>
    <w:p>
      <w:pPr>
        <w:jc w:val="center"/>
      </w:pPr>
    </w:p>
    <w:p>
      <w:pPr>
        <w:pStyle w:val="GesAbsatz"/>
        <w:ind w:left="709" w:hanging="709"/>
        <w:rPr>
          <w:sz w:val="24"/>
          <w:szCs w:val="24"/>
        </w:rPr>
      </w:pPr>
      <w:r>
        <w:rPr>
          <w:sz w:val="24"/>
          <w:szCs w:val="24"/>
        </w:rPr>
        <w:t>Bild 4:</w:t>
      </w:r>
      <w:r>
        <w:rPr>
          <w:sz w:val="24"/>
          <w:szCs w:val="24"/>
        </w:rPr>
        <w:tab/>
        <w:t xml:space="preserve">Lärmschutzwall, Anspritzung mit Bitumenemulsion und Abdeckung mit natürlichem/kulturfähigem Boden </w:t>
      </w:r>
    </w:p>
    <w:p>
      <w:pPr>
        <w:jc w:val="center"/>
      </w:pPr>
      <w:r>
        <w:rPr>
          <w:noProof/>
        </w:rPr>
        <w:drawing>
          <wp:inline distT="0" distB="0" distL="0" distR="0">
            <wp:extent cx="4533900" cy="2004060"/>
            <wp:effectExtent l="0" t="0" r="0" b="0"/>
            <wp:docPr id="4" name="Bild 4" descr="msind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indb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33900" cy="2004060"/>
                    </a:xfrm>
                    <a:prstGeom prst="rect">
                      <a:avLst/>
                    </a:prstGeom>
                    <a:noFill/>
                    <a:ln>
                      <a:noFill/>
                    </a:ln>
                  </pic:spPr>
                </pic:pic>
              </a:graphicData>
            </a:graphic>
          </wp:inline>
        </w:drawing>
      </w:r>
    </w:p>
    <w:p>
      <w:pPr>
        <w:pStyle w:val="GesAbsatz"/>
        <w:tabs>
          <w:tab w:val="clear" w:pos="425"/>
        </w:tabs>
        <w:ind w:left="709" w:hanging="709"/>
        <w:rPr>
          <w:sz w:val="24"/>
          <w:szCs w:val="24"/>
        </w:rPr>
      </w:pPr>
      <w:r>
        <w:br w:type="page"/>
      </w:r>
      <w:r>
        <w:rPr>
          <w:bCs/>
          <w:sz w:val="24"/>
          <w:szCs w:val="24"/>
        </w:rPr>
        <w:lastRenderedPageBreak/>
        <w:t>Bild 5:</w:t>
      </w:r>
      <w:r>
        <w:rPr>
          <w:bCs/>
          <w:sz w:val="24"/>
          <w:szCs w:val="24"/>
        </w:rPr>
        <w:tab/>
      </w:r>
      <w:r>
        <w:rPr>
          <w:sz w:val="24"/>
          <w:szCs w:val="24"/>
        </w:rPr>
        <w:t xml:space="preserve">Lärmschutzwall, Abdeckung mit bedingtem Boden und natürlichem/kulturfähigem Boden </w:t>
      </w:r>
    </w:p>
    <w:p>
      <w:pPr>
        <w:jc w:val="center"/>
      </w:pPr>
      <w:r>
        <w:rPr>
          <w:noProof/>
        </w:rPr>
        <w:drawing>
          <wp:inline distT="0" distB="0" distL="0" distR="0">
            <wp:extent cx="4419600" cy="2179320"/>
            <wp:effectExtent l="0" t="0" r="0" b="0"/>
            <wp:docPr id="5" name="Bild 5" descr="msind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sindb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9600" cy="2179320"/>
                    </a:xfrm>
                    <a:prstGeom prst="rect">
                      <a:avLst/>
                    </a:prstGeom>
                    <a:noFill/>
                    <a:ln>
                      <a:noFill/>
                    </a:ln>
                  </pic:spPr>
                </pic:pic>
              </a:graphicData>
            </a:graphic>
          </wp:inline>
        </w:drawing>
      </w:r>
    </w:p>
    <w:sectPr>
      <w:pgSz w:w="11906" w:h="16838" w:code="9"/>
      <w:pgMar w:top="1418"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09.10.2001 (MBl. NRW. S. 1508)</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Archiv4.64</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3DD3"/>
    <w:multiLevelType w:val="hybridMultilevel"/>
    <w:tmpl w:val="0308BE52"/>
    <w:lvl w:ilvl="0" w:tplc="EBA25034">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460DB4"/>
    <w:multiLevelType w:val="hybridMultilevel"/>
    <w:tmpl w:val="E732144C"/>
    <w:lvl w:ilvl="0" w:tplc="1046C5FA">
      <w:numFmt w:val="bullet"/>
      <w:lvlText w:val="-"/>
      <w:lvlJc w:val="left"/>
      <w:pPr>
        <w:tabs>
          <w:tab w:val="num" w:pos="720"/>
        </w:tabs>
        <w:ind w:left="720" w:hanging="360"/>
      </w:pPr>
      <w:rPr>
        <w:rFonts w:ascii="Arial" w:eastAsia="Times New Roman" w:hAnsi="Aria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2230FE"/>
    <w:multiLevelType w:val="hybridMultilevel"/>
    <w:tmpl w:val="1DD25606"/>
    <w:lvl w:ilvl="0" w:tplc="AD08AED8">
      <w:numFmt w:val="bullet"/>
      <w:lvlText w:val="-"/>
      <w:lvlJc w:val="left"/>
      <w:pPr>
        <w:tabs>
          <w:tab w:val="num" w:pos="780"/>
        </w:tabs>
        <w:ind w:left="780" w:hanging="42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03134"/>
    <w:multiLevelType w:val="hybridMultilevel"/>
    <w:tmpl w:val="F6A4A7CE"/>
    <w:lvl w:ilvl="0" w:tplc="EBA25034">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814FEE"/>
    <w:multiLevelType w:val="hybridMultilevel"/>
    <w:tmpl w:val="20941966"/>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4F115F7"/>
    <w:multiLevelType w:val="hybridMultilevel"/>
    <w:tmpl w:val="D19A9352"/>
    <w:lvl w:ilvl="0" w:tplc="58D44520">
      <w:start w:val="1"/>
      <w:numFmt w:val="bullet"/>
      <w:lvlText w:val=""/>
      <w:lvlJc w:val="left"/>
      <w:pPr>
        <w:tabs>
          <w:tab w:val="num" w:pos="720"/>
        </w:tabs>
        <w:ind w:left="720" w:hanging="360"/>
      </w:pPr>
      <w:rPr>
        <w:rFonts w:ascii="Symbol" w:hAnsi="Symbol" w:hint="default"/>
        <w:sz w:val="20"/>
      </w:rPr>
    </w:lvl>
    <w:lvl w:ilvl="1" w:tplc="70E0D538" w:tentative="1">
      <w:start w:val="1"/>
      <w:numFmt w:val="bullet"/>
      <w:lvlText w:val="o"/>
      <w:lvlJc w:val="left"/>
      <w:pPr>
        <w:tabs>
          <w:tab w:val="num" w:pos="1440"/>
        </w:tabs>
        <w:ind w:left="1440" w:hanging="360"/>
      </w:pPr>
      <w:rPr>
        <w:rFonts w:ascii="Courier New" w:hAnsi="Courier New" w:hint="default"/>
        <w:sz w:val="20"/>
      </w:rPr>
    </w:lvl>
    <w:lvl w:ilvl="2" w:tplc="7AC089C8" w:tentative="1">
      <w:start w:val="1"/>
      <w:numFmt w:val="bullet"/>
      <w:lvlText w:val=""/>
      <w:lvlJc w:val="left"/>
      <w:pPr>
        <w:tabs>
          <w:tab w:val="num" w:pos="2160"/>
        </w:tabs>
        <w:ind w:left="2160" w:hanging="360"/>
      </w:pPr>
      <w:rPr>
        <w:rFonts w:ascii="Wingdings" w:hAnsi="Wingdings" w:hint="default"/>
        <w:sz w:val="20"/>
      </w:rPr>
    </w:lvl>
    <w:lvl w:ilvl="3" w:tplc="44001FA0" w:tentative="1">
      <w:start w:val="1"/>
      <w:numFmt w:val="bullet"/>
      <w:lvlText w:val=""/>
      <w:lvlJc w:val="left"/>
      <w:pPr>
        <w:tabs>
          <w:tab w:val="num" w:pos="2880"/>
        </w:tabs>
        <w:ind w:left="2880" w:hanging="360"/>
      </w:pPr>
      <w:rPr>
        <w:rFonts w:ascii="Wingdings" w:hAnsi="Wingdings" w:hint="default"/>
        <w:sz w:val="20"/>
      </w:rPr>
    </w:lvl>
    <w:lvl w:ilvl="4" w:tplc="8CFE6E44" w:tentative="1">
      <w:start w:val="1"/>
      <w:numFmt w:val="bullet"/>
      <w:lvlText w:val=""/>
      <w:lvlJc w:val="left"/>
      <w:pPr>
        <w:tabs>
          <w:tab w:val="num" w:pos="3600"/>
        </w:tabs>
        <w:ind w:left="3600" w:hanging="360"/>
      </w:pPr>
      <w:rPr>
        <w:rFonts w:ascii="Wingdings" w:hAnsi="Wingdings" w:hint="default"/>
        <w:sz w:val="20"/>
      </w:rPr>
    </w:lvl>
    <w:lvl w:ilvl="5" w:tplc="A588E15C" w:tentative="1">
      <w:start w:val="1"/>
      <w:numFmt w:val="bullet"/>
      <w:lvlText w:val=""/>
      <w:lvlJc w:val="left"/>
      <w:pPr>
        <w:tabs>
          <w:tab w:val="num" w:pos="4320"/>
        </w:tabs>
        <w:ind w:left="4320" w:hanging="360"/>
      </w:pPr>
      <w:rPr>
        <w:rFonts w:ascii="Wingdings" w:hAnsi="Wingdings" w:hint="default"/>
        <w:sz w:val="20"/>
      </w:rPr>
    </w:lvl>
    <w:lvl w:ilvl="6" w:tplc="2BA8318C" w:tentative="1">
      <w:start w:val="1"/>
      <w:numFmt w:val="bullet"/>
      <w:lvlText w:val=""/>
      <w:lvlJc w:val="left"/>
      <w:pPr>
        <w:tabs>
          <w:tab w:val="num" w:pos="5040"/>
        </w:tabs>
        <w:ind w:left="5040" w:hanging="360"/>
      </w:pPr>
      <w:rPr>
        <w:rFonts w:ascii="Wingdings" w:hAnsi="Wingdings" w:hint="default"/>
        <w:sz w:val="20"/>
      </w:rPr>
    </w:lvl>
    <w:lvl w:ilvl="7" w:tplc="5540DB1E" w:tentative="1">
      <w:start w:val="1"/>
      <w:numFmt w:val="bullet"/>
      <w:lvlText w:val=""/>
      <w:lvlJc w:val="left"/>
      <w:pPr>
        <w:tabs>
          <w:tab w:val="num" w:pos="5760"/>
        </w:tabs>
        <w:ind w:left="5760" w:hanging="360"/>
      </w:pPr>
      <w:rPr>
        <w:rFonts w:ascii="Wingdings" w:hAnsi="Wingdings" w:hint="default"/>
        <w:sz w:val="20"/>
      </w:rPr>
    </w:lvl>
    <w:lvl w:ilvl="8" w:tplc="C5446B0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7660E0"/>
    <w:multiLevelType w:val="hybridMultilevel"/>
    <w:tmpl w:val="F07448D6"/>
    <w:lvl w:ilvl="0" w:tplc="D42E9CC6">
      <w:numFmt w:val="bullet"/>
      <w:lvlText w:val="-"/>
      <w:lvlJc w:val="left"/>
      <w:pPr>
        <w:tabs>
          <w:tab w:val="num" w:pos="780"/>
        </w:tabs>
        <w:ind w:left="780" w:hanging="42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EC16B2"/>
    <w:multiLevelType w:val="hybridMultilevel"/>
    <w:tmpl w:val="A9DA947E"/>
    <w:lvl w:ilvl="0" w:tplc="BC3E345A">
      <w:numFmt w:val="bullet"/>
      <w:lvlText w:val="-"/>
      <w:lvlJc w:val="left"/>
      <w:pPr>
        <w:tabs>
          <w:tab w:val="num" w:pos="780"/>
        </w:tabs>
        <w:ind w:left="780" w:hanging="42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412682"/>
    <w:multiLevelType w:val="hybridMultilevel"/>
    <w:tmpl w:val="2A7E9490"/>
    <w:lvl w:ilvl="0" w:tplc="EBA25034">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BA3A83"/>
    <w:multiLevelType w:val="hybridMultilevel"/>
    <w:tmpl w:val="F6A4A7CE"/>
    <w:lvl w:ilvl="0" w:tplc="DA2C8744">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ED5952"/>
    <w:multiLevelType w:val="hybridMultilevel"/>
    <w:tmpl w:val="D89A49A0"/>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1" w15:restartNumberingAfterBreak="0">
    <w:nsid w:val="64D21A64"/>
    <w:multiLevelType w:val="hybridMultilevel"/>
    <w:tmpl w:val="52920900"/>
    <w:lvl w:ilvl="0" w:tplc="EBA25034">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5A3E92"/>
    <w:multiLevelType w:val="hybridMultilevel"/>
    <w:tmpl w:val="7FD0DCAC"/>
    <w:lvl w:ilvl="0" w:tplc="35CAD866">
      <w:numFmt w:val="bullet"/>
      <w:lvlText w:val="-"/>
      <w:lvlJc w:val="left"/>
      <w:pPr>
        <w:tabs>
          <w:tab w:val="num" w:pos="780"/>
        </w:tabs>
        <w:ind w:left="780" w:hanging="42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9A428B"/>
    <w:multiLevelType w:val="hybridMultilevel"/>
    <w:tmpl w:val="3D486D2E"/>
    <w:lvl w:ilvl="0" w:tplc="E256B0FE">
      <w:start w:val="1"/>
      <w:numFmt w:val="bullet"/>
      <w:lvlText w:val=""/>
      <w:lvlJc w:val="left"/>
      <w:pPr>
        <w:tabs>
          <w:tab w:val="num" w:pos="720"/>
        </w:tabs>
        <w:ind w:left="720" w:hanging="360"/>
      </w:pPr>
      <w:rPr>
        <w:rFonts w:ascii="Symbol" w:hAnsi="Symbol" w:hint="default"/>
        <w:sz w:val="20"/>
      </w:rPr>
    </w:lvl>
    <w:lvl w:ilvl="1" w:tplc="A83A61D4" w:tentative="1">
      <w:start w:val="1"/>
      <w:numFmt w:val="bullet"/>
      <w:lvlText w:val="o"/>
      <w:lvlJc w:val="left"/>
      <w:pPr>
        <w:tabs>
          <w:tab w:val="num" w:pos="1440"/>
        </w:tabs>
        <w:ind w:left="1440" w:hanging="360"/>
      </w:pPr>
      <w:rPr>
        <w:rFonts w:ascii="Courier New" w:hAnsi="Courier New" w:hint="default"/>
        <w:sz w:val="20"/>
      </w:rPr>
    </w:lvl>
    <w:lvl w:ilvl="2" w:tplc="667058A0" w:tentative="1">
      <w:start w:val="1"/>
      <w:numFmt w:val="bullet"/>
      <w:lvlText w:val=""/>
      <w:lvlJc w:val="left"/>
      <w:pPr>
        <w:tabs>
          <w:tab w:val="num" w:pos="2160"/>
        </w:tabs>
        <w:ind w:left="2160" w:hanging="360"/>
      </w:pPr>
      <w:rPr>
        <w:rFonts w:ascii="Wingdings" w:hAnsi="Wingdings" w:hint="default"/>
        <w:sz w:val="20"/>
      </w:rPr>
    </w:lvl>
    <w:lvl w:ilvl="3" w:tplc="6046DF82" w:tentative="1">
      <w:start w:val="1"/>
      <w:numFmt w:val="bullet"/>
      <w:lvlText w:val=""/>
      <w:lvlJc w:val="left"/>
      <w:pPr>
        <w:tabs>
          <w:tab w:val="num" w:pos="2880"/>
        </w:tabs>
        <w:ind w:left="2880" w:hanging="360"/>
      </w:pPr>
      <w:rPr>
        <w:rFonts w:ascii="Wingdings" w:hAnsi="Wingdings" w:hint="default"/>
        <w:sz w:val="20"/>
      </w:rPr>
    </w:lvl>
    <w:lvl w:ilvl="4" w:tplc="30164A44" w:tentative="1">
      <w:start w:val="1"/>
      <w:numFmt w:val="bullet"/>
      <w:lvlText w:val=""/>
      <w:lvlJc w:val="left"/>
      <w:pPr>
        <w:tabs>
          <w:tab w:val="num" w:pos="3600"/>
        </w:tabs>
        <w:ind w:left="3600" w:hanging="360"/>
      </w:pPr>
      <w:rPr>
        <w:rFonts w:ascii="Wingdings" w:hAnsi="Wingdings" w:hint="default"/>
        <w:sz w:val="20"/>
      </w:rPr>
    </w:lvl>
    <w:lvl w:ilvl="5" w:tplc="8CEA5C74" w:tentative="1">
      <w:start w:val="1"/>
      <w:numFmt w:val="bullet"/>
      <w:lvlText w:val=""/>
      <w:lvlJc w:val="left"/>
      <w:pPr>
        <w:tabs>
          <w:tab w:val="num" w:pos="4320"/>
        </w:tabs>
        <w:ind w:left="4320" w:hanging="360"/>
      </w:pPr>
      <w:rPr>
        <w:rFonts w:ascii="Wingdings" w:hAnsi="Wingdings" w:hint="default"/>
        <w:sz w:val="20"/>
      </w:rPr>
    </w:lvl>
    <w:lvl w:ilvl="6" w:tplc="4EB4DC56" w:tentative="1">
      <w:start w:val="1"/>
      <w:numFmt w:val="bullet"/>
      <w:lvlText w:val=""/>
      <w:lvlJc w:val="left"/>
      <w:pPr>
        <w:tabs>
          <w:tab w:val="num" w:pos="5040"/>
        </w:tabs>
        <w:ind w:left="5040" w:hanging="360"/>
      </w:pPr>
      <w:rPr>
        <w:rFonts w:ascii="Wingdings" w:hAnsi="Wingdings" w:hint="default"/>
        <w:sz w:val="20"/>
      </w:rPr>
    </w:lvl>
    <w:lvl w:ilvl="7" w:tplc="912E189C" w:tentative="1">
      <w:start w:val="1"/>
      <w:numFmt w:val="bullet"/>
      <w:lvlText w:val=""/>
      <w:lvlJc w:val="left"/>
      <w:pPr>
        <w:tabs>
          <w:tab w:val="num" w:pos="5760"/>
        </w:tabs>
        <w:ind w:left="5760" w:hanging="360"/>
      </w:pPr>
      <w:rPr>
        <w:rFonts w:ascii="Wingdings" w:hAnsi="Wingdings" w:hint="default"/>
        <w:sz w:val="20"/>
      </w:rPr>
    </w:lvl>
    <w:lvl w:ilvl="8" w:tplc="7B46A522"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075D0A"/>
    <w:multiLevelType w:val="hybridMultilevel"/>
    <w:tmpl w:val="0D5AABB8"/>
    <w:lvl w:ilvl="0" w:tplc="EBA25034">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3"/>
  </w:num>
  <w:num w:numId="4">
    <w:abstractNumId w:val="11"/>
  </w:num>
  <w:num w:numId="5">
    <w:abstractNumId w:val="0"/>
  </w:num>
  <w:num w:numId="6">
    <w:abstractNumId w:val="13"/>
  </w:num>
  <w:num w:numId="7">
    <w:abstractNumId w:val="5"/>
  </w:num>
  <w:num w:numId="8">
    <w:abstractNumId w:val="8"/>
  </w:num>
  <w:num w:numId="9">
    <w:abstractNumId w:val="14"/>
  </w:num>
  <w:num w:numId="10">
    <w:abstractNumId w:val="4"/>
  </w:num>
  <w:num w:numId="11">
    <w:abstractNumId w:val="12"/>
  </w:num>
  <w:num w:numId="12">
    <w:abstractNumId w:val="2"/>
  </w:num>
  <w:num w:numId="13">
    <w:abstractNumId w:val="6"/>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15C5DF-D1BA-478C-B115-4380A8D5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suchterLink">
    <w:name w:val="FollowedHyperlink"/>
    <w:rPr>
      <w:color w:val="800080"/>
      <w:u w:val="single"/>
    </w:rPr>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styleId="Funotentext">
    <w:name w:val="footnote text"/>
    <w:basedOn w:val="Standard"/>
    <w:link w:val="FunotentextZchn"/>
    <w:qFormat/>
    <w:pPr>
      <w:spacing w:before="0" w:after="0"/>
    </w:pPr>
    <w:rPr>
      <w:sz w:val="16"/>
    </w:rPr>
  </w:style>
  <w:style w:type="character" w:customStyle="1" w:styleId="FunotentextZchn">
    <w:name w:val="Fußnotentext Zchn"/>
    <w:basedOn w:val="Absatz-Standardschriftart"/>
    <w:link w:val="Funotentext"/>
    <w:rPr>
      <w:rFonts w:ascii="Arial" w:hAnsi="Arial"/>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character" w:customStyle="1" w:styleId="spelle">
    <w:name w:val="spell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recht.nrw.de/lmi/owa/br_bes_text?anw_nr=1&amp;gld_nr=7&amp;ugl_nr=74&amp;bes_id=1036&amp;val=1036&amp;ver=7&amp;sg=0&amp;aufgehoben=J&amp;menu=1"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17</Pages>
  <Words>4277</Words>
  <Characters>27290</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Anforderungen an die Güteüberwachung und den Einsatz von Hausmüllverbrennungsaschen im Straßen- und Erdbau</vt:lpstr>
    </vt:vector>
  </TitlesOfParts>
  <Company>LUA</Company>
  <LinksUpToDate>false</LinksUpToDate>
  <CharactersWithSpaces>31504</CharactersWithSpaces>
  <SharedDoc>false</SharedDoc>
  <HLinks>
    <vt:vector size="114" baseType="variant">
      <vt:variant>
        <vt:i4>1245240</vt:i4>
      </vt:variant>
      <vt:variant>
        <vt:i4>107</vt:i4>
      </vt:variant>
      <vt:variant>
        <vt:i4>0</vt:i4>
      </vt:variant>
      <vt:variant>
        <vt:i4>5</vt:i4>
      </vt:variant>
      <vt:variant>
        <vt:lpwstr/>
      </vt:variant>
      <vt:variant>
        <vt:lpwstr>_Toc235867981</vt:lpwstr>
      </vt:variant>
      <vt:variant>
        <vt:i4>1245240</vt:i4>
      </vt:variant>
      <vt:variant>
        <vt:i4>101</vt:i4>
      </vt:variant>
      <vt:variant>
        <vt:i4>0</vt:i4>
      </vt:variant>
      <vt:variant>
        <vt:i4>5</vt:i4>
      </vt:variant>
      <vt:variant>
        <vt:lpwstr/>
      </vt:variant>
      <vt:variant>
        <vt:lpwstr>_Toc235867980</vt:lpwstr>
      </vt:variant>
      <vt:variant>
        <vt:i4>1835064</vt:i4>
      </vt:variant>
      <vt:variant>
        <vt:i4>95</vt:i4>
      </vt:variant>
      <vt:variant>
        <vt:i4>0</vt:i4>
      </vt:variant>
      <vt:variant>
        <vt:i4>5</vt:i4>
      </vt:variant>
      <vt:variant>
        <vt:lpwstr/>
      </vt:variant>
      <vt:variant>
        <vt:lpwstr>_Toc235867979</vt:lpwstr>
      </vt:variant>
      <vt:variant>
        <vt:i4>1835064</vt:i4>
      </vt:variant>
      <vt:variant>
        <vt:i4>89</vt:i4>
      </vt:variant>
      <vt:variant>
        <vt:i4>0</vt:i4>
      </vt:variant>
      <vt:variant>
        <vt:i4>5</vt:i4>
      </vt:variant>
      <vt:variant>
        <vt:lpwstr/>
      </vt:variant>
      <vt:variant>
        <vt:lpwstr>_Toc235867978</vt:lpwstr>
      </vt:variant>
      <vt:variant>
        <vt:i4>1835064</vt:i4>
      </vt:variant>
      <vt:variant>
        <vt:i4>83</vt:i4>
      </vt:variant>
      <vt:variant>
        <vt:i4>0</vt:i4>
      </vt:variant>
      <vt:variant>
        <vt:i4>5</vt:i4>
      </vt:variant>
      <vt:variant>
        <vt:lpwstr/>
      </vt:variant>
      <vt:variant>
        <vt:lpwstr>_Toc235867977</vt:lpwstr>
      </vt:variant>
      <vt:variant>
        <vt:i4>1835064</vt:i4>
      </vt:variant>
      <vt:variant>
        <vt:i4>77</vt:i4>
      </vt:variant>
      <vt:variant>
        <vt:i4>0</vt:i4>
      </vt:variant>
      <vt:variant>
        <vt:i4>5</vt:i4>
      </vt:variant>
      <vt:variant>
        <vt:lpwstr/>
      </vt:variant>
      <vt:variant>
        <vt:lpwstr>_Toc235867976</vt:lpwstr>
      </vt:variant>
      <vt:variant>
        <vt:i4>1835064</vt:i4>
      </vt:variant>
      <vt:variant>
        <vt:i4>71</vt:i4>
      </vt:variant>
      <vt:variant>
        <vt:i4>0</vt:i4>
      </vt:variant>
      <vt:variant>
        <vt:i4>5</vt:i4>
      </vt:variant>
      <vt:variant>
        <vt:lpwstr/>
      </vt:variant>
      <vt:variant>
        <vt:lpwstr>_Toc235867975</vt:lpwstr>
      </vt:variant>
      <vt:variant>
        <vt:i4>1835064</vt:i4>
      </vt:variant>
      <vt:variant>
        <vt:i4>65</vt:i4>
      </vt:variant>
      <vt:variant>
        <vt:i4>0</vt:i4>
      </vt:variant>
      <vt:variant>
        <vt:i4>5</vt:i4>
      </vt:variant>
      <vt:variant>
        <vt:lpwstr/>
      </vt:variant>
      <vt:variant>
        <vt:lpwstr>_Toc235867974</vt:lpwstr>
      </vt:variant>
      <vt:variant>
        <vt:i4>1835064</vt:i4>
      </vt:variant>
      <vt:variant>
        <vt:i4>59</vt:i4>
      </vt:variant>
      <vt:variant>
        <vt:i4>0</vt:i4>
      </vt:variant>
      <vt:variant>
        <vt:i4>5</vt:i4>
      </vt:variant>
      <vt:variant>
        <vt:lpwstr/>
      </vt:variant>
      <vt:variant>
        <vt:lpwstr>_Toc235867973</vt:lpwstr>
      </vt:variant>
      <vt:variant>
        <vt:i4>1835064</vt:i4>
      </vt:variant>
      <vt:variant>
        <vt:i4>53</vt:i4>
      </vt:variant>
      <vt:variant>
        <vt:i4>0</vt:i4>
      </vt:variant>
      <vt:variant>
        <vt:i4>5</vt:i4>
      </vt:variant>
      <vt:variant>
        <vt:lpwstr/>
      </vt:variant>
      <vt:variant>
        <vt:lpwstr>_Toc235867972</vt:lpwstr>
      </vt:variant>
      <vt:variant>
        <vt:i4>1835064</vt:i4>
      </vt:variant>
      <vt:variant>
        <vt:i4>47</vt:i4>
      </vt:variant>
      <vt:variant>
        <vt:i4>0</vt:i4>
      </vt:variant>
      <vt:variant>
        <vt:i4>5</vt:i4>
      </vt:variant>
      <vt:variant>
        <vt:lpwstr/>
      </vt:variant>
      <vt:variant>
        <vt:lpwstr>_Toc235867971</vt:lpwstr>
      </vt:variant>
      <vt:variant>
        <vt:i4>1835064</vt:i4>
      </vt:variant>
      <vt:variant>
        <vt:i4>41</vt:i4>
      </vt:variant>
      <vt:variant>
        <vt:i4>0</vt:i4>
      </vt:variant>
      <vt:variant>
        <vt:i4>5</vt:i4>
      </vt:variant>
      <vt:variant>
        <vt:lpwstr/>
      </vt:variant>
      <vt:variant>
        <vt:lpwstr>_Toc235867970</vt:lpwstr>
      </vt:variant>
      <vt:variant>
        <vt:i4>1900600</vt:i4>
      </vt:variant>
      <vt:variant>
        <vt:i4>35</vt:i4>
      </vt:variant>
      <vt:variant>
        <vt:i4>0</vt:i4>
      </vt:variant>
      <vt:variant>
        <vt:i4>5</vt:i4>
      </vt:variant>
      <vt:variant>
        <vt:lpwstr/>
      </vt:variant>
      <vt:variant>
        <vt:lpwstr>_Toc235867969</vt:lpwstr>
      </vt:variant>
      <vt:variant>
        <vt:i4>1900600</vt:i4>
      </vt:variant>
      <vt:variant>
        <vt:i4>29</vt:i4>
      </vt:variant>
      <vt:variant>
        <vt:i4>0</vt:i4>
      </vt:variant>
      <vt:variant>
        <vt:i4>5</vt:i4>
      </vt:variant>
      <vt:variant>
        <vt:lpwstr/>
      </vt:variant>
      <vt:variant>
        <vt:lpwstr>_Toc235867968</vt:lpwstr>
      </vt:variant>
      <vt:variant>
        <vt:i4>1900600</vt:i4>
      </vt:variant>
      <vt:variant>
        <vt:i4>23</vt:i4>
      </vt:variant>
      <vt:variant>
        <vt:i4>0</vt:i4>
      </vt:variant>
      <vt:variant>
        <vt:i4>5</vt:i4>
      </vt:variant>
      <vt:variant>
        <vt:lpwstr/>
      </vt:variant>
      <vt:variant>
        <vt:lpwstr>_Toc235867967</vt:lpwstr>
      </vt:variant>
      <vt:variant>
        <vt:i4>1900600</vt:i4>
      </vt:variant>
      <vt:variant>
        <vt:i4>17</vt:i4>
      </vt:variant>
      <vt:variant>
        <vt:i4>0</vt:i4>
      </vt:variant>
      <vt:variant>
        <vt:i4>5</vt:i4>
      </vt:variant>
      <vt:variant>
        <vt:lpwstr/>
      </vt:variant>
      <vt:variant>
        <vt:lpwstr>_Toc235867966</vt:lpwstr>
      </vt:variant>
      <vt:variant>
        <vt:i4>1900600</vt:i4>
      </vt:variant>
      <vt:variant>
        <vt:i4>11</vt:i4>
      </vt:variant>
      <vt:variant>
        <vt:i4>0</vt:i4>
      </vt:variant>
      <vt:variant>
        <vt:i4>5</vt:i4>
      </vt:variant>
      <vt:variant>
        <vt:lpwstr/>
      </vt:variant>
      <vt:variant>
        <vt:lpwstr>_Toc235867965</vt:lpwstr>
      </vt:variant>
      <vt:variant>
        <vt:i4>1900600</vt:i4>
      </vt:variant>
      <vt:variant>
        <vt:i4>5</vt:i4>
      </vt:variant>
      <vt:variant>
        <vt:i4>0</vt:i4>
      </vt:variant>
      <vt:variant>
        <vt:i4>5</vt:i4>
      </vt:variant>
      <vt:variant>
        <vt:lpwstr/>
      </vt:variant>
      <vt:variant>
        <vt:lpwstr>_Toc235867964</vt:lpwstr>
      </vt:variant>
      <vt:variant>
        <vt:i4>8060991</vt:i4>
      </vt:variant>
      <vt:variant>
        <vt:i4>0</vt:i4>
      </vt:variant>
      <vt:variant>
        <vt:i4>0</vt:i4>
      </vt:variant>
      <vt:variant>
        <vt:i4>5</vt:i4>
      </vt:variant>
      <vt:variant>
        <vt:lpwstr>https://recht.nrw.de/lmi/owa/br_bes_text?anw_nr=1&amp;gld_nr=7&amp;ugl_nr=74&amp;bes_id=1036&amp;val=1036&amp;ver=7&amp;sg=0&amp;aufgehoben=N&amp;menu=1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Anforderungen an die Güteüberwachung und den Einsatz von Hausmüllverbrennungsaschen im Straßen- und Erdbau</dc:title>
  <dc:creator>LUA</dc:creator>
  <cp:lastModifiedBy>Rüter, Dr., Ingo</cp:lastModifiedBy>
  <cp:revision>2</cp:revision>
  <cp:lastPrinted>2004-09-07T06:06:00Z</cp:lastPrinted>
  <dcterms:created xsi:type="dcterms:W3CDTF">2024-07-09T12:27:00Z</dcterms:created>
  <dcterms:modified xsi:type="dcterms:W3CDTF">2024-07-09T12:27:00Z</dcterms:modified>
</cp:coreProperties>
</file>