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rStyle w:val="Funotenzeichen"/>
          <w:sz w:val="28"/>
          <w:vertAlign w:val="baseline"/>
        </w:rPr>
      </w:pPr>
      <w:bookmarkStart w:id="0" w:name="_Toc116716215"/>
      <w:r>
        <w:rPr>
          <w:rStyle w:val="Funotenzeichen"/>
          <w:sz w:val="28"/>
          <w:vertAlign w:val="baseline"/>
        </w:rPr>
        <w:t xml:space="preserve">Güteüberwachung von mineralischen </w:t>
      </w:r>
      <w:r>
        <w:rPr>
          <w:rStyle w:val="Funotenzeichen"/>
          <w:sz w:val="28"/>
          <w:vertAlign w:val="baseline"/>
        </w:rPr>
        <w:br/>
        <w:t>Stoffen im Straßen- und Erdbau</w:t>
      </w:r>
      <w:bookmarkEnd w:id="0"/>
    </w:p>
    <w:p>
      <w:pPr>
        <w:pStyle w:val="GesAbsatz"/>
        <w:jc w:val="center"/>
        <w:rPr>
          <w:rFonts w:cs="Arial"/>
        </w:rPr>
      </w:pPr>
      <w:r>
        <w:rPr>
          <w:rFonts w:cs="Arial"/>
        </w:rPr>
        <w:t xml:space="preserve">Gem. RdErl. d. Ministeriums für Wirtschaft und Mittelstand, Energie und Verkehr - VI A 3 - 32-40/45 </w:t>
      </w:r>
      <w:r>
        <w:rPr>
          <w:rFonts w:cs="Arial"/>
        </w:rPr>
        <w:br/>
        <w:t>u. d. Ministeriums für Umw</w:t>
      </w:r>
      <w:bookmarkStart w:id="1" w:name="_GoBack"/>
      <w:bookmarkEnd w:id="1"/>
      <w:r>
        <w:rPr>
          <w:rFonts w:cs="Arial"/>
        </w:rPr>
        <w:t>elt und Naturschutz, Landwirtschaft und Verbraucherschutz</w:t>
      </w:r>
      <w:r>
        <w:rPr>
          <w:rFonts w:cs="Arial"/>
        </w:rPr>
        <w:br/>
        <w:t>IV - 3 - 953-26308 - IV - 8 - 1573-30052 - v. 09.10.2001</w:t>
      </w:r>
    </w:p>
    <w:p>
      <w:pPr>
        <w:pStyle w:val="GesAbsatz"/>
        <w:jc w:val="left"/>
        <w:rPr>
          <w:i/>
          <w:color w:val="0000CC"/>
        </w:rPr>
      </w:pPr>
      <w:r>
        <w:rPr>
          <w:i/>
          <w:color w:val="0000CC"/>
        </w:rPr>
        <w:t>Der Runderlass ist am 31.07.2023 gemäß Erlass vom 14.06.2022 (</w:t>
      </w:r>
      <w:r>
        <w:rPr>
          <w:rStyle w:val="spelle"/>
          <w:i/>
          <w:color w:val="0000CC"/>
        </w:rPr>
        <w:t>MBl</w:t>
      </w:r>
      <w:r>
        <w:rPr>
          <w:i/>
          <w:color w:val="0000CC"/>
        </w:rPr>
        <w:t>. NRW. 2022 S. 642) außer Kraft getreten.</w:t>
      </w:r>
    </w:p>
    <w:p>
      <w:pPr>
        <w:pStyle w:val="GesAbsatz"/>
      </w:pPr>
      <w:hyperlink r:id="rId7" w:history="1">
        <w:r>
          <w:rPr>
            <w:rStyle w:val="Hyperlink"/>
            <w:rFonts w:cs="Arial"/>
          </w:rPr>
          <w:t>Link zur Vorschrift im SMBl. NRW</w:t>
        </w:r>
        <w:r>
          <w:rPr>
            <w:rStyle w:val="Hyperlink"/>
            <w:rFonts w:cs="Arial"/>
          </w:rPr>
          <w:t>.</w:t>
        </w:r>
        <w:r>
          <w:rPr>
            <w:rStyle w:val="Hyperlink"/>
            <w:rFonts w:cs="Arial"/>
          </w:rPr>
          <w:t xml:space="preserve"> 913:</w:t>
        </w:r>
      </w:hyperlink>
    </w:p>
    <w:p>
      <w:pPr>
        <w:pStyle w:val="GesAbsatz"/>
        <w:jc w:val="center"/>
        <w:rPr>
          <w:rFonts w:cs="Arial"/>
          <w:b/>
          <w:sz w:val="22"/>
        </w:rPr>
      </w:pPr>
      <w:r>
        <w:rPr>
          <w:rFonts w:cs="Arial"/>
          <w:b/>
          <w:sz w:val="22"/>
        </w:rPr>
        <w:t>Inhalt:</w:t>
      </w:r>
    </w:p>
    <w:p>
      <w:pPr>
        <w:pStyle w:val="Verzeichnis1"/>
        <w:tabs>
          <w:tab w:val="clear" w:pos="9638"/>
          <w:tab w:val="right" w:leader="dot" w:pos="9628"/>
        </w:tabs>
        <w:rPr>
          <w:b w:val="0"/>
          <w:bCs/>
          <w:caps w:val="0"/>
          <w:noProof/>
          <w:sz w:val="24"/>
          <w:szCs w:val="24"/>
        </w:rPr>
      </w:pPr>
      <w:r>
        <w:rPr>
          <w:rFonts w:cs="Arial"/>
          <w:b w:val="0"/>
          <w:bCs/>
          <w:caps w:val="0"/>
        </w:rPr>
        <w:fldChar w:fldCharType="begin"/>
      </w:r>
      <w:r>
        <w:rPr>
          <w:rFonts w:cs="Arial"/>
          <w:b w:val="0"/>
          <w:bCs/>
          <w:caps w:val="0"/>
        </w:rPr>
        <w:instrText xml:space="preserve"> TOC \o "1-3" \h \z \u </w:instrText>
      </w:r>
      <w:r>
        <w:rPr>
          <w:rFonts w:cs="Arial"/>
          <w:b w:val="0"/>
          <w:bCs/>
          <w:caps w:val="0"/>
        </w:rPr>
        <w:fldChar w:fldCharType="separate"/>
      </w:r>
      <w:hyperlink w:anchor="_Toc116716215" w:history="1">
        <w:r>
          <w:rPr>
            <w:rStyle w:val="Hyperlink"/>
            <w:noProof/>
          </w:rPr>
          <w:t>Güteüberwachung von mineralischen  Stoffen im Straßen- und Erdbau</w:t>
        </w:r>
        <w:r>
          <w:rPr>
            <w:noProof/>
            <w:webHidden/>
          </w:rPr>
          <w:tab/>
        </w:r>
        <w:r>
          <w:rPr>
            <w:noProof/>
            <w:webHidden/>
          </w:rPr>
          <w:fldChar w:fldCharType="begin"/>
        </w:r>
        <w:r>
          <w:rPr>
            <w:noProof/>
            <w:webHidden/>
          </w:rPr>
          <w:instrText xml:space="preserve"> PAGEREF _Toc116716215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116716216" w:history="1">
        <w:r>
          <w:rPr>
            <w:rStyle w:val="Hyperlink"/>
            <w:noProof/>
          </w:rPr>
          <w:t>1 Begriffe</w:t>
        </w:r>
        <w:r>
          <w:rPr>
            <w:noProof/>
            <w:webHidden/>
          </w:rPr>
          <w:tab/>
        </w:r>
        <w:r>
          <w:rPr>
            <w:noProof/>
            <w:webHidden/>
          </w:rPr>
          <w:fldChar w:fldCharType="begin"/>
        </w:r>
        <w:r>
          <w:rPr>
            <w:noProof/>
            <w:webHidden/>
          </w:rPr>
          <w:instrText xml:space="preserve"> PAGEREF _Toc116716216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16716217" w:history="1">
        <w:r>
          <w:rPr>
            <w:rStyle w:val="Hyperlink"/>
            <w:noProof/>
          </w:rPr>
          <w:t>1.1 Mineralische Stoffe aus industriellen Prozessen</w:t>
        </w:r>
        <w:r>
          <w:rPr>
            <w:noProof/>
            <w:webHidden/>
          </w:rPr>
          <w:tab/>
        </w:r>
        <w:r>
          <w:rPr>
            <w:noProof/>
            <w:webHidden/>
          </w:rPr>
          <w:fldChar w:fldCharType="begin"/>
        </w:r>
        <w:r>
          <w:rPr>
            <w:noProof/>
            <w:webHidden/>
          </w:rPr>
          <w:instrText xml:space="preserve"> PAGEREF _Toc116716217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16716218" w:history="1">
        <w:r>
          <w:rPr>
            <w:rStyle w:val="Hyperlink"/>
            <w:noProof/>
          </w:rPr>
          <w:t>1.2 Mineralische Stoffe aus Bautätigkeiten</w:t>
        </w:r>
        <w:r>
          <w:rPr>
            <w:noProof/>
            <w:webHidden/>
          </w:rPr>
          <w:tab/>
        </w:r>
        <w:r>
          <w:rPr>
            <w:noProof/>
            <w:webHidden/>
          </w:rPr>
          <w:fldChar w:fldCharType="begin"/>
        </w:r>
        <w:r>
          <w:rPr>
            <w:noProof/>
            <w:webHidden/>
          </w:rPr>
          <w:instrText xml:space="preserve"> PAGEREF _Toc116716218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16716219" w:history="1">
        <w:r>
          <w:rPr>
            <w:rStyle w:val="Hyperlink"/>
            <w:noProof/>
          </w:rPr>
          <w:t>1.3 Gemische von mineralischen Stoffen aus industriellen Prozessen und Bautätigkeiten</w:t>
        </w:r>
        <w:r>
          <w:rPr>
            <w:noProof/>
            <w:webHidden/>
          </w:rPr>
          <w:tab/>
        </w:r>
        <w:r>
          <w:rPr>
            <w:noProof/>
            <w:webHidden/>
          </w:rPr>
          <w:fldChar w:fldCharType="begin"/>
        </w:r>
        <w:r>
          <w:rPr>
            <w:noProof/>
            <w:webHidden/>
          </w:rPr>
          <w:instrText xml:space="preserve"> PAGEREF _Toc116716219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szCs w:val="24"/>
        </w:rPr>
      </w:pPr>
      <w:hyperlink w:anchor="_Toc116716220" w:history="1">
        <w:r>
          <w:rPr>
            <w:rStyle w:val="Hyperlink"/>
            <w:noProof/>
          </w:rPr>
          <w:t>2 Eignungsnachweis und Güteüberwachung</w:t>
        </w:r>
        <w:r>
          <w:rPr>
            <w:noProof/>
            <w:webHidden/>
          </w:rPr>
          <w:tab/>
        </w:r>
        <w:r>
          <w:rPr>
            <w:noProof/>
            <w:webHidden/>
          </w:rPr>
          <w:fldChar w:fldCharType="begin"/>
        </w:r>
        <w:r>
          <w:rPr>
            <w:noProof/>
            <w:webHidden/>
          </w:rPr>
          <w:instrText xml:space="preserve"> PAGEREF _Toc116716220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szCs w:val="24"/>
        </w:rPr>
      </w:pPr>
      <w:hyperlink w:anchor="_Toc116716221" w:history="1">
        <w:r>
          <w:rPr>
            <w:rStyle w:val="Hyperlink"/>
            <w:noProof/>
          </w:rPr>
          <w:t>3 Ergänzende Regelungen zu den RG Min-StB 93</w:t>
        </w:r>
        <w:r>
          <w:rPr>
            <w:noProof/>
            <w:webHidden/>
          </w:rPr>
          <w:tab/>
        </w:r>
        <w:r>
          <w:rPr>
            <w:noProof/>
            <w:webHidden/>
          </w:rPr>
          <w:fldChar w:fldCharType="begin"/>
        </w:r>
        <w:r>
          <w:rPr>
            <w:noProof/>
            <w:webHidden/>
          </w:rPr>
          <w:instrText xml:space="preserve"> PAGEREF _Toc116716221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116716222" w:history="1">
        <w:r>
          <w:rPr>
            <w:rStyle w:val="Hyperlink"/>
            <w:noProof/>
          </w:rPr>
          <w:t>4 Grenzwerte für die wasserwirtschaftlichen Merkmale</w:t>
        </w:r>
        <w:r>
          <w:rPr>
            <w:noProof/>
            <w:webHidden/>
          </w:rPr>
          <w:tab/>
        </w:r>
        <w:r>
          <w:rPr>
            <w:noProof/>
            <w:webHidden/>
          </w:rPr>
          <w:fldChar w:fldCharType="begin"/>
        </w:r>
        <w:r>
          <w:rPr>
            <w:noProof/>
            <w:webHidden/>
          </w:rPr>
          <w:instrText xml:space="preserve"> PAGEREF _Toc116716222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116716223" w:history="1">
        <w:r>
          <w:rPr>
            <w:rStyle w:val="Hyperlink"/>
            <w:noProof/>
          </w:rPr>
          <w:t>Anlage 1</w:t>
        </w:r>
        <w:r>
          <w:rPr>
            <w:noProof/>
            <w:webHidden/>
          </w:rPr>
          <w:tab/>
        </w:r>
        <w:r>
          <w:rPr>
            <w:noProof/>
            <w:webHidden/>
          </w:rPr>
          <w:fldChar w:fldCharType="begin"/>
        </w:r>
        <w:r>
          <w:rPr>
            <w:noProof/>
            <w:webHidden/>
          </w:rPr>
          <w:instrText xml:space="preserve"> PAGEREF _Toc116716223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smallCaps w:val="0"/>
          <w:noProof/>
          <w:sz w:val="24"/>
          <w:szCs w:val="24"/>
        </w:rPr>
      </w:pPr>
      <w:hyperlink w:anchor="_Toc116716224" w:history="1">
        <w:r>
          <w:rPr>
            <w:rStyle w:val="Hyperlink"/>
            <w:noProof/>
          </w:rPr>
          <w:t>Anlage 2</w:t>
        </w:r>
        <w:r>
          <w:rPr>
            <w:noProof/>
            <w:webHidden/>
          </w:rPr>
          <w:tab/>
        </w:r>
        <w:r>
          <w:rPr>
            <w:noProof/>
            <w:webHidden/>
          </w:rPr>
          <w:fldChar w:fldCharType="begin"/>
        </w:r>
        <w:r>
          <w:rPr>
            <w:noProof/>
            <w:webHidden/>
          </w:rPr>
          <w:instrText xml:space="preserve"> PAGEREF _Toc116716224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smallCaps w:val="0"/>
          <w:noProof/>
          <w:sz w:val="24"/>
          <w:szCs w:val="24"/>
        </w:rPr>
      </w:pPr>
      <w:hyperlink w:anchor="_Toc116716225" w:history="1">
        <w:r>
          <w:rPr>
            <w:rStyle w:val="Hyperlink"/>
            <w:noProof/>
          </w:rPr>
          <w:t>Anlage 3</w:t>
        </w:r>
        <w:r>
          <w:rPr>
            <w:noProof/>
            <w:webHidden/>
          </w:rPr>
          <w:tab/>
        </w:r>
        <w:r>
          <w:rPr>
            <w:noProof/>
            <w:webHidden/>
          </w:rPr>
          <w:fldChar w:fldCharType="begin"/>
        </w:r>
        <w:r>
          <w:rPr>
            <w:noProof/>
            <w:webHidden/>
          </w:rPr>
          <w:instrText xml:space="preserve"> PAGEREF _Toc116716225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smallCaps w:val="0"/>
          <w:noProof/>
          <w:sz w:val="24"/>
          <w:szCs w:val="24"/>
        </w:rPr>
      </w:pPr>
      <w:hyperlink w:anchor="_Toc116716226" w:history="1">
        <w:r>
          <w:rPr>
            <w:rStyle w:val="Hyperlink"/>
            <w:bCs/>
            <w:noProof/>
          </w:rPr>
          <w:t>Anlage 4</w:t>
        </w:r>
        <w:r>
          <w:rPr>
            <w:noProof/>
            <w:webHidden/>
          </w:rPr>
          <w:tab/>
        </w:r>
        <w:r>
          <w:rPr>
            <w:noProof/>
            <w:webHidden/>
          </w:rPr>
          <w:fldChar w:fldCharType="begin"/>
        </w:r>
        <w:r>
          <w:rPr>
            <w:noProof/>
            <w:webHidden/>
          </w:rPr>
          <w:instrText xml:space="preserve"> PAGEREF _Toc116716226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smallCaps w:val="0"/>
          <w:noProof/>
          <w:sz w:val="24"/>
          <w:szCs w:val="24"/>
        </w:rPr>
      </w:pPr>
      <w:hyperlink w:anchor="_Toc116716227" w:history="1">
        <w:r>
          <w:rPr>
            <w:rStyle w:val="Hyperlink"/>
            <w:noProof/>
          </w:rPr>
          <w:t>Anlage 5a:</w:t>
        </w:r>
        <w:r>
          <w:rPr>
            <w:noProof/>
            <w:webHidden/>
          </w:rPr>
          <w:tab/>
        </w:r>
        <w:r>
          <w:rPr>
            <w:noProof/>
            <w:webHidden/>
          </w:rPr>
          <w:fldChar w:fldCharType="begin"/>
        </w:r>
        <w:r>
          <w:rPr>
            <w:noProof/>
            <w:webHidden/>
          </w:rPr>
          <w:instrText xml:space="preserve"> PAGEREF _Toc116716227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smallCaps w:val="0"/>
          <w:noProof/>
          <w:sz w:val="24"/>
          <w:szCs w:val="24"/>
        </w:rPr>
      </w:pPr>
      <w:hyperlink w:anchor="_Toc116716228" w:history="1">
        <w:r>
          <w:rPr>
            <w:rStyle w:val="Hyperlink"/>
            <w:noProof/>
          </w:rPr>
          <w:t>Anlage 5b</w:t>
        </w:r>
        <w:r>
          <w:rPr>
            <w:rStyle w:val="Hyperlink"/>
            <w:bCs/>
            <w:noProof/>
          </w:rPr>
          <w:t>:</w:t>
        </w:r>
        <w:r>
          <w:rPr>
            <w:noProof/>
            <w:webHidden/>
          </w:rPr>
          <w:tab/>
        </w:r>
        <w:r>
          <w:rPr>
            <w:noProof/>
            <w:webHidden/>
          </w:rPr>
          <w:fldChar w:fldCharType="begin"/>
        </w:r>
        <w:r>
          <w:rPr>
            <w:noProof/>
            <w:webHidden/>
          </w:rPr>
          <w:instrText xml:space="preserve"> PAGEREF _Toc116716228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smallCaps w:val="0"/>
          <w:noProof/>
          <w:sz w:val="24"/>
          <w:szCs w:val="24"/>
        </w:rPr>
      </w:pPr>
      <w:hyperlink w:anchor="_Toc116716229" w:history="1">
        <w:r>
          <w:rPr>
            <w:rStyle w:val="Hyperlink"/>
            <w:noProof/>
          </w:rPr>
          <w:t>Anlage 6:</w:t>
        </w:r>
        <w:r>
          <w:rPr>
            <w:noProof/>
            <w:webHidden/>
          </w:rPr>
          <w:tab/>
        </w:r>
        <w:r>
          <w:rPr>
            <w:noProof/>
            <w:webHidden/>
          </w:rPr>
          <w:fldChar w:fldCharType="begin"/>
        </w:r>
        <w:r>
          <w:rPr>
            <w:noProof/>
            <w:webHidden/>
          </w:rPr>
          <w:instrText xml:space="preserve"> PAGEREF _Toc116716229 \h </w:instrText>
        </w:r>
        <w:r>
          <w:rPr>
            <w:noProof/>
            <w:webHidden/>
          </w:rPr>
        </w:r>
        <w:r>
          <w:rPr>
            <w:noProof/>
            <w:webHidden/>
          </w:rPr>
          <w:fldChar w:fldCharType="separate"/>
        </w:r>
        <w:r>
          <w:rPr>
            <w:noProof/>
            <w:webHidden/>
          </w:rPr>
          <w:t>11</w:t>
        </w:r>
        <w:r>
          <w:rPr>
            <w:noProof/>
            <w:webHidden/>
          </w:rPr>
          <w:fldChar w:fldCharType="end"/>
        </w:r>
      </w:hyperlink>
    </w:p>
    <w:p>
      <w:pPr>
        <w:pStyle w:val="GesAbsatz"/>
      </w:pPr>
      <w:r>
        <w:rPr>
          <w:rFonts w:ascii="Times New Roman" w:hAnsi="Times New Roman"/>
          <w:b/>
          <w:bCs/>
          <w:caps/>
          <w:color w:val="auto"/>
        </w:rPr>
        <w:fldChar w:fldCharType="end"/>
      </w:r>
    </w:p>
    <w:p>
      <w:pPr>
        <w:pStyle w:val="GesAbsatz"/>
        <w:rPr>
          <w:rFonts w:cs="Arial"/>
        </w:rPr>
      </w:pPr>
      <w:r>
        <w:rPr>
          <w:rFonts w:cs="Arial"/>
        </w:rPr>
        <w:t>Das Bundesministerium für Verkehr, Bauen und Wohnen hat mit Allgemeinem Rundschreiben „Straßenbau" Nr. 26/1993 vom 15.09.1993 die „Richtlinien für die Güteüberwachung von Mineralstoffen im Straßenbau - RG Min StB 93" für die Bundesfernstraßen eingeführt. Mit Allgemeinem Rundschreiben Straßenbau Nr. 24/1996 v. 8.8.96 und Nr. 25/2000 v. 21.11.2000 wurden die RG Min-StB 93 u. a. um die Prüfungen für die Güteüberwachung von Stahlwerksschlacken und von Gießereireststoffen ergänzt.</w:t>
      </w:r>
    </w:p>
    <w:p>
      <w:pPr>
        <w:pStyle w:val="GesAbsatz"/>
        <w:rPr>
          <w:rFonts w:cs="Arial"/>
        </w:rPr>
      </w:pPr>
      <w:r>
        <w:rPr>
          <w:rFonts w:cs="Arial"/>
        </w:rPr>
        <w:t>Bei der Verwendung der im Abschnitt 1 aufgeführten mineralischen Stoffe im Erd- und Straßenbau sind diese Richtlinien mit ihren Ergänzungen von allen Straßenbaulastträgern zu beachten. Zusätzlich gelten die in diesem Erlass festgelegten Regelungen.</w:t>
      </w:r>
    </w:p>
    <w:p>
      <w:pPr>
        <w:pStyle w:val="berschrift2"/>
      </w:pPr>
      <w:bookmarkStart w:id="2" w:name="_Toc116716216"/>
      <w:r>
        <w:t>1</w:t>
      </w:r>
      <w:r>
        <w:br/>
        <w:t>Begriffe</w:t>
      </w:r>
      <w:bookmarkEnd w:id="2"/>
    </w:p>
    <w:p>
      <w:pPr>
        <w:pStyle w:val="berschrift3"/>
      </w:pPr>
      <w:bookmarkStart w:id="3" w:name="_Toc116716217"/>
      <w:r>
        <w:t>1.1</w:t>
      </w:r>
      <w:r>
        <w:br/>
        <w:t>Mineralische Stoffe aus industriellen Prozessen</w:t>
      </w:r>
      <w:bookmarkEnd w:id="3"/>
    </w:p>
    <w:p>
      <w:pPr>
        <w:pStyle w:val="GesAbsatz"/>
        <w:tabs>
          <w:tab w:val="clear" w:pos="425"/>
          <w:tab w:val="left" w:pos="709"/>
        </w:tabs>
        <w:rPr>
          <w:rFonts w:cs="Arial"/>
        </w:rPr>
      </w:pPr>
      <w:r>
        <w:rPr>
          <w:rFonts w:cs="Arial"/>
        </w:rPr>
        <w:t>LDS</w:t>
      </w:r>
      <w:r>
        <w:rPr>
          <w:rFonts w:cs="Arial"/>
        </w:rPr>
        <w:tab/>
        <w:t>LD-Schlacke aus der Erzeugung von Massen- und Qualitätsstählen</w:t>
      </w:r>
    </w:p>
    <w:p>
      <w:pPr>
        <w:pStyle w:val="GesAbsatz"/>
        <w:tabs>
          <w:tab w:val="clear" w:pos="425"/>
          <w:tab w:val="left" w:pos="709"/>
        </w:tabs>
        <w:rPr>
          <w:rFonts w:cs="Arial"/>
        </w:rPr>
      </w:pPr>
      <w:r>
        <w:rPr>
          <w:rFonts w:cs="Arial"/>
        </w:rPr>
        <w:t>EOS</w:t>
      </w:r>
      <w:r>
        <w:rPr>
          <w:rFonts w:cs="Arial"/>
        </w:rPr>
        <w:tab/>
        <w:t>Elektroofenschlacke aus der Erzeugung von Massen- und Qualitätsstählen</w:t>
      </w:r>
    </w:p>
    <w:p>
      <w:pPr>
        <w:pStyle w:val="GesAbsatz"/>
        <w:tabs>
          <w:tab w:val="clear" w:pos="425"/>
          <w:tab w:val="left" w:pos="709"/>
        </w:tabs>
        <w:rPr>
          <w:rFonts w:cs="Arial"/>
        </w:rPr>
      </w:pPr>
      <w:r>
        <w:rPr>
          <w:rFonts w:cs="Arial"/>
        </w:rPr>
        <w:t>HOS</w:t>
      </w:r>
      <w:r>
        <w:rPr>
          <w:rFonts w:cs="Arial"/>
        </w:rPr>
        <w:tab/>
        <w:t>Hochofenstückschlacke</w:t>
      </w:r>
    </w:p>
    <w:p>
      <w:pPr>
        <w:pStyle w:val="GesAbsatz"/>
        <w:tabs>
          <w:tab w:val="clear" w:pos="425"/>
          <w:tab w:val="left" w:pos="709"/>
        </w:tabs>
        <w:rPr>
          <w:rFonts w:cs="Arial"/>
        </w:rPr>
      </w:pPr>
      <w:r>
        <w:rPr>
          <w:rFonts w:cs="Arial"/>
        </w:rPr>
        <w:t>HS</w:t>
      </w:r>
      <w:r>
        <w:rPr>
          <w:rFonts w:cs="Arial"/>
        </w:rPr>
        <w:tab/>
        <w:t>Hüttensand</w:t>
      </w:r>
    </w:p>
    <w:p>
      <w:pPr>
        <w:pStyle w:val="GesAbsatz"/>
        <w:tabs>
          <w:tab w:val="clear" w:pos="425"/>
          <w:tab w:val="left" w:pos="709"/>
        </w:tabs>
        <w:rPr>
          <w:rFonts w:cs="Arial"/>
        </w:rPr>
      </w:pPr>
      <w:r>
        <w:rPr>
          <w:rFonts w:cs="Arial"/>
        </w:rPr>
        <w:t>SKG</w:t>
      </w:r>
      <w:r>
        <w:rPr>
          <w:rFonts w:cs="Arial"/>
        </w:rPr>
        <w:tab/>
        <w:t>Schmelzkammergranulat</w:t>
      </w:r>
    </w:p>
    <w:p>
      <w:pPr>
        <w:pStyle w:val="GesAbsatz"/>
        <w:tabs>
          <w:tab w:val="clear" w:pos="425"/>
          <w:tab w:val="left" w:pos="709"/>
        </w:tabs>
        <w:rPr>
          <w:rFonts w:cs="Arial"/>
        </w:rPr>
      </w:pPr>
      <w:r>
        <w:rPr>
          <w:rFonts w:cs="Arial"/>
        </w:rPr>
        <w:t>SFA</w:t>
      </w:r>
      <w:r>
        <w:rPr>
          <w:rFonts w:cs="Arial"/>
        </w:rPr>
        <w:tab/>
        <w:t>Steinkohlenflugasche aus Trocken- und Schmelzfeuerung</w:t>
      </w:r>
    </w:p>
    <w:p>
      <w:pPr>
        <w:pStyle w:val="GesAbsatz"/>
        <w:tabs>
          <w:tab w:val="clear" w:pos="425"/>
          <w:tab w:val="left" w:pos="709"/>
        </w:tabs>
        <w:rPr>
          <w:rFonts w:cs="Arial"/>
        </w:rPr>
      </w:pPr>
      <w:r>
        <w:rPr>
          <w:rFonts w:cs="Arial"/>
        </w:rPr>
        <w:t>SKA</w:t>
      </w:r>
      <w:r>
        <w:rPr>
          <w:rFonts w:cs="Arial"/>
        </w:rPr>
        <w:tab/>
        <w:t xml:space="preserve">Kesselasche aus Steinkohlenfeuerung </w:t>
      </w:r>
    </w:p>
    <w:p>
      <w:pPr>
        <w:pStyle w:val="GesAbsatz"/>
        <w:tabs>
          <w:tab w:val="clear" w:pos="425"/>
          <w:tab w:val="left" w:pos="709"/>
        </w:tabs>
        <w:rPr>
          <w:rFonts w:cs="Arial"/>
        </w:rPr>
      </w:pPr>
      <w:r>
        <w:rPr>
          <w:rFonts w:cs="Arial"/>
        </w:rPr>
        <w:t xml:space="preserve">WB I </w:t>
      </w:r>
      <w:r>
        <w:rPr>
          <w:rFonts w:cs="Arial"/>
        </w:rPr>
        <w:tab/>
        <w:t>Waschberge aus der Steinkohlengewinnung mit geringerer Salzbelastung</w:t>
      </w:r>
    </w:p>
    <w:p>
      <w:pPr>
        <w:pStyle w:val="GesAbsatz"/>
        <w:tabs>
          <w:tab w:val="clear" w:pos="425"/>
          <w:tab w:val="left" w:pos="709"/>
        </w:tabs>
        <w:rPr>
          <w:rFonts w:cs="Arial"/>
        </w:rPr>
      </w:pPr>
      <w:r>
        <w:rPr>
          <w:rFonts w:cs="Arial"/>
        </w:rPr>
        <w:t>WB II</w:t>
      </w:r>
      <w:r>
        <w:rPr>
          <w:rFonts w:cs="Arial"/>
        </w:rPr>
        <w:tab/>
        <w:t>Waschberge aus der Steinkohlengewinnung mit höherer Salzbelastung</w:t>
      </w:r>
    </w:p>
    <w:p>
      <w:pPr>
        <w:pStyle w:val="GesAbsatz"/>
        <w:tabs>
          <w:tab w:val="clear" w:pos="425"/>
          <w:tab w:val="left" w:pos="709"/>
        </w:tabs>
        <w:rPr>
          <w:rFonts w:cs="Arial"/>
        </w:rPr>
      </w:pPr>
      <w:r>
        <w:rPr>
          <w:rFonts w:cs="Arial"/>
        </w:rPr>
        <w:t>GRS</w:t>
      </w:r>
      <w:r>
        <w:rPr>
          <w:rFonts w:cs="Arial"/>
        </w:rPr>
        <w:tab/>
        <w:t>Gießereirestsand</w:t>
      </w:r>
    </w:p>
    <w:p>
      <w:pPr>
        <w:pStyle w:val="GesAbsatz"/>
        <w:tabs>
          <w:tab w:val="clear" w:pos="425"/>
          <w:tab w:val="left" w:pos="709"/>
        </w:tabs>
        <w:rPr>
          <w:rFonts w:cs="Arial"/>
        </w:rPr>
      </w:pPr>
      <w:r>
        <w:rPr>
          <w:rFonts w:cs="Arial"/>
        </w:rPr>
        <w:t>GKOS</w:t>
      </w:r>
      <w:r>
        <w:rPr>
          <w:rFonts w:cs="Arial"/>
        </w:rPr>
        <w:tab/>
        <w:t>Gießerei-Kupolofenschlacke</w:t>
      </w:r>
    </w:p>
    <w:p>
      <w:pPr>
        <w:pStyle w:val="berschrift3"/>
      </w:pPr>
      <w:bookmarkStart w:id="4" w:name="_Toc116716218"/>
      <w:r>
        <w:lastRenderedPageBreak/>
        <w:t>1.2</w:t>
      </w:r>
      <w:r>
        <w:br/>
        <w:t>Mineralische Stoffe aus Bautätigkeiten</w:t>
      </w:r>
      <w:bookmarkEnd w:id="4"/>
    </w:p>
    <w:p>
      <w:pPr>
        <w:pStyle w:val="GesAbsatz"/>
        <w:rPr>
          <w:rFonts w:cs="Arial"/>
        </w:rPr>
      </w:pPr>
      <w:r>
        <w:rPr>
          <w:rFonts w:cs="Arial"/>
        </w:rPr>
        <w:t>Hierunter sind mineralische Materialien zu verstehen, welche bei Neubau, Umbau, Sanierung, Renovierung und Abbruch von Gebäuden (z. B. Wohn-, Bürogebäude, Fabrik-, Lager- und Ausstellungshallen, Werkstätten, Kaufhäuser) und anderen Bauwerken (z. B. Brücken, Tunneln, Straßen, Kanalisationsschächten etc.) anfallen. Diese Stoffe werden i. d. R. unter dem Begriff Bauschutt zusammengefasst.</w:t>
      </w:r>
    </w:p>
    <w:p>
      <w:pPr>
        <w:pStyle w:val="GesAbsatz"/>
        <w:rPr>
          <w:rFonts w:cs="Arial"/>
        </w:rPr>
      </w:pPr>
      <w:r>
        <w:rPr>
          <w:rFonts w:cs="Arial"/>
        </w:rPr>
        <w:t>Hierunter fallen auch:</w:t>
      </w:r>
    </w:p>
    <w:p>
      <w:pPr>
        <w:pStyle w:val="GesAbsatz"/>
        <w:ind w:left="426" w:hanging="426"/>
        <w:rPr>
          <w:rFonts w:cs="Arial"/>
        </w:rPr>
      </w:pPr>
      <w:r>
        <w:rPr>
          <w:rFonts w:cs="Arial"/>
        </w:rPr>
        <w:t>-</w:t>
      </w:r>
      <w:r>
        <w:rPr>
          <w:rFonts w:cs="Arial"/>
        </w:rPr>
        <w:tab/>
        <w:t>Fehlchargen und Bruch aus der Produktion von mineralischem Baumaterial (z. B. Ziegel, Kalksandstein, Beton);</w:t>
      </w:r>
    </w:p>
    <w:p>
      <w:pPr>
        <w:pStyle w:val="GesAbsatz"/>
        <w:ind w:left="426" w:hanging="426"/>
        <w:rPr>
          <w:rFonts w:cs="Arial"/>
        </w:rPr>
      </w:pPr>
      <w:r>
        <w:rPr>
          <w:rFonts w:cs="Arial"/>
        </w:rPr>
        <w:t>-</w:t>
      </w:r>
      <w:r>
        <w:rPr>
          <w:rFonts w:cs="Arial"/>
        </w:rPr>
        <w:tab/>
        <w:t>der mineralische Anteil aus der Sortierung und Klassierung von Baustellenabfällen (Baumischabfälle) mit einem Korndurchmesser &gt; 8 mm;</w:t>
      </w:r>
    </w:p>
    <w:p>
      <w:pPr>
        <w:pStyle w:val="GesAbsatz"/>
        <w:ind w:left="426" w:hanging="426"/>
        <w:rPr>
          <w:rFonts w:cs="Arial"/>
        </w:rPr>
      </w:pPr>
      <w:r>
        <w:rPr>
          <w:rFonts w:cs="Arial"/>
        </w:rPr>
        <w:t>-</w:t>
      </w:r>
      <w:r>
        <w:rPr>
          <w:rFonts w:cs="Arial"/>
        </w:rPr>
        <w:tab/>
        <w:t>aus Bodenaushub separierter Bauschutt;</w:t>
      </w:r>
    </w:p>
    <w:p>
      <w:pPr>
        <w:pStyle w:val="GesAbsatz"/>
        <w:ind w:left="426" w:hanging="426"/>
        <w:rPr>
          <w:rFonts w:cs="Arial"/>
        </w:rPr>
      </w:pPr>
      <w:r>
        <w:rPr>
          <w:rFonts w:cs="Arial"/>
        </w:rPr>
        <w:t>-</w:t>
      </w:r>
      <w:r>
        <w:rPr>
          <w:rFonts w:cs="Arial"/>
        </w:rPr>
        <w:tab/>
        <w:t>Straßenaufbruch (einschl. Ausbauasphalt), wenn dieser gemeinsam mit Bauschutt in einer geeigneten Anlage aufbereitet wird.</w:t>
      </w:r>
    </w:p>
    <w:p>
      <w:pPr>
        <w:pStyle w:val="GesAbsatz"/>
        <w:rPr>
          <w:rFonts w:cs="Arial"/>
        </w:rPr>
      </w:pPr>
      <w:r>
        <w:rPr>
          <w:rFonts w:cs="Arial"/>
        </w:rPr>
        <w:t>Wird Bauschutt in einer mobilen oder stationär betriebenen Anlage aufbereitet, liegt ein Recycling-Baustoff vor.</w:t>
      </w:r>
    </w:p>
    <w:p>
      <w:pPr>
        <w:pStyle w:val="GesAbsatz"/>
        <w:rPr>
          <w:rFonts w:cs="Arial"/>
        </w:rPr>
      </w:pPr>
      <w:r>
        <w:rPr>
          <w:rFonts w:cs="Arial"/>
        </w:rPr>
        <w:t>Nicht unter die Definition Bauschutt fallen im Rahmen dieses Erlasses:</w:t>
      </w:r>
    </w:p>
    <w:p>
      <w:pPr>
        <w:pStyle w:val="GesAbsatz"/>
        <w:ind w:left="426" w:hanging="426"/>
        <w:rPr>
          <w:rFonts w:cs="Arial"/>
        </w:rPr>
      </w:pPr>
      <w:r>
        <w:rPr>
          <w:rFonts w:cs="Arial"/>
        </w:rPr>
        <w:t>-</w:t>
      </w:r>
      <w:r>
        <w:rPr>
          <w:rFonts w:cs="Arial"/>
        </w:rPr>
        <w:tab/>
        <w:t>pech-(teer-)haltige Straßenausbaustoffe,</w:t>
      </w:r>
    </w:p>
    <w:p>
      <w:pPr>
        <w:pStyle w:val="GesAbsatz"/>
        <w:ind w:left="426" w:hanging="426"/>
        <w:rPr>
          <w:rFonts w:cs="Arial"/>
        </w:rPr>
      </w:pPr>
      <w:r>
        <w:rPr>
          <w:rFonts w:cs="Arial"/>
        </w:rPr>
        <w:t>-</w:t>
      </w:r>
      <w:r>
        <w:rPr>
          <w:rFonts w:cs="Arial"/>
        </w:rPr>
        <w:tab/>
        <w:t>asbesthaltige Abfälle, z. B. Asbestzementplatten, -rohre, Spritzasbest. Zur weitergehenden Information wird hier auf das LAGA-Merkblatt "Entsorgung asbesthaltiger Abfälle" verwiesen,</w:t>
      </w:r>
    </w:p>
    <w:p>
      <w:pPr>
        <w:pStyle w:val="GesAbsatz"/>
        <w:ind w:left="426" w:hanging="426"/>
        <w:rPr>
          <w:rFonts w:cs="Arial"/>
        </w:rPr>
      </w:pPr>
      <w:r>
        <w:rPr>
          <w:rFonts w:cs="Arial"/>
        </w:rPr>
        <w:t>-</w:t>
      </w:r>
      <w:r>
        <w:rPr>
          <w:rFonts w:cs="Arial"/>
        </w:rPr>
        <w:tab/>
        <w:t xml:space="preserve">mineralische Dämmstoffe (Mineralfaserabfälle), </w:t>
      </w:r>
    </w:p>
    <w:p>
      <w:pPr>
        <w:pStyle w:val="GesAbsatz"/>
        <w:ind w:left="426" w:hanging="426"/>
        <w:rPr>
          <w:rFonts w:cs="Arial"/>
        </w:rPr>
      </w:pPr>
      <w:r>
        <w:rPr>
          <w:rFonts w:cs="Arial"/>
        </w:rPr>
        <w:t>-</w:t>
      </w:r>
      <w:r>
        <w:rPr>
          <w:rFonts w:cs="Arial"/>
        </w:rPr>
        <w:tab/>
        <w:t>ausgebauter Gleisschotter.</w:t>
      </w:r>
    </w:p>
    <w:p>
      <w:pPr>
        <w:pStyle w:val="GesAbsatz"/>
        <w:rPr>
          <w:rFonts w:cs="Arial"/>
        </w:rPr>
      </w:pPr>
      <w:r>
        <w:rPr>
          <w:rFonts w:cs="Arial"/>
        </w:rPr>
        <w:t>Kontaminierte Baustoffe und Bauteile sollten während des Rückbau eines Bauwerks separiert und einer geordneten Entsorgung zugeführt werden. Dies betrifft insbesondere die folgenden Materialien:</w:t>
      </w:r>
    </w:p>
    <w:p>
      <w:pPr>
        <w:pStyle w:val="GesAbsatz"/>
        <w:rPr>
          <w:rFonts w:cs="Arial"/>
        </w:rPr>
      </w:pPr>
      <w:r>
        <w:rPr>
          <w:rFonts w:cs="Arial"/>
        </w:rPr>
        <w:t>-</w:t>
      </w:r>
      <w:r>
        <w:rPr>
          <w:rFonts w:cs="Arial"/>
        </w:rPr>
        <w:tab/>
        <w:t>Brandschutt,</w:t>
      </w:r>
    </w:p>
    <w:p>
      <w:pPr>
        <w:pStyle w:val="GesAbsatz"/>
        <w:rPr>
          <w:rFonts w:cs="Arial"/>
        </w:rPr>
      </w:pPr>
      <w:r>
        <w:rPr>
          <w:rFonts w:cs="Arial"/>
        </w:rPr>
        <w:t>-</w:t>
      </w:r>
      <w:r>
        <w:rPr>
          <w:rFonts w:cs="Arial"/>
        </w:rPr>
        <w:tab/>
        <w:t>Bauteile mit Isolierungen und Anstrichen auf Pechbasis,</w:t>
      </w:r>
    </w:p>
    <w:p>
      <w:pPr>
        <w:pStyle w:val="GesAbsatz"/>
        <w:rPr>
          <w:rFonts w:cs="Arial"/>
        </w:rPr>
      </w:pPr>
      <w:r>
        <w:rPr>
          <w:rFonts w:cs="Arial"/>
        </w:rPr>
        <w:t>-</w:t>
      </w:r>
      <w:r>
        <w:rPr>
          <w:rFonts w:cs="Arial"/>
        </w:rPr>
        <w:tab/>
        <w:t>Innenwandungen von Industrieschornsteinen,</w:t>
      </w:r>
    </w:p>
    <w:p>
      <w:pPr>
        <w:pStyle w:val="GesAbsatz"/>
        <w:rPr>
          <w:rFonts w:cs="Arial"/>
        </w:rPr>
      </w:pPr>
      <w:r>
        <w:rPr>
          <w:rFonts w:cs="Arial"/>
        </w:rPr>
        <w:t>-</w:t>
      </w:r>
      <w:r>
        <w:rPr>
          <w:rFonts w:cs="Arial"/>
        </w:rPr>
        <w:tab/>
        <w:t>asbest- und PCB-haltige Stoffe,</w:t>
      </w:r>
    </w:p>
    <w:p>
      <w:pPr>
        <w:pStyle w:val="GesAbsatz"/>
        <w:ind w:left="426" w:hanging="426"/>
        <w:rPr>
          <w:rFonts w:cs="Arial"/>
        </w:rPr>
      </w:pPr>
      <w:r>
        <w:rPr>
          <w:rFonts w:cs="Arial"/>
        </w:rPr>
        <w:t>-</w:t>
      </w:r>
      <w:r>
        <w:rPr>
          <w:rFonts w:cs="Arial"/>
        </w:rPr>
        <w:tab/>
        <w:t>mit Schadstoffen kontaminierte Gebäudeteile von Gaswerken, Tankstellen, Galvanikbetrieben und Produktionsanlagen der chemischen Industrie.</w:t>
      </w:r>
    </w:p>
    <w:p>
      <w:pPr>
        <w:pStyle w:val="GesAbsatz"/>
        <w:rPr>
          <w:rFonts w:cs="Arial"/>
        </w:rPr>
      </w:pPr>
      <w:r>
        <w:rPr>
          <w:rFonts w:cs="Arial"/>
        </w:rPr>
        <w:t>Die Recycling-Baustoffe werden nach ihren wasserwirtschaftlichen Merkmalen in bessere Qualität (RCL I) und schlechtere Qualität (RCL II) unterschieden.</w:t>
      </w:r>
    </w:p>
    <w:p>
      <w:pPr>
        <w:pStyle w:val="berschrift3"/>
      </w:pPr>
      <w:bookmarkStart w:id="5" w:name="_Toc116716219"/>
      <w:r>
        <w:t>1.3</w:t>
      </w:r>
      <w:r>
        <w:br/>
        <w:t>Gemische von mineralischen Stoffen aus industriellen Prozessen und Bautätigkeiten</w:t>
      </w:r>
      <w:bookmarkEnd w:id="5"/>
    </w:p>
    <w:p>
      <w:pPr>
        <w:pStyle w:val="GesAbsatz"/>
        <w:rPr>
          <w:rFonts w:cs="Arial"/>
        </w:rPr>
      </w:pPr>
      <w:r>
        <w:rPr>
          <w:rFonts w:cs="Arial"/>
        </w:rPr>
        <w:t xml:space="preserve">Zur Verbesserung der bautechnischen Eigenschaften können aus den unter Nummer 1.1 und 1.2 aufgeführten mineralischen Stoffen, sofern sie güteüberwacht sind, die in </w:t>
      </w:r>
      <w:r>
        <w:rPr>
          <w:rFonts w:cs="Arial"/>
          <w:b/>
          <w:bCs/>
        </w:rPr>
        <w:t>Tabelle 1 (s. Anlage 1)</w:t>
      </w:r>
      <w:r>
        <w:rPr>
          <w:rFonts w:cs="Arial"/>
        </w:rPr>
        <w:t>definierten Gemische hergestellt werden. Ihr Einsatz ist nur zulässig, wenn beide mineralischen Stoffe für ein Verwertungsgebiet zugelassen sind (vgl. Gem. RdErl. d. Ministeriums für Umwelt und Naturschutz, Landwirtschaft und Verbraucherschutz u. d. Ministeriums für Wirtschaft und Mittelstand, Energie und Verkehr v. 9.10.2001 - Anforderungen an den Einsatz von mineralischen Stoffen aus industriellen Prozessen im Straßen- und Erdbau - (SMBl. NRW. 74).</w:t>
      </w:r>
    </w:p>
    <w:p>
      <w:pPr>
        <w:pStyle w:val="berschrift2"/>
      </w:pPr>
      <w:bookmarkStart w:id="6" w:name="_Toc116716220"/>
      <w:r>
        <w:t>2</w:t>
      </w:r>
      <w:r>
        <w:br/>
        <w:t>Eignungsnachweis und Güteüberwachung</w:t>
      </w:r>
      <w:bookmarkEnd w:id="6"/>
    </w:p>
    <w:p>
      <w:pPr>
        <w:pStyle w:val="GesAbsatz"/>
        <w:rPr>
          <w:rFonts w:cs="Arial"/>
        </w:rPr>
      </w:pPr>
      <w:r>
        <w:rPr>
          <w:rFonts w:cs="Arial"/>
        </w:rPr>
        <w:t>Die Güteüberwachung besteht aus Eigen- und Fremdüberwachung. Der Eignungsnachweis und die Prüfungen im Rahmen der Fremdüberwachung sind von Prüfstellen durchzuführen, die von der obersten Straßenbaubehörde nach den "Richtlinien für die Anerkennung und Überwachung von Prüfstellen für bituminöse und mineralische Baustoffe und Baustoffgemische im Straßenbau, RAP Stra" sowie dem Gem.RdErl. d. Ministeriums für Stadtentwicklung und Verkehr u. d. Ministeriums für Umwelt, Raumordnung und Landwirtschaft v. 28.3.1991 - Prüfstellen für den Straßenbau - (SMBl. NRW. 913) anerkannt sind.</w:t>
      </w:r>
    </w:p>
    <w:p>
      <w:pPr>
        <w:pStyle w:val="GesAbsatz"/>
        <w:rPr>
          <w:rFonts w:cs="Arial"/>
        </w:rPr>
      </w:pPr>
      <w:r>
        <w:rPr>
          <w:rFonts w:cs="Arial"/>
        </w:rPr>
        <w:lastRenderedPageBreak/>
        <w:t>Die anerkannte Prüfstelle kann sich eines Instituts zur Überprüfung der wasserwirtschaftlichen Merkmale (Prüfungskatalog der jeweiligen Stoffe) bedienen. Dieses Institut muss ebenfalls nach dem o. g. Gem. RdErl. anerkannt sein. Die Ergebnisse der Untersuchungen werden von diesem Institut der mit der Fremdüberwachung beauftragten Prüfstelle zugeleitet. Diese bleibt den Straßenbaubehörden gegenüber verantwortlich. Im Prüfzeugnis ist jeweils der gemessene Wert einschließlich der Bestimmungsgrenze anzugeben. Bei Wiederholungsprüfungen sind alle gemessenen Werte, einschließlich der beanstandeten, zu dokumentieren.</w:t>
      </w:r>
    </w:p>
    <w:p>
      <w:pPr>
        <w:pStyle w:val="berschrift2"/>
      </w:pPr>
      <w:bookmarkStart w:id="7" w:name="_Toc116716221"/>
      <w:r>
        <w:t>3</w:t>
      </w:r>
      <w:r>
        <w:br/>
        <w:t>Ergänzende Regelungen zu den RG Min-StB 93</w:t>
      </w:r>
      <w:bookmarkEnd w:id="7"/>
    </w:p>
    <w:p>
      <w:pPr>
        <w:pStyle w:val="GesAbsatz"/>
        <w:rPr>
          <w:rFonts w:cs="Arial"/>
        </w:rPr>
      </w:pPr>
      <w:r>
        <w:rPr>
          <w:rFonts w:cs="Arial"/>
        </w:rPr>
        <w:t>Die Anlage 1 der RG Min-StB 93 gilt mit folgenden Ergänzungen:</w:t>
      </w:r>
    </w:p>
    <w:p>
      <w:pPr>
        <w:pStyle w:val="GesAbsatz"/>
        <w:rPr>
          <w:rFonts w:cs="Arial"/>
        </w:rPr>
      </w:pPr>
      <w:r>
        <w:rPr>
          <w:rFonts w:cs="Arial"/>
        </w:rPr>
        <w:t>-</w:t>
      </w:r>
      <w:r>
        <w:rPr>
          <w:rFonts w:cs="Arial"/>
        </w:rPr>
        <w:tab/>
        <w:t>Merkblatt über die Verwendung von Kesselasche im Straßenbau</w:t>
      </w:r>
    </w:p>
    <w:p>
      <w:pPr>
        <w:pStyle w:val="GesAbsatz"/>
        <w:ind w:left="426" w:hanging="426"/>
        <w:rPr>
          <w:rFonts w:cs="Arial"/>
        </w:rPr>
      </w:pPr>
      <w:r>
        <w:rPr>
          <w:rFonts w:cs="Arial"/>
        </w:rPr>
        <w:t>-</w:t>
      </w:r>
      <w:r>
        <w:rPr>
          <w:rFonts w:cs="Arial"/>
        </w:rPr>
        <w:tab/>
        <w:t>Technische Lieferbedingungen für Waschberge aus der Steinkohlengewinnung als Baustoffe im Straßen- und Erdbau (TL WB-StB)</w:t>
      </w:r>
    </w:p>
    <w:p>
      <w:pPr>
        <w:pStyle w:val="GesAbsatz"/>
        <w:rPr>
          <w:rFonts w:cs="Arial"/>
        </w:rPr>
      </w:pPr>
      <w:r>
        <w:rPr>
          <w:rFonts w:cs="Arial"/>
        </w:rPr>
        <w:t>Soweit die Regelwerke für die bautechnischen Anforderungen auch wasserwirtschaftliche Anforderungen enthalten, die von den Regelwerken in diesem Erlasse abweichen, gilt dieser Erlass.</w:t>
      </w:r>
    </w:p>
    <w:p>
      <w:pPr>
        <w:pStyle w:val="GesAbsatz"/>
        <w:rPr>
          <w:rFonts w:cs="Arial"/>
        </w:rPr>
      </w:pPr>
      <w:r>
        <w:rPr>
          <w:rFonts w:cs="Arial"/>
        </w:rPr>
        <w:t xml:space="preserve">Für die in den RG Min-StB 93 nicht behandelten SKA und WB gelten die in </w:t>
      </w:r>
      <w:r>
        <w:rPr>
          <w:rFonts w:cs="Arial"/>
          <w:b/>
          <w:bCs/>
        </w:rPr>
        <w:t>Tabelle</w:t>
      </w:r>
      <w:r>
        <w:rPr>
          <w:rFonts w:cs="Arial"/>
          <w:b/>
          <w:bCs/>
          <w:i/>
          <w:iCs/>
        </w:rPr>
        <w:t xml:space="preserve"> </w:t>
      </w:r>
      <w:r>
        <w:rPr>
          <w:rFonts w:cs="Arial"/>
          <w:b/>
          <w:bCs/>
        </w:rPr>
        <w:t xml:space="preserve">2 (s. Anlage 2) </w:t>
      </w:r>
      <w:r>
        <w:rPr>
          <w:rFonts w:cs="Arial"/>
        </w:rPr>
        <w:t>aufgeführten</w:t>
      </w:r>
      <w:bookmarkStart w:id="8" w:name="B_919073542"/>
      <w:bookmarkEnd w:id="8"/>
      <w:r>
        <w:rPr>
          <w:rFonts w:cs="Arial"/>
        </w:rPr>
        <w:t xml:space="preserve"> Regelungen.</w:t>
      </w:r>
    </w:p>
    <w:p>
      <w:pPr>
        <w:pStyle w:val="GesAbsatz"/>
        <w:rPr>
          <w:rFonts w:cs="Arial"/>
        </w:rPr>
      </w:pPr>
      <w:r>
        <w:rPr>
          <w:rFonts w:cs="Arial"/>
        </w:rPr>
        <w:t xml:space="preserve">Die Eigenüberwachung der wasserwirtschaftlichen Merkmale ist gemäß </w:t>
      </w:r>
      <w:r>
        <w:rPr>
          <w:rFonts w:cs="Arial"/>
          <w:b/>
          <w:bCs/>
        </w:rPr>
        <w:t>Tabelle</w:t>
      </w:r>
      <w:r>
        <w:rPr>
          <w:rFonts w:cs="Arial"/>
          <w:b/>
          <w:bCs/>
          <w:i/>
          <w:iCs/>
        </w:rPr>
        <w:t xml:space="preserve"> </w:t>
      </w:r>
      <w:r>
        <w:rPr>
          <w:rFonts w:cs="Arial"/>
          <w:b/>
          <w:bCs/>
        </w:rPr>
        <w:t>3 (s. Anlage 3)</w:t>
      </w:r>
      <w:r>
        <w:rPr>
          <w:rFonts w:cs="Arial"/>
        </w:rPr>
        <w:t xml:space="preserve"> durchzuführen. Schnelltestverfahren dürfen eingesetzt werden, wenn der Nachweis erbracht wird, dass vergleichbare Ergebnisse erzielt werden. Hierüber befindet die fremdüberwachende Prüfstelle.</w:t>
      </w:r>
    </w:p>
    <w:p>
      <w:pPr>
        <w:pStyle w:val="GesAbsatz"/>
        <w:rPr>
          <w:rFonts w:cs="Arial"/>
        </w:rPr>
      </w:pPr>
      <w:r>
        <w:rPr>
          <w:rFonts w:cs="Arial"/>
        </w:rPr>
        <w:t>Alle Kenngrößen werden bei den Untersuchungen grundsätzlich nach DIN-Vorschriften bzw. gebräuchlichen und erprobten Analysenverfahren (Bezugsverfahren) bestimmt.</w:t>
      </w:r>
    </w:p>
    <w:p>
      <w:pPr>
        <w:pStyle w:val="GesAbsatz"/>
        <w:rPr>
          <w:rFonts w:cs="Arial"/>
        </w:rPr>
      </w:pPr>
      <w:r>
        <w:rPr>
          <w:rFonts w:cs="Arial"/>
        </w:rPr>
        <w:t>Abweichungen von den DIN-Vorschriften sind in begründeten Fällen (z. B. beim Einsatz automatischer Geräte bei der Serienanalyse) zulässig, sofern die Gleichwertigkeit des angewendeten Analysenverfahrens nachgewiesen ist. Abweichungen von der angegebenen Methodik sind zu dokumentieren.</w:t>
      </w:r>
    </w:p>
    <w:p>
      <w:pPr>
        <w:pStyle w:val="GesAbsatz"/>
        <w:rPr>
          <w:rFonts w:cs="Arial"/>
        </w:rPr>
      </w:pPr>
      <w:r>
        <w:rPr>
          <w:rFonts w:cs="Arial"/>
        </w:rPr>
        <w:t>Alternativverfahren sind so auszuwählen, dass die Kenngrößen in ihren möglichen Schwankungsbreiten erfasst werden können.</w:t>
      </w:r>
    </w:p>
    <w:p>
      <w:pPr>
        <w:pStyle w:val="GesAbsatz"/>
        <w:rPr>
          <w:rFonts w:cs="Arial"/>
        </w:rPr>
      </w:pPr>
      <w:r>
        <w:rPr>
          <w:rFonts w:cs="Arial"/>
        </w:rPr>
        <w:t>Vor dem erstmaligen Einsatz eines Alternativverfahrens ist bei mind. 2 Messungen durch Vergleichsmessungen mit dem Bezugsverfahren die Eignung festzustellen und das Laborpersonal einzuweisen.</w:t>
      </w:r>
    </w:p>
    <w:p>
      <w:pPr>
        <w:pStyle w:val="GesAbsatz"/>
        <w:rPr>
          <w:rFonts w:cs="Arial"/>
        </w:rPr>
      </w:pPr>
      <w:r>
        <w:rPr>
          <w:rFonts w:cs="Arial"/>
        </w:rPr>
        <w:t xml:space="preserve">Beim Einsatz von Alternativverfahren sind in halbjährlichem Abstand Parallelmessungen mit dem Bezugsverfahren durchzuführen. Wenn die dabei festgestellten Abweichungen die in der </w:t>
      </w:r>
      <w:r>
        <w:rPr>
          <w:rFonts w:cs="Arial"/>
          <w:b/>
          <w:bCs/>
        </w:rPr>
        <w:t>Tabelle 4 (s. Anlage 4)</w:t>
      </w:r>
      <w:r>
        <w:rPr>
          <w:rFonts w:cs="Arial"/>
        </w:rPr>
        <w:t xml:space="preserve"> zugelassenen Abweichungen überschreiten, muss eine Überprüfung erfolgen.</w:t>
      </w:r>
    </w:p>
    <w:p>
      <w:pPr>
        <w:pStyle w:val="berschrift2"/>
      </w:pPr>
      <w:bookmarkStart w:id="9" w:name="_Toc116716222"/>
      <w:r>
        <w:t>4</w:t>
      </w:r>
      <w:r>
        <w:br/>
        <w:t>Grenzwerte für die wasserwirtschaftlichen Merkmale</w:t>
      </w:r>
      <w:bookmarkEnd w:id="9"/>
    </w:p>
    <w:p>
      <w:pPr>
        <w:pStyle w:val="GesAbsatz"/>
        <w:rPr>
          <w:rFonts w:cs="Arial"/>
        </w:rPr>
      </w:pPr>
      <w:r>
        <w:rPr>
          <w:rFonts w:cs="Arial"/>
        </w:rPr>
        <w:t>Die Grenzwerte für wasserwirtschaftliche Merkmale sind stoffspezifische Werte. Die Auswahl der Parameter orientiert sich an den möglichen Belastungsquellen, wobei nur diejenigen Parameter aufgeführt sind, die in grundwasserrelevanten Konzentrationen auftreten können. Die Höhe der zugeordneten Grenzwerte entspricht dem oberen Konzentrationsniveau der üblicherweise vorkommenden Schwankungen.</w:t>
      </w:r>
    </w:p>
    <w:p>
      <w:pPr>
        <w:pStyle w:val="GesAbsatz"/>
        <w:rPr>
          <w:rFonts w:cs="Arial"/>
        </w:rPr>
      </w:pPr>
      <w:r>
        <w:rPr>
          <w:rFonts w:cs="Arial"/>
        </w:rPr>
        <w:t>Die Einhaltung der Grenzwerte ist Grundvoraussetzung für die Verwendbarkeit der Mineralstoffe im Erd- und Straßenbau im Rahmen des Gem.RdErl. d. Ministeriums für Umwelt und Naturschutz, Landwirtschaft und Verbraucherschutz u. d. Ministeriums für Wirtschaft und Mittelstand, Energie und Verkehr v. 9.10.2001 - Anforderungen an den Einsatz von mineralischen Stoffen aus industriellen Prozessen im Straßen- und Erdbau - (SMBl. NW. 74). Zur Beurteilung der aus Sicht des Grundwasserschutzes möglichen Verwertung ist daher im Anwendungsfall die Bauweise und die Lage der Baumaßnahme zu berücksichtigen.</w:t>
      </w:r>
    </w:p>
    <w:p>
      <w:pPr>
        <w:pStyle w:val="GesAbsatz"/>
        <w:rPr>
          <w:rFonts w:cs="Arial"/>
        </w:rPr>
      </w:pPr>
      <w:r>
        <w:rPr>
          <w:rFonts w:cs="Arial"/>
        </w:rPr>
        <w:t>Für die wasserwirtschaftlichen Merkmale aller hier behandelten Stoffe gelten die Regelungen dieses Erlasses. Dies gilt auch, sofern in Technischen Lieferbedingungen aufgeführte Grenzwerte nicht mit denen dieses Erlasses übereinstimmen.</w:t>
      </w:r>
    </w:p>
    <w:p>
      <w:pPr>
        <w:pStyle w:val="GesAbsatz"/>
        <w:rPr>
          <w:rFonts w:cs="Arial"/>
        </w:rPr>
      </w:pPr>
      <w:r>
        <w:rPr>
          <w:rFonts w:cs="Arial"/>
        </w:rPr>
        <w:t xml:space="preserve">Die Grenzwerte der </w:t>
      </w:r>
      <w:r>
        <w:rPr>
          <w:rFonts w:cs="Arial"/>
          <w:b/>
          <w:bCs/>
        </w:rPr>
        <w:t>Tabellen 5 a (s. Anlage 5a) und 5b (s. Anlage 5b)</w:t>
      </w:r>
      <w:r>
        <w:rPr>
          <w:rFonts w:cs="Arial"/>
        </w:rPr>
        <w:t xml:space="preserve"> sind einzuhalten. Überschreitungen sind nur tolerierbar, wenn sie geringfügig und nicht systematisch sind. Eine systematische Überschreitung liegt vor, wenn der zulässige Grenzwert eines Merkmals bei zwei aufeinanderfolgenden Fremdüberwachungsprüfungen überschritten wird. Eine geringfügige, tolerierbare Überschreitung ist gegeben, wenn</w:t>
      </w:r>
    </w:p>
    <w:p>
      <w:pPr>
        <w:pStyle w:val="GesAbsatz"/>
        <w:ind w:left="426" w:hanging="426"/>
        <w:rPr>
          <w:rFonts w:cs="Arial"/>
        </w:rPr>
      </w:pPr>
      <w:r>
        <w:rPr>
          <w:rFonts w:cs="Arial"/>
        </w:rPr>
        <w:t>-</w:t>
      </w:r>
      <w:r>
        <w:rPr>
          <w:rFonts w:cs="Arial"/>
        </w:rPr>
        <w:tab/>
        <w:t>bei LDS, EOS, HOS, HS, SKG, SFA, SKA, WB I und II, GRS  (aus Eisen-, Stahl- und Tempergießereien), GKOS insgesamt max. 1 Merkmal</w:t>
      </w:r>
    </w:p>
    <w:p>
      <w:pPr>
        <w:pStyle w:val="GesAbsatz"/>
        <w:ind w:left="426" w:hanging="426"/>
        <w:rPr>
          <w:rFonts w:cs="Arial"/>
        </w:rPr>
      </w:pPr>
      <w:r>
        <w:rPr>
          <w:rFonts w:cs="Arial"/>
        </w:rPr>
        <w:lastRenderedPageBreak/>
        <w:t>-</w:t>
      </w:r>
      <w:r>
        <w:rPr>
          <w:rFonts w:cs="Arial"/>
        </w:rPr>
        <w:tab/>
        <w:t xml:space="preserve">bei RCL I + II und GRS max. je 1 Merkmal aus 2 der 4 Kenngrößengruppen in </w:t>
      </w:r>
      <w:r>
        <w:rPr>
          <w:rFonts w:cs="Arial"/>
          <w:b/>
        </w:rPr>
        <w:t>T</w:t>
      </w:r>
      <w:r>
        <w:rPr>
          <w:rFonts w:cs="Arial"/>
          <w:b/>
          <w:bCs/>
        </w:rPr>
        <w:t>abelle 6 (s. Anlage 6)</w:t>
      </w:r>
    </w:p>
    <w:p>
      <w:pPr>
        <w:pStyle w:val="GesAbsatz"/>
        <w:rPr>
          <w:rFonts w:cs="Arial"/>
        </w:rPr>
      </w:pPr>
      <w:r>
        <w:rPr>
          <w:rFonts w:cs="Arial"/>
        </w:rPr>
        <w:t>den Grenzwert der Tabelle 5 a / 5 b um nicht mehr als die angegebenen Prozentwerte überschreitet. Sofern in Tabelle 6 ein Merkmal der Kenngrößengruppe 1 im tolerierbaren Rahmen überschritten wird, darf zusätzlich auch der Grenzwert der elektrischen Leitfähigkeit (Kenngrößengruppe 2) um den angegebenen Prozentwert überschritten werden.</w:t>
      </w:r>
    </w:p>
    <w:p>
      <w:pPr>
        <w:pStyle w:val="GesAbsatz"/>
        <w:rPr>
          <w:rFonts w:cs="Arial"/>
        </w:rPr>
      </w:pPr>
      <w:r>
        <w:rPr>
          <w:rFonts w:cs="Arial"/>
        </w:rPr>
        <w:t>Die Liste der Lieferwerke für Mineralstoffe in Nordrhein-Westfalen und deren Erzeugnisse, die der Güteüberwachung unterliegen sowie deutscher und ausländischer Werke und deren güteüberwachte Erzeugnisse (s. Ziff. 2.4.2 der RG Min), sind beim Ministerium für Wirtschaft und Mittelstand, Energie und Verkehr, Referat VI A 3, 40190 Düsseldorf, erhältlich.</w:t>
      </w:r>
    </w:p>
    <w:p>
      <w:pPr>
        <w:pStyle w:val="GesAbsatz"/>
        <w:rPr>
          <w:rFonts w:cs="Arial"/>
        </w:rPr>
      </w:pPr>
      <w:r>
        <w:rPr>
          <w:rFonts w:cs="Arial"/>
        </w:rPr>
        <w:t>Der Gem. RdErl. d. Ministers für Stadtentwicklung, Wohnen und Verkehr u. d. Ministeriums für Umwelt, Raumordnung und Landwirtschaft v. 25.04.1991 (SMBl. NRW. 913) wird aufgehoben.</w:t>
      </w:r>
    </w:p>
    <w:p>
      <w:pPr>
        <w:pStyle w:val="GesAbsatz"/>
        <w:rPr>
          <w:rFonts w:cs="Arial"/>
        </w:rPr>
      </w:pPr>
      <w:r>
        <w:rPr>
          <w:rFonts w:cs="Arial"/>
        </w:rPr>
        <w:t>Diesem Erlass entgegenstehende Verfügungen werden aufgehoben.</w:t>
      </w:r>
    </w:p>
    <w:p>
      <w:pPr>
        <w:pStyle w:val="berschrift2"/>
        <w:jc w:val="left"/>
      </w:pPr>
      <w:r>
        <w:rPr>
          <w:rFonts w:cs="Arial"/>
        </w:rPr>
        <w:br w:type="page"/>
      </w:r>
      <w:bookmarkStart w:id="10" w:name="_Toc116716223"/>
      <w:bookmarkStart w:id="11" w:name="_Toc9307369"/>
      <w:r>
        <w:lastRenderedPageBreak/>
        <w:t>Anlage 1</w:t>
      </w:r>
      <w:bookmarkEnd w:id="10"/>
    </w:p>
    <w:p>
      <w:pPr>
        <w:pStyle w:val="GesAbsatz"/>
        <w:rPr>
          <w:rFonts w:eastAsia="Arial Unicode MS"/>
        </w:rPr>
      </w:pPr>
      <w:r>
        <w:t>Tabelle 1: Im Werk hergestellte Gemische aus güteüberwachten Mineralstoffen</w:t>
      </w:r>
      <w:bookmarkEnd w:id="11"/>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2064"/>
        <w:gridCol w:w="1132"/>
        <w:gridCol w:w="847"/>
        <w:gridCol w:w="902"/>
        <w:gridCol w:w="865"/>
        <w:gridCol w:w="736"/>
        <w:gridCol w:w="902"/>
        <w:gridCol w:w="1095"/>
      </w:tblGrid>
      <w:tr>
        <w:trPr>
          <w:tblCellSpacing w:w="0" w:type="dxa"/>
          <w:jc w:val="center"/>
        </w:trPr>
        <w:tc>
          <w:tcPr>
            <w:tcW w:w="8543" w:type="dxa"/>
            <w:gridSpan w:val="8"/>
            <w:tcBorders>
              <w:top w:val="outset" w:sz="6" w:space="0" w:color="auto"/>
              <w:left w:val="single" w:sz="4" w:space="0" w:color="auto"/>
              <w:bottom w:val="single" w:sz="4" w:space="0" w:color="auto"/>
              <w:right w:val="single" w:sz="4" w:space="0" w:color="auto"/>
            </w:tcBorders>
          </w:tcPr>
          <w:p>
            <w:pPr>
              <w:pStyle w:val="GesAbsatz"/>
              <w:rPr>
                <w:rFonts w:eastAsia="Arial Unicode MS" w:cs="Arial"/>
                <w:b/>
              </w:rPr>
            </w:pPr>
            <w:r>
              <w:rPr>
                <w:rFonts w:cs="Arial"/>
                <w:b/>
              </w:rPr>
              <w:t xml:space="preserve">Anteil der Mineralstoffkomponenten in M. % </w:t>
            </w:r>
            <w:r>
              <w:rPr>
                <w:rFonts w:cs="Arial"/>
                <w:b/>
                <w:vertAlign w:val="superscript"/>
              </w:rPr>
              <w:t>1</w:t>
            </w:r>
          </w:p>
        </w:tc>
      </w:tr>
      <w:tr>
        <w:trPr>
          <w:trHeight w:val="202"/>
          <w:tblCellSpacing w:w="0" w:type="dxa"/>
          <w:jc w:val="center"/>
        </w:trPr>
        <w:tc>
          <w:tcPr>
            <w:tcW w:w="2064"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Gemisch-Nr.</w:t>
            </w:r>
          </w:p>
        </w:tc>
        <w:tc>
          <w:tcPr>
            <w:tcW w:w="113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HOS</w:t>
            </w:r>
            <w:r>
              <w:rPr>
                <w:rFonts w:cs="Arial"/>
                <w:vertAlign w:val="superscript"/>
              </w:rPr>
              <w:t>2</w:t>
            </w:r>
          </w:p>
        </w:tc>
        <w:tc>
          <w:tcPr>
            <w:tcW w:w="847"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LDS</w:t>
            </w: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EOS</w:t>
            </w:r>
          </w:p>
        </w:tc>
        <w:tc>
          <w:tcPr>
            <w:tcW w:w="86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RCL</w:t>
            </w:r>
          </w:p>
        </w:tc>
        <w:tc>
          <w:tcPr>
            <w:tcW w:w="736"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WB</w:t>
            </w: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SKG</w:t>
            </w:r>
          </w:p>
        </w:tc>
        <w:tc>
          <w:tcPr>
            <w:tcW w:w="109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SFA</w:t>
            </w:r>
          </w:p>
        </w:tc>
      </w:tr>
      <w:tr>
        <w:trPr>
          <w:tblCellSpacing w:w="0" w:type="dxa"/>
          <w:jc w:val="center"/>
        </w:trPr>
        <w:tc>
          <w:tcPr>
            <w:tcW w:w="2064"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1</w:t>
            </w:r>
          </w:p>
        </w:tc>
        <w:tc>
          <w:tcPr>
            <w:tcW w:w="113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20</w:t>
            </w:r>
          </w:p>
        </w:tc>
        <w:tc>
          <w:tcPr>
            <w:tcW w:w="847"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80</w:t>
            </w: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86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736"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109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r>
      <w:tr>
        <w:trPr>
          <w:tblCellSpacing w:w="0" w:type="dxa"/>
          <w:jc w:val="center"/>
        </w:trPr>
        <w:tc>
          <w:tcPr>
            <w:tcW w:w="2064"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2</w:t>
            </w:r>
          </w:p>
        </w:tc>
        <w:tc>
          <w:tcPr>
            <w:tcW w:w="113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50</w:t>
            </w:r>
          </w:p>
        </w:tc>
        <w:tc>
          <w:tcPr>
            <w:tcW w:w="847"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50</w:t>
            </w: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86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736"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109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r>
      <w:tr>
        <w:trPr>
          <w:tblCellSpacing w:w="0" w:type="dxa"/>
          <w:jc w:val="center"/>
        </w:trPr>
        <w:tc>
          <w:tcPr>
            <w:tcW w:w="2064"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3</w:t>
            </w:r>
          </w:p>
        </w:tc>
        <w:tc>
          <w:tcPr>
            <w:tcW w:w="113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80</w:t>
            </w:r>
          </w:p>
        </w:tc>
        <w:tc>
          <w:tcPr>
            <w:tcW w:w="847"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20</w:t>
            </w: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86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736"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109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r>
      <w:tr>
        <w:trPr>
          <w:tblCellSpacing w:w="0" w:type="dxa"/>
          <w:jc w:val="center"/>
        </w:trPr>
        <w:tc>
          <w:tcPr>
            <w:tcW w:w="2064"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4</w:t>
            </w:r>
          </w:p>
        </w:tc>
        <w:tc>
          <w:tcPr>
            <w:tcW w:w="113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20</w:t>
            </w:r>
          </w:p>
        </w:tc>
        <w:tc>
          <w:tcPr>
            <w:tcW w:w="847"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80</w:t>
            </w:r>
          </w:p>
        </w:tc>
        <w:tc>
          <w:tcPr>
            <w:tcW w:w="86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736"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109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r>
      <w:tr>
        <w:trPr>
          <w:tblCellSpacing w:w="0" w:type="dxa"/>
          <w:jc w:val="center"/>
        </w:trPr>
        <w:tc>
          <w:tcPr>
            <w:tcW w:w="2064"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5</w:t>
            </w:r>
          </w:p>
        </w:tc>
        <w:tc>
          <w:tcPr>
            <w:tcW w:w="113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50</w:t>
            </w:r>
          </w:p>
        </w:tc>
        <w:tc>
          <w:tcPr>
            <w:tcW w:w="847"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50</w:t>
            </w:r>
          </w:p>
        </w:tc>
        <w:tc>
          <w:tcPr>
            <w:tcW w:w="86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736"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109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r>
      <w:tr>
        <w:trPr>
          <w:tblCellSpacing w:w="0" w:type="dxa"/>
          <w:jc w:val="center"/>
        </w:trPr>
        <w:tc>
          <w:tcPr>
            <w:tcW w:w="2064"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6</w:t>
            </w:r>
          </w:p>
        </w:tc>
        <w:tc>
          <w:tcPr>
            <w:tcW w:w="113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80</w:t>
            </w:r>
          </w:p>
        </w:tc>
        <w:tc>
          <w:tcPr>
            <w:tcW w:w="847"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20</w:t>
            </w:r>
          </w:p>
        </w:tc>
        <w:tc>
          <w:tcPr>
            <w:tcW w:w="86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736"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109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r>
      <w:tr>
        <w:trPr>
          <w:tblCellSpacing w:w="0" w:type="dxa"/>
          <w:jc w:val="center"/>
        </w:trPr>
        <w:tc>
          <w:tcPr>
            <w:tcW w:w="2064"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7</w:t>
            </w:r>
          </w:p>
        </w:tc>
        <w:tc>
          <w:tcPr>
            <w:tcW w:w="113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70</w:t>
            </w:r>
          </w:p>
        </w:tc>
        <w:tc>
          <w:tcPr>
            <w:tcW w:w="847"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86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736"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30</w:t>
            </w:r>
          </w:p>
        </w:tc>
        <w:tc>
          <w:tcPr>
            <w:tcW w:w="109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r>
      <w:tr>
        <w:trPr>
          <w:tblCellSpacing w:w="0" w:type="dxa"/>
          <w:jc w:val="center"/>
        </w:trPr>
        <w:tc>
          <w:tcPr>
            <w:tcW w:w="2064"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8</w:t>
            </w:r>
          </w:p>
        </w:tc>
        <w:tc>
          <w:tcPr>
            <w:tcW w:w="113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30</w:t>
            </w:r>
          </w:p>
        </w:tc>
        <w:tc>
          <w:tcPr>
            <w:tcW w:w="847"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86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70</w:t>
            </w:r>
          </w:p>
        </w:tc>
        <w:tc>
          <w:tcPr>
            <w:tcW w:w="736"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109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r>
      <w:tr>
        <w:trPr>
          <w:tblCellSpacing w:w="0" w:type="dxa"/>
          <w:jc w:val="center"/>
        </w:trPr>
        <w:tc>
          <w:tcPr>
            <w:tcW w:w="2064"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9</w:t>
            </w:r>
          </w:p>
        </w:tc>
        <w:tc>
          <w:tcPr>
            <w:tcW w:w="113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70</w:t>
            </w:r>
          </w:p>
        </w:tc>
        <w:tc>
          <w:tcPr>
            <w:tcW w:w="847"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86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30</w:t>
            </w:r>
          </w:p>
        </w:tc>
        <w:tc>
          <w:tcPr>
            <w:tcW w:w="736"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109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r>
      <w:tr>
        <w:trPr>
          <w:tblCellSpacing w:w="0" w:type="dxa"/>
          <w:jc w:val="center"/>
        </w:trPr>
        <w:tc>
          <w:tcPr>
            <w:tcW w:w="2064"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10</w:t>
            </w:r>
          </w:p>
        </w:tc>
        <w:tc>
          <w:tcPr>
            <w:tcW w:w="113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847"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30</w:t>
            </w: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86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70</w:t>
            </w:r>
          </w:p>
        </w:tc>
        <w:tc>
          <w:tcPr>
            <w:tcW w:w="736"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109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r>
      <w:tr>
        <w:trPr>
          <w:tblCellSpacing w:w="0" w:type="dxa"/>
          <w:jc w:val="center"/>
        </w:trPr>
        <w:tc>
          <w:tcPr>
            <w:tcW w:w="2064"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11</w:t>
            </w:r>
            <w:r>
              <w:rPr>
                <w:rFonts w:cs="Arial"/>
                <w:vertAlign w:val="superscript"/>
              </w:rPr>
              <w:t>3</w:t>
            </w:r>
          </w:p>
        </w:tc>
        <w:tc>
          <w:tcPr>
            <w:tcW w:w="113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847"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20</w:t>
            </w: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86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736"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80</w:t>
            </w: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109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r>
      <w:tr>
        <w:trPr>
          <w:tblCellSpacing w:w="0" w:type="dxa"/>
          <w:jc w:val="center"/>
        </w:trPr>
        <w:tc>
          <w:tcPr>
            <w:tcW w:w="2064"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12</w:t>
            </w:r>
            <w:r>
              <w:rPr>
                <w:rFonts w:cs="Arial"/>
                <w:vertAlign w:val="superscript"/>
              </w:rPr>
              <w:t>3</w:t>
            </w:r>
          </w:p>
        </w:tc>
        <w:tc>
          <w:tcPr>
            <w:tcW w:w="113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847"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86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736"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80</w:t>
            </w:r>
          </w:p>
        </w:tc>
        <w:tc>
          <w:tcPr>
            <w:tcW w:w="90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p>
        </w:tc>
        <w:tc>
          <w:tcPr>
            <w:tcW w:w="1095"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cs="Arial"/>
              </w:rPr>
            </w:pPr>
            <w:r>
              <w:rPr>
                <w:rFonts w:cs="Arial"/>
              </w:rPr>
              <w:t>20</w:t>
            </w:r>
          </w:p>
        </w:tc>
      </w:tr>
      <w:tr>
        <w:trPr>
          <w:tblCellSpacing w:w="0" w:type="dxa"/>
          <w:jc w:val="center"/>
        </w:trPr>
        <w:tc>
          <w:tcPr>
            <w:tcW w:w="8543" w:type="dxa"/>
            <w:gridSpan w:val="8"/>
            <w:tcBorders>
              <w:top w:val="single" w:sz="4" w:space="0" w:color="auto"/>
              <w:left w:val="single" w:sz="4" w:space="0" w:color="auto"/>
              <w:bottom w:val="outset" w:sz="6" w:space="0" w:color="auto"/>
              <w:right w:val="single" w:sz="4" w:space="0" w:color="auto"/>
            </w:tcBorders>
          </w:tcPr>
          <w:p>
            <w:pPr>
              <w:pStyle w:val="GesAbsatz"/>
              <w:jc w:val="left"/>
              <w:rPr>
                <w:rFonts w:eastAsia="Arial Unicode MS" w:cs="Arial"/>
              </w:rPr>
            </w:pPr>
            <w:r>
              <w:rPr>
                <w:rFonts w:cs="Arial"/>
                <w:sz w:val="16"/>
                <w:szCs w:val="16"/>
              </w:rPr>
              <w:t>1) Abweichungen von bis zu 10 M. % im fertigen Baustoffgemisch sind zulässig.</w:t>
            </w:r>
            <w:r>
              <w:rPr>
                <w:rFonts w:cs="Arial"/>
                <w:sz w:val="16"/>
                <w:szCs w:val="16"/>
              </w:rPr>
              <w:br/>
              <w:t>2) HOS kann ganz oder teilweise durch Hüttensand oder Kupolofenschlacke ersetzt werden.</w:t>
            </w:r>
            <w:r>
              <w:rPr>
                <w:rFonts w:cs="Arial"/>
                <w:sz w:val="16"/>
                <w:szCs w:val="16"/>
              </w:rPr>
              <w:br/>
              <w:t>3) Das Gemisch kann auch durch Einfräsen auf der Baustelle hergestellt werden.</w:t>
            </w:r>
          </w:p>
        </w:tc>
      </w:tr>
    </w:tbl>
    <w:p>
      <w:pPr>
        <w:pStyle w:val="GesAbsatz"/>
      </w:pPr>
    </w:p>
    <w:p>
      <w:pPr>
        <w:pStyle w:val="berschrift2"/>
        <w:jc w:val="left"/>
      </w:pPr>
      <w:r>
        <w:br w:type="page"/>
      </w:r>
      <w:bookmarkStart w:id="12" w:name="_Toc116716224"/>
      <w:bookmarkStart w:id="13" w:name="_Toc9307370"/>
      <w:r>
        <w:lastRenderedPageBreak/>
        <w:t>Anlage 2</w:t>
      </w:r>
      <w:bookmarkEnd w:id="12"/>
    </w:p>
    <w:p>
      <w:pPr>
        <w:pStyle w:val="GesAbsatz"/>
        <w:rPr>
          <w:rFonts w:eastAsia="Arial Unicode MS"/>
        </w:rPr>
      </w:pPr>
      <w:r>
        <w:rPr>
          <w:bCs/>
        </w:rPr>
        <w:t xml:space="preserve">Tabelle 2: </w:t>
      </w:r>
      <w:r>
        <w:t>Prüfungen für Eignungsnachweis und Güteüberwachung von SKA und WB</w:t>
      </w:r>
      <w:bookmarkEnd w:id="13"/>
      <w:r>
        <w:t xml:space="preserve"> </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477"/>
        <w:gridCol w:w="2044"/>
        <w:gridCol w:w="2201"/>
        <w:gridCol w:w="1343"/>
        <w:gridCol w:w="567"/>
        <w:gridCol w:w="567"/>
        <w:gridCol w:w="1011"/>
        <w:gridCol w:w="543"/>
        <w:gridCol w:w="478"/>
      </w:tblGrid>
      <w:tr>
        <w:trPr>
          <w:tblCellSpacing w:w="0" w:type="dxa"/>
          <w:jc w:val="center"/>
        </w:trPr>
        <w:tc>
          <w:tcPr>
            <w:tcW w:w="477" w:type="dxa"/>
            <w:vMerge w:val="restart"/>
          </w:tcPr>
          <w:p>
            <w:pPr>
              <w:pStyle w:val="GesAbsatz"/>
              <w:jc w:val="center"/>
              <w:rPr>
                <w:rFonts w:eastAsia="Arial Unicode MS" w:cs="Arial"/>
                <w:b/>
              </w:rPr>
            </w:pPr>
            <w:r>
              <w:rPr>
                <w:rFonts w:cs="Arial"/>
                <w:b/>
              </w:rPr>
              <w:t>Lfd.</w:t>
            </w:r>
          </w:p>
        </w:tc>
        <w:tc>
          <w:tcPr>
            <w:tcW w:w="2044" w:type="dxa"/>
            <w:vMerge w:val="restart"/>
          </w:tcPr>
          <w:p>
            <w:pPr>
              <w:pStyle w:val="GesAbsatz"/>
              <w:jc w:val="center"/>
              <w:rPr>
                <w:rFonts w:eastAsia="Arial Unicode MS" w:cs="Arial"/>
                <w:b/>
              </w:rPr>
            </w:pPr>
            <w:r>
              <w:rPr>
                <w:rFonts w:cs="Arial"/>
                <w:b/>
              </w:rPr>
              <w:t>Prüfgegenstand</w:t>
            </w:r>
          </w:p>
        </w:tc>
        <w:tc>
          <w:tcPr>
            <w:tcW w:w="2201" w:type="dxa"/>
            <w:vMerge w:val="restart"/>
          </w:tcPr>
          <w:p>
            <w:pPr>
              <w:pStyle w:val="GesAbsatz"/>
              <w:jc w:val="center"/>
              <w:rPr>
                <w:rFonts w:eastAsia="Arial Unicode MS" w:cs="Arial"/>
                <w:b/>
              </w:rPr>
            </w:pPr>
            <w:r>
              <w:rPr>
                <w:rFonts w:cs="Arial"/>
                <w:b/>
              </w:rPr>
              <w:t>Prüfverfahren</w:t>
            </w:r>
          </w:p>
        </w:tc>
        <w:tc>
          <w:tcPr>
            <w:tcW w:w="2477" w:type="dxa"/>
            <w:gridSpan w:val="3"/>
          </w:tcPr>
          <w:p>
            <w:pPr>
              <w:pStyle w:val="GesAbsatz"/>
              <w:jc w:val="center"/>
              <w:rPr>
                <w:rFonts w:eastAsia="Arial Unicode MS" w:cs="Arial"/>
                <w:b/>
              </w:rPr>
            </w:pPr>
            <w:r>
              <w:rPr>
                <w:rFonts w:cs="Arial"/>
                <w:b/>
              </w:rPr>
              <w:t>SKA</w:t>
            </w:r>
          </w:p>
        </w:tc>
        <w:tc>
          <w:tcPr>
            <w:tcW w:w="2029" w:type="dxa"/>
            <w:gridSpan w:val="3"/>
          </w:tcPr>
          <w:p>
            <w:pPr>
              <w:pStyle w:val="GesAbsatz"/>
              <w:jc w:val="center"/>
              <w:rPr>
                <w:rFonts w:eastAsia="Arial Unicode MS" w:cs="Arial"/>
                <w:b/>
              </w:rPr>
            </w:pPr>
            <w:r>
              <w:rPr>
                <w:rFonts w:cs="Arial"/>
                <w:b/>
              </w:rPr>
              <w:t>WB</w:t>
            </w:r>
          </w:p>
        </w:tc>
      </w:tr>
      <w:tr>
        <w:trPr>
          <w:tblCellSpacing w:w="0" w:type="dxa"/>
          <w:jc w:val="center"/>
        </w:trPr>
        <w:tc>
          <w:tcPr>
            <w:tcW w:w="477" w:type="dxa"/>
            <w:vMerge/>
          </w:tcPr>
          <w:p>
            <w:pPr>
              <w:pStyle w:val="GesAbsatz"/>
              <w:jc w:val="center"/>
              <w:rPr>
                <w:rFonts w:eastAsia="Arial Unicode MS" w:cs="Arial"/>
                <w:b/>
              </w:rPr>
            </w:pPr>
          </w:p>
        </w:tc>
        <w:tc>
          <w:tcPr>
            <w:tcW w:w="2044" w:type="dxa"/>
            <w:vMerge/>
          </w:tcPr>
          <w:p>
            <w:pPr>
              <w:pStyle w:val="GesAbsatz"/>
              <w:jc w:val="center"/>
              <w:rPr>
                <w:rFonts w:eastAsia="Arial Unicode MS" w:cs="Arial"/>
                <w:b/>
              </w:rPr>
            </w:pPr>
          </w:p>
        </w:tc>
        <w:tc>
          <w:tcPr>
            <w:tcW w:w="2201" w:type="dxa"/>
            <w:vMerge/>
          </w:tcPr>
          <w:p>
            <w:pPr>
              <w:pStyle w:val="GesAbsatz"/>
              <w:jc w:val="center"/>
              <w:rPr>
                <w:rFonts w:eastAsia="Arial Unicode MS" w:cs="Arial"/>
                <w:b/>
              </w:rPr>
            </w:pPr>
          </w:p>
        </w:tc>
        <w:tc>
          <w:tcPr>
            <w:tcW w:w="1343" w:type="dxa"/>
          </w:tcPr>
          <w:p>
            <w:pPr>
              <w:pStyle w:val="GesAbsatz"/>
              <w:jc w:val="center"/>
              <w:rPr>
                <w:rFonts w:eastAsia="Arial Unicode MS" w:cs="Arial"/>
              </w:rPr>
            </w:pPr>
            <w:r>
              <w:rPr>
                <w:rFonts w:cs="Arial"/>
              </w:rPr>
              <w:t xml:space="preserve">Eignungs- </w:t>
            </w:r>
            <w:r>
              <w:rPr>
                <w:rFonts w:cs="Arial"/>
              </w:rPr>
              <w:br/>
              <w:t>nachweis</w:t>
            </w:r>
          </w:p>
        </w:tc>
        <w:tc>
          <w:tcPr>
            <w:tcW w:w="1134" w:type="dxa"/>
            <w:gridSpan w:val="2"/>
          </w:tcPr>
          <w:p>
            <w:pPr>
              <w:pStyle w:val="GesAbsatz"/>
              <w:jc w:val="center"/>
              <w:rPr>
                <w:rFonts w:eastAsia="Arial Unicode MS" w:cs="Arial"/>
              </w:rPr>
            </w:pPr>
            <w:r>
              <w:rPr>
                <w:rFonts w:cs="Arial"/>
              </w:rPr>
              <w:t>Güteüber-</w:t>
            </w:r>
            <w:r>
              <w:rPr>
                <w:rFonts w:cs="Arial"/>
              </w:rPr>
              <w:br/>
              <w:t>wachung</w:t>
            </w:r>
          </w:p>
        </w:tc>
        <w:tc>
          <w:tcPr>
            <w:tcW w:w="1011" w:type="dxa"/>
          </w:tcPr>
          <w:p>
            <w:pPr>
              <w:pStyle w:val="GesAbsatz"/>
              <w:jc w:val="center"/>
              <w:rPr>
                <w:rFonts w:eastAsia="Arial Unicode MS" w:cs="Arial"/>
              </w:rPr>
            </w:pPr>
            <w:r>
              <w:rPr>
                <w:rFonts w:cs="Arial"/>
              </w:rPr>
              <w:t xml:space="preserve">Eignungs- </w:t>
            </w:r>
            <w:r>
              <w:rPr>
                <w:rFonts w:cs="Arial"/>
              </w:rPr>
              <w:br/>
              <w:t>nachweis</w:t>
            </w:r>
          </w:p>
        </w:tc>
        <w:tc>
          <w:tcPr>
            <w:tcW w:w="1018" w:type="dxa"/>
            <w:gridSpan w:val="2"/>
          </w:tcPr>
          <w:p>
            <w:pPr>
              <w:pStyle w:val="GesAbsatz"/>
              <w:jc w:val="center"/>
              <w:rPr>
                <w:rFonts w:eastAsia="Arial Unicode MS" w:cs="Arial"/>
              </w:rPr>
            </w:pPr>
            <w:r>
              <w:rPr>
                <w:rFonts w:cs="Arial"/>
              </w:rPr>
              <w:t>Güteüber-</w:t>
            </w:r>
            <w:r>
              <w:rPr>
                <w:rFonts w:cs="Arial"/>
              </w:rPr>
              <w:br/>
              <w:t>wachung</w:t>
            </w:r>
          </w:p>
        </w:tc>
      </w:tr>
      <w:tr>
        <w:trPr>
          <w:tblCellSpacing w:w="0" w:type="dxa"/>
          <w:jc w:val="center"/>
        </w:trPr>
        <w:tc>
          <w:tcPr>
            <w:tcW w:w="477" w:type="dxa"/>
          </w:tcPr>
          <w:p>
            <w:pPr>
              <w:pStyle w:val="GesAbsatz"/>
              <w:jc w:val="left"/>
              <w:rPr>
                <w:rFonts w:eastAsia="Arial Unicode MS" w:cs="Arial"/>
              </w:rPr>
            </w:pPr>
            <w:r>
              <w:rPr>
                <w:rFonts w:cs="Arial"/>
              </w:rPr>
              <w:t> </w:t>
            </w:r>
          </w:p>
        </w:tc>
        <w:tc>
          <w:tcPr>
            <w:tcW w:w="2044" w:type="dxa"/>
          </w:tcPr>
          <w:p>
            <w:pPr>
              <w:pStyle w:val="GesAbsatz"/>
              <w:jc w:val="left"/>
              <w:rPr>
                <w:rFonts w:eastAsia="Arial Unicode MS" w:cs="Arial"/>
              </w:rPr>
            </w:pPr>
            <w:r>
              <w:rPr>
                <w:rFonts w:cs="Arial"/>
              </w:rPr>
              <w:t> </w:t>
            </w:r>
          </w:p>
        </w:tc>
        <w:tc>
          <w:tcPr>
            <w:tcW w:w="2201" w:type="dxa"/>
          </w:tcPr>
          <w:p>
            <w:pPr>
              <w:pStyle w:val="GesAbsatz"/>
              <w:jc w:val="left"/>
              <w:rPr>
                <w:rFonts w:eastAsia="Arial Unicode MS" w:cs="Arial"/>
              </w:rPr>
            </w:pPr>
            <w:r>
              <w:rPr>
                <w:rFonts w:cs="Arial"/>
              </w:rPr>
              <w:t> </w:t>
            </w:r>
          </w:p>
        </w:tc>
        <w:tc>
          <w:tcPr>
            <w:tcW w:w="1343" w:type="dxa"/>
          </w:tcPr>
          <w:p>
            <w:pPr>
              <w:pStyle w:val="GesAbsatz"/>
              <w:jc w:val="left"/>
              <w:rPr>
                <w:rFonts w:eastAsia="Arial Unicode MS" w:cs="Arial"/>
              </w:rPr>
            </w:pPr>
          </w:p>
        </w:tc>
        <w:tc>
          <w:tcPr>
            <w:tcW w:w="567" w:type="dxa"/>
          </w:tcPr>
          <w:p>
            <w:pPr>
              <w:pStyle w:val="GesAbsatz"/>
              <w:jc w:val="left"/>
              <w:rPr>
                <w:rFonts w:eastAsia="Arial Unicode MS" w:cs="Arial"/>
              </w:rPr>
            </w:pPr>
            <w:r>
              <w:rPr>
                <w:rFonts w:cs="Arial"/>
              </w:rPr>
              <w:t>E</w:t>
            </w:r>
          </w:p>
        </w:tc>
        <w:tc>
          <w:tcPr>
            <w:tcW w:w="567" w:type="dxa"/>
          </w:tcPr>
          <w:p>
            <w:pPr>
              <w:pStyle w:val="GesAbsatz"/>
              <w:jc w:val="left"/>
              <w:rPr>
                <w:rFonts w:eastAsia="Arial Unicode MS" w:cs="Arial"/>
                <w:lang w:val="it-IT"/>
              </w:rPr>
            </w:pPr>
            <w:r>
              <w:rPr>
                <w:rFonts w:cs="Arial"/>
                <w:lang w:val="it-IT"/>
              </w:rPr>
              <w:t>F</w:t>
            </w:r>
          </w:p>
        </w:tc>
        <w:tc>
          <w:tcPr>
            <w:tcW w:w="1011" w:type="dxa"/>
          </w:tcPr>
          <w:p>
            <w:pPr>
              <w:pStyle w:val="GesAbsatz"/>
              <w:jc w:val="left"/>
              <w:rPr>
                <w:rFonts w:eastAsia="Arial Unicode MS" w:cs="Arial"/>
                <w:lang w:val="it-IT"/>
              </w:rPr>
            </w:pPr>
          </w:p>
        </w:tc>
        <w:tc>
          <w:tcPr>
            <w:tcW w:w="543" w:type="dxa"/>
          </w:tcPr>
          <w:p>
            <w:pPr>
              <w:pStyle w:val="GesAbsatz"/>
              <w:jc w:val="left"/>
              <w:rPr>
                <w:rFonts w:eastAsia="Arial Unicode MS" w:cs="Arial"/>
                <w:lang w:val="it-IT"/>
              </w:rPr>
            </w:pPr>
            <w:r>
              <w:rPr>
                <w:rFonts w:cs="Arial"/>
                <w:lang w:val="it-IT"/>
              </w:rPr>
              <w:t>E</w:t>
            </w:r>
          </w:p>
        </w:tc>
        <w:tc>
          <w:tcPr>
            <w:tcW w:w="478" w:type="dxa"/>
          </w:tcPr>
          <w:p>
            <w:pPr>
              <w:pStyle w:val="GesAbsatz"/>
              <w:jc w:val="left"/>
              <w:rPr>
                <w:rFonts w:eastAsia="Arial Unicode MS" w:cs="Arial"/>
                <w:lang w:val="it-IT"/>
              </w:rPr>
            </w:pPr>
            <w:r>
              <w:rPr>
                <w:rFonts w:cs="Arial"/>
                <w:lang w:val="it-IT"/>
              </w:rPr>
              <w:t>F</w:t>
            </w:r>
          </w:p>
        </w:tc>
      </w:tr>
      <w:tr>
        <w:trPr>
          <w:tblCellSpacing w:w="0" w:type="dxa"/>
          <w:jc w:val="center"/>
        </w:trPr>
        <w:tc>
          <w:tcPr>
            <w:tcW w:w="477" w:type="dxa"/>
          </w:tcPr>
          <w:p>
            <w:pPr>
              <w:pStyle w:val="GesAbsatz"/>
              <w:jc w:val="left"/>
              <w:rPr>
                <w:rFonts w:eastAsia="Arial Unicode MS" w:cs="Arial"/>
              </w:rPr>
            </w:pPr>
            <w:r>
              <w:rPr>
                <w:rFonts w:cs="Arial"/>
              </w:rPr>
              <w:t>1</w:t>
            </w:r>
          </w:p>
        </w:tc>
        <w:tc>
          <w:tcPr>
            <w:tcW w:w="2044" w:type="dxa"/>
          </w:tcPr>
          <w:p>
            <w:pPr>
              <w:pStyle w:val="GesAbsatz"/>
              <w:jc w:val="left"/>
              <w:rPr>
                <w:rFonts w:eastAsia="Arial Unicode MS" w:cs="Arial"/>
              </w:rPr>
            </w:pPr>
            <w:r>
              <w:rPr>
                <w:rFonts w:cs="Arial"/>
              </w:rPr>
              <w:t>2</w:t>
            </w:r>
          </w:p>
        </w:tc>
        <w:tc>
          <w:tcPr>
            <w:tcW w:w="2201" w:type="dxa"/>
          </w:tcPr>
          <w:p>
            <w:pPr>
              <w:pStyle w:val="GesAbsatz"/>
              <w:jc w:val="left"/>
              <w:rPr>
                <w:rFonts w:eastAsia="Arial Unicode MS" w:cs="Arial"/>
              </w:rPr>
            </w:pPr>
            <w:r>
              <w:rPr>
                <w:rFonts w:cs="Arial"/>
              </w:rPr>
              <w:t>3</w:t>
            </w:r>
          </w:p>
        </w:tc>
        <w:tc>
          <w:tcPr>
            <w:tcW w:w="1343" w:type="dxa"/>
          </w:tcPr>
          <w:p>
            <w:pPr>
              <w:pStyle w:val="GesAbsatz"/>
              <w:jc w:val="left"/>
              <w:rPr>
                <w:rFonts w:eastAsia="Arial Unicode MS" w:cs="Arial"/>
              </w:rPr>
            </w:pPr>
            <w:r>
              <w:rPr>
                <w:rFonts w:cs="Arial"/>
              </w:rPr>
              <w:t>4</w:t>
            </w:r>
          </w:p>
        </w:tc>
        <w:tc>
          <w:tcPr>
            <w:tcW w:w="567" w:type="dxa"/>
          </w:tcPr>
          <w:p>
            <w:pPr>
              <w:pStyle w:val="GesAbsatz"/>
              <w:jc w:val="left"/>
              <w:rPr>
                <w:rFonts w:eastAsia="Arial Unicode MS" w:cs="Arial"/>
              </w:rPr>
            </w:pPr>
            <w:r>
              <w:rPr>
                <w:rFonts w:cs="Arial"/>
              </w:rPr>
              <w:t>5</w:t>
            </w:r>
          </w:p>
        </w:tc>
        <w:tc>
          <w:tcPr>
            <w:tcW w:w="567" w:type="dxa"/>
          </w:tcPr>
          <w:p>
            <w:pPr>
              <w:pStyle w:val="GesAbsatz"/>
              <w:jc w:val="left"/>
              <w:rPr>
                <w:rFonts w:eastAsia="Arial Unicode MS" w:cs="Arial"/>
              </w:rPr>
            </w:pPr>
            <w:r>
              <w:rPr>
                <w:rFonts w:cs="Arial"/>
              </w:rPr>
              <w:t>6</w:t>
            </w:r>
          </w:p>
        </w:tc>
        <w:tc>
          <w:tcPr>
            <w:tcW w:w="1011" w:type="dxa"/>
          </w:tcPr>
          <w:p>
            <w:pPr>
              <w:pStyle w:val="GesAbsatz"/>
              <w:jc w:val="left"/>
              <w:rPr>
                <w:rFonts w:eastAsia="Arial Unicode MS" w:cs="Arial"/>
              </w:rPr>
            </w:pPr>
            <w:r>
              <w:rPr>
                <w:rFonts w:cs="Arial"/>
              </w:rPr>
              <w:t>7</w:t>
            </w:r>
          </w:p>
        </w:tc>
        <w:tc>
          <w:tcPr>
            <w:tcW w:w="543" w:type="dxa"/>
          </w:tcPr>
          <w:p>
            <w:pPr>
              <w:pStyle w:val="GesAbsatz"/>
              <w:jc w:val="left"/>
              <w:rPr>
                <w:rFonts w:eastAsia="Arial Unicode MS" w:cs="Arial"/>
              </w:rPr>
            </w:pPr>
            <w:r>
              <w:rPr>
                <w:rFonts w:cs="Arial"/>
              </w:rPr>
              <w:t>8</w:t>
            </w:r>
          </w:p>
        </w:tc>
        <w:tc>
          <w:tcPr>
            <w:tcW w:w="478" w:type="dxa"/>
          </w:tcPr>
          <w:p>
            <w:pPr>
              <w:pStyle w:val="GesAbsatz"/>
              <w:jc w:val="left"/>
              <w:rPr>
                <w:rFonts w:eastAsia="Arial Unicode MS" w:cs="Arial"/>
              </w:rPr>
            </w:pPr>
            <w:r>
              <w:rPr>
                <w:rFonts w:cs="Arial"/>
              </w:rPr>
              <w:t>9</w:t>
            </w:r>
          </w:p>
        </w:tc>
      </w:tr>
      <w:tr>
        <w:trPr>
          <w:tblCellSpacing w:w="0" w:type="dxa"/>
          <w:jc w:val="center"/>
        </w:trPr>
        <w:tc>
          <w:tcPr>
            <w:tcW w:w="477" w:type="dxa"/>
          </w:tcPr>
          <w:p>
            <w:pPr>
              <w:pStyle w:val="GesAbsatz"/>
              <w:jc w:val="left"/>
              <w:rPr>
                <w:rFonts w:eastAsia="Arial Unicode MS" w:cs="Arial"/>
              </w:rPr>
            </w:pPr>
            <w:r>
              <w:rPr>
                <w:rFonts w:cs="Arial"/>
              </w:rPr>
              <w:t>1</w:t>
            </w:r>
          </w:p>
        </w:tc>
        <w:tc>
          <w:tcPr>
            <w:tcW w:w="2044" w:type="dxa"/>
          </w:tcPr>
          <w:p>
            <w:pPr>
              <w:pStyle w:val="GesAbsatz"/>
              <w:jc w:val="left"/>
              <w:rPr>
                <w:rFonts w:eastAsia="Arial Unicode MS" w:cs="Arial"/>
              </w:rPr>
            </w:pPr>
            <w:r>
              <w:rPr>
                <w:rFonts w:cs="Arial"/>
              </w:rPr>
              <w:t xml:space="preserve">Gewinnung, </w:t>
            </w:r>
            <w:r>
              <w:rPr>
                <w:rFonts w:cs="Arial"/>
              </w:rPr>
              <w:br/>
              <w:t>Aufbereitung</w:t>
            </w:r>
          </w:p>
        </w:tc>
        <w:tc>
          <w:tcPr>
            <w:tcW w:w="2201" w:type="dxa"/>
          </w:tcPr>
          <w:p>
            <w:pPr>
              <w:pStyle w:val="GesAbsatz"/>
              <w:jc w:val="left"/>
              <w:rPr>
                <w:rFonts w:eastAsia="Arial Unicode MS" w:cs="Arial"/>
              </w:rPr>
            </w:pPr>
            <w:r>
              <w:rPr>
                <w:rFonts w:cs="Arial"/>
              </w:rPr>
              <w:t xml:space="preserve">DIN EN 932-1 </w:t>
            </w:r>
            <w:r>
              <w:rPr>
                <w:rFonts w:cs="Arial"/>
              </w:rPr>
              <w:br/>
              <w:t>sinngemäß</w:t>
            </w:r>
          </w:p>
        </w:tc>
        <w:tc>
          <w:tcPr>
            <w:tcW w:w="1343" w:type="dxa"/>
          </w:tcPr>
          <w:p>
            <w:pPr>
              <w:pStyle w:val="GesAbsatz"/>
              <w:jc w:val="left"/>
              <w:rPr>
                <w:rFonts w:eastAsia="Arial Unicode MS" w:cs="Arial"/>
              </w:rPr>
            </w:pPr>
            <w:r>
              <w:rPr>
                <w:rFonts w:cs="Arial"/>
              </w:rPr>
              <w:t>x</w:t>
            </w:r>
          </w:p>
        </w:tc>
        <w:tc>
          <w:tcPr>
            <w:tcW w:w="567" w:type="dxa"/>
          </w:tcPr>
          <w:p>
            <w:pPr>
              <w:pStyle w:val="GesAbsatz"/>
              <w:jc w:val="left"/>
              <w:rPr>
                <w:rFonts w:eastAsia="Arial Unicode MS" w:cs="Arial"/>
              </w:rPr>
            </w:pPr>
          </w:p>
        </w:tc>
        <w:tc>
          <w:tcPr>
            <w:tcW w:w="567" w:type="dxa"/>
          </w:tcPr>
          <w:p>
            <w:pPr>
              <w:pStyle w:val="GesAbsatz"/>
              <w:jc w:val="left"/>
              <w:rPr>
                <w:rFonts w:eastAsia="Arial Unicode MS" w:cs="Arial"/>
              </w:rPr>
            </w:pPr>
            <w:r>
              <w:rPr>
                <w:rFonts w:cs="Arial"/>
              </w:rPr>
              <w:t>2</w:t>
            </w:r>
          </w:p>
        </w:tc>
        <w:tc>
          <w:tcPr>
            <w:tcW w:w="1011" w:type="dxa"/>
          </w:tcPr>
          <w:p>
            <w:pPr>
              <w:pStyle w:val="GesAbsatz"/>
              <w:jc w:val="left"/>
              <w:rPr>
                <w:rFonts w:eastAsia="Arial Unicode MS" w:cs="Arial"/>
              </w:rPr>
            </w:pPr>
            <w:r>
              <w:rPr>
                <w:rFonts w:cs="Arial"/>
              </w:rPr>
              <w:t>x</w:t>
            </w:r>
          </w:p>
        </w:tc>
        <w:tc>
          <w:tcPr>
            <w:tcW w:w="543" w:type="dxa"/>
          </w:tcPr>
          <w:p>
            <w:pPr>
              <w:pStyle w:val="GesAbsatz"/>
              <w:jc w:val="left"/>
              <w:rPr>
                <w:rFonts w:eastAsia="Arial Unicode MS" w:cs="Arial"/>
              </w:rPr>
            </w:pPr>
          </w:p>
        </w:tc>
        <w:tc>
          <w:tcPr>
            <w:tcW w:w="478" w:type="dxa"/>
          </w:tcPr>
          <w:p>
            <w:pPr>
              <w:pStyle w:val="GesAbsatz"/>
              <w:jc w:val="left"/>
              <w:rPr>
                <w:rFonts w:eastAsia="Arial Unicode MS" w:cs="Arial"/>
              </w:rPr>
            </w:pPr>
            <w:r>
              <w:rPr>
                <w:rFonts w:cs="Arial"/>
              </w:rPr>
              <w:t> 2</w:t>
            </w:r>
          </w:p>
        </w:tc>
      </w:tr>
      <w:tr>
        <w:trPr>
          <w:tblCellSpacing w:w="0" w:type="dxa"/>
          <w:jc w:val="center"/>
        </w:trPr>
        <w:tc>
          <w:tcPr>
            <w:tcW w:w="477" w:type="dxa"/>
          </w:tcPr>
          <w:p>
            <w:pPr>
              <w:pStyle w:val="GesAbsatz"/>
              <w:jc w:val="left"/>
              <w:rPr>
                <w:rFonts w:eastAsia="Arial Unicode MS" w:cs="Arial"/>
              </w:rPr>
            </w:pPr>
            <w:r>
              <w:rPr>
                <w:rFonts w:cs="Arial"/>
              </w:rPr>
              <w:t>2</w:t>
            </w:r>
          </w:p>
        </w:tc>
        <w:tc>
          <w:tcPr>
            <w:tcW w:w="2044" w:type="dxa"/>
          </w:tcPr>
          <w:p>
            <w:pPr>
              <w:pStyle w:val="GesAbsatz"/>
              <w:jc w:val="left"/>
              <w:rPr>
                <w:rFonts w:eastAsia="Arial Unicode MS" w:cs="Arial"/>
              </w:rPr>
            </w:pPr>
            <w:r>
              <w:rPr>
                <w:rFonts w:cs="Arial"/>
              </w:rPr>
              <w:t xml:space="preserve">Durchführung, </w:t>
            </w:r>
            <w:r>
              <w:rPr>
                <w:rFonts w:cs="Arial"/>
              </w:rPr>
              <w:br/>
              <w:t>Eigenüberwachung</w:t>
            </w:r>
          </w:p>
        </w:tc>
        <w:tc>
          <w:tcPr>
            <w:tcW w:w="2201" w:type="dxa"/>
          </w:tcPr>
          <w:p>
            <w:pPr>
              <w:pStyle w:val="GesAbsatz"/>
              <w:jc w:val="left"/>
              <w:rPr>
                <w:rFonts w:eastAsia="Arial Unicode MS" w:cs="Arial"/>
              </w:rPr>
            </w:pPr>
            <w:r>
              <w:rPr>
                <w:rFonts w:cs="Arial"/>
              </w:rPr>
              <w:t> </w:t>
            </w:r>
          </w:p>
        </w:tc>
        <w:tc>
          <w:tcPr>
            <w:tcW w:w="1343" w:type="dxa"/>
          </w:tcPr>
          <w:p>
            <w:pPr>
              <w:pStyle w:val="GesAbsatz"/>
              <w:jc w:val="left"/>
              <w:rPr>
                <w:rFonts w:eastAsia="Arial Unicode MS" w:cs="Arial"/>
              </w:rPr>
            </w:pPr>
            <w:r>
              <w:rPr>
                <w:rFonts w:cs="Arial"/>
              </w:rPr>
              <w:t>x</w:t>
            </w:r>
          </w:p>
        </w:tc>
        <w:tc>
          <w:tcPr>
            <w:tcW w:w="567" w:type="dxa"/>
          </w:tcPr>
          <w:p>
            <w:pPr>
              <w:pStyle w:val="GesAbsatz"/>
              <w:jc w:val="left"/>
              <w:rPr>
                <w:rFonts w:eastAsia="Arial Unicode MS" w:cs="Arial"/>
              </w:rPr>
            </w:pPr>
          </w:p>
        </w:tc>
        <w:tc>
          <w:tcPr>
            <w:tcW w:w="567" w:type="dxa"/>
          </w:tcPr>
          <w:p>
            <w:pPr>
              <w:pStyle w:val="GesAbsatz"/>
              <w:jc w:val="left"/>
              <w:rPr>
                <w:rFonts w:eastAsia="Arial Unicode MS" w:cs="Arial"/>
              </w:rPr>
            </w:pPr>
            <w:r>
              <w:rPr>
                <w:rFonts w:cs="Arial"/>
              </w:rPr>
              <w:t>2</w:t>
            </w:r>
          </w:p>
        </w:tc>
        <w:tc>
          <w:tcPr>
            <w:tcW w:w="1011" w:type="dxa"/>
          </w:tcPr>
          <w:p>
            <w:pPr>
              <w:pStyle w:val="GesAbsatz"/>
              <w:jc w:val="left"/>
              <w:rPr>
                <w:rFonts w:eastAsia="Arial Unicode MS" w:cs="Arial"/>
              </w:rPr>
            </w:pPr>
            <w:r>
              <w:rPr>
                <w:rFonts w:cs="Arial"/>
              </w:rPr>
              <w:t>x</w:t>
            </w:r>
          </w:p>
        </w:tc>
        <w:tc>
          <w:tcPr>
            <w:tcW w:w="543" w:type="dxa"/>
          </w:tcPr>
          <w:p>
            <w:pPr>
              <w:pStyle w:val="GesAbsatz"/>
              <w:jc w:val="left"/>
              <w:rPr>
                <w:rFonts w:eastAsia="Arial Unicode MS" w:cs="Arial"/>
              </w:rPr>
            </w:pPr>
          </w:p>
        </w:tc>
        <w:tc>
          <w:tcPr>
            <w:tcW w:w="478" w:type="dxa"/>
          </w:tcPr>
          <w:p>
            <w:pPr>
              <w:pStyle w:val="GesAbsatz"/>
              <w:jc w:val="left"/>
              <w:rPr>
                <w:rFonts w:eastAsia="Arial Unicode MS" w:cs="Arial"/>
              </w:rPr>
            </w:pPr>
            <w:r>
              <w:rPr>
                <w:rFonts w:cs="Arial"/>
              </w:rPr>
              <w:t>4</w:t>
            </w:r>
          </w:p>
        </w:tc>
      </w:tr>
      <w:tr>
        <w:trPr>
          <w:tblCellSpacing w:w="0" w:type="dxa"/>
          <w:jc w:val="center"/>
        </w:trPr>
        <w:tc>
          <w:tcPr>
            <w:tcW w:w="477" w:type="dxa"/>
          </w:tcPr>
          <w:p>
            <w:pPr>
              <w:pStyle w:val="GesAbsatz"/>
              <w:jc w:val="left"/>
              <w:rPr>
                <w:rFonts w:eastAsia="Arial Unicode MS" w:cs="Arial"/>
              </w:rPr>
            </w:pPr>
            <w:r>
              <w:rPr>
                <w:rFonts w:cs="Arial"/>
              </w:rPr>
              <w:t>3</w:t>
            </w:r>
          </w:p>
        </w:tc>
        <w:tc>
          <w:tcPr>
            <w:tcW w:w="2044" w:type="dxa"/>
          </w:tcPr>
          <w:p>
            <w:pPr>
              <w:pStyle w:val="GesAbsatz"/>
              <w:jc w:val="left"/>
              <w:rPr>
                <w:rFonts w:eastAsia="Arial Unicode MS" w:cs="Arial"/>
              </w:rPr>
            </w:pPr>
            <w:r>
              <w:rPr>
                <w:rFonts w:cs="Arial"/>
              </w:rPr>
              <w:t>Wasserwirtschaftliche Merkmale</w:t>
            </w:r>
          </w:p>
        </w:tc>
        <w:tc>
          <w:tcPr>
            <w:tcW w:w="2201" w:type="dxa"/>
          </w:tcPr>
          <w:p>
            <w:pPr>
              <w:pStyle w:val="GesAbsatz"/>
              <w:jc w:val="left"/>
              <w:rPr>
                <w:rFonts w:eastAsia="Arial Unicode MS" w:cs="Arial"/>
              </w:rPr>
            </w:pPr>
            <w:r>
              <w:rPr>
                <w:rFonts w:cs="Arial"/>
              </w:rPr>
              <w:t>gem. Regelung in diesem Erlass</w:t>
            </w:r>
          </w:p>
        </w:tc>
        <w:tc>
          <w:tcPr>
            <w:tcW w:w="1343" w:type="dxa"/>
          </w:tcPr>
          <w:p>
            <w:pPr>
              <w:pStyle w:val="GesAbsatz"/>
              <w:jc w:val="left"/>
              <w:rPr>
                <w:rFonts w:eastAsia="Arial Unicode MS" w:cs="Arial"/>
              </w:rPr>
            </w:pPr>
            <w:r>
              <w:rPr>
                <w:rFonts w:cs="Arial"/>
              </w:rPr>
              <w:t>x</w:t>
            </w:r>
          </w:p>
        </w:tc>
        <w:tc>
          <w:tcPr>
            <w:tcW w:w="567" w:type="dxa"/>
          </w:tcPr>
          <w:p>
            <w:pPr>
              <w:pStyle w:val="GesAbsatz"/>
              <w:jc w:val="left"/>
              <w:rPr>
                <w:rFonts w:eastAsia="Arial Unicode MS" w:cs="Arial"/>
              </w:rPr>
            </w:pPr>
          </w:p>
        </w:tc>
        <w:tc>
          <w:tcPr>
            <w:tcW w:w="567" w:type="dxa"/>
          </w:tcPr>
          <w:p>
            <w:pPr>
              <w:pStyle w:val="GesAbsatz"/>
              <w:jc w:val="left"/>
              <w:rPr>
                <w:rFonts w:eastAsia="Arial Unicode MS" w:cs="Arial"/>
              </w:rPr>
            </w:pPr>
            <w:r>
              <w:rPr>
                <w:rFonts w:cs="Arial"/>
              </w:rPr>
              <w:t>2</w:t>
            </w:r>
          </w:p>
        </w:tc>
        <w:tc>
          <w:tcPr>
            <w:tcW w:w="1011" w:type="dxa"/>
          </w:tcPr>
          <w:p>
            <w:pPr>
              <w:pStyle w:val="GesAbsatz"/>
              <w:jc w:val="left"/>
              <w:rPr>
                <w:rFonts w:eastAsia="Arial Unicode MS" w:cs="Arial"/>
              </w:rPr>
            </w:pPr>
            <w:r>
              <w:rPr>
                <w:rFonts w:cs="Arial"/>
              </w:rPr>
              <w:t>x</w:t>
            </w:r>
          </w:p>
        </w:tc>
        <w:tc>
          <w:tcPr>
            <w:tcW w:w="543" w:type="dxa"/>
          </w:tcPr>
          <w:p>
            <w:pPr>
              <w:pStyle w:val="GesAbsatz"/>
              <w:jc w:val="left"/>
              <w:rPr>
                <w:rFonts w:eastAsia="Arial Unicode MS" w:cs="Arial"/>
              </w:rPr>
            </w:pPr>
            <w:r>
              <w:rPr>
                <w:rFonts w:cs="Arial"/>
              </w:rPr>
              <w:t>4</w:t>
            </w:r>
          </w:p>
        </w:tc>
        <w:tc>
          <w:tcPr>
            <w:tcW w:w="478" w:type="dxa"/>
          </w:tcPr>
          <w:p>
            <w:pPr>
              <w:pStyle w:val="GesAbsatz"/>
              <w:jc w:val="left"/>
              <w:rPr>
                <w:rFonts w:eastAsia="Arial Unicode MS" w:cs="Arial"/>
              </w:rPr>
            </w:pPr>
            <w:r>
              <w:rPr>
                <w:rFonts w:cs="Arial"/>
              </w:rPr>
              <w:t> 4</w:t>
            </w:r>
          </w:p>
        </w:tc>
      </w:tr>
      <w:tr>
        <w:trPr>
          <w:tblCellSpacing w:w="0" w:type="dxa"/>
          <w:jc w:val="center"/>
        </w:trPr>
        <w:tc>
          <w:tcPr>
            <w:tcW w:w="477" w:type="dxa"/>
          </w:tcPr>
          <w:p>
            <w:pPr>
              <w:pStyle w:val="GesAbsatz"/>
              <w:jc w:val="left"/>
              <w:rPr>
                <w:rFonts w:eastAsia="Arial Unicode MS" w:cs="Arial"/>
              </w:rPr>
            </w:pPr>
            <w:r>
              <w:rPr>
                <w:rFonts w:cs="Arial"/>
              </w:rPr>
              <w:t>4</w:t>
            </w:r>
          </w:p>
        </w:tc>
        <w:tc>
          <w:tcPr>
            <w:tcW w:w="2044" w:type="dxa"/>
          </w:tcPr>
          <w:p>
            <w:pPr>
              <w:pStyle w:val="GesAbsatz"/>
              <w:jc w:val="left"/>
              <w:rPr>
                <w:rFonts w:eastAsia="Arial Unicode MS" w:cs="Arial"/>
              </w:rPr>
            </w:pPr>
            <w:r>
              <w:rPr>
                <w:rFonts w:cs="Arial"/>
              </w:rPr>
              <w:t xml:space="preserve">Stoffliche </w:t>
            </w:r>
            <w:r>
              <w:rPr>
                <w:rFonts w:cs="Arial"/>
              </w:rPr>
              <w:br/>
              <w:t>Zusammensetzung</w:t>
            </w:r>
          </w:p>
        </w:tc>
        <w:tc>
          <w:tcPr>
            <w:tcW w:w="2201" w:type="dxa"/>
          </w:tcPr>
          <w:p>
            <w:pPr>
              <w:pStyle w:val="GesAbsatz"/>
              <w:jc w:val="left"/>
              <w:rPr>
                <w:rFonts w:eastAsia="Arial Unicode MS" w:cs="Arial"/>
              </w:rPr>
            </w:pPr>
            <w:r>
              <w:rPr>
                <w:rFonts w:cs="Arial"/>
              </w:rPr>
              <w:t xml:space="preserve">DIN 52102-2 bzw. </w:t>
            </w:r>
            <w:r>
              <w:rPr>
                <w:rFonts w:cs="Arial"/>
              </w:rPr>
              <w:br/>
              <w:t>TL WB-StB</w:t>
            </w:r>
          </w:p>
        </w:tc>
        <w:tc>
          <w:tcPr>
            <w:tcW w:w="1343" w:type="dxa"/>
          </w:tcPr>
          <w:p>
            <w:pPr>
              <w:pStyle w:val="GesAbsatz"/>
              <w:jc w:val="left"/>
              <w:rPr>
                <w:rFonts w:eastAsia="Arial Unicode MS" w:cs="Arial"/>
              </w:rPr>
            </w:pPr>
          </w:p>
        </w:tc>
        <w:tc>
          <w:tcPr>
            <w:tcW w:w="567" w:type="dxa"/>
          </w:tcPr>
          <w:p>
            <w:pPr>
              <w:pStyle w:val="GesAbsatz"/>
              <w:jc w:val="left"/>
              <w:rPr>
                <w:rFonts w:eastAsia="Arial Unicode MS" w:cs="Arial"/>
              </w:rPr>
            </w:pPr>
          </w:p>
        </w:tc>
        <w:tc>
          <w:tcPr>
            <w:tcW w:w="567" w:type="dxa"/>
          </w:tcPr>
          <w:p>
            <w:pPr>
              <w:pStyle w:val="GesAbsatz"/>
              <w:jc w:val="left"/>
              <w:rPr>
                <w:rFonts w:eastAsia="Arial Unicode MS" w:cs="Arial"/>
              </w:rPr>
            </w:pPr>
          </w:p>
        </w:tc>
        <w:tc>
          <w:tcPr>
            <w:tcW w:w="1011" w:type="dxa"/>
          </w:tcPr>
          <w:p>
            <w:pPr>
              <w:pStyle w:val="GesAbsatz"/>
              <w:jc w:val="left"/>
              <w:rPr>
                <w:rFonts w:eastAsia="Arial Unicode MS" w:cs="Arial"/>
              </w:rPr>
            </w:pPr>
            <w:r>
              <w:rPr>
                <w:rFonts w:cs="Arial"/>
              </w:rPr>
              <w:t>x</w:t>
            </w:r>
          </w:p>
        </w:tc>
        <w:tc>
          <w:tcPr>
            <w:tcW w:w="543" w:type="dxa"/>
          </w:tcPr>
          <w:p>
            <w:pPr>
              <w:pStyle w:val="GesAbsatz"/>
              <w:jc w:val="left"/>
              <w:rPr>
                <w:rFonts w:eastAsia="Arial Unicode MS" w:cs="Arial"/>
              </w:rPr>
            </w:pPr>
          </w:p>
        </w:tc>
        <w:tc>
          <w:tcPr>
            <w:tcW w:w="478" w:type="dxa"/>
          </w:tcPr>
          <w:p>
            <w:pPr>
              <w:pStyle w:val="GesAbsatz"/>
              <w:jc w:val="left"/>
              <w:rPr>
                <w:rFonts w:eastAsia="Arial Unicode MS" w:cs="Arial"/>
              </w:rPr>
            </w:pPr>
            <w:r>
              <w:rPr>
                <w:rFonts w:cs="Arial"/>
              </w:rPr>
              <w:t> 4</w:t>
            </w:r>
          </w:p>
        </w:tc>
      </w:tr>
      <w:tr>
        <w:trPr>
          <w:tblCellSpacing w:w="0" w:type="dxa"/>
          <w:jc w:val="center"/>
        </w:trPr>
        <w:tc>
          <w:tcPr>
            <w:tcW w:w="477" w:type="dxa"/>
          </w:tcPr>
          <w:p>
            <w:pPr>
              <w:pStyle w:val="GesAbsatz"/>
              <w:jc w:val="left"/>
              <w:rPr>
                <w:rFonts w:eastAsia="Arial Unicode MS" w:cs="Arial"/>
              </w:rPr>
            </w:pPr>
            <w:r>
              <w:rPr>
                <w:rFonts w:cs="Arial"/>
              </w:rPr>
              <w:t>5</w:t>
            </w:r>
          </w:p>
        </w:tc>
        <w:tc>
          <w:tcPr>
            <w:tcW w:w="2044" w:type="dxa"/>
          </w:tcPr>
          <w:p>
            <w:pPr>
              <w:pStyle w:val="GesAbsatz"/>
              <w:jc w:val="left"/>
              <w:rPr>
                <w:rFonts w:eastAsia="Arial Unicode MS" w:cs="Arial"/>
              </w:rPr>
            </w:pPr>
            <w:r>
              <w:rPr>
                <w:rFonts w:cs="Arial"/>
              </w:rPr>
              <w:t>Korngrößenverteilung</w:t>
            </w:r>
          </w:p>
        </w:tc>
        <w:tc>
          <w:tcPr>
            <w:tcW w:w="2201" w:type="dxa"/>
          </w:tcPr>
          <w:p>
            <w:pPr>
              <w:pStyle w:val="GesAbsatz"/>
              <w:jc w:val="left"/>
              <w:rPr>
                <w:rFonts w:eastAsia="Arial Unicode MS" w:cs="Arial"/>
              </w:rPr>
            </w:pPr>
            <w:r>
              <w:rPr>
                <w:rFonts w:cs="Arial"/>
              </w:rPr>
              <w:t xml:space="preserve">DIN 52098 bzw. </w:t>
            </w:r>
            <w:r>
              <w:rPr>
                <w:rFonts w:cs="Arial"/>
              </w:rPr>
              <w:br/>
              <w:t>TL WB-StB</w:t>
            </w:r>
          </w:p>
        </w:tc>
        <w:tc>
          <w:tcPr>
            <w:tcW w:w="1343" w:type="dxa"/>
          </w:tcPr>
          <w:p>
            <w:pPr>
              <w:pStyle w:val="GesAbsatz"/>
              <w:jc w:val="left"/>
              <w:rPr>
                <w:rFonts w:eastAsia="Arial Unicode MS" w:cs="Arial"/>
              </w:rPr>
            </w:pPr>
            <w:r>
              <w:rPr>
                <w:rFonts w:cs="Arial"/>
              </w:rPr>
              <w:t>x</w:t>
            </w:r>
          </w:p>
        </w:tc>
        <w:tc>
          <w:tcPr>
            <w:tcW w:w="567" w:type="dxa"/>
          </w:tcPr>
          <w:p>
            <w:pPr>
              <w:pStyle w:val="GesAbsatz"/>
              <w:jc w:val="left"/>
              <w:rPr>
                <w:rFonts w:eastAsia="Arial Unicode MS" w:cs="Arial"/>
              </w:rPr>
            </w:pPr>
            <w:r>
              <w:rPr>
                <w:rFonts w:cs="Arial"/>
              </w:rPr>
              <w:t>w</w:t>
            </w:r>
          </w:p>
        </w:tc>
        <w:tc>
          <w:tcPr>
            <w:tcW w:w="567" w:type="dxa"/>
          </w:tcPr>
          <w:p>
            <w:pPr>
              <w:pStyle w:val="GesAbsatz"/>
              <w:jc w:val="left"/>
              <w:rPr>
                <w:rFonts w:eastAsia="Arial Unicode MS" w:cs="Arial"/>
              </w:rPr>
            </w:pPr>
            <w:r>
              <w:rPr>
                <w:rFonts w:cs="Arial"/>
              </w:rPr>
              <w:t>2</w:t>
            </w:r>
          </w:p>
        </w:tc>
        <w:tc>
          <w:tcPr>
            <w:tcW w:w="1011" w:type="dxa"/>
          </w:tcPr>
          <w:p>
            <w:pPr>
              <w:pStyle w:val="GesAbsatz"/>
              <w:jc w:val="left"/>
              <w:rPr>
                <w:rFonts w:eastAsia="Arial Unicode MS" w:cs="Arial"/>
              </w:rPr>
            </w:pPr>
            <w:r>
              <w:rPr>
                <w:rFonts w:cs="Arial"/>
              </w:rPr>
              <w:t>x</w:t>
            </w:r>
          </w:p>
        </w:tc>
        <w:tc>
          <w:tcPr>
            <w:tcW w:w="543" w:type="dxa"/>
          </w:tcPr>
          <w:p>
            <w:pPr>
              <w:pStyle w:val="GesAbsatz"/>
              <w:jc w:val="left"/>
              <w:rPr>
                <w:rFonts w:eastAsia="Arial Unicode MS" w:cs="Arial"/>
              </w:rPr>
            </w:pPr>
            <w:r>
              <w:rPr>
                <w:rFonts w:cs="Arial"/>
              </w:rPr>
              <w:t>20/w</w:t>
            </w:r>
          </w:p>
        </w:tc>
        <w:tc>
          <w:tcPr>
            <w:tcW w:w="478" w:type="dxa"/>
          </w:tcPr>
          <w:p>
            <w:pPr>
              <w:pStyle w:val="GesAbsatz"/>
              <w:jc w:val="left"/>
              <w:rPr>
                <w:rFonts w:eastAsia="Arial Unicode MS" w:cs="Arial"/>
              </w:rPr>
            </w:pPr>
            <w:r>
              <w:rPr>
                <w:rFonts w:cs="Arial"/>
              </w:rPr>
              <w:t>2</w:t>
            </w:r>
          </w:p>
        </w:tc>
      </w:tr>
      <w:tr>
        <w:trPr>
          <w:tblCellSpacing w:w="0" w:type="dxa"/>
          <w:jc w:val="center"/>
        </w:trPr>
        <w:tc>
          <w:tcPr>
            <w:tcW w:w="477" w:type="dxa"/>
          </w:tcPr>
          <w:p>
            <w:pPr>
              <w:pStyle w:val="GesAbsatz"/>
              <w:jc w:val="left"/>
              <w:rPr>
                <w:rFonts w:eastAsia="Arial Unicode MS" w:cs="Arial"/>
              </w:rPr>
            </w:pPr>
            <w:r>
              <w:rPr>
                <w:rFonts w:cs="Arial"/>
              </w:rPr>
              <w:t>6</w:t>
            </w:r>
          </w:p>
        </w:tc>
        <w:tc>
          <w:tcPr>
            <w:tcW w:w="2044" w:type="dxa"/>
          </w:tcPr>
          <w:p>
            <w:pPr>
              <w:pStyle w:val="GesAbsatz"/>
              <w:jc w:val="left"/>
              <w:rPr>
                <w:rFonts w:eastAsia="Arial Unicode MS" w:cs="Arial"/>
              </w:rPr>
            </w:pPr>
            <w:r>
              <w:rPr>
                <w:rFonts w:cs="Arial"/>
              </w:rPr>
              <w:t>Wassergehalt</w:t>
            </w:r>
          </w:p>
        </w:tc>
        <w:tc>
          <w:tcPr>
            <w:tcW w:w="2201" w:type="dxa"/>
          </w:tcPr>
          <w:p>
            <w:pPr>
              <w:pStyle w:val="GesAbsatz"/>
              <w:jc w:val="left"/>
              <w:rPr>
                <w:rFonts w:eastAsia="Arial Unicode MS" w:cs="Arial"/>
              </w:rPr>
            </w:pPr>
            <w:r>
              <w:rPr>
                <w:rFonts w:cs="Arial"/>
              </w:rPr>
              <w:t>DIN 18121-1</w:t>
            </w:r>
          </w:p>
        </w:tc>
        <w:tc>
          <w:tcPr>
            <w:tcW w:w="1343" w:type="dxa"/>
          </w:tcPr>
          <w:p>
            <w:pPr>
              <w:pStyle w:val="GesAbsatz"/>
              <w:jc w:val="left"/>
              <w:rPr>
                <w:rFonts w:eastAsia="Arial Unicode MS" w:cs="Arial"/>
                <w:lang w:val="en-GB"/>
              </w:rPr>
            </w:pPr>
            <w:r>
              <w:rPr>
                <w:rFonts w:cs="Arial"/>
                <w:lang w:val="en-GB"/>
              </w:rPr>
              <w:t>x</w:t>
            </w:r>
          </w:p>
        </w:tc>
        <w:tc>
          <w:tcPr>
            <w:tcW w:w="567" w:type="dxa"/>
          </w:tcPr>
          <w:p>
            <w:pPr>
              <w:pStyle w:val="GesAbsatz"/>
              <w:jc w:val="left"/>
              <w:rPr>
                <w:rFonts w:eastAsia="Arial Unicode MS" w:cs="Arial"/>
                <w:lang w:val="en-GB"/>
              </w:rPr>
            </w:pPr>
            <w:r>
              <w:rPr>
                <w:rFonts w:cs="Arial"/>
                <w:lang w:val="en-GB"/>
              </w:rPr>
              <w:t>w</w:t>
            </w:r>
          </w:p>
        </w:tc>
        <w:tc>
          <w:tcPr>
            <w:tcW w:w="567" w:type="dxa"/>
          </w:tcPr>
          <w:p>
            <w:pPr>
              <w:pStyle w:val="GesAbsatz"/>
              <w:jc w:val="left"/>
              <w:rPr>
                <w:rFonts w:eastAsia="Arial Unicode MS" w:cs="Arial"/>
                <w:lang w:val="en-GB"/>
              </w:rPr>
            </w:pPr>
            <w:r>
              <w:rPr>
                <w:rFonts w:cs="Arial"/>
                <w:lang w:val="en-GB"/>
              </w:rPr>
              <w:t>2</w:t>
            </w:r>
          </w:p>
        </w:tc>
        <w:tc>
          <w:tcPr>
            <w:tcW w:w="1011" w:type="dxa"/>
          </w:tcPr>
          <w:p>
            <w:pPr>
              <w:pStyle w:val="GesAbsatz"/>
              <w:jc w:val="left"/>
              <w:rPr>
                <w:rFonts w:eastAsia="Arial Unicode MS" w:cs="Arial"/>
                <w:lang w:val="en-GB"/>
              </w:rPr>
            </w:pPr>
            <w:r>
              <w:rPr>
                <w:rFonts w:cs="Arial"/>
                <w:lang w:val="en-GB"/>
              </w:rPr>
              <w:t>x</w:t>
            </w:r>
          </w:p>
        </w:tc>
        <w:tc>
          <w:tcPr>
            <w:tcW w:w="543" w:type="dxa"/>
          </w:tcPr>
          <w:p>
            <w:pPr>
              <w:pStyle w:val="GesAbsatz"/>
              <w:jc w:val="left"/>
              <w:rPr>
                <w:rFonts w:eastAsia="Arial Unicode MS" w:cs="Arial"/>
              </w:rPr>
            </w:pPr>
            <w:r>
              <w:rPr>
                <w:rFonts w:cs="Arial"/>
              </w:rPr>
              <w:t>20/w</w:t>
            </w:r>
          </w:p>
        </w:tc>
        <w:tc>
          <w:tcPr>
            <w:tcW w:w="478" w:type="dxa"/>
          </w:tcPr>
          <w:p>
            <w:pPr>
              <w:pStyle w:val="GesAbsatz"/>
              <w:jc w:val="left"/>
              <w:rPr>
                <w:rFonts w:eastAsia="Arial Unicode MS" w:cs="Arial"/>
              </w:rPr>
            </w:pPr>
            <w:r>
              <w:rPr>
                <w:rFonts w:cs="Arial"/>
              </w:rPr>
              <w:t>4</w:t>
            </w:r>
          </w:p>
        </w:tc>
      </w:tr>
      <w:tr>
        <w:trPr>
          <w:tblCellSpacing w:w="0" w:type="dxa"/>
          <w:jc w:val="center"/>
        </w:trPr>
        <w:tc>
          <w:tcPr>
            <w:tcW w:w="477" w:type="dxa"/>
          </w:tcPr>
          <w:p>
            <w:pPr>
              <w:pStyle w:val="GesAbsatz"/>
              <w:jc w:val="left"/>
              <w:rPr>
                <w:rFonts w:eastAsia="Arial Unicode MS" w:cs="Arial"/>
              </w:rPr>
            </w:pPr>
            <w:r>
              <w:rPr>
                <w:rFonts w:cs="Arial"/>
              </w:rPr>
              <w:t>7</w:t>
            </w:r>
          </w:p>
        </w:tc>
        <w:tc>
          <w:tcPr>
            <w:tcW w:w="2044" w:type="dxa"/>
          </w:tcPr>
          <w:p>
            <w:pPr>
              <w:pStyle w:val="GesAbsatz"/>
              <w:jc w:val="left"/>
              <w:rPr>
                <w:rFonts w:eastAsia="Arial Unicode MS" w:cs="Arial"/>
              </w:rPr>
            </w:pPr>
            <w:r>
              <w:rPr>
                <w:rFonts w:cs="Arial"/>
              </w:rPr>
              <w:t>Dichte</w:t>
            </w:r>
          </w:p>
        </w:tc>
        <w:tc>
          <w:tcPr>
            <w:tcW w:w="2201" w:type="dxa"/>
          </w:tcPr>
          <w:p>
            <w:pPr>
              <w:pStyle w:val="GesAbsatz"/>
              <w:jc w:val="left"/>
              <w:rPr>
                <w:rFonts w:eastAsia="Arial Unicode MS" w:cs="Arial"/>
              </w:rPr>
            </w:pPr>
            <w:r>
              <w:rPr>
                <w:rFonts w:cs="Arial"/>
              </w:rPr>
              <w:t>DIN 18127</w:t>
            </w:r>
            <w:r>
              <w:rPr>
                <w:rFonts w:cs="Arial"/>
              </w:rPr>
              <w:br/>
              <w:t>DIN 52102</w:t>
            </w:r>
            <w:r>
              <w:rPr>
                <w:rFonts w:cs="Arial"/>
              </w:rPr>
              <w:br/>
              <w:t>TL WB-StB</w:t>
            </w:r>
          </w:p>
        </w:tc>
        <w:tc>
          <w:tcPr>
            <w:tcW w:w="1343" w:type="dxa"/>
          </w:tcPr>
          <w:p>
            <w:pPr>
              <w:pStyle w:val="GesAbsatz"/>
              <w:jc w:val="left"/>
              <w:rPr>
                <w:rFonts w:eastAsia="Arial Unicode MS" w:cs="Arial"/>
                <w:lang w:val="en-GB"/>
              </w:rPr>
            </w:pPr>
            <w:r>
              <w:rPr>
                <w:rFonts w:cs="Arial"/>
                <w:lang w:val="en-GB"/>
              </w:rPr>
              <w:t>x</w:t>
            </w:r>
          </w:p>
        </w:tc>
        <w:tc>
          <w:tcPr>
            <w:tcW w:w="567" w:type="dxa"/>
          </w:tcPr>
          <w:p>
            <w:pPr>
              <w:pStyle w:val="GesAbsatz"/>
              <w:jc w:val="left"/>
              <w:rPr>
                <w:rFonts w:eastAsia="Arial Unicode MS" w:cs="Arial"/>
                <w:lang w:val="en-GB"/>
              </w:rPr>
            </w:pPr>
            <w:r>
              <w:rPr>
                <w:rFonts w:cs="Arial"/>
                <w:lang w:val="en-GB"/>
              </w:rPr>
              <w:t>w</w:t>
            </w:r>
          </w:p>
        </w:tc>
        <w:tc>
          <w:tcPr>
            <w:tcW w:w="567" w:type="dxa"/>
          </w:tcPr>
          <w:p>
            <w:pPr>
              <w:pStyle w:val="GesAbsatz"/>
              <w:jc w:val="left"/>
              <w:rPr>
                <w:rFonts w:eastAsia="Arial Unicode MS" w:cs="Arial"/>
                <w:lang w:val="en-GB"/>
              </w:rPr>
            </w:pPr>
            <w:r>
              <w:rPr>
                <w:rFonts w:cs="Arial"/>
                <w:lang w:val="en-GB"/>
              </w:rPr>
              <w:t>2</w:t>
            </w:r>
          </w:p>
        </w:tc>
        <w:tc>
          <w:tcPr>
            <w:tcW w:w="1011" w:type="dxa"/>
          </w:tcPr>
          <w:p>
            <w:pPr>
              <w:pStyle w:val="GesAbsatz"/>
              <w:jc w:val="left"/>
              <w:rPr>
                <w:rFonts w:eastAsia="Arial Unicode MS" w:cs="Arial"/>
                <w:lang w:val="en-GB"/>
              </w:rPr>
            </w:pPr>
            <w:r>
              <w:rPr>
                <w:rFonts w:cs="Arial"/>
                <w:lang w:val="en-GB"/>
              </w:rPr>
              <w:t>x</w:t>
            </w:r>
          </w:p>
        </w:tc>
        <w:tc>
          <w:tcPr>
            <w:tcW w:w="543" w:type="dxa"/>
          </w:tcPr>
          <w:p>
            <w:pPr>
              <w:pStyle w:val="GesAbsatz"/>
              <w:jc w:val="left"/>
              <w:rPr>
                <w:rFonts w:eastAsia="Arial Unicode MS" w:cs="Arial"/>
                <w:lang w:val="en-GB"/>
              </w:rPr>
            </w:pPr>
          </w:p>
        </w:tc>
        <w:tc>
          <w:tcPr>
            <w:tcW w:w="478" w:type="dxa"/>
          </w:tcPr>
          <w:p>
            <w:pPr>
              <w:pStyle w:val="GesAbsatz"/>
              <w:jc w:val="left"/>
              <w:rPr>
                <w:rFonts w:eastAsia="Arial Unicode MS" w:cs="Arial"/>
              </w:rPr>
            </w:pPr>
            <w:r>
              <w:rPr>
                <w:rFonts w:cs="Arial"/>
                <w:lang w:val="en-GB"/>
              </w:rPr>
              <w:t> </w:t>
            </w:r>
            <w:r>
              <w:rPr>
                <w:rFonts w:cs="Arial"/>
              </w:rPr>
              <w:t>4</w:t>
            </w:r>
          </w:p>
        </w:tc>
      </w:tr>
      <w:tr>
        <w:trPr>
          <w:tblCellSpacing w:w="0" w:type="dxa"/>
          <w:jc w:val="center"/>
        </w:trPr>
        <w:tc>
          <w:tcPr>
            <w:tcW w:w="477" w:type="dxa"/>
          </w:tcPr>
          <w:p>
            <w:pPr>
              <w:pStyle w:val="GesAbsatz"/>
              <w:jc w:val="left"/>
              <w:rPr>
                <w:rFonts w:eastAsia="Arial Unicode MS" w:cs="Arial"/>
              </w:rPr>
            </w:pPr>
            <w:r>
              <w:rPr>
                <w:rFonts w:cs="Arial"/>
              </w:rPr>
              <w:t>8</w:t>
            </w:r>
          </w:p>
        </w:tc>
        <w:tc>
          <w:tcPr>
            <w:tcW w:w="2044" w:type="dxa"/>
          </w:tcPr>
          <w:p>
            <w:pPr>
              <w:pStyle w:val="GesAbsatz"/>
              <w:jc w:val="left"/>
              <w:rPr>
                <w:rFonts w:eastAsia="Arial Unicode MS" w:cs="Arial"/>
              </w:rPr>
            </w:pPr>
            <w:r>
              <w:rPr>
                <w:rFonts w:cs="Arial"/>
              </w:rPr>
              <w:t>Verunreinigungen, Fremdstoffe, Kohlen</w:t>
            </w:r>
          </w:p>
        </w:tc>
        <w:tc>
          <w:tcPr>
            <w:tcW w:w="2201" w:type="dxa"/>
          </w:tcPr>
          <w:p>
            <w:pPr>
              <w:pStyle w:val="GesAbsatz"/>
              <w:jc w:val="left"/>
              <w:rPr>
                <w:rFonts w:eastAsia="Arial Unicode MS" w:cs="Arial"/>
              </w:rPr>
            </w:pPr>
            <w:r>
              <w:rPr>
                <w:rFonts w:cs="Arial"/>
              </w:rPr>
              <w:t>DIN 52099</w:t>
            </w:r>
            <w:r>
              <w:rPr>
                <w:rFonts w:cs="Arial"/>
              </w:rPr>
              <w:br/>
              <w:t>DIN 22018</w:t>
            </w:r>
            <w:r>
              <w:rPr>
                <w:rFonts w:cs="Arial"/>
              </w:rPr>
              <w:br/>
              <w:t>TL WB-StB</w:t>
            </w:r>
          </w:p>
        </w:tc>
        <w:tc>
          <w:tcPr>
            <w:tcW w:w="1343" w:type="dxa"/>
          </w:tcPr>
          <w:p>
            <w:pPr>
              <w:pStyle w:val="GesAbsatz"/>
              <w:jc w:val="left"/>
              <w:rPr>
                <w:rFonts w:eastAsia="Arial Unicode MS" w:cs="Arial"/>
                <w:lang w:val="en-GB"/>
              </w:rPr>
            </w:pPr>
            <w:r>
              <w:rPr>
                <w:rFonts w:cs="Arial"/>
                <w:lang w:val="en-GB"/>
              </w:rPr>
              <w:t>x</w:t>
            </w:r>
          </w:p>
        </w:tc>
        <w:tc>
          <w:tcPr>
            <w:tcW w:w="567" w:type="dxa"/>
          </w:tcPr>
          <w:p>
            <w:pPr>
              <w:pStyle w:val="GesAbsatz"/>
              <w:jc w:val="left"/>
              <w:rPr>
                <w:rFonts w:eastAsia="Arial Unicode MS" w:cs="Arial"/>
                <w:lang w:val="en-GB"/>
              </w:rPr>
            </w:pPr>
            <w:r>
              <w:rPr>
                <w:rFonts w:cs="Arial"/>
                <w:lang w:val="en-GB"/>
              </w:rPr>
              <w:t>w</w:t>
            </w:r>
          </w:p>
        </w:tc>
        <w:tc>
          <w:tcPr>
            <w:tcW w:w="567" w:type="dxa"/>
          </w:tcPr>
          <w:p>
            <w:pPr>
              <w:pStyle w:val="GesAbsatz"/>
              <w:jc w:val="left"/>
              <w:rPr>
                <w:rFonts w:eastAsia="Arial Unicode MS" w:cs="Arial"/>
                <w:lang w:val="en-GB"/>
              </w:rPr>
            </w:pPr>
            <w:r>
              <w:rPr>
                <w:rFonts w:cs="Arial"/>
                <w:lang w:val="en-GB"/>
              </w:rPr>
              <w:t>2</w:t>
            </w:r>
          </w:p>
        </w:tc>
        <w:tc>
          <w:tcPr>
            <w:tcW w:w="1011" w:type="dxa"/>
          </w:tcPr>
          <w:p>
            <w:pPr>
              <w:pStyle w:val="GesAbsatz"/>
              <w:jc w:val="left"/>
              <w:rPr>
                <w:rFonts w:eastAsia="Arial Unicode MS" w:cs="Arial"/>
                <w:lang w:val="en-GB"/>
              </w:rPr>
            </w:pPr>
            <w:r>
              <w:rPr>
                <w:rFonts w:cs="Arial"/>
                <w:lang w:val="en-GB"/>
              </w:rPr>
              <w:t>x</w:t>
            </w:r>
            <w:r>
              <w:rPr>
                <w:rFonts w:cs="Arial"/>
                <w:lang w:val="en-GB"/>
              </w:rPr>
              <w:br/>
              <w:t>x</w:t>
            </w:r>
          </w:p>
        </w:tc>
        <w:tc>
          <w:tcPr>
            <w:tcW w:w="543" w:type="dxa"/>
          </w:tcPr>
          <w:p>
            <w:pPr>
              <w:pStyle w:val="GesAbsatz"/>
              <w:jc w:val="left"/>
              <w:rPr>
                <w:rFonts w:eastAsia="Arial Unicode MS" w:cs="Arial"/>
              </w:rPr>
            </w:pPr>
            <w:r>
              <w:rPr>
                <w:rFonts w:cs="Arial"/>
              </w:rPr>
              <w:t>w</w:t>
            </w:r>
            <w:r>
              <w:rPr>
                <w:rFonts w:cs="Arial"/>
              </w:rPr>
              <w:br/>
              <w:t>20/w</w:t>
            </w:r>
          </w:p>
        </w:tc>
        <w:tc>
          <w:tcPr>
            <w:tcW w:w="478" w:type="dxa"/>
          </w:tcPr>
          <w:p>
            <w:pPr>
              <w:pStyle w:val="GesAbsatz"/>
              <w:jc w:val="left"/>
              <w:rPr>
                <w:rFonts w:eastAsia="Arial Unicode MS" w:cs="Arial"/>
              </w:rPr>
            </w:pPr>
            <w:r>
              <w:rPr>
                <w:rFonts w:cs="Arial"/>
              </w:rPr>
              <w:t>2</w:t>
            </w:r>
          </w:p>
        </w:tc>
      </w:tr>
      <w:tr>
        <w:trPr>
          <w:tblCellSpacing w:w="0" w:type="dxa"/>
          <w:jc w:val="center"/>
        </w:trPr>
        <w:tc>
          <w:tcPr>
            <w:tcW w:w="477" w:type="dxa"/>
          </w:tcPr>
          <w:p>
            <w:pPr>
              <w:pStyle w:val="GesAbsatz"/>
              <w:jc w:val="left"/>
              <w:rPr>
                <w:rFonts w:eastAsia="Arial Unicode MS" w:cs="Arial"/>
              </w:rPr>
            </w:pPr>
            <w:r>
              <w:rPr>
                <w:rFonts w:cs="Arial"/>
              </w:rPr>
              <w:t>9</w:t>
            </w:r>
          </w:p>
        </w:tc>
        <w:tc>
          <w:tcPr>
            <w:tcW w:w="2044" w:type="dxa"/>
          </w:tcPr>
          <w:p>
            <w:pPr>
              <w:pStyle w:val="GesAbsatz"/>
              <w:jc w:val="left"/>
              <w:rPr>
                <w:rFonts w:eastAsia="Arial Unicode MS" w:cs="Arial"/>
              </w:rPr>
            </w:pPr>
            <w:r>
              <w:rPr>
                <w:rFonts w:cs="Arial"/>
              </w:rPr>
              <w:t>Glühverluste</w:t>
            </w:r>
          </w:p>
        </w:tc>
        <w:tc>
          <w:tcPr>
            <w:tcW w:w="2201" w:type="dxa"/>
          </w:tcPr>
          <w:p>
            <w:pPr>
              <w:pStyle w:val="GesAbsatz"/>
              <w:jc w:val="left"/>
              <w:rPr>
                <w:rFonts w:eastAsia="Arial Unicode MS" w:cs="Arial"/>
              </w:rPr>
            </w:pPr>
            <w:r>
              <w:rPr>
                <w:rFonts w:cs="Arial"/>
              </w:rPr>
              <w:t>Richtlinie des DIBT</w:t>
            </w:r>
          </w:p>
        </w:tc>
        <w:tc>
          <w:tcPr>
            <w:tcW w:w="1343" w:type="dxa"/>
          </w:tcPr>
          <w:p>
            <w:pPr>
              <w:pStyle w:val="GesAbsatz"/>
              <w:jc w:val="left"/>
              <w:rPr>
                <w:rFonts w:eastAsia="Arial Unicode MS" w:cs="Arial"/>
              </w:rPr>
            </w:pPr>
            <w:r>
              <w:rPr>
                <w:rFonts w:cs="Arial"/>
              </w:rPr>
              <w:t>x</w:t>
            </w:r>
          </w:p>
        </w:tc>
        <w:tc>
          <w:tcPr>
            <w:tcW w:w="567" w:type="dxa"/>
          </w:tcPr>
          <w:p>
            <w:pPr>
              <w:pStyle w:val="GesAbsatz"/>
              <w:jc w:val="left"/>
              <w:rPr>
                <w:rFonts w:eastAsia="Arial Unicode MS" w:cs="Arial"/>
              </w:rPr>
            </w:pPr>
            <w:r>
              <w:rPr>
                <w:rFonts w:cs="Arial"/>
              </w:rPr>
              <w:t>w</w:t>
            </w:r>
          </w:p>
        </w:tc>
        <w:tc>
          <w:tcPr>
            <w:tcW w:w="567" w:type="dxa"/>
          </w:tcPr>
          <w:p>
            <w:pPr>
              <w:pStyle w:val="GesAbsatz"/>
              <w:jc w:val="left"/>
              <w:rPr>
                <w:rFonts w:eastAsia="Arial Unicode MS" w:cs="Arial"/>
              </w:rPr>
            </w:pPr>
            <w:r>
              <w:rPr>
                <w:rFonts w:cs="Arial"/>
              </w:rPr>
              <w:t>2</w:t>
            </w:r>
          </w:p>
        </w:tc>
        <w:tc>
          <w:tcPr>
            <w:tcW w:w="1011" w:type="dxa"/>
          </w:tcPr>
          <w:p>
            <w:pPr>
              <w:pStyle w:val="GesAbsatz"/>
              <w:jc w:val="left"/>
              <w:rPr>
                <w:rFonts w:eastAsia="Arial Unicode MS" w:cs="Arial"/>
              </w:rPr>
            </w:pPr>
          </w:p>
        </w:tc>
        <w:tc>
          <w:tcPr>
            <w:tcW w:w="543" w:type="dxa"/>
          </w:tcPr>
          <w:p>
            <w:pPr>
              <w:pStyle w:val="GesAbsatz"/>
              <w:jc w:val="left"/>
              <w:rPr>
                <w:rFonts w:eastAsia="Arial Unicode MS" w:cs="Arial"/>
              </w:rPr>
            </w:pPr>
          </w:p>
        </w:tc>
        <w:tc>
          <w:tcPr>
            <w:tcW w:w="478" w:type="dxa"/>
          </w:tcPr>
          <w:p>
            <w:pPr>
              <w:pStyle w:val="GesAbsatz"/>
              <w:jc w:val="left"/>
              <w:rPr>
                <w:rFonts w:eastAsia="Arial Unicode MS" w:cs="Arial"/>
              </w:rPr>
            </w:pPr>
          </w:p>
        </w:tc>
      </w:tr>
      <w:tr>
        <w:trPr>
          <w:tblCellSpacing w:w="0" w:type="dxa"/>
          <w:jc w:val="center"/>
        </w:trPr>
        <w:tc>
          <w:tcPr>
            <w:tcW w:w="8896" w:type="dxa"/>
            <w:gridSpan w:val="9"/>
          </w:tcPr>
          <w:p>
            <w:pPr>
              <w:pStyle w:val="GesAbsatz"/>
              <w:rPr>
                <w:sz w:val="16"/>
              </w:rPr>
            </w:pPr>
            <w:r>
              <w:rPr>
                <w:sz w:val="16"/>
              </w:rPr>
              <w:t>Anmerkung:</w:t>
            </w:r>
          </w:p>
          <w:p>
            <w:pPr>
              <w:pStyle w:val="GesAbsatz"/>
              <w:jc w:val="left"/>
              <w:rPr>
                <w:rFonts w:eastAsia="Arial Unicode MS" w:cs="Arial"/>
              </w:rPr>
            </w:pPr>
            <w:r>
              <w:rPr>
                <w:sz w:val="16"/>
                <w:szCs w:val="16"/>
              </w:rPr>
              <w:t>E</w:t>
            </w:r>
            <w:r>
              <w:rPr>
                <w:sz w:val="16"/>
                <w:szCs w:val="16"/>
              </w:rPr>
              <w:tab/>
              <w:t>=</w:t>
            </w:r>
            <w:r>
              <w:rPr>
                <w:sz w:val="16"/>
                <w:szCs w:val="16"/>
              </w:rPr>
              <w:tab/>
              <w:t>Eigenüberwachung</w:t>
            </w:r>
            <w:r>
              <w:rPr>
                <w:sz w:val="16"/>
                <w:szCs w:val="16"/>
              </w:rPr>
              <w:br/>
              <w:t>F</w:t>
            </w:r>
            <w:r>
              <w:rPr>
                <w:sz w:val="16"/>
                <w:szCs w:val="16"/>
              </w:rPr>
              <w:tab/>
              <w:t>=</w:t>
            </w:r>
            <w:r>
              <w:rPr>
                <w:sz w:val="16"/>
                <w:szCs w:val="16"/>
              </w:rPr>
              <w:tab/>
              <w:t>Fremdüberwachung</w:t>
            </w:r>
            <w:r>
              <w:rPr>
                <w:sz w:val="16"/>
                <w:szCs w:val="16"/>
              </w:rPr>
              <w:br/>
              <w:t>w</w:t>
            </w:r>
            <w:r>
              <w:rPr>
                <w:sz w:val="16"/>
                <w:szCs w:val="16"/>
              </w:rPr>
              <w:tab/>
              <w:t>=</w:t>
            </w:r>
            <w:r>
              <w:rPr>
                <w:sz w:val="16"/>
                <w:szCs w:val="16"/>
              </w:rPr>
              <w:tab/>
              <w:t>wöchentlich</w:t>
            </w:r>
            <w:r>
              <w:rPr>
                <w:sz w:val="16"/>
                <w:szCs w:val="16"/>
              </w:rPr>
              <w:br/>
              <w:t>2</w:t>
            </w:r>
            <w:r>
              <w:rPr>
                <w:sz w:val="16"/>
                <w:szCs w:val="16"/>
              </w:rPr>
              <w:tab/>
              <w:t>=</w:t>
            </w:r>
            <w:r>
              <w:rPr>
                <w:sz w:val="16"/>
                <w:szCs w:val="16"/>
              </w:rPr>
              <w:tab/>
              <w:t>2 x jährlich</w:t>
            </w:r>
            <w:r>
              <w:rPr>
                <w:sz w:val="16"/>
                <w:szCs w:val="16"/>
              </w:rPr>
              <w:br/>
              <w:t>4</w:t>
            </w:r>
            <w:r>
              <w:rPr>
                <w:sz w:val="16"/>
                <w:szCs w:val="16"/>
              </w:rPr>
              <w:tab/>
              <w:t>=</w:t>
            </w:r>
            <w:r>
              <w:rPr>
                <w:sz w:val="16"/>
                <w:szCs w:val="16"/>
              </w:rPr>
              <w:tab/>
              <w:t>4 x jährlich</w:t>
            </w:r>
            <w:r>
              <w:rPr>
                <w:sz w:val="16"/>
                <w:szCs w:val="16"/>
              </w:rPr>
              <w:br/>
              <w:t>20</w:t>
            </w:r>
            <w:r>
              <w:rPr>
                <w:sz w:val="16"/>
                <w:szCs w:val="16"/>
              </w:rPr>
              <w:tab/>
              <w:t>=</w:t>
            </w:r>
            <w:r>
              <w:rPr>
                <w:sz w:val="16"/>
                <w:szCs w:val="16"/>
              </w:rPr>
              <w:tab/>
              <w:t>alle 20 000 t</w:t>
            </w:r>
          </w:p>
        </w:tc>
      </w:tr>
    </w:tbl>
    <w:p>
      <w:pPr>
        <w:pStyle w:val="GesAbsatz"/>
      </w:pPr>
    </w:p>
    <w:p>
      <w:pPr>
        <w:pStyle w:val="berschrift2"/>
        <w:jc w:val="left"/>
      </w:pPr>
      <w:r>
        <w:br w:type="page"/>
      </w:r>
      <w:bookmarkStart w:id="14" w:name="_Toc116716225"/>
      <w:bookmarkStart w:id="15" w:name="_Toc9307371"/>
      <w:r>
        <w:lastRenderedPageBreak/>
        <w:t>Anlage 3</w:t>
      </w:r>
      <w:bookmarkEnd w:id="14"/>
    </w:p>
    <w:p>
      <w:pPr>
        <w:pStyle w:val="GesAbsatz"/>
        <w:rPr>
          <w:rFonts w:eastAsia="Arial Unicode MS"/>
        </w:rPr>
      </w:pPr>
      <w:r>
        <w:t>Tabelle 3: Im Rahmen der Eigenüberwachung durchzuführende wasserwirtschaftliche Prüfungen</w:t>
      </w:r>
      <w:bookmarkEnd w:id="15"/>
      <w:r>
        <w:t xml:space="preserve"> </w:t>
      </w:r>
    </w:p>
    <w:tbl>
      <w:tblPr>
        <w:tblW w:w="915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2382"/>
        <w:gridCol w:w="1472"/>
        <w:gridCol w:w="1760"/>
        <w:gridCol w:w="744"/>
        <w:gridCol w:w="744"/>
        <w:gridCol w:w="328"/>
        <w:gridCol w:w="328"/>
        <w:gridCol w:w="704"/>
        <w:gridCol w:w="688"/>
      </w:tblGrid>
      <w:tr>
        <w:trPr>
          <w:tblCellSpacing w:w="0" w:type="dxa"/>
          <w:jc w:val="center"/>
        </w:trPr>
        <w:tc>
          <w:tcPr>
            <w:tcW w:w="2382" w:type="dxa"/>
            <w:vMerge w:val="restart"/>
            <w:tcBorders>
              <w:top w:val="single" w:sz="4" w:space="0" w:color="auto"/>
              <w:left w:val="single" w:sz="4" w:space="0" w:color="auto"/>
              <w:bottom w:val="single" w:sz="4" w:space="0" w:color="auto"/>
              <w:right w:val="single" w:sz="4" w:space="0" w:color="auto"/>
            </w:tcBorders>
          </w:tcPr>
          <w:p>
            <w:pPr>
              <w:pStyle w:val="GesAbsatz"/>
              <w:jc w:val="center"/>
              <w:rPr>
                <w:rFonts w:ascii="Arial Unicode MS" w:eastAsia="Arial Unicode MS" w:hAnsi="Arial Unicode MS" w:cs="Arial Unicode MS"/>
                <w:sz w:val="24"/>
                <w:szCs w:val="24"/>
              </w:rPr>
            </w:pPr>
            <w:r>
              <w:t>Mineralstoff</w:t>
            </w:r>
          </w:p>
        </w:tc>
        <w:tc>
          <w:tcPr>
            <w:tcW w:w="1472" w:type="dxa"/>
            <w:vMerge w:val="restart"/>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rPr>
            </w:pPr>
            <w:r>
              <w:t>HOS/ HS/ LDS/ EOS/ GKOS</w:t>
            </w:r>
          </w:p>
        </w:tc>
        <w:tc>
          <w:tcPr>
            <w:tcW w:w="1760" w:type="dxa"/>
            <w:vMerge w:val="restart"/>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rPr>
            </w:pPr>
            <w:r>
              <w:t>GRS</w:t>
            </w:r>
          </w:p>
        </w:tc>
        <w:tc>
          <w:tcPr>
            <w:tcW w:w="1488" w:type="dxa"/>
            <w:gridSpan w:val="2"/>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rPr>
            </w:pPr>
            <w:r>
              <w:t>RCL</w:t>
            </w:r>
          </w:p>
        </w:tc>
        <w:tc>
          <w:tcPr>
            <w:tcW w:w="656" w:type="dxa"/>
            <w:gridSpan w:val="2"/>
            <w:tcBorders>
              <w:top w:val="single" w:sz="4" w:space="0" w:color="auto"/>
              <w:left w:val="single" w:sz="4" w:space="0" w:color="auto"/>
              <w:bottom w:val="single" w:sz="4" w:space="0" w:color="auto"/>
              <w:right w:val="single" w:sz="4" w:space="0" w:color="auto"/>
            </w:tcBorders>
          </w:tcPr>
          <w:p>
            <w:pPr>
              <w:pStyle w:val="GesAbsatz"/>
              <w:jc w:val="center"/>
              <w:rPr>
                <w:rFonts w:ascii="Arial Unicode MS" w:eastAsia="Arial Unicode MS" w:hAnsi="Arial Unicode MS" w:cs="Arial Unicode MS"/>
                <w:sz w:val="24"/>
                <w:szCs w:val="24"/>
              </w:rPr>
            </w:pPr>
            <w:r>
              <w:t>WB</w:t>
            </w:r>
          </w:p>
        </w:tc>
        <w:tc>
          <w:tcPr>
            <w:tcW w:w="704" w:type="dxa"/>
            <w:vMerge w:val="restart"/>
            <w:tcBorders>
              <w:top w:val="single" w:sz="4" w:space="0" w:color="auto"/>
              <w:left w:val="single" w:sz="4" w:space="0" w:color="auto"/>
              <w:bottom w:val="single" w:sz="4" w:space="0" w:color="auto"/>
              <w:right w:val="single" w:sz="4" w:space="0" w:color="auto"/>
            </w:tcBorders>
          </w:tcPr>
          <w:p>
            <w:pPr>
              <w:pStyle w:val="GesAbsatz"/>
              <w:jc w:val="center"/>
              <w:rPr>
                <w:rFonts w:ascii="Arial Unicode MS" w:eastAsia="Arial Unicode MS" w:hAnsi="Arial Unicode MS" w:cs="Arial Unicode MS"/>
                <w:sz w:val="24"/>
                <w:szCs w:val="24"/>
              </w:rPr>
            </w:pPr>
            <w:r>
              <w:t>SKA</w:t>
            </w:r>
          </w:p>
        </w:tc>
        <w:tc>
          <w:tcPr>
            <w:tcW w:w="688" w:type="dxa"/>
            <w:vMerge w:val="restart"/>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lang w:val="it-IT"/>
              </w:rPr>
            </w:pPr>
            <w:r>
              <w:rPr>
                <w:lang w:val="it-IT"/>
              </w:rPr>
              <w:t>SFA</w:t>
            </w:r>
          </w:p>
        </w:tc>
      </w:tr>
      <w:tr>
        <w:trPr>
          <w:tblCellSpacing w:w="0" w:type="dxa"/>
          <w:jc w:val="center"/>
        </w:trPr>
        <w:tc>
          <w:tcPr>
            <w:tcW w:w="2382" w:type="dxa"/>
            <w:vMerge/>
            <w:tcBorders>
              <w:top w:val="single" w:sz="4" w:space="0" w:color="auto"/>
              <w:left w:val="single" w:sz="4" w:space="0" w:color="auto"/>
              <w:bottom w:val="single" w:sz="4" w:space="0" w:color="auto"/>
              <w:right w:val="single" w:sz="4" w:space="0" w:color="auto"/>
            </w:tcBorders>
          </w:tcPr>
          <w:p>
            <w:pPr>
              <w:pStyle w:val="GesAbsatz"/>
              <w:jc w:val="left"/>
              <w:rPr>
                <w:rFonts w:ascii="Arial Unicode MS" w:eastAsia="Arial Unicode MS" w:hAnsi="Arial Unicode MS" w:cs="Arial Unicode MS"/>
                <w:sz w:val="24"/>
                <w:szCs w:val="24"/>
                <w:lang w:val="it-IT"/>
              </w:rPr>
            </w:pPr>
          </w:p>
        </w:tc>
        <w:tc>
          <w:tcPr>
            <w:tcW w:w="1472" w:type="dxa"/>
            <w:vMerge/>
            <w:tcBorders>
              <w:top w:val="single" w:sz="4" w:space="0" w:color="auto"/>
              <w:left w:val="single" w:sz="4" w:space="0" w:color="auto"/>
              <w:bottom w:val="single" w:sz="4" w:space="0" w:color="auto"/>
              <w:right w:val="single" w:sz="4" w:space="0" w:color="auto"/>
            </w:tcBorders>
          </w:tcPr>
          <w:p>
            <w:pPr>
              <w:pStyle w:val="GesAbsatz"/>
              <w:jc w:val="left"/>
              <w:rPr>
                <w:rFonts w:ascii="Arial Unicode MS" w:eastAsia="Arial Unicode MS" w:hAnsi="Arial Unicode MS" w:cs="Arial Unicode MS"/>
                <w:sz w:val="24"/>
                <w:szCs w:val="24"/>
                <w:lang w:val="it-IT"/>
              </w:rPr>
            </w:pPr>
          </w:p>
        </w:tc>
        <w:tc>
          <w:tcPr>
            <w:tcW w:w="1760" w:type="dxa"/>
            <w:vMerge/>
            <w:tcBorders>
              <w:top w:val="single" w:sz="4" w:space="0" w:color="auto"/>
              <w:left w:val="single" w:sz="4" w:space="0" w:color="auto"/>
              <w:bottom w:val="single" w:sz="4" w:space="0" w:color="auto"/>
              <w:right w:val="single" w:sz="4" w:space="0" w:color="auto"/>
            </w:tcBorders>
          </w:tcPr>
          <w:p>
            <w:pPr>
              <w:pStyle w:val="GesAbsatz"/>
              <w:jc w:val="left"/>
              <w:rPr>
                <w:rFonts w:ascii="Arial Unicode MS" w:eastAsia="Arial Unicode MS" w:hAnsi="Arial Unicode MS" w:cs="Arial Unicode MS"/>
                <w:sz w:val="24"/>
                <w:szCs w:val="24"/>
                <w:lang w:val="it-IT"/>
              </w:rPr>
            </w:pPr>
          </w:p>
        </w:tc>
        <w:tc>
          <w:tcPr>
            <w:tcW w:w="744"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lang w:val="it-IT"/>
              </w:rPr>
            </w:pPr>
            <w:r>
              <w:rPr>
                <w:lang w:val="it-IT"/>
              </w:rPr>
              <w:t>I</w:t>
            </w:r>
          </w:p>
        </w:tc>
        <w:tc>
          <w:tcPr>
            <w:tcW w:w="744"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lang w:val="it-IT"/>
              </w:rPr>
            </w:pPr>
            <w:r>
              <w:rPr>
                <w:lang w:val="it-IT"/>
              </w:rPr>
              <w:t>II</w:t>
            </w:r>
          </w:p>
        </w:tc>
        <w:tc>
          <w:tcPr>
            <w:tcW w:w="328" w:type="dxa"/>
            <w:tcBorders>
              <w:top w:val="single" w:sz="4" w:space="0" w:color="auto"/>
              <w:left w:val="single" w:sz="4" w:space="0" w:color="auto"/>
              <w:bottom w:val="single" w:sz="4" w:space="0" w:color="auto"/>
              <w:right w:val="single" w:sz="4" w:space="0" w:color="auto"/>
            </w:tcBorders>
          </w:tcPr>
          <w:p>
            <w:pPr>
              <w:pStyle w:val="GesAbsatz"/>
              <w:jc w:val="center"/>
              <w:rPr>
                <w:rFonts w:ascii="Arial Unicode MS" w:eastAsia="Arial Unicode MS" w:hAnsi="Arial Unicode MS" w:cs="Arial Unicode MS"/>
                <w:sz w:val="24"/>
                <w:szCs w:val="24"/>
              </w:rPr>
            </w:pPr>
            <w:r>
              <w:t>I</w:t>
            </w:r>
          </w:p>
        </w:tc>
        <w:tc>
          <w:tcPr>
            <w:tcW w:w="328" w:type="dxa"/>
            <w:tcBorders>
              <w:top w:val="single" w:sz="4" w:space="0" w:color="auto"/>
              <w:left w:val="single" w:sz="4" w:space="0" w:color="auto"/>
              <w:bottom w:val="single" w:sz="4" w:space="0" w:color="auto"/>
              <w:right w:val="single" w:sz="4" w:space="0" w:color="auto"/>
            </w:tcBorders>
          </w:tcPr>
          <w:p>
            <w:pPr>
              <w:pStyle w:val="GesAbsatz"/>
              <w:jc w:val="center"/>
              <w:rPr>
                <w:rFonts w:ascii="Arial Unicode MS" w:eastAsia="Arial Unicode MS" w:hAnsi="Arial Unicode MS" w:cs="Arial Unicode MS"/>
                <w:sz w:val="24"/>
                <w:szCs w:val="24"/>
              </w:rPr>
            </w:pPr>
            <w:r>
              <w:t>II</w:t>
            </w:r>
          </w:p>
        </w:tc>
        <w:tc>
          <w:tcPr>
            <w:tcW w:w="704" w:type="dxa"/>
            <w:vMerge/>
            <w:tcBorders>
              <w:top w:val="single" w:sz="4" w:space="0" w:color="auto"/>
              <w:left w:val="single" w:sz="4" w:space="0" w:color="auto"/>
              <w:bottom w:val="single" w:sz="4" w:space="0" w:color="auto"/>
              <w:right w:val="single" w:sz="4" w:space="0" w:color="auto"/>
            </w:tcBorders>
          </w:tcPr>
          <w:p>
            <w:pPr>
              <w:pStyle w:val="GesAbsatz"/>
              <w:jc w:val="left"/>
              <w:rPr>
                <w:rFonts w:ascii="Arial Unicode MS" w:eastAsia="Arial Unicode MS" w:hAnsi="Arial Unicode MS" w:cs="Arial Unicode MS"/>
                <w:sz w:val="24"/>
                <w:szCs w:val="24"/>
              </w:rPr>
            </w:pPr>
          </w:p>
        </w:tc>
        <w:tc>
          <w:tcPr>
            <w:tcW w:w="688" w:type="dxa"/>
            <w:vMerge/>
            <w:tcBorders>
              <w:top w:val="single" w:sz="4" w:space="0" w:color="auto"/>
              <w:left w:val="single" w:sz="4" w:space="0" w:color="auto"/>
              <w:bottom w:val="single" w:sz="4" w:space="0" w:color="auto"/>
              <w:right w:val="single" w:sz="4" w:space="0" w:color="auto"/>
            </w:tcBorders>
          </w:tcPr>
          <w:p>
            <w:pPr>
              <w:pStyle w:val="GesAbsatz"/>
              <w:jc w:val="left"/>
              <w:rPr>
                <w:rFonts w:ascii="Arial Unicode MS" w:eastAsia="Arial Unicode MS" w:hAnsi="Arial Unicode MS" w:cs="Arial Unicode MS"/>
                <w:sz w:val="24"/>
                <w:szCs w:val="24"/>
              </w:rPr>
            </w:pPr>
          </w:p>
        </w:tc>
      </w:tr>
      <w:tr>
        <w:trPr>
          <w:tblCellSpacing w:w="0" w:type="dxa"/>
          <w:jc w:val="center"/>
        </w:trPr>
        <w:tc>
          <w:tcPr>
            <w:tcW w:w="2382" w:type="dxa"/>
            <w:tcBorders>
              <w:top w:val="single" w:sz="4" w:space="0" w:color="auto"/>
              <w:left w:val="single" w:sz="4" w:space="0" w:color="auto"/>
              <w:bottom w:val="single" w:sz="4" w:space="0" w:color="auto"/>
              <w:right w:val="single" w:sz="4" w:space="0" w:color="auto"/>
            </w:tcBorders>
          </w:tcPr>
          <w:p>
            <w:pPr>
              <w:pStyle w:val="GesAbsatz"/>
              <w:jc w:val="left"/>
              <w:rPr>
                <w:rFonts w:ascii="Arial Unicode MS" w:eastAsia="Arial Unicode MS" w:hAnsi="Arial Unicode MS" w:cs="Arial Unicode MS"/>
                <w:sz w:val="24"/>
                <w:szCs w:val="24"/>
              </w:rPr>
            </w:pPr>
            <w:r>
              <w:t>Eine Untersuchung Produktionsmonat(e)</w:t>
            </w:r>
          </w:p>
        </w:tc>
        <w:tc>
          <w:tcPr>
            <w:tcW w:w="1472"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rPr>
            </w:pPr>
            <w:r>
              <w:t>6</w:t>
            </w:r>
          </w:p>
        </w:tc>
        <w:tc>
          <w:tcPr>
            <w:tcW w:w="1760"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rPr>
            </w:pPr>
            <w:r>
              <w:t>1</w:t>
            </w:r>
          </w:p>
        </w:tc>
        <w:tc>
          <w:tcPr>
            <w:tcW w:w="744"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rPr>
            </w:pPr>
            <w:r>
              <w:t>2</w:t>
            </w:r>
          </w:p>
        </w:tc>
        <w:tc>
          <w:tcPr>
            <w:tcW w:w="744"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rPr>
            </w:pPr>
            <w:r>
              <w:t>1</w:t>
            </w:r>
          </w:p>
        </w:tc>
        <w:tc>
          <w:tcPr>
            <w:tcW w:w="328" w:type="dxa"/>
            <w:tcBorders>
              <w:top w:val="single" w:sz="4" w:space="0" w:color="auto"/>
              <w:left w:val="single" w:sz="4" w:space="0" w:color="auto"/>
              <w:bottom w:val="single" w:sz="4" w:space="0" w:color="auto"/>
              <w:right w:val="single" w:sz="4" w:space="0" w:color="auto"/>
            </w:tcBorders>
          </w:tcPr>
          <w:p>
            <w:pPr>
              <w:pStyle w:val="GesAbsatz"/>
              <w:jc w:val="center"/>
              <w:rPr>
                <w:rFonts w:ascii="Arial Unicode MS" w:eastAsia="Arial Unicode MS" w:hAnsi="Arial Unicode MS" w:cs="Arial Unicode MS"/>
                <w:sz w:val="24"/>
                <w:szCs w:val="24"/>
              </w:rPr>
            </w:pPr>
            <w:r>
              <w:t>3</w:t>
            </w:r>
          </w:p>
        </w:tc>
        <w:tc>
          <w:tcPr>
            <w:tcW w:w="328" w:type="dxa"/>
            <w:tcBorders>
              <w:top w:val="single" w:sz="4" w:space="0" w:color="auto"/>
              <w:left w:val="single" w:sz="4" w:space="0" w:color="auto"/>
              <w:bottom w:val="single" w:sz="4" w:space="0" w:color="auto"/>
              <w:right w:val="single" w:sz="4" w:space="0" w:color="auto"/>
            </w:tcBorders>
          </w:tcPr>
          <w:p>
            <w:pPr>
              <w:pStyle w:val="GesAbsatz"/>
              <w:jc w:val="center"/>
              <w:rPr>
                <w:rFonts w:ascii="Arial Unicode MS" w:eastAsia="Arial Unicode MS" w:hAnsi="Arial Unicode MS" w:cs="Arial Unicode MS"/>
                <w:sz w:val="24"/>
                <w:szCs w:val="24"/>
              </w:rPr>
            </w:pPr>
            <w:r>
              <w:t>3</w:t>
            </w:r>
          </w:p>
        </w:tc>
        <w:tc>
          <w:tcPr>
            <w:tcW w:w="704"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rPr>
            </w:pPr>
            <w:r>
              <w:t>3</w:t>
            </w:r>
          </w:p>
        </w:tc>
        <w:tc>
          <w:tcPr>
            <w:tcW w:w="688" w:type="dxa"/>
            <w:tcBorders>
              <w:top w:val="single" w:sz="4" w:space="0" w:color="auto"/>
              <w:left w:val="single" w:sz="4" w:space="0" w:color="auto"/>
              <w:bottom w:val="single" w:sz="4" w:space="0" w:color="auto"/>
              <w:right w:val="single" w:sz="4" w:space="0" w:color="auto"/>
            </w:tcBorders>
          </w:tcPr>
          <w:p>
            <w:pPr>
              <w:pStyle w:val="GesAbsatz"/>
              <w:jc w:val="center"/>
              <w:rPr>
                <w:rFonts w:eastAsia="Arial Unicode MS"/>
              </w:rPr>
            </w:pPr>
            <w:r>
              <w:t>6</w:t>
            </w:r>
          </w:p>
        </w:tc>
      </w:tr>
      <w:tr>
        <w:trPr>
          <w:tblCellSpacing w:w="0" w:type="dxa"/>
          <w:jc w:val="center"/>
        </w:trPr>
        <w:tc>
          <w:tcPr>
            <w:tcW w:w="2382" w:type="dxa"/>
            <w:tcBorders>
              <w:top w:val="single" w:sz="4" w:space="0" w:color="auto"/>
              <w:left w:val="single" w:sz="4" w:space="0" w:color="auto"/>
              <w:bottom w:val="single" w:sz="4" w:space="0" w:color="auto"/>
              <w:right w:val="single" w:sz="4" w:space="0" w:color="auto"/>
            </w:tcBorders>
          </w:tcPr>
          <w:p>
            <w:pPr>
              <w:pStyle w:val="GesAbsatz"/>
              <w:jc w:val="left"/>
              <w:rPr>
                <w:rFonts w:ascii="Arial Unicode MS" w:eastAsia="Arial Unicode MS" w:hAnsi="Arial Unicode MS" w:cs="Arial Unicode MS"/>
                <w:sz w:val="24"/>
                <w:szCs w:val="24"/>
              </w:rPr>
            </w:pPr>
            <w:r>
              <w:t>Kenngrößen</w:t>
            </w:r>
          </w:p>
        </w:tc>
        <w:tc>
          <w:tcPr>
            <w:tcW w:w="1472" w:type="dxa"/>
            <w:tcBorders>
              <w:top w:val="single" w:sz="4" w:space="0" w:color="auto"/>
              <w:left w:val="single" w:sz="4" w:space="0" w:color="auto"/>
              <w:bottom w:val="single" w:sz="4" w:space="0" w:color="auto"/>
              <w:right w:val="single" w:sz="4" w:space="0" w:color="auto"/>
            </w:tcBorders>
          </w:tcPr>
          <w:p>
            <w:pPr>
              <w:pStyle w:val="GesAbsatz"/>
              <w:jc w:val="left"/>
              <w:rPr>
                <w:rFonts w:eastAsia="Arial Unicode MS"/>
              </w:rPr>
            </w:pPr>
            <w:r>
              <w:t>alle gemäß Tabelle 5a</w:t>
            </w:r>
          </w:p>
        </w:tc>
        <w:tc>
          <w:tcPr>
            <w:tcW w:w="1760" w:type="dxa"/>
            <w:tcBorders>
              <w:top w:val="single" w:sz="4" w:space="0" w:color="auto"/>
              <w:left w:val="single" w:sz="4" w:space="0" w:color="auto"/>
              <w:bottom w:val="single" w:sz="4" w:space="0" w:color="auto"/>
              <w:right w:val="single" w:sz="4" w:space="0" w:color="auto"/>
            </w:tcBorders>
          </w:tcPr>
          <w:p>
            <w:pPr>
              <w:pStyle w:val="GesAbsatz"/>
              <w:jc w:val="left"/>
              <w:rPr>
                <w:rFonts w:eastAsia="Arial Unicode MS"/>
              </w:rPr>
            </w:pPr>
            <w:r>
              <w:t>pH, el. Leitf., NH</w:t>
            </w:r>
            <w:r>
              <w:rPr>
                <w:vertAlign w:val="subscript"/>
              </w:rPr>
              <w:t>3</w:t>
            </w:r>
            <w:r>
              <w:t>, DOC, Phenolindex</w:t>
            </w:r>
          </w:p>
        </w:tc>
        <w:tc>
          <w:tcPr>
            <w:tcW w:w="1488" w:type="dxa"/>
            <w:gridSpan w:val="2"/>
            <w:tcBorders>
              <w:top w:val="single" w:sz="4" w:space="0" w:color="auto"/>
              <w:left w:val="single" w:sz="4" w:space="0" w:color="auto"/>
              <w:bottom w:val="single" w:sz="4" w:space="0" w:color="auto"/>
              <w:right w:val="single" w:sz="4" w:space="0" w:color="auto"/>
            </w:tcBorders>
          </w:tcPr>
          <w:p>
            <w:pPr>
              <w:pStyle w:val="GesAbsatz"/>
              <w:jc w:val="left"/>
              <w:rPr>
                <w:rFonts w:eastAsia="Arial Unicode MS"/>
              </w:rPr>
            </w:pPr>
            <w:r>
              <w:t>pH, el. Leitf., SO</w:t>
            </w:r>
            <w:r>
              <w:rPr>
                <w:vertAlign w:val="subscript"/>
              </w:rPr>
              <w:t>4</w:t>
            </w:r>
            <w:r>
              <w:t>, PAK-Gehalt</w:t>
            </w:r>
          </w:p>
        </w:tc>
        <w:tc>
          <w:tcPr>
            <w:tcW w:w="2048" w:type="dxa"/>
            <w:gridSpan w:val="4"/>
            <w:tcBorders>
              <w:top w:val="single" w:sz="4" w:space="0" w:color="auto"/>
              <w:left w:val="single" w:sz="4" w:space="0" w:color="auto"/>
              <w:bottom w:val="single" w:sz="4" w:space="0" w:color="auto"/>
              <w:right w:val="single" w:sz="4" w:space="0" w:color="auto"/>
            </w:tcBorders>
          </w:tcPr>
          <w:p>
            <w:pPr>
              <w:pStyle w:val="GesAbsatz"/>
              <w:jc w:val="left"/>
              <w:rPr>
                <w:rFonts w:eastAsia="Arial Unicode MS"/>
              </w:rPr>
            </w:pPr>
            <w:r>
              <w:t>alle gemäß Tabellen 5a und 5b</w:t>
            </w:r>
          </w:p>
        </w:tc>
      </w:tr>
    </w:tbl>
    <w:p/>
    <w:p>
      <w:pPr>
        <w:pStyle w:val="berschrift2"/>
        <w:jc w:val="left"/>
        <w:rPr>
          <w:bCs/>
        </w:rPr>
      </w:pPr>
      <w:r>
        <w:rPr>
          <w:bCs/>
        </w:rPr>
        <w:br w:type="page"/>
      </w:r>
      <w:bookmarkStart w:id="16" w:name="_Toc116716226"/>
      <w:bookmarkStart w:id="17" w:name="_Toc9307372"/>
      <w:r>
        <w:rPr>
          <w:bCs/>
        </w:rPr>
        <w:lastRenderedPageBreak/>
        <w:t>Anlage 4</w:t>
      </w:r>
      <w:bookmarkEnd w:id="16"/>
    </w:p>
    <w:p>
      <w:pPr>
        <w:pStyle w:val="GesAbsatz"/>
      </w:pPr>
      <w:r>
        <w:rPr>
          <w:bCs/>
        </w:rPr>
        <w:t>Tabelle 4:</w:t>
      </w:r>
      <w:r>
        <w:t xml:space="preserve"> Zulässige Abweichungen vom Bezugsverfahren</w:t>
      </w:r>
      <w:bookmarkEnd w:id="17"/>
      <w:r>
        <w:t xml:space="preserve"> </w:t>
      </w:r>
    </w:p>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602"/>
        <w:gridCol w:w="1866"/>
        <w:gridCol w:w="1638"/>
      </w:tblGrid>
      <w:tr>
        <w:trPr>
          <w:trHeight w:hRule="exact" w:val="737"/>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Nr.</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Kenngröße</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cs="Arial"/>
              </w:rPr>
            </w:pPr>
            <w:r>
              <w:rPr>
                <w:rFonts w:cs="Arial"/>
              </w:rPr>
              <w:t>Zulässige</w:t>
            </w:r>
            <w:r>
              <w:rPr>
                <w:rFonts w:cs="Arial"/>
              </w:rPr>
              <w:br/>
              <w:t>Abweichung (+/-)</w:t>
            </w:r>
          </w:p>
          <w:p>
            <w:pPr>
              <w:pStyle w:val="GesAbsatz"/>
              <w:rPr>
                <w:rFonts w:eastAsia="Arial Unicode MS" w:cs="Arial"/>
              </w:rPr>
            </w:pPr>
            <w:r>
              <w:rPr>
                <w:rFonts w:cs="Arial"/>
              </w:rPr>
              <w:br/>
              <w:t>Abweichung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01</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pH-Wert</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5 %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02</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El. Leitfähigkeit</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5 %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03</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Ammonium-N</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30 %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04</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Chlorid</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30 %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05</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Sulfat</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30 %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06</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CSB</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30 %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07</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DOC</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30 %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08</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PAK (EPA)</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30 %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09</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Phenolindex</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30 %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10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Arsen</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30 %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11</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Blei</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30 %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12</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Cadmium</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30 %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13</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lang w:val="en-GB"/>
              </w:rPr>
            </w:pPr>
            <w:r>
              <w:rPr>
                <w:rFonts w:cs="Arial"/>
                <w:lang w:val="en-GB"/>
              </w:rPr>
              <w:t>Chrom VI</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30 %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14</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Chrom, ges.</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30 %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15</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Kupfer</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30 %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16</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Nickel</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30 %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17</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Quecksilber</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30 %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18</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Zink</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30 %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19</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TOC</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30 %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20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EOX</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30 %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21</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Kohlenwasserstoffe</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30 %</w:t>
            </w:r>
          </w:p>
        </w:tc>
      </w:tr>
      <w:tr>
        <w:trPr>
          <w:trHeight w:hRule="exact" w:val="425"/>
          <w:tblCellSpacing w:w="0" w:type="dxa"/>
          <w:jc w:val="center"/>
        </w:trPr>
        <w:tc>
          <w:tcPr>
            <w:tcW w:w="60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22</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PCB+TCBT</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w:rPr>
            </w:pPr>
            <w:r>
              <w:rPr>
                <w:rFonts w:cs="Arial"/>
              </w:rPr>
              <w:t>30 %</w:t>
            </w:r>
          </w:p>
        </w:tc>
      </w:tr>
    </w:tbl>
    <w:p>
      <w:pPr>
        <w:pStyle w:val="GesAbsatz"/>
      </w:pPr>
      <w:bookmarkStart w:id="18" w:name="_Toc9307373"/>
    </w:p>
    <w:p>
      <w:pPr>
        <w:pStyle w:val="berschrift2"/>
        <w:jc w:val="left"/>
      </w:pPr>
      <w:r>
        <w:rPr>
          <w:b w:val="0"/>
          <w:color w:val="000000"/>
          <w:sz w:val="20"/>
        </w:rPr>
        <w:br w:type="page"/>
      </w:r>
      <w:bookmarkStart w:id="19" w:name="_Toc116716227"/>
      <w:r>
        <w:lastRenderedPageBreak/>
        <w:t>Anlage 5a:</w:t>
      </w:r>
      <w:bookmarkEnd w:id="19"/>
    </w:p>
    <w:p>
      <w:pPr>
        <w:pStyle w:val="GesAbsatz"/>
      </w:pPr>
      <w:r>
        <w:t>Tabelle 5a: Im Rahmen des Eignungsnachweises und der Güteüberwachung einzuhaltende wasserwirtschaftliche Merkmale - Eluatwerte</w:t>
      </w:r>
      <w:bookmarkEnd w:id="18"/>
      <w:r>
        <w:t xml:space="preserve"> </w:t>
      </w:r>
    </w:p>
    <w:tbl>
      <w:tblPr>
        <w:tblW w:w="9663"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166"/>
        <w:gridCol w:w="741"/>
        <w:gridCol w:w="692"/>
        <w:gridCol w:w="697"/>
        <w:gridCol w:w="600"/>
        <w:gridCol w:w="543"/>
        <w:gridCol w:w="554"/>
        <w:gridCol w:w="543"/>
        <w:gridCol w:w="543"/>
        <w:gridCol w:w="583"/>
        <w:gridCol w:w="586"/>
        <w:gridCol w:w="642"/>
        <w:gridCol w:w="709"/>
        <w:gridCol w:w="532"/>
        <w:gridCol w:w="532"/>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rPr>
            </w:pPr>
            <w:r>
              <w:rPr>
                <w:b/>
              </w:rPr>
              <w:t>Mineralstoff</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rPr>
            </w:pP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rPr>
            </w:pPr>
            <w:r>
              <w:rPr>
                <w:b/>
              </w:rPr>
              <w:t>LDS</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rPr>
            </w:pPr>
            <w:r>
              <w:rPr>
                <w:b/>
              </w:rPr>
              <w:t>EOS</w:t>
            </w: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rPr>
            </w:pPr>
            <w:r>
              <w:rPr>
                <w:b/>
              </w:rPr>
              <w:t>HOS</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rPr>
            </w:pPr>
            <w:r>
              <w:rPr>
                <w:b/>
              </w:rPr>
              <w:t>HS</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rPr>
            </w:pPr>
            <w:r>
              <w:rPr>
                <w:b/>
              </w:rPr>
              <w:t>SKG</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rPr>
            </w:pPr>
            <w:r>
              <w:rPr>
                <w:b/>
              </w:rPr>
              <w:t>SFA</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rPr>
            </w:pPr>
            <w:r>
              <w:rPr>
                <w:b/>
              </w:rPr>
              <w:t>SKA</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lang w:val="en-GB"/>
              </w:rPr>
            </w:pPr>
            <w:r>
              <w:rPr>
                <w:b/>
                <w:lang w:val="en-GB"/>
              </w:rPr>
              <w:t>WB I</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lang w:val="en-GB"/>
              </w:rPr>
            </w:pPr>
            <w:r>
              <w:rPr>
                <w:b/>
                <w:lang w:val="en-GB"/>
              </w:rPr>
              <w:t>WB II</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lang w:val="en-GB"/>
              </w:rPr>
            </w:pPr>
            <w:r>
              <w:rPr>
                <w:b/>
                <w:lang w:val="en-GB"/>
              </w:rPr>
              <w:t>GRS</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lang w:val="it-IT"/>
              </w:rPr>
            </w:pPr>
            <w:r>
              <w:rPr>
                <w:b/>
                <w:lang w:val="it-IT"/>
              </w:rPr>
              <w:t>GKOS</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lang w:val="it-IT"/>
              </w:rPr>
            </w:pPr>
            <w:r>
              <w:rPr>
                <w:b/>
                <w:lang w:val="it-IT"/>
              </w:rPr>
              <w:t>RCL I</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rPr>
            </w:pPr>
            <w:r>
              <w:rPr>
                <w:b/>
              </w:rPr>
              <w:t>RCL II</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sz w:val="18"/>
              </w:rPr>
            </w:pPr>
            <w:r>
              <w:rPr>
                <w:sz w:val="18"/>
              </w:rPr>
              <w:t>Kenngröße</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sz w:val="18"/>
              </w:rPr>
            </w:pPr>
            <w:r>
              <w:rPr>
                <w:sz w:val="18"/>
              </w:rPr>
              <w:t>Dimension</w:t>
            </w: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xml:space="preserve">pH-Wert </w:t>
            </w:r>
            <w:r>
              <w:rPr>
                <w:sz w:val="18"/>
                <w:vertAlign w:val="superscript"/>
              </w:rPr>
              <w:t>1</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10-13</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10-12</w:t>
            </w: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9-12,5</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9-12,5</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6-9</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8-13</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10-12</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6-10</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6-10</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5,5-12</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5-12</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7-12,5</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7-12,5</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left"/>
              <w:rPr>
                <w:rFonts w:eastAsia="Arial Unicode MS" w:cs="Arial Unicode MS"/>
                <w:sz w:val="18"/>
              </w:rPr>
            </w:pPr>
            <w:r>
              <w:rPr>
                <w:sz w:val="18"/>
              </w:rPr>
              <w:t>el. Leitfähigkeit</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µS/cm</w:t>
            </w: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6000</w:t>
            </w:r>
            <w:r>
              <w:rPr>
                <w:sz w:val="18"/>
                <w:vertAlign w:val="superscript"/>
              </w:rPr>
              <w:t> 10</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3000</w:t>
            </w:r>
            <w:r>
              <w:rPr>
                <w:sz w:val="18"/>
                <w:vertAlign w:val="superscript"/>
              </w:rPr>
              <w:t> 10</w:t>
            </w: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2500</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1000</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200</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5000</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1000</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1000</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1500</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1000</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1000</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2000</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3000</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Ammonium-N</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mg/l</w:t>
            </w: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rPr>
              <w:t> </w:t>
            </w:r>
            <w:r>
              <w:rPr>
                <w:sz w:val="18"/>
                <w:lang w:val="en-GB"/>
              </w:rPr>
              <w:t xml:space="preserve">1 </w:t>
            </w:r>
            <w:r>
              <w:rPr>
                <w:sz w:val="18"/>
                <w:vertAlign w:val="superscript"/>
                <w:lang w:val="en-GB"/>
              </w:rPr>
              <w:t>7</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Chlorid</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mg/l</w:t>
            </w: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50</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50</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100</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150</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40</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150</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Sulfat</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mg/I</w:t>
            </w: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500</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100</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1000</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200</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100</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150</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150</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600</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CSB</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mg/1</w:t>
            </w: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200</w:t>
            </w:r>
            <w:r>
              <w:rPr>
                <w:sz w:val="18"/>
                <w:vertAlign w:val="superscript"/>
                <w:lang w:val="en-GB"/>
              </w:rPr>
              <w:t xml:space="preserve"> 2</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xml:space="preserve">20 </w:t>
            </w:r>
            <w:r>
              <w:rPr>
                <w:sz w:val="18"/>
                <w:vertAlign w:val="superscript"/>
                <w:lang w:val="en-GB"/>
              </w:rPr>
              <w:t>2</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DOC</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mg/l</w:t>
            </w: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xml:space="preserve">20 </w:t>
            </w:r>
            <w:r>
              <w:rPr>
                <w:sz w:val="18"/>
                <w:vertAlign w:val="superscript"/>
                <w:lang w:val="en-GB"/>
              </w:rPr>
              <w:t>8</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PAK (EPA)</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µg/l</w:t>
            </w: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xml:space="preserve">5 </w:t>
            </w:r>
            <w:r>
              <w:rPr>
                <w:sz w:val="18"/>
                <w:vertAlign w:val="superscript"/>
                <w:lang w:val="en-GB"/>
              </w:rPr>
              <w:t>5</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vertAlign w:val="superscript"/>
                <w:lang w:val="en-GB"/>
              </w:rPr>
              <w:t>4</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Phenolindex</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µg/l</w:t>
            </w: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xml:space="preserve">100 </w:t>
            </w:r>
            <w:r>
              <w:rPr>
                <w:sz w:val="18"/>
                <w:vertAlign w:val="superscript"/>
              </w:rPr>
              <w:t>9</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50</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100</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Arsen</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µg/l</w:t>
            </w: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100</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100</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xml:space="preserve">60 </w:t>
            </w:r>
            <w:r>
              <w:rPr>
                <w:sz w:val="18"/>
                <w:vertAlign w:val="superscript"/>
              </w:rPr>
              <w:t>6</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Blei</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µg/l</w:t>
            </w: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xml:space="preserve">200 </w:t>
            </w:r>
            <w:r>
              <w:rPr>
                <w:sz w:val="18"/>
                <w:vertAlign w:val="superscript"/>
                <w:lang w:val="en-GB"/>
              </w:rPr>
              <w:t>6</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40</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100</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Cadmium</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µg/l</w:t>
            </w: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10</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xml:space="preserve">10 </w:t>
            </w:r>
            <w:r>
              <w:rPr>
                <w:sz w:val="18"/>
                <w:vertAlign w:val="superscript"/>
                <w:lang w:val="en-GB"/>
              </w:rPr>
              <w:t>6</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5</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5</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xml:space="preserve">Chrom VI </w:t>
            </w:r>
            <w:r>
              <w:rPr>
                <w:sz w:val="18"/>
                <w:vertAlign w:val="superscript"/>
                <w:lang w:val="en-GB"/>
              </w:rPr>
              <w:t>3</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µg/l</w:t>
            </w: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20</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30</w:t>
            </w: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30</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50</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Chrom, ges.</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µg/l</w:t>
            </w: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350</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xml:space="preserve">150 </w:t>
            </w:r>
            <w:r>
              <w:rPr>
                <w:sz w:val="18"/>
                <w:vertAlign w:val="superscript"/>
              </w:rPr>
              <w:t>6</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Kupfer</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µg/l</w:t>
            </w: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xml:space="preserve">300 </w:t>
            </w:r>
            <w:r>
              <w:rPr>
                <w:sz w:val="18"/>
                <w:vertAlign w:val="superscript"/>
              </w:rPr>
              <w:t>6</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100</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200</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Nickel</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µg/l</w:t>
            </w: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xml:space="preserve">150 </w:t>
            </w:r>
            <w:r>
              <w:rPr>
                <w:sz w:val="18"/>
                <w:vertAlign w:val="superscript"/>
              </w:rPr>
              <w:t>6</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30</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100</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Quecksilber</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µg/l</w:t>
            </w: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2</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2</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sz w:val="18"/>
                <w:lang w:val="en-GB"/>
              </w:rPr>
            </w:pPr>
            <w:r>
              <w:rPr>
                <w:sz w:val="18"/>
                <w:lang w:val="en-GB"/>
              </w:rPr>
              <w:t> </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Zink</w:t>
            </w:r>
          </w:p>
        </w:tc>
        <w:tc>
          <w:tcPr>
            <w:tcW w:w="74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µg/l</w:t>
            </w:r>
          </w:p>
        </w:tc>
        <w:tc>
          <w:tcPr>
            <w:tcW w:w="69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97"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00"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54"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4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83"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5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lang w:val="en-GB"/>
              </w:rPr>
            </w:pPr>
            <w:r>
              <w:rPr>
                <w:sz w:val="18"/>
                <w:lang w:val="en-GB"/>
              </w:rPr>
              <w:t> </w:t>
            </w:r>
          </w:p>
        </w:tc>
        <w:tc>
          <w:tcPr>
            <w:tcW w:w="64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xml:space="preserve">600 </w:t>
            </w:r>
            <w:r>
              <w:rPr>
                <w:sz w:val="18"/>
                <w:vertAlign w:val="superscript"/>
              </w:rPr>
              <w:t>6</w:t>
            </w:r>
          </w:p>
        </w:tc>
        <w:tc>
          <w:tcPr>
            <w:tcW w:w="621"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 </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200</w:t>
            </w:r>
          </w:p>
        </w:tc>
        <w:tc>
          <w:tcPr>
            <w:tcW w:w="532"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 w:val="18"/>
              </w:rPr>
            </w:pPr>
            <w:r>
              <w:rPr>
                <w:sz w:val="18"/>
              </w:rPr>
              <w:t>400</w:t>
            </w:r>
          </w:p>
        </w:tc>
      </w:tr>
      <w:tr>
        <w:trPr>
          <w:tblCellSpacing w:w="0" w:type="dxa"/>
          <w:jc w:val="center"/>
        </w:trPr>
        <w:tc>
          <w:tcPr>
            <w:tcW w:w="9663" w:type="dxa"/>
            <w:gridSpan w:val="15"/>
            <w:tcBorders>
              <w:top w:val="outset" w:sz="6" w:space="0" w:color="auto"/>
              <w:left w:val="outset" w:sz="6" w:space="0" w:color="auto"/>
              <w:bottom w:val="outset" w:sz="6" w:space="0" w:color="auto"/>
              <w:right w:val="outset" w:sz="6" w:space="0" w:color="auto"/>
            </w:tcBorders>
            <w:vAlign w:val="center"/>
          </w:tcPr>
          <w:p>
            <w:pPr>
              <w:pStyle w:val="GesAbsatz"/>
              <w:jc w:val="left"/>
              <w:rPr>
                <w:rFonts w:eastAsia="Arial Unicode MS" w:cs="Arial Unicode MS"/>
                <w:sz w:val="16"/>
              </w:rPr>
            </w:pPr>
            <w:r>
              <w:rPr>
                <w:sz w:val="16"/>
              </w:rPr>
              <w:t>1) kein Grenzwert</w:t>
            </w:r>
            <w:r>
              <w:rPr>
                <w:sz w:val="16"/>
              </w:rPr>
              <w:br/>
              <w:t>2) Wert entspricht Thiosulfat-Schwefel</w:t>
            </w:r>
            <w:r>
              <w:rPr>
                <w:sz w:val="16"/>
              </w:rPr>
              <w:br/>
              <w:t xml:space="preserve">3) Wert gilt auch als eingehalten, wenn Chrom gesamt </w:t>
            </w:r>
            <w:r>
              <w:rPr>
                <w:sz w:val="16"/>
              </w:rPr>
              <w:sym w:font="Symbol" w:char="F0A3"/>
            </w:r>
            <w:r>
              <w:rPr>
                <w:sz w:val="16"/>
              </w:rPr>
              <w:t xml:space="preserve"> dem angegebenen Grenzwert</w:t>
            </w:r>
            <w:r>
              <w:rPr>
                <w:sz w:val="16"/>
              </w:rPr>
              <w:br/>
              <w:t>4) zur Erfahrungssammlung zu bestimmen</w:t>
            </w:r>
            <w:r>
              <w:rPr>
                <w:sz w:val="16"/>
              </w:rPr>
              <w:br/>
              <w:t xml:space="preserve">5) nur einzuhalten, wenn Feststoffwert &gt;15 und </w:t>
            </w:r>
            <w:r>
              <w:rPr>
                <w:sz w:val="16"/>
              </w:rPr>
              <w:sym w:font="Symbol" w:char="F0A3"/>
            </w:r>
            <w:r>
              <w:rPr>
                <w:sz w:val="16"/>
              </w:rPr>
              <w:t xml:space="preserve"> 20 mg/kg; s. Tabelle Feststoffgehalte</w:t>
            </w:r>
            <w:r>
              <w:rPr>
                <w:sz w:val="16"/>
              </w:rPr>
              <w:br/>
              <w:t>6) nur bei Gießereisanden aus Buntmetallgießereien zu untersuchen und einzuhalten</w:t>
            </w:r>
            <w:r>
              <w:rPr>
                <w:sz w:val="16"/>
              </w:rPr>
              <w:br/>
              <w:t>7) bei Einsatz von GRS in bitumengeb. Tragschicht Überschreitung bis 8 mg/l zulässig</w:t>
            </w:r>
            <w:r>
              <w:rPr>
                <w:sz w:val="16"/>
              </w:rPr>
              <w:br/>
              <w:t>8) bei Einsatz von GES in bitumengeb. Tragschicht Überschreitung bis 250 mg/l zulässig</w:t>
            </w:r>
            <w:r>
              <w:rPr>
                <w:sz w:val="16"/>
              </w:rPr>
              <w:br/>
              <w:t>9) bei Einsatz von GRS In bitumengeb. Tragschicht Überschreitung bis 1000 µg/l zulässig</w:t>
            </w:r>
            <w:r>
              <w:rPr>
                <w:sz w:val="16"/>
              </w:rPr>
              <w:br/>
              <w:t>10) Bei Überschreitung des pH-Wertes darf auch der Wert der elektrischen Leitfähigkeit überschritten sein.</w:t>
            </w:r>
          </w:p>
        </w:tc>
      </w:tr>
    </w:tbl>
    <w:p/>
    <w:p>
      <w:pPr>
        <w:pStyle w:val="berschrift2"/>
        <w:jc w:val="left"/>
        <w:rPr>
          <w:bCs/>
        </w:rPr>
      </w:pPr>
      <w:r>
        <w:br w:type="page"/>
      </w:r>
      <w:bookmarkStart w:id="20" w:name="_Toc116716228"/>
      <w:bookmarkStart w:id="21" w:name="_Toc9307374"/>
      <w:r>
        <w:lastRenderedPageBreak/>
        <w:t>Anlage 5b</w:t>
      </w:r>
      <w:r>
        <w:rPr>
          <w:bCs/>
        </w:rPr>
        <w:t>:</w:t>
      </w:r>
      <w:bookmarkEnd w:id="20"/>
    </w:p>
    <w:p>
      <w:pPr>
        <w:pStyle w:val="GesAbsatz"/>
        <w:rPr>
          <w:rFonts w:eastAsia="Arial Unicode MS"/>
        </w:rPr>
      </w:pPr>
      <w:r>
        <w:t>Tabelle 5b: Im Rahmen des Eignungsnachweises und der Güteüberwachung einzuhaltende wasserwirtschaftliche Merkmale - Feststoffwerte</w:t>
      </w:r>
      <w:bookmarkEnd w:id="21"/>
      <w: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000"/>
        <w:gridCol w:w="1065"/>
        <w:gridCol w:w="943"/>
        <w:gridCol w:w="943"/>
        <w:gridCol w:w="554"/>
        <w:gridCol w:w="587"/>
        <w:gridCol w:w="643"/>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b/>
                <w:szCs w:val="24"/>
              </w:rPr>
            </w:pPr>
            <w:r>
              <w:rPr>
                <w:b/>
              </w:rPr>
              <w:t>Mineralstoff</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bCs/>
                <w:szCs w:val="24"/>
              </w:rPr>
            </w:pPr>
            <w:r>
              <w:rPr>
                <w:b/>
                <w:bCs/>
              </w:rPr>
              <w:t>WBI</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bCs/>
                <w:szCs w:val="24"/>
              </w:rPr>
            </w:pPr>
            <w:r>
              <w:rPr>
                <w:b/>
                <w:bCs/>
              </w:rPr>
              <w:t>WBII</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bCs/>
                <w:szCs w:val="24"/>
                <w:lang w:val="fr-FR"/>
              </w:rPr>
            </w:pPr>
            <w:r>
              <w:rPr>
                <w:b/>
                <w:bCs/>
                <w:lang w:val="fr-FR"/>
              </w:rPr>
              <w:t>GRS</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bCs/>
                <w:szCs w:val="24"/>
                <w:lang w:val="fr-FR"/>
              </w:rPr>
            </w:pPr>
            <w:r>
              <w:rPr>
                <w:b/>
                <w:bCs/>
                <w:lang w:val="fr-FR"/>
              </w:rPr>
              <w:t>RCLI</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cs="Arial Unicode MS"/>
                <w:b/>
                <w:bCs/>
                <w:szCs w:val="24"/>
                <w:lang w:val="fr-FR"/>
              </w:rPr>
            </w:pPr>
            <w:r>
              <w:rPr>
                <w:b/>
                <w:bCs/>
                <w:lang w:val="fr-FR"/>
              </w:rPr>
              <w:t>RCLII</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Kenngröße</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Dimension</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Säure-Neutralisations-Kapazität</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mmol/kg</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Pyritgehalt</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mmol/kg</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rPr>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Säure-Neutralisations-Kapazität: Pyritgehalt</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lang w:val="en-GB"/>
              </w:rPr>
            </w:pPr>
            <w:r>
              <w:rPr>
                <w:lang w:val="en-GB"/>
              </w:rPr>
              <w:t>mind. 4:1</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lang w:val="en-GB"/>
              </w:rPr>
            </w:pPr>
            <w:r>
              <w:rPr>
                <w:lang w:val="en-GB"/>
              </w:rPr>
              <w:t>mind. 4:1</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lang w:val="en-GB"/>
              </w:rPr>
            </w:pPr>
            <w:r>
              <w:rPr>
                <w:lang w:val="en-GB"/>
              </w:rP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lang w:val="en-GB"/>
              </w:rPr>
            </w:pPr>
            <w:r>
              <w:rPr>
                <w:lang w:val="en-GB"/>
              </w:rP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lang w:val="en-GB"/>
              </w:rPr>
            </w:pPr>
            <w:r>
              <w:rPr>
                <w:lang w:val="en-GB"/>
              </w:rPr>
              <w:t> </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lang w:val="en-GB"/>
              </w:rPr>
            </w:pPr>
            <w:r>
              <w:rPr>
                <w:lang w:val="en-GB"/>
              </w:rPr>
              <w:t>EOX</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mg/kg</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5</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Kohlenwasserstoffe</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mg/kg</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150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PAK (EPA)</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mg/kg</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20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xml:space="preserve">15 </w:t>
            </w:r>
            <w:r>
              <w:rPr>
                <w:vertAlign w:val="superscript"/>
              </w:rPr>
              <w:t>4</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xml:space="preserve">75 </w:t>
            </w:r>
            <w:r>
              <w:rPr>
                <w:vertAlign w:val="superscript"/>
              </w:rPr>
              <w:t>5</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xml:space="preserve">PCB + TCBT </w:t>
            </w:r>
            <w:r>
              <w:rPr>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mg/kg</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xml:space="preserve">0,05 </w:t>
            </w:r>
            <w:r>
              <w:rPr>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xml:space="preserve">0,05 </w:t>
            </w:r>
            <w:r>
              <w:rPr>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cs="Arial Unicode MS"/>
                <w:szCs w:val="24"/>
              </w:rPr>
            </w:pPr>
            <w:r>
              <w:t> </w:t>
            </w:r>
          </w:p>
        </w:tc>
      </w:tr>
      <w:tr>
        <w:trPr>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tcPr>
          <w:p>
            <w:pPr>
              <w:pStyle w:val="GesAbsatz"/>
              <w:jc w:val="left"/>
              <w:rPr>
                <w:rFonts w:eastAsia="Arial Unicode MS" w:cs="Arial Unicode MS"/>
                <w:sz w:val="16"/>
                <w:szCs w:val="16"/>
              </w:rPr>
            </w:pPr>
            <w:r>
              <w:rPr>
                <w:sz w:val="16"/>
                <w:szCs w:val="16"/>
              </w:rPr>
              <w:t>1) Zu bestimmen für Verhältnis Säure-Neutralisations-Kapazität: Pyritgehalt</w:t>
            </w:r>
            <w:r>
              <w:rPr>
                <w:sz w:val="16"/>
                <w:szCs w:val="16"/>
              </w:rPr>
              <w:br/>
              <w:t>2) Summe von jeweils 6 Einzelverbindungen</w:t>
            </w:r>
            <w:r>
              <w:rPr>
                <w:sz w:val="16"/>
                <w:szCs w:val="16"/>
              </w:rPr>
              <w:br/>
              <w:t>3) Nur nachzuweisen, wenn die Waschberge Flotationsberge enthalten</w:t>
            </w:r>
            <w:r>
              <w:rPr>
                <w:sz w:val="16"/>
                <w:szCs w:val="16"/>
              </w:rPr>
              <w:br/>
              <w:t xml:space="preserve">4) Überschreitungen bis 20 mg/kg zulässig, wenn Eluatwert </w:t>
            </w:r>
            <w:r>
              <w:rPr>
                <w:sz w:val="16"/>
              </w:rPr>
              <w:sym w:font="Symbol" w:char="F0A3"/>
            </w:r>
            <w:r>
              <w:rPr>
                <w:sz w:val="16"/>
                <w:szCs w:val="16"/>
              </w:rPr>
              <w:t xml:space="preserve"> 5 µg/l</w:t>
            </w:r>
            <w:r>
              <w:rPr>
                <w:sz w:val="16"/>
                <w:szCs w:val="16"/>
              </w:rPr>
              <w:br/>
              <w:t>5) Überschreitungen bis 100 mg/kg zulässig</w:t>
            </w:r>
          </w:p>
        </w:tc>
      </w:tr>
    </w:tbl>
    <w:p>
      <w:pPr>
        <w:pStyle w:val="GesAbsatz"/>
      </w:pPr>
    </w:p>
    <w:p>
      <w:pPr>
        <w:pStyle w:val="berschrift2"/>
        <w:jc w:val="left"/>
      </w:pPr>
      <w:r>
        <w:br w:type="page"/>
      </w:r>
      <w:bookmarkStart w:id="22" w:name="_Toc116716229"/>
      <w:bookmarkStart w:id="23" w:name="_Toc9307375"/>
      <w:r>
        <w:lastRenderedPageBreak/>
        <w:t>Anlage 6:</w:t>
      </w:r>
      <w:bookmarkEnd w:id="22"/>
    </w:p>
    <w:p>
      <w:pPr>
        <w:pStyle w:val="GesAbsatz"/>
      </w:pPr>
      <w:r>
        <w:t>Tabelle 6: Zulässige Überschreitungen</w:t>
      </w:r>
      <w:bookmarkEnd w:id="23"/>
      <w: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86"/>
        <w:gridCol w:w="2125"/>
        <w:gridCol w:w="1609"/>
        <w:gridCol w:w="1599"/>
        <w:gridCol w:w="1899"/>
        <w:gridCol w:w="1599"/>
      </w:tblGrid>
      <w:tr>
        <w:trPr>
          <w:tblCellSpacing w:w="0" w:type="dxa"/>
          <w:jc w:val="center"/>
        </w:trPr>
        <w:tc>
          <w:tcPr>
            <w:tcW w:w="486" w:type="dxa"/>
            <w:tcBorders>
              <w:top w:val="outset" w:sz="6" w:space="0" w:color="auto"/>
              <w:left w:val="outset" w:sz="6" w:space="0" w:color="auto"/>
              <w:bottom w:val="outset" w:sz="6" w:space="0" w:color="auto"/>
              <w:right w:val="outset" w:sz="6" w:space="0" w:color="auto"/>
            </w:tcBorders>
          </w:tcPr>
          <w:p>
            <w:pPr>
              <w:pStyle w:val="GesAbsatz"/>
              <w:rPr>
                <w:rFonts w:eastAsia="Arial Unicode MS"/>
              </w:rPr>
            </w:pPr>
          </w:p>
        </w:tc>
        <w:tc>
          <w:tcPr>
            <w:tcW w:w="2125" w:type="dxa"/>
            <w:tcBorders>
              <w:top w:val="outset" w:sz="6" w:space="0" w:color="auto"/>
              <w:left w:val="outset" w:sz="6" w:space="0" w:color="auto"/>
              <w:bottom w:val="outset" w:sz="6" w:space="0" w:color="auto"/>
              <w:right w:val="outset" w:sz="6" w:space="0" w:color="auto"/>
            </w:tcBorders>
          </w:tcPr>
          <w:p>
            <w:pPr>
              <w:pStyle w:val="GesAbsatz"/>
              <w:rPr>
                <w:rFonts w:eastAsia="Arial Unicode MS"/>
                <w:bCs/>
              </w:rPr>
            </w:pPr>
            <w:bookmarkStart w:id="24" w:name="_Toc9307376"/>
            <w:r>
              <w:rPr>
                <w:bCs/>
              </w:rPr>
              <w:t>Kenngrößengruppe</w:t>
            </w:r>
            <w:bookmarkEnd w:id="24"/>
          </w:p>
        </w:tc>
        <w:tc>
          <w:tcPr>
            <w:tcW w:w="1609" w:type="dxa"/>
            <w:tcBorders>
              <w:top w:val="outset" w:sz="6" w:space="0" w:color="auto"/>
              <w:left w:val="outset" w:sz="6" w:space="0" w:color="auto"/>
              <w:bottom w:val="outset" w:sz="6" w:space="0" w:color="auto"/>
              <w:right w:val="outset" w:sz="6" w:space="0" w:color="auto"/>
            </w:tcBorders>
          </w:tcPr>
          <w:p>
            <w:pPr>
              <w:pStyle w:val="GesAbsatz"/>
              <w:jc w:val="center"/>
              <w:rPr>
                <w:rFonts w:eastAsia="Arial Unicode MS"/>
                <w:b/>
                <w:bCs/>
              </w:rPr>
            </w:pPr>
            <w:r>
              <w:rPr>
                <w:b/>
                <w:bCs/>
              </w:rPr>
              <w:t>Grenzwert</w:t>
            </w:r>
            <w:r>
              <w:rPr>
                <w:b/>
                <w:bCs/>
              </w:rPr>
              <w:br/>
              <w:t>gem. Tabelle 5a/5b</w:t>
            </w:r>
          </w:p>
        </w:tc>
        <w:tc>
          <w:tcPr>
            <w:tcW w:w="0" w:type="auto"/>
            <w:tcBorders>
              <w:top w:val="outset" w:sz="6" w:space="0" w:color="auto"/>
              <w:left w:val="outset" w:sz="6" w:space="0" w:color="auto"/>
              <w:bottom w:val="outset" w:sz="6" w:space="0" w:color="auto"/>
              <w:right w:val="outset" w:sz="6" w:space="0" w:color="auto"/>
            </w:tcBorders>
          </w:tcPr>
          <w:p>
            <w:pPr>
              <w:pStyle w:val="GesAbsatz"/>
              <w:jc w:val="center"/>
              <w:rPr>
                <w:rFonts w:eastAsia="Arial Unicode MS"/>
                <w:b/>
                <w:bCs/>
              </w:rPr>
            </w:pPr>
            <w:r>
              <w:rPr>
                <w:b/>
                <w:bCs/>
              </w:rPr>
              <w:t>Zulässige</w:t>
            </w:r>
            <w:r>
              <w:rPr>
                <w:b/>
                <w:bCs/>
              </w:rPr>
              <w:br/>
              <w:t>Überschreitung</w:t>
            </w:r>
            <w:r>
              <w:rPr>
                <w:b/>
                <w:bCs/>
              </w:rPr>
              <w:br/>
              <w:t>in %</w:t>
            </w:r>
          </w:p>
        </w:tc>
        <w:tc>
          <w:tcPr>
            <w:tcW w:w="0" w:type="auto"/>
            <w:tcBorders>
              <w:top w:val="outset" w:sz="6" w:space="0" w:color="auto"/>
              <w:left w:val="outset" w:sz="6" w:space="0" w:color="auto"/>
              <w:bottom w:val="outset" w:sz="6" w:space="0" w:color="auto"/>
              <w:right w:val="outset" w:sz="6" w:space="0" w:color="auto"/>
            </w:tcBorders>
          </w:tcPr>
          <w:p>
            <w:pPr>
              <w:pStyle w:val="GesAbsatz"/>
              <w:jc w:val="center"/>
              <w:rPr>
                <w:rFonts w:eastAsia="Arial Unicode MS"/>
                <w:b/>
                <w:bCs/>
              </w:rPr>
            </w:pPr>
            <w:r>
              <w:rPr>
                <w:b/>
                <w:bCs/>
              </w:rPr>
              <w:t>Grenzwert</w:t>
            </w:r>
            <w:r>
              <w:rPr>
                <w:b/>
                <w:bCs/>
              </w:rPr>
              <w:br/>
              <w:t>gem. Tabelle 5a/5b</w:t>
            </w:r>
          </w:p>
        </w:tc>
        <w:tc>
          <w:tcPr>
            <w:tcW w:w="0" w:type="auto"/>
            <w:tcBorders>
              <w:top w:val="outset" w:sz="6" w:space="0" w:color="auto"/>
              <w:left w:val="outset" w:sz="6" w:space="0" w:color="auto"/>
              <w:bottom w:val="outset" w:sz="6" w:space="0" w:color="auto"/>
              <w:right w:val="outset" w:sz="6" w:space="0" w:color="auto"/>
            </w:tcBorders>
          </w:tcPr>
          <w:p>
            <w:pPr>
              <w:pStyle w:val="GesAbsatz"/>
              <w:jc w:val="center"/>
              <w:rPr>
                <w:rFonts w:eastAsia="Arial Unicode MS"/>
                <w:b/>
                <w:bCs/>
              </w:rPr>
            </w:pPr>
            <w:r>
              <w:rPr>
                <w:b/>
                <w:bCs/>
              </w:rPr>
              <w:t>Zulässige</w:t>
            </w:r>
            <w:r>
              <w:rPr>
                <w:b/>
                <w:bCs/>
              </w:rPr>
              <w:br/>
              <w:t>Überschreitung</w:t>
            </w:r>
            <w:r>
              <w:rPr>
                <w:b/>
                <w:bCs/>
              </w:rPr>
              <w:br/>
              <w:t>in %</w:t>
            </w:r>
          </w:p>
        </w:tc>
      </w:tr>
      <w:tr>
        <w:trPr>
          <w:cantSplit/>
          <w:tblCellSpacing w:w="0" w:type="dxa"/>
          <w:jc w:val="center"/>
        </w:trPr>
        <w:tc>
          <w:tcPr>
            <w:tcW w:w="486" w:type="dxa"/>
            <w:vMerge w:val="restart"/>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r>
              <w:t>1</w:t>
            </w:r>
          </w:p>
        </w:tc>
        <w:tc>
          <w:tcPr>
            <w:tcW w:w="2125"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r>
              <w:t>Sulfat</w:t>
            </w:r>
          </w:p>
        </w:tc>
        <w:tc>
          <w:tcPr>
            <w:tcW w:w="1609"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rPr>
                <w:rFonts w:ascii="Symbol" w:hAnsi="Symbol"/>
              </w:rPr>
              <w:t></w:t>
            </w:r>
            <w:r>
              <w:t xml:space="preserve"> 150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10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&gt;150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5</w:t>
            </w:r>
          </w:p>
        </w:tc>
      </w:tr>
      <w:tr>
        <w:trPr>
          <w:cantSplit/>
          <w:tblCellSpacing w:w="0" w:type="dxa"/>
          <w:jc w:val="center"/>
        </w:trPr>
        <w:tc>
          <w:tcPr>
            <w:tcW w:w="486" w:type="dxa"/>
            <w:vMerge/>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p>
        </w:tc>
        <w:tc>
          <w:tcPr>
            <w:tcW w:w="2125"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r>
              <w:t>Chlorid</w:t>
            </w:r>
          </w:p>
        </w:tc>
        <w:tc>
          <w:tcPr>
            <w:tcW w:w="1609"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rPr>
                <w:rFonts w:ascii="Symbol" w:hAnsi="Symbol"/>
              </w:rPr>
              <w:t></w:t>
            </w:r>
            <w:r>
              <w:t xml:space="preserve"> 150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10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&gt;150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5</w:t>
            </w:r>
          </w:p>
        </w:tc>
      </w:tr>
      <w:tr>
        <w:trPr>
          <w:cantSplit/>
          <w:tblCellSpacing w:w="0" w:type="dxa"/>
          <w:jc w:val="center"/>
        </w:trPr>
        <w:tc>
          <w:tcPr>
            <w:tcW w:w="486" w:type="dxa"/>
            <w:vMerge/>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p>
        </w:tc>
        <w:tc>
          <w:tcPr>
            <w:tcW w:w="2125"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r>
              <w:t>CSB</w:t>
            </w:r>
          </w:p>
        </w:tc>
        <w:tc>
          <w:tcPr>
            <w:tcW w:w="1609"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rPr>
                <w:rFonts w:ascii="Symbol" w:hAnsi="Symbol"/>
              </w:rPr>
              <w:t></w:t>
            </w:r>
            <w:r>
              <w:t xml:space="preserve"> 150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10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&gt;150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5</w:t>
            </w:r>
          </w:p>
        </w:tc>
      </w:tr>
      <w:tr>
        <w:trPr>
          <w:cantSplit/>
          <w:tblCellSpacing w:w="0" w:type="dxa"/>
          <w:jc w:val="center"/>
        </w:trPr>
        <w:tc>
          <w:tcPr>
            <w:tcW w:w="486" w:type="dxa"/>
            <w:vMerge/>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p>
        </w:tc>
        <w:tc>
          <w:tcPr>
            <w:tcW w:w="2125"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r>
              <w:t>Säure-Neutr.-Kapazität: Pyritgehalt</w:t>
            </w:r>
          </w:p>
        </w:tc>
        <w:tc>
          <w:tcPr>
            <w:tcW w:w="1609"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4:1</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 xml:space="preserve">10 </w:t>
            </w:r>
            <w:r>
              <w:rPr>
                <w:vertAlign w:val="superscript"/>
              </w:rPr>
              <w:t>b)</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p>
        </w:tc>
      </w:tr>
      <w:tr>
        <w:trPr>
          <w:cantSplit/>
          <w:tblCellSpacing w:w="0" w:type="dxa"/>
          <w:jc w:val="center"/>
        </w:trPr>
        <w:tc>
          <w:tcPr>
            <w:tcW w:w="486" w:type="dxa"/>
            <w:vMerge/>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p>
        </w:tc>
        <w:tc>
          <w:tcPr>
            <w:tcW w:w="2125" w:type="dxa"/>
            <w:tcBorders>
              <w:top w:val="outset" w:sz="6" w:space="0" w:color="auto"/>
              <w:left w:val="outset" w:sz="6" w:space="0" w:color="auto"/>
              <w:bottom w:val="outset" w:sz="6" w:space="0" w:color="auto"/>
              <w:right w:val="outset" w:sz="6" w:space="0" w:color="auto"/>
            </w:tcBorders>
          </w:tcPr>
          <w:p>
            <w:pPr>
              <w:pStyle w:val="GesAbsatz"/>
              <w:rPr>
                <w:rFonts w:eastAsia="Arial Unicode MS"/>
              </w:rPr>
            </w:pPr>
            <w:r>
              <w:t>Ammonium-N</w:t>
            </w:r>
          </w:p>
        </w:tc>
        <w:tc>
          <w:tcPr>
            <w:tcW w:w="1609" w:type="dxa"/>
            <w:tcBorders>
              <w:top w:val="outset" w:sz="6" w:space="0" w:color="auto"/>
              <w:left w:val="outset" w:sz="6" w:space="0" w:color="auto"/>
              <w:bottom w:val="outset" w:sz="6" w:space="0" w:color="auto"/>
              <w:right w:val="outset" w:sz="6" w:space="0" w:color="auto"/>
            </w:tcBorders>
          </w:tcPr>
          <w:p>
            <w:pPr>
              <w:pStyle w:val="GesAbsatz"/>
              <w:jc w:val="center"/>
              <w:rPr>
                <w:rFonts w:eastAsia="Arial Unicode MS"/>
              </w:rPr>
            </w:pPr>
            <w:r>
              <w:rPr>
                <w:rFonts w:ascii="Symbol" w:hAnsi="Symbol"/>
              </w:rPr>
              <w:t></w:t>
            </w:r>
            <w:r>
              <w:t xml:space="preserve"> 1</w:t>
            </w:r>
          </w:p>
        </w:tc>
        <w:tc>
          <w:tcPr>
            <w:tcW w:w="0" w:type="auto"/>
            <w:tcBorders>
              <w:top w:val="outset" w:sz="6" w:space="0" w:color="auto"/>
              <w:left w:val="outset" w:sz="6" w:space="0" w:color="auto"/>
              <w:bottom w:val="outset" w:sz="6" w:space="0" w:color="auto"/>
              <w:right w:val="outset" w:sz="6" w:space="0" w:color="auto"/>
            </w:tcBorders>
          </w:tcPr>
          <w:p>
            <w:pPr>
              <w:pStyle w:val="GesAbsatz"/>
              <w:jc w:val="center"/>
              <w:rPr>
                <w:rFonts w:eastAsia="Arial Unicode MS"/>
              </w:rPr>
            </w:pPr>
            <w:r>
              <w:t>10</w:t>
            </w:r>
          </w:p>
        </w:tc>
        <w:tc>
          <w:tcPr>
            <w:tcW w:w="0" w:type="auto"/>
            <w:tcBorders>
              <w:top w:val="outset" w:sz="6" w:space="0" w:color="auto"/>
              <w:left w:val="outset" w:sz="6" w:space="0" w:color="auto"/>
              <w:bottom w:val="outset" w:sz="6" w:space="0" w:color="auto"/>
              <w:right w:val="outset" w:sz="6" w:space="0" w:color="auto"/>
            </w:tcBorders>
          </w:tcPr>
          <w:p>
            <w:pPr>
              <w:pStyle w:val="GesAbsatz"/>
              <w:jc w:val="center"/>
              <w:rPr>
                <w:rFonts w:eastAsia="Arial Unicode MS"/>
              </w:rPr>
            </w:pPr>
          </w:p>
        </w:tc>
        <w:tc>
          <w:tcPr>
            <w:tcW w:w="0" w:type="auto"/>
            <w:tcBorders>
              <w:top w:val="outset" w:sz="6" w:space="0" w:color="auto"/>
              <w:left w:val="outset" w:sz="6" w:space="0" w:color="auto"/>
              <w:bottom w:val="outset" w:sz="6" w:space="0" w:color="auto"/>
              <w:right w:val="outset" w:sz="6" w:space="0" w:color="auto"/>
            </w:tcBorders>
          </w:tcPr>
          <w:p>
            <w:pPr>
              <w:pStyle w:val="GesAbsatz"/>
              <w:jc w:val="center"/>
              <w:rPr>
                <w:rFonts w:eastAsia="Arial Unicode MS"/>
              </w:rPr>
            </w:pPr>
          </w:p>
        </w:tc>
      </w:tr>
      <w:tr>
        <w:trPr>
          <w:tblCellSpacing w:w="0" w:type="dxa"/>
          <w:jc w:val="center"/>
        </w:trPr>
        <w:tc>
          <w:tcPr>
            <w:tcW w:w="4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r>
              <w:t>2</w:t>
            </w:r>
          </w:p>
        </w:tc>
        <w:tc>
          <w:tcPr>
            <w:tcW w:w="2125"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r>
              <w:t>El. Leitfähigkeit</w:t>
            </w:r>
          </w:p>
        </w:tc>
        <w:tc>
          <w:tcPr>
            <w:tcW w:w="1609"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rPr>
                <w:rFonts w:ascii="Symbol" w:hAnsi="Symbol"/>
              </w:rPr>
              <w:t></w:t>
            </w:r>
            <w:r>
              <w:t xml:space="preserve"> 1000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10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&gt;1000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5</w:t>
            </w:r>
          </w:p>
        </w:tc>
      </w:tr>
      <w:tr>
        <w:trPr>
          <w:tblCellSpacing w:w="0" w:type="dxa"/>
          <w:jc w:val="center"/>
        </w:trPr>
        <w:tc>
          <w:tcPr>
            <w:tcW w:w="486"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r>
              <w:t>3</w:t>
            </w:r>
          </w:p>
        </w:tc>
        <w:tc>
          <w:tcPr>
            <w:tcW w:w="2125"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r>
              <w:t>Metalle/Metalloide</w:t>
            </w:r>
          </w:p>
        </w:tc>
        <w:tc>
          <w:tcPr>
            <w:tcW w:w="1609"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rPr>
                <w:rFonts w:ascii="Symbol" w:hAnsi="Symbol"/>
              </w:rPr>
              <w:t></w:t>
            </w:r>
            <w:r>
              <w:t xml:space="preserve"> 100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20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&gt;100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10</w:t>
            </w:r>
          </w:p>
        </w:tc>
      </w:tr>
      <w:tr>
        <w:trPr>
          <w:cantSplit/>
          <w:tblCellSpacing w:w="0" w:type="dxa"/>
          <w:jc w:val="center"/>
        </w:trPr>
        <w:tc>
          <w:tcPr>
            <w:tcW w:w="486" w:type="dxa"/>
            <w:vMerge w:val="restart"/>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r>
              <w:t>4</w:t>
            </w:r>
          </w:p>
        </w:tc>
        <w:tc>
          <w:tcPr>
            <w:tcW w:w="2125"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r>
              <w:t>EOX</w:t>
            </w:r>
          </w:p>
        </w:tc>
        <w:tc>
          <w:tcPr>
            <w:tcW w:w="1609"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rPr>
                <w:rFonts w:ascii="Symbol" w:hAnsi="Symbol"/>
              </w:rPr>
              <w:t></w:t>
            </w:r>
            <w:r>
              <w:t xml:space="preserve"> 3</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20</w:t>
            </w:r>
          </w:p>
        </w:tc>
      </w:tr>
      <w:tr>
        <w:trPr>
          <w:cantSplit/>
          <w:tblCellSpacing w:w="0" w:type="dxa"/>
          <w:jc w:val="center"/>
        </w:trPr>
        <w:tc>
          <w:tcPr>
            <w:tcW w:w="486" w:type="dxa"/>
            <w:vMerge/>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p>
        </w:tc>
        <w:tc>
          <w:tcPr>
            <w:tcW w:w="2125"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r>
              <w:t>Kohlenwasserstoffe</w:t>
            </w:r>
          </w:p>
        </w:tc>
        <w:tc>
          <w:tcPr>
            <w:tcW w:w="1609"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150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20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p>
        </w:tc>
      </w:tr>
      <w:tr>
        <w:trPr>
          <w:cantSplit/>
          <w:tblCellSpacing w:w="0" w:type="dxa"/>
          <w:jc w:val="center"/>
        </w:trPr>
        <w:tc>
          <w:tcPr>
            <w:tcW w:w="486" w:type="dxa"/>
            <w:vMerge/>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p>
        </w:tc>
        <w:tc>
          <w:tcPr>
            <w:tcW w:w="2125"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r>
              <w:t xml:space="preserve">PAK (EPA) </w:t>
            </w:r>
            <w:r>
              <w:rPr>
                <w:vertAlign w:val="superscript"/>
              </w:rPr>
              <w:t xml:space="preserve">a) </w:t>
            </w:r>
            <w:r>
              <w:t>bei GRS</w:t>
            </w:r>
          </w:p>
        </w:tc>
        <w:tc>
          <w:tcPr>
            <w:tcW w:w="1609"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20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20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p>
        </w:tc>
      </w:tr>
      <w:tr>
        <w:trPr>
          <w:cantSplit/>
          <w:tblCellSpacing w:w="0" w:type="dxa"/>
          <w:jc w:val="center"/>
        </w:trPr>
        <w:tc>
          <w:tcPr>
            <w:tcW w:w="486" w:type="dxa"/>
            <w:vMerge/>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p>
        </w:tc>
        <w:tc>
          <w:tcPr>
            <w:tcW w:w="2125"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r>
              <w:t>PCB + TCBT</w:t>
            </w:r>
          </w:p>
        </w:tc>
        <w:tc>
          <w:tcPr>
            <w:tcW w:w="1609"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0,05</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50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p>
        </w:tc>
      </w:tr>
      <w:tr>
        <w:trPr>
          <w:cantSplit/>
          <w:tblCellSpacing w:w="0" w:type="dxa"/>
          <w:jc w:val="center"/>
        </w:trPr>
        <w:tc>
          <w:tcPr>
            <w:tcW w:w="486" w:type="dxa"/>
            <w:vMerge/>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p>
        </w:tc>
        <w:tc>
          <w:tcPr>
            <w:tcW w:w="2125" w:type="dxa"/>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r>
              <w:t>DOC</w:t>
            </w:r>
          </w:p>
        </w:tc>
        <w:tc>
          <w:tcPr>
            <w:tcW w:w="1609" w:type="dxa"/>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20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r>
              <w:t>10</w:t>
            </w: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pPr>
              <w:pStyle w:val="GesAbsatz"/>
              <w:jc w:val="center"/>
              <w:rPr>
                <w:rFonts w:eastAsia="Arial Unicode MS"/>
              </w:rPr>
            </w:pPr>
          </w:p>
        </w:tc>
      </w:tr>
      <w:tr>
        <w:trPr>
          <w:cantSplit/>
          <w:tblCellSpacing w:w="0" w:type="dxa"/>
          <w:jc w:val="center"/>
        </w:trPr>
        <w:tc>
          <w:tcPr>
            <w:tcW w:w="486" w:type="dxa"/>
            <w:vMerge/>
            <w:tcBorders>
              <w:top w:val="outset" w:sz="6" w:space="0" w:color="auto"/>
              <w:left w:val="outset" w:sz="6" w:space="0" w:color="auto"/>
              <w:bottom w:val="outset" w:sz="6" w:space="0" w:color="auto"/>
              <w:right w:val="outset" w:sz="6" w:space="0" w:color="auto"/>
            </w:tcBorders>
            <w:vAlign w:val="center"/>
          </w:tcPr>
          <w:p>
            <w:pPr>
              <w:pStyle w:val="GesAbsatz"/>
              <w:rPr>
                <w:rFonts w:eastAsia="Arial Unicode MS"/>
              </w:rPr>
            </w:pPr>
          </w:p>
        </w:tc>
        <w:tc>
          <w:tcPr>
            <w:tcW w:w="2125" w:type="dxa"/>
            <w:tcBorders>
              <w:top w:val="outset" w:sz="6" w:space="0" w:color="auto"/>
              <w:left w:val="outset" w:sz="6" w:space="0" w:color="auto"/>
              <w:bottom w:val="outset" w:sz="6" w:space="0" w:color="auto"/>
              <w:right w:val="outset" w:sz="6" w:space="0" w:color="auto"/>
            </w:tcBorders>
          </w:tcPr>
          <w:p>
            <w:pPr>
              <w:pStyle w:val="GesAbsatz"/>
              <w:rPr>
                <w:rFonts w:eastAsia="Arial Unicode MS"/>
              </w:rPr>
            </w:pPr>
            <w:r>
              <w:t>Phenolindex</w:t>
            </w:r>
          </w:p>
        </w:tc>
        <w:tc>
          <w:tcPr>
            <w:tcW w:w="1609" w:type="dxa"/>
            <w:tcBorders>
              <w:top w:val="outset" w:sz="6" w:space="0" w:color="auto"/>
              <w:left w:val="outset" w:sz="6" w:space="0" w:color="auto"/>
              <w:bottom w:val="outset" w:sz="6" w:space="0" w:color="auto"/>
              <w:right w:val="outset" w:sz="6" w:space="0" w:color="auto"/>
            </w:tcBorders>
          </w:tcPr>
          <w:p>
            <w:pPr>
              <w:pStyle w:val="GesAbsatz"/>
              <w:jc w:val="center"/>
              <w:rPr>
                <w:rFonts w:eastAsia="Arial Unicode MS"/>
              </w:rPr>
            </w:pPr>
            <w:r>
              <w:t>100</w:t>
            </w:r>
          </w:p>
        </w:tc>
        <w:tc>
          <w:tcPr>
            <w:tcW w:w="0" w:type="auto"/>
            <w:tcBorders>
              <w:top w:val="outset" w:sz="6" w:space="0" w:color="auto"/>
              <w:left w:val="outset" w:sz="6" w:space="0" w:color="auto"/>
              <w:bottom w:val="outset" w:sz="6" w:space="0" w:color="auto"/>
              <w:right w:val="outset" w:sz="6" w:space="0" w:color="auto"/>
            </w:tcBorders>
          </w:tcPr>
          <w:p>
            <w:pPr>
              <w:pStyle w:val="GesAbsatz"/>
              <w:jc w:val="center"/>
              <w:rPr>
                <w:rFonts w:eastAsia="Arial Unicode MS"/>
              </w:rPr>
            </w:pPr>
            <w:r>
              <w:t>50</w:t>
            </w:r>
          </w:p>
        </w:tc>
        <w:tc>
          <w:tcPr>
            <w:tcW w:w="0" w:type="auto"/>
            <w:tcBorders>
              <w:top w:val="outset" w:sz="6" w:space="0" w:color="auto"/>
              <w:left w:val="outset" w:sz="6" w:space="0" w:color="auto"/>
              <w:bottom w:val="outset" w:sz="6" w:space="0" w:color="auto"/>
              <w:right w:val="outset" w:sz="6" w:space="0" w:color="auto"/>
            </w:tcBorders>
          </w:tcPr>
          <w:p>
            <w:pPr>
              <w:pStyle w:val="GesAbsatz"/>
              <w:jc w:val="center"/>
              <w:rPr>
                <w:rFonts w:eastAsia="Arial Unicode MS"/>
              </w:rPr>
            </w:pPr>
          </w:p>
        </w:tc>
        <w:tc>
          <w:tcPr>
            <w:tcW w:w="0" w:type="auto"/>
            <w:tcBorders>
              <w:top w:val="outset" w:sz="6" w:space="0" w:color="auto"/>
              <w:left w:val="outset" w:sz="6" w:space="0" w:color="auto"/>
              <w:bottom w:val="outset" w:sz="6" w:space="0" w:color="auto"/>
              <w:right w:val="outset" w:sz="6" w:space="0" w:color="auto"/>
            </w:tcBorders>
          </w:tcPr>
          <w:p>
            <w:pPr>
              <w:pStyle w:val="GesAbsatz"/>
              <w:jc w:val="center"/>
              <w:rPr>
                <w:rFonts w:eastAsia="Arial Unicode MS"/>
              </w:rPr>
            </w:pPr>
          </w:p>
        </w:tc>
      </w:tr>
      <w:tr>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vAlign w:val="center"/>
          </w:tcPr>
          <w:p>
            <w:pPr>
              <w:pStyle w:val="GesAbsatz"/>
              <w:jc w:val="left"/>
              <w:rPr>
                <w:rFonts w:eastAsia="Arial Unicode MS"/>
                <w:sz w:val="16"/>
                <w:szCs w:val="16"/>
              </w:rPr>
            </w:pPr>
            <w:r>
              <w:rPr>
                <w:sz w:val="16"/>
                <w:szCs w:val="16"/>
              </w:rPr>
              <w:t>a) Regelungen zu Grenzwertüberschreitungen bei RCL I und II enthalten die Tabellen 5a und b.</w:t>
            </w:r>
            <w:r>
              <w:rPr>
                <w:sz w:val="16"/>
                <w:szCs w:val="16"/>
              </w:rPr>
              <w:br/>
              <w:t>b) Unterschreitung</w:t>
            </w:r>
          </w:p>
        </w:tc>
      </w:tr>
    </w:tbl>
    <w:p/>
    <w:p>
      <w:pPr>
        <w:pStyle w:val="GesAbsatz"/>
        <w:rPr>
          <w:rFonts w:cs="Arial"/>
        </w:rPr>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09.10.2001 (MBl.</w:t>
    </w:r>
    <w:r>
      <w:rPr>
        <w:bCs/>
        <w:lang w:val="en-US"/>
      </w:rPr>
      <w:t xml:space="preserve"> NRW. S. 1528)</w:t>
    </w:r>
    <w:r>
      <w:tab/>
    </w:r>
    <w:r>
      <w:rPr>
        <w:szCs w:val="16"/>
      </w:rPr>
      <w:t xml:space="preserve">Seite </w:t>
    </w:r>
    <w:r>
      <w:rPr>
        <w:szCs w:val="16"/>
      </w:rPr>
      <w:fldChar w:fldCharType="begin"/>
    </w:r>
    <w:r>
      <w:rPr>
        <w:szCs w:val="16"/>
      </w:rPr>
      <w:instrText xml:space="preserve"> PAGE  \* MERGEFORMAT </w:instrText>
    </w:r>
    <w:r>
      <w:rPr>
        <w:szCs w:val="16"/>
      </w:rPr>
      <w:fldChar w:fldCharType="separate"/>
    </w:r>
    <w:r>
      <w:rPr>
        <w:noProof/>
        <w:szCs w:val="16"/>
      </w:rPr>
      <w:t>1</w:t>
    </w:r>
    <w:r>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Archiv4.63</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213CA"/>
    <w:multiLevelType w:val="hybridMultilevel"/>
    <w:tmpl w:val="45CABF36"/>
    <w:lvl w:ilvl="0" w:tplc="51E8BEAC">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2D456D"/>
    <w:multiLevelType w:val="hybridMultilevel"/>
    <w:tmpl w:val="45CABF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00C89"/>
    <w:multiLevelType w:val="hybridMultilevel"/>
    <w:tmpl w:val="11787326"/>
    <w:lvl w:ilvl="0" w:tplc="51E8BEAC">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EE6A68"/>
    <w:multiLevelType w:val="hybridMultilevel"/>
    <w:tmpl w:val="BF0CCE6A"/>
    <w:lvl w:ilvl="0" w:tplc="51E8BEAC">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773F48"/>
    <w:multiLevelType w:val="hybridMultilevel"/>
    <w:tmpl w:val="FB44EFFA"/>
    <w:lvl w:ilvl="0" w:tplc="51E8BEAC">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912B9B"/>
    <w:multiLevelType w:val="hybridMultilevel"/>
    <w:tmpl w:val="235AB8F4"/>
    <w:lvl w:ilvl="0" w:tplc="51E8BEAC">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1B3543"/>
    <w:multiLevelType w:val="hybridMultilevel"/>
    <w:tmpl w:val="ABEE7718"/>
    <w:lvl w:ilvl="0" w:tplc="1046C5FA">
      <w:numFmt w:val="bullet"/>
      <w:lvlText w:val="-"/>
      <w:lvlJc w:val="left"/>
      <w:pPr>
        <w:tabs>
          <w:tab w:val="num" w:pos="720"/>
        </w:tabs>
        <w:ind w:left="720" w:hanging="360"/>
      </w:pPr>
      <w:rPr>
        <w:rFonts w:ascii="Arial" w:eastAsia="Times New Roman" w:hAnsi="Aria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A42D90-D01A-48B4-8F0D-5FF77CDC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qFormat/>
    <w:rPr>
      <w:sz w:val="20"/>
      <w:szCs w:val="20"/>
      <w:vertAlign w:val="superscript"/>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customStyle="1" w:styleId="Kopfzeile0">
    <w:name w:val="Kopfzeile0"/>
    <w:basedOn w:val="Standard"/>
    <w:next w:val="Kopfzeile"/>
    <w:qFormat/>
    <w:pPr>
      <w:spacing w:before="0" w:after="0"/>
      <w:jc w:val="right"/>
    </w:pPr>
    <w:rPr>
      <w:b/>
      <w:sz w:val="24"/>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character" w:styleId="BesuchterLink">
    <w:name w:val="FollowedHyperlink"/>
    <w:basedOn w:val="Absatz-Standardschriftart"/>
    <w:rPr>
      <w:color w:val="800080"/>
      <w:u w:val="single"/>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Seitenzahl">
    <w:name w:val="page number"/>
    <w:rPr>
      <w:rFonts w:ascii="Arial" w:hAnsi="Arial"/>
      <w:sz w:val="16"/>
    </w:rPr>
  </w:style>
  <w:style w:type="character" w:customStyle="1" w:styleId="spelle">
    <w:name w:val="spell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850301">
      <w:bodyDiv w:val="1"/>
      <w:marLeft w:val="0"/>
      <w:marRight w:val="0"/>
      <w:marTop w:val="0"/>
      <w:marBottom w:val="0"/>
      <w:divBdr>
        <w:top w:val="none" w:sz="0" w:space="0" w:color="auto"/>
        <w:left w:val="none" w:sz="0" w:space="0" w:color="auto"/>
        <w:bottom w:val="none" w:sz="0" w:space="0" w:color="auto"/>
        <w:right w:val="none" w:sz="0" w:space="0" w:color="auto"/>
      </w:divBdr>
    </w:div>
    <w:div w:id="1688213936">
      <w:bodyDiv w:val="1"/>
      <w:marLeft w:val="0"/>
      <w:marRight w:val="0"/>
      <w:marTop w:val="0"/>
      <w:marBottom w:val="0"/>
      <w:divBdr>
        <w:top w:val="none" w:sz="0" w:space="0" w:color="auto"/>
        <w:left w:val="none" w:sz="0" w:space="0" w:color="auto"/>
        <w:bottom w:val="none" w:sz="0" w:space="0" w:color="auto"/>
        <w:right w:val="none" w:sz="0" w:space="0" w:color="auto"/>
      </w:divBdr>
      <w:divsChild>
        <w:div w:id="1172991950">
          <w:marLeft w:val="0"/>
          <w:marRight w:val="0"/>
          <w:marTop w:val="0"/>
          <w:marBottom w:val="0"/>
          <w:divBdr>
            <w:top w:val="none" w:sz="0" w:space="0" w:color="auto"/>
            <w:left w:val="none" w:sz="0" w:space="0" w:color="auto"/>
            <w:bottom w:val="none" w:sz="0" w:space="0" w:color="auto"/>
            <w:right w:val="none" w:sz="0" w:space="0" w:color="auto"/>
          </w:divBdr>
        </w:div>
      </w:divsChild>
    </w:div>
    <w:div w:id="175990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9&amp;ugl_nr=913&amp;bes_id=2035&amp;val=2035&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11</Pages>
  <Words>2334</Words>
  <Characters>15520</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Güteüberwachung von mineralischen Stoffen im Straßen- und Erdbau</vt:lpstr>
    </vt:vector>
  </TitlesOfParts>
  <Company>LANUV NRW</Company>
  <LinksUpToDate>false</LinksUpToDate>
  <CharactersWithSpaces>17819</CharactersWithSpaces>
  <SharedDoc>false</SharedDoc>
  <HLinks>
    <vt:vector size="96" baseType="variant">
      <vt:variant>
        <vt:i4>1376308</vt:i4>
      </vt:variant>
      <vt:variant>
        <vt:i4>89</vt:i4>
      </vt:variant>
      <vt:variant>
        <vt:i4>0</vt:i4>
      </vt:variant>
      <vt:variant>
        <vt:i4>5</vt:i4>
      </vt:variant>
      <vt:variant>
        <vt:lpwstr/>
      </vt:variant>
      <vt:variant>
        <vt:lpwstr>_Toc116716229</vt:lpwstr>
      </vt:variant>
      <vt:variant>
        <vt:i4>1376308</vt:i4>
      </vt:variant>
      <vt:variant>
        <vt:i4>83</vt:i4>
      </vt:variant>
      <vt:variant>
        <vt:i4>0</vt:i4>
      </vt:variant>
      <vt:variant>
        <vt:i4>5</vt:i4>
      </vt:variant>
      <vt:variant>
        <vt:lpwstr/>
      </vt:variant>
      <vt:variant>
        <vt:lpwstr>_Toc116716228</vt:lpwstr>
      </vt:variant>
      <vt:variant>
        <vt:i4>1376308</vt:i4>
      </vt:variant>
      <vt:variant>
        <vt:i4>77</vt:i4>
      </vt:variant>
      <vt:variant>
        <vt:i4>0</vt:i4>
      </vt:variant>
      <vt:variant>
        <vt:i4>5</vt:i4>
      </vt:variant>
      <vt:variant>
        <vt:lpwstr/>
      </vt:variant>
      <vt:variant>
        <vt:lpwstr>_Toc116716227</vt:lpwstr>
      </vt:variant>
      <vt:variant>
        <vt:i4>1376308</vt:i4>
      </vt:variant>
      <vt:variant>
        <vt:i4>71</vt:i4>
      </vt:variant>
      <vt:variant>
        <vt:i4>0</vt:i4>
      </vt:variant>
      <vt:variant>
        <vt:i4>5</vt:i4>
      </vt:variant>
      <vt:variant>
        <vt:lpwstr/>
      </vt:variant>
      <vt:variant>
        <vt:lpwstr>_Toc116716226</vt:lpwstr>
      </vt:variant>
      <vt:variant>
        <vt:i4>1376308</vt:i4>
      </vt:variant>
      <vt:variant>
        <vt:i4>65</vt:i4>
      </vt:variant>
      <vt:variant>
        <vt:i4>0</vt:i4>
      </vt:variant>
      <vt:variant>
        <vt:i4>5</vt:i4>
      </vt:variant>
      <vt:variant>
        <vt:lpwstr/>
      </vt:variant>
      <vt:variant>
        <vt:lpwstr>_Toc116716225</vt:lpwstr>
      </vt:variant>
      <vt:variant>
        <vt:i4>1376308</vt:i4>
      </vt:variant>
      <vt:variant>
        <vt:i4>59</vt:i4>
      </vt:variant>
      <vt:variant>
        <vt:i4>0</vt:i4>
      </vt:variant>
      <vt:variant>
        <vt:i4>5</vt:i4>
      </vt:variant>
      <vt:variant>
        <vt:lpwstr/>
      </vt:variant>
      <vt:variant>
        <vt:lpwstr>_Toc116716224</vt:lpwstr>
      </vt:variant>
      <vt:variant>
        <vt:i4>1376308</vt:i4>
      </vt:variant>
      <vt:variant>
        <vt:i4>53</vt:i4>
      </vt:variant>
      <vt:variant>
        <vt:i4>0</vt:i4>
      </vt:variant>
      <vt:variant>
        <vt:i4>5</vt:i4>
      </vt:variant>
      <vt:variant>
        <vt:lpwstr/>
      </vt:variant>
      <vt:variant>
        <vt:lpwstr>_Toc116716223</vt:lpwstr>
      </vt:variant>
      <vt:variant>
        <vt:i4>1376308</vt:i4>
      </vt:variant>
      <vt:variant>
        <vt:i4>47</vt:i4>
      </vt:variant>
      <vt:variant>
        <vt:i4>0</vt:i4>
      </vt:variant>
      <vt:variant>
        <vt:i4>5</vt:i4>
      </vt:variant>
      <vt:variant>
        <vt:lpwstr/>
      </vt:variant>
      <vt:variant>
        <vt:lpwstr>_Toc116716222</vt:lpwstr>
      </vt:variant>
      <vt:variant>
        <vt:i4>1376308</vt:i4>
      </vt:variant>
      <vt:variant>
        <vt:i4>41</vt:i4>
      </vt:variant>
      <vt:variant>
        <vt:i4>0</vt:i4>
      </vt:variant>
      <vt:variant>
        <vt:i4>5</vt:i4>
      </vt:variant>
      <vt:variant>
        <vt:lpwstr/>
      </vt:variant>
      <vt:variant>
        <vt:lpwstr>_Toc116716221</vt:lpwstr>
      </vt:variant>
      <vt:variant>
        <vt:i4>1376308</vt:i4>
      </vt:variant>
      <vt:variant>
        <vt:i4>35</vt:i4>
      </vt:variant>
      <vt:variant>
        <vt:i4>0</vt:i4>
      </vt:variant>
      <vt:variant>
        <vt:i4>5</vt:i4>
      </vt:variant>
      <vt:variant>
        <vt:lpwstr/>
      </vt:variant>
      <vt:variant>
        <vt:lpwstr>_Toc116716220</vt:lpwstr>
      </vt:variant>
      <vt:variant>
        <vt:i4>1441844</vt:i4>
      </vt:variant>
      <vt:variant>
        <vt:i4>29</vt:i4>
      </vt:variant>
      <vt:variant>
        <vt:i4>0</vt:i4>
      </vt:variant>
      <vt:variant>
        <vt:i4>5</vt:i4>
      </vt:variant>
      <vt:variant>
        <vt:lpwstr/>
      </vt:variant>
      <vt:variant>
        <vt:lpwstr>_Toc116716219</vt:lpwstr>
      </vt:variant>
      <vt:variant>
        <vt:i4>1441844</vt:i4>
      </vt:variant>
      <vt:variant>
        <vt:i4>23</vt:i4>
      </vt:variant>
      <vt:variant>
        <vt:i4>0</vt:i4>
      </vt:variant>
      <vt:variant>
        <vt:i4>5</vt:i4>
      </vt:variant>
      <vt:variant>
        <vt:lpwstr/>
      </vt:variant>
      <vt:variant>
        <vt:lpwstr>_Toc116716218</vt:lpwstr>
      </vt:variant>
      <vt:variant>
        <vt:i4>1441844</vt:i4>
      </vt:variant>
      <vt:variant>
        <vt:i4>17</vt:i4>
      </vt:variant>
      <vt:variant>
        <vt:i4>0</vt:i4>
      </vt:variant>
      <vt:variant>
        <vt:i4>5</vt:i4>
      </vt:variant>
      <vt:variant>
        <vt:lpwstr/>
      </vt:variant>
      <vt:variant>
        <vt:lpwstr>_Toc116716217</vt:lpwstr>
      </vt:variant>
      <vt:variant>
        <vt:i4>1441844</vt:i4>
      </vt:variant>
      <vt:variant>
        <vt:i4>11</vt:i4>
      </vt:variant>
      <vt:variant>
        <vt:i4>0</vt:i4>
      </vt:variant>
      <vt:variant>
        <vt:i4>5</vt:i4>
      </vt:variant>
      <vt:variant>
        <vt:lpwstr/>
      </vt:variant>
      <vt:variant>
        <vt:lpwstr>_Toc116716216</vt:lpwstr>
      </vt:variant>
      <vt:variant>
        <vt:i4>1441844</vt:i4>
      </vt:variant>
      <vt:variant>
        <vt:i4>5</vt:i4>
      </vt:variant>
      <vt:variant>
        <vt:i4>0</vt:i4>
      </vt:variant>
      <vt:variant>
        <vt:i4>5</vt:i4>
      </vt:variant>
      <vt:variant>
        <vt:lpwstr/>
      </vt:variant>
      <vt:variant>
        <vt:lpwstr>_Toc116716215</vt:lpwstr>
      </vt:variant>
      <vt:variant>
        <vt:i4>5767198</vt:i4>
      </vt:variant>
      <vt:variant>
        <vt:i4>0</vt:i4>
      </vt:variant>
      <vt:variant>
        <vt:i4>0</vt:i4>
      </vt:variant>
      <vt:variant>
        <vt:i4>5</vt:i4>
      </vt:variant>
      <vt:variant>
        <vt:lpwstr>https://lv.recht.nrw.de/lmi/owa/br_bes_text?anw_nr=1&amp;gld_nr=9&amp;ugl_nr=913&amp;bes_id=2035&amp;val=2035&amp;ver=7&amp;sg=0&amp;aufgehoben=N&amp;menu=1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Güteüberwachung von mineralischen Stoffen im Straßen- und Erdbau</dc:title>
  <dc:creator>Natrop</dc:creator>
  <cp:lastModifiedBy>Rüter, Dr., Ingo</cp:lastModifiedBy>
  <cp:revision>2</cp:revision>
  <cp:lastPrinted>2005-10-10T11:41:00Z</cp:lastPrinted>
  <dcterms:created xsi:type="dcterms:W3CDTF">2024-07-09T12:11:00Z</dcterms:created>
  <dcterms:modified xsi:type="dcterms:W3CDTF">2024-07-09T12:11:00Z</dcterms:modified>
</cp:coreProperties>
</file>