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32052729"/>
      <w:r>
        <w:t>Verordnung zur Durchführu</w:t>
      </w:r>
      <w:bookmarkStart w:id="1" w:name="_GoBack"/>
      <w:bookmarkEnd w:id="1"/>
      <w:r>
        <w:t xml:space="preserve">ng des Batteriegesetzes - </w:t>
      </w:r>
      <w:r>
        <w:br/>
        <w:t xml:space="preserve">BattGDV </w:t>
      </w:r>
      <w:r>
        <w:rPr>
          <w:vertAlign w:val="superscript"/>
        </w:rPr>
        <w:footnoteReference w:customMarkFollows="1" w:id="1"/>
        <w:t>*</w:t>
      </w:r>
      <w:bookmarkEnd w:id="0"/>
      <w:r>
        <w:rPr>
          <w:vertAlign w:val="superscript"/>
        </w:rPr>
        <w:t>)</w:t>
      </w:r>
    </w:p>
    <w:p>
      <w:pPr>
        <w:pStyle w:val="GesAbsatz"/>
        <w:jc w:val="center"/>
      </w:pPr>
      <w:r>
        <w:t>vom 12. November 2009</w:t>
      </w:r>
    </w:p>
    <w:p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Die Verordnung ist am 01.01.2021 außer Kraft getreten.</w:t>
      </w:r>
    </w:p>
    <w:p>
      <w:pPr>
        <w:pStyle w:val="GesAbsatz"/>
      </w:pPr>
    </w:p>
    <w:p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2052729" w:history="1">
        <w:r>
          <w:rPr>
            <w:rStyle w:val="Hyperlink"/>
            <w:noProof/>
          </w:rPr>
          <w:t>Verordnung zur Durchführung des Batteriegesetzes - BattGDV 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_Toc432052729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32052730" w:history="1">
        <w:r>
          <w:rPr>
            <w:rStyle w:val="Hyperlink"/>
            <w:noProof/>
          </w:rPr>
          <w:t>§ 1 Begriffsbestimmungen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_Toc432052730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32052731" w:history="1">
        <w:r>
          <w:rPr>
            <w:rStyle w:val="Hyperlink"/>
            <w:noProof/>
          </w:rPr>
          <w:t>§ 2 Anzeige der Marktteilnahme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_Toc432052731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32052732" w:history="1">
        <w:r>
          <w:rPr>
            <w:rStyle w:val="Hyperlink"/>
            <w:noProof/>
          </w:rPr>
          <w:t>§ 3 Behandlung und Verwertung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_Toc432052732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32052733" w:history="1">
        <w:r>
          <w:rPr>
            <w:rStyle w:val="Hyperlink"/>
            <w:noProof/>
          </w:rPr>
          <w:t>§ 4 Inkrafttreten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_Toc432052733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Auf Grund des § 20 Nummer 1 und 2 des Batteriegesetzes vom 25. Juni 2009 (BGBl. I S. 1582) verordnet das Bundesministerium für Umwelt, Naturschutz und Reaktorsicherheit:</w:t>
      </w:r>
    </w:p>
    <w:p>
      <w:pPr>
        <w:pStyle w:val="berschrift3"/>
      </w:pPr>
      <w:bookmarkStart w:id="2" w:name="_Toc432052730"/>
      <w:r>
        <w:t>§ 1</w:t>
      </w:r>
      <w:r>
        <w:br/>
        <w:t>Begriffsbestimmungen</w:t>
      </w:r>
      <w:bookmarkEnd w:id="2"/>
    </w:p>
    <w:p>
      <w:pPr>
        <w:pStyle w:val="GesAbsatz"/>
      </w:pPr>
      <w:r>
        <w:t>Für diese Verordnung gelten die in § 2 des Batteriegesetzes geregelten Begriffsbestimmungen.</w:t>
      </w:r>
    </w:p>
    <w:p>
      <w:pPr>
        <w:pStyle w:val="berschrift3"/>
      </w:pPr>
      <w:bookmarkStart w:id="3" w:name="_Toc432052731"/>
      <w:r>
        <w:t>§ 2</w:t>
      </w:r>
      <w:r>
        <w:br/>
        <w:t>Anzeige der Marktteilnahme</w:t>
      </w:r>
      <w:bookmarkEnd w:id="3"/>
    </w:p>
    <w:p>
      <w:pPr>
        <w:pStyle w:val="GesAbsatz"/>
        <w:jc w:val="center"/>
      </w:pPr>
      <w:r>
        <w:t>(zu § 4 Absatz 1 Satz 1,</w:t>
      </w:r>
      <w:r>
        <w:br/>
        <w:t>Absatz 3 Satz 1 des Batteriegesetzes)</w:t>
      </w:r>
    </w:p>
    <w:p>
      <w:pPr>
        <w:pStyle w:val="GesAbsatz"/>
      </w:pPr>
      <w:r>
        <w:t>(1) Für die Anzeige eines Herstellers nach § 4 Absatz 1 Satz 1 des Batteriegesetzes sind Angaben zu folgenden Kategorien erforderlich:</w:t>
      </w:r>
    </w:p>
    <w:p>
      <w:pPr>
        <w:pStyle w:val="GesAbsatz"/>
      </w:pPr>
      <w:r>
        <w:t>1.</w:t>
      </w:r>
      <w:r>
        <w:tab/>
        <w:t>Name und Rechtsform des Herstellers,</w:t>
      </w:r>
    </w:p>
    <w:p>
      <w:pPr>
        <w:pStyle w:val="GesAbsatz"/>
      </w:pPr>
      <w:r>
        <w:t>2.</w:t>
      </w:r>
      <w:r>
        <w:tab/>
        <w:t>Anschrift des Herstellers, bestehend aus Straße, Hausnummer, Postleitzahl, Ort und Staat,</w:t>
      </w:r>
    </w:p>
    <w:p>
      <w:pPr>
        <w:pStyle w:val="GesAbsatz"/>
        <w:ind w:left="426" w:hanging="426"/>
      </w:pPr>
      <w:r>
        <w:t>3.</w:t>
      </w:r>
      <w:r>
        <w:tab/>
        <w:t>Kontaktdaten des Herstellers, bestehend aus Telefonnummer, Faxnummer, E-Mail-Adresse, Internetadresse und dem Namen der zuständigen Kontaktperson beim Hersteller,</w:t>
      </w:r>
    </w:p>
    <w:p>
      <w:pPr>
        <w:pStyle w:val="GesAbsatz"/>
        <w:ind w:left="426" w:hanging="426"/>
      </w:pPr>
      <w:r>
        <w:t>4.</w:t>
      </w:r>
      <w:r>
        <w:tab/>
        <w:t>Handelsregistereintrag des Herstellers, bestehend aus Handelsregisternummer und Registergericht, oder, falls der Hersteller nicht im Handelsregister eingetragen ist, Gewerbeanzeige des Herstellers, bestehend aus dem Datum der Gewerbeanzeige und der Gemeindekennzahl,</w:t>
      </w:r>
    </w:p>
    <w:p>
      <w:pPr>
        <w:pStyle w:val="GesAbsatz"/>
        <w:ind w:left="426" w:hanging="426"/>
      </w:pPr>
      <w:r>
        <w:t>5.</w:t>
      </w:r>
      <w:r>
        <w:tab/>
        <w:t>Art (§ 2 Absatz 4 bis 6 des Batteriegesetzes) der Batterien, die der Hersteller in den Verkehr zu bringen beabsichtigt, und Marke, unter der er dabei tätig wird.</w:t>
      </w:r>
    </w:p>
    <w:p>
      <w:pPr>
        <w:pStyle w:val="GesAbsatz"/>
      </w:pPr>
      <w:r>
        <w:t>(2) Für Hersteller von Gerätebatterien sind ergänzend zu Absatz 1 Angaben zu folgenden Kategorien erforderlich:</w:t>
      </w:r>
    </w:p>
    <w:p>
      <w:pPr>
        <w:pStyle w:val="GesAbsatz"/>
        <w:ind w:left="426" w:hanging="426"/>
      </w:pPr>
      <w:r>
        <w:t>1.</w:t>
      </w:r>
      <w:r>
        <w:tab/>
        <w:t>eine Erklärung über die Teilnahme des Herstellers am Gemeinsamen Rücknahmesystem der Hersteller für Geräte-Altbatterien (§ 6 Absatz 1 Satz 1 des Batteriegesetzes) einschließlich der vom Gemeinsamen Rücknahmesystem vergebenen Teilnehmernummer,</w:t>
      </w:r>
    </w:p>
    <w:p>
      <w:pPr>
        <w:pStyle w:val="GesAbsatz"/>
        <w:ind w:left="426" w:hanging="426"/>
      </w:pPr>
      <w:r>
        <w:t>2.</w:t>
      </w:r>
      <w:r>
        <w:tab/>
        <w:t>eine Erklärung über die Einrichtung eines herstellereigenen Rücknahmesystems für Geräte-Altbatterien durch den Hersteller (§ 7 Absatz 1 Satz 1 des Batteriegesetzes),</w:t>
      </w:r>
    </w:p>
    <w:p>
      <w:pPr>
        <w:pStyle w:val="GesAbsatz"/>
        <w:ind w:left="426" w:hanging="426"/>
      </w:pPr>
      <w:r>
        <w:t>3.</w:t>
      </w:r>
      <w:r>
        <w:tab/>
        <w:t>Name und Rechtsform des vom Hersteller mit dem Betrieb seines herstellereigenen Rücknahmesystems beauftragten Dritten (§ 19 des Batteriegesetzes).</w:t>
      </w:r>
    </w:p>
    <w:p>
      <w:pPr>
        <w:pStyle w:val="GesAbsatz"/>
      </w:pPr>
      <w:r>
        <w:lastRenderedPageBreak/>
        <w:t>Zu den Angaben nach Satz 1 Nummer 2 gehören insbesondere die Bezeichnung der Behörde, durch die das herstellereigene Rücknahmesystem genehmigt worden ist, sowie Datum und Akten- oder Geschäftszeichen der Genehmigung.</w:t>
      </w:r>
    </w:p>
    <w:p>
      <w:pPr>
        <w:pStyle w:val="GesAbsatz"/>
      </w:pPr>
      <w:r>
        <w:t>(3) Für Hersteller von Fahrzeug- oder Industriebatterien sind ergänzend zu Absatz 1 erforderlich:</w:t>
      </w:r>
    </w:p>
    <w:p>
      <w:pPr>
        <w:pStyle w:val="GesAbsatz"/>
        <w:ind w:left="426" w:hanging="426"/>
      </w:pPr>
      <w:r>
        <w:t>1.</w:t>
      </w:r>
      <w:r>
        <w:tab/>
        <w:t>eine Erklärung über die erfolgte Einrichtung einer den Anforderungen des § 8 des Batteriegesetzes entsprechenden Rückgabemöglichkeit für Altbatterien sowie</w:t>
      </w:r>
    </w:p>
    <w:p>
      <w:pPr>
        <w:pStyle w:val="GesAbsatz"/>
        <w:ind w:left="426" w:hanging="426"/>
      </w:pPr>
      <w:r>
        <w:t>2.</w:t>
      </w:r>
      <w:r>
        <w:tab/>
        <w:t>nähere Angaben über die Art der eingerichteten Rückgabemöglichkeit und den Zugriff der Rückgabeberechtigten auf das Angebot.</w:t>
      </w:r>
    </w:p>
    <w:p>
      <w:pPr>
        <w:pStyle w:val="GesAbsatz"/>
      </w:pPr>
      <w:r>
        <w:t>(4) Zur Veröffentlichung im Internet nach § 4 Absatz 3 Satz 1 des Batteriegesetzes sind bestimmt:</w:t>
      </w:r>
    </w:p>
    <w:p>
      <w:pPr>
        <w:pStyle w:val="GesAbsatz"/>
      </w:pPr>
      <w:r>
        <w:t>1.</w:t>
      </w:r>
      <w:r>
        <w:tab/>
        <w:t>die Angaben nach Absatz 1 Nummer 1,</w:t>
      </w:r>
    </w:p>
    <w:p>
      <w:pPr>
        <w:pStyle w:val="GesAbsatz"/>
      </w:pPr>
      <w:r>
        <w:t>2.</w:t>
      </w:r>
      <w:r>
        <w:tab/>
        <w:t>von den Angaben nach Absatz 1 Nummer 2 die Postleitzahl, der Ort und der Staat,</w:t>
      </w:r>
    </w:p>
    <w:p>
      <w:pPr>
        <w:pStyle w:val="GesAbsatz"/>
      </w:pPr>
      <w:r>
        <w:t>3.</w:t>
      </w:r>
      <w:r>
        <w:tab/>
        <w:t>von den Angaben nach Absatz 1 Nummer 3 die Internetadresse,</w:t>
      </w:r>
    </w:p>
    <w:p>
      <w:pPr>
        <w:pStyle w:val="GesAbsatz"/>
      </w:pPr>
      <w:r>
        <w:t>4.</w:t>
      </w:r>
      <w:r>
        <w:tab/>
        <w:t>die Angaben nach Absatz 1 Nummer 5,</w:t>
      </w:r>
    </w:p>
    <w:p>
      <w:pPr>
        <w:pStyle w:val="GesAbsatz"/>
      </w:pPr>
      <w:r>
        <w:t>5.</w:t>
      </w:r>
      <w:r>
        <w:tab/>
        <w:t>die Angaben nach Absatz 2 Satz 1 ohne die Angaben nach Absatz 2 Satz 2 sowie</w:t>
      </w:r>
    </w:p>
    <w:p>
      <w:pPr>
        <w:pStyle w:val="GesAbsatz"/>
      </w:pPr>
      <w:r>
        <w:t>6.</w:t>
      </w:r>
      <w:r>
        <w:tab/>
        <w:t>die Angaben nach Absatz 3.</w:t>
      </w:r>
    </w:p>
    <w:p>
      <w:pPr>
        <w:pStyle w:val="berschrift3"/>
      </w:pPr>
      <w:bookmarkStart w:id="4" w:name="_Toc432052732"/>
      <w:r>
        <w:t>§ 3</w:t>
      </w:r>
      <w:r>
        <w:br/>
        <w:t>Behandlung und Verwertung</w:t>
      </w:r>
      <w:bookmarkEnd w:id="4"/>
    </w:p>
    <w:p>
      <w:pPr>
        <w:pStyle w:val="GesAbsatz"/>
        <w:jc w:val="center"/>
      </w:pPr>
      <w:r>
        <w:t>(zu § 14 Absatz 1 Satz 2 des Batteriegesetzes)</w:t>
      </w:r>
    </w:p>
    <w:p>
      <w:pPr>
        <w:pStyle w:val="GesAbsatz"/>
      </w:pPr>
      <w:r>
        <w:t>(1) Die Behandlung nach § 14 Absatz 1 Satz 1 des Batteriegesetzes muss mindestens die Entfernung aller Flüssigkeiten und Säuren umfassen.</w:t>
      </w:r>
    </w:p>
    <w:p>
      <w:pPr>
        <w:pStyle w:val="GesAbsatz"/>
      </w:pPr>
      <w:r>
        <w:t>(2) Die Behandlung und die Lagerung von Altbatterien in Behandlungsanlagen dürfen nur an Standorten mit undurchlässigen Oberflächen und geeigneter, wetterbeständiger Abdeckung oder in geeigneten Behältern erfolgen; dies gilt auch für eine nur vorübergehende Lagerung.</w:t>
      </w:r>
    </w:p>
    <w:p>
      <w:pPr>
        <w:pStyle w:val="GesAbsatz"/>
      </w:pPr>
      <w:r>
        <w:t>(3) Mit den eingesetzten Verwertungsverfahren müssen spätestens zum 26. September 2011 folgende Mindestziele (Verwertungseffizienzen) erreicht werden:</w:t>
      </w:r>
    </w:p>
    <w:p>
      <w:pPr>
        <w:pStyle w:val="GesAbsatz"/>
        <w:ind w:left="426" w:hanging="426"/>
      </w:pPr>
      <w:r>
        <w:t>1.</w:t>
      </w:r>
      <w:r>
        <w:tab/>
        <w:t>stoffliche Verwertung von 65 Prozent der durchschnittlichen Masse von Blei-Säure-Altbatterien bei einem Höchstmaß an stofflicher Verwertung des Bleigehalts, das wirtschaftlich zumutbar und technisch erreichbar ist,</w:t>
      </w:r>
    </w:p>
    <w:p>
      <w:pPr>
        <w:pStyle w:val="GesAbsatz"/>
        <w:ind w:left="426" w:hanging="426"/>
      </w:pPr>
      <w:r>
        <w:t>2.</w:t>
      </w:r>
      <w:r>
        <w:tab/>
        <w:t>stoffliche Verwertung von 75 Prozent der durchschnittlichen Masse von Nickel-Cadmium-Altbatterien bei einem Höchstmaß an stofflicher Verwertung des Cadmiumgehalts, das wirtschaftlich zumutbar und technisch erreichbar ist,</w:t>
      </w:r>
    </w:p>
    <w:p>
      <w:pPr>
        <w:pStyle w:val="GesAbsatz"/>
      </w:pPr>
      <w:r>
        <w:t>3.</w:t>
      </w:r>
      <w:r>
        <w:tab/>
        <w:t>stoffliche Verwertung von 50 Prozent der durchschnittlichen Masse sonstiger Altbatterien.</w:t>
      </w:r>
    </w:p>
    <w:p>
      <w:pPr>
        <w:pStyle w:val="berschrift3"/>
      </w:pPr>
      <w:bookmarkStart w:id="5" w:name="_Toc432052733"/>
      <w:r>
        <w:t>§ 4</w:t>
      </w:r>
      <w:r>
        <w:br/>
        <w:t>Inkrafttreten</w:t>
      </w:r>
      <w:bookmarkEnd w:id="5"/>
    </w:p>
    <w:p>
      <w:pPr>
        <w:pStyle w:val="GesAbsatz"/>
      </w:pPr>
      <w:r>
        <w:t>Diese Verordnung tritt am 1. Dezember 2009 in Kraft.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639"/>
        <w:tab w:val="right" w:pos="9638"/>
      </w:tabs>
      <w:ind w:right="-1"/>
    </w:pPr>
    <w:r>
      <w:tab/>
      <w:t>Stand 12.11.2009 (BGBl. I S. 3783 / FNA 2129-53-1)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t>*</w:t>
      </w:r>
      <w:r>
        <w:t xml:space="preserve"> Diese Verordnung dient der Umsetzung der Richtlinie 2006/66/EG des Europäischen Parlaments und des Rates vom 6. September 2006 über Batterien und Akkumulatoren sowie Altbatterien und Altakkumulatoren und zur Aufhebung der Richtlinie 91/157/EWG (ABl. L 266 vom 26.9.2006, S. 1, L 339 vom 6.12.2006, S. 39, L 139 vom 31.5.2007, S. 40), die zuletzt durch die Richtlinie 2008/103/EG (ABl. L 327 vom 5.12.2008, S. 7) geändert worden ist. Die Verpflichtungen aus der Richtlinie 98/34/EG des Europäischen Parlaments und des Rates vom 22. Juni 1998 über ein Informationsverfahren auf dem Gebiet der Normen und technischen Vorschriften (ABl. L 204 vom 21.7.1998, S. 37), die zuletzt durch die Richtlinie 2006/96/EG (ABl. L 363 vom 20.12.2006, S. 81) geändert worden ist, sind beachtet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Archiv4.55</w:t>
    </w:r>
  </w:p>
  <w:p>
    <w:pPr>
      <w:pStyle w:val="Kopfzeile"/>
    </w:pPr>
    <w:r>
      <w:t>BattGDV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8AA8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C2A2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AC6D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BCD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532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288F029-FEBC-4BD6-9788-385EA209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A5F0-AAF1-45FC-A459-D98BD7FE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634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 NRW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natrop</dc:creator>
  <cp:lastModifiedBy>Rüter, Dr., Ingo</cp:lastModifiedBy>
  <cp:revision>4</cp:revision>
  <cp:lastPrinted>2004-12-14T12:08:00Z</cp:lastPrinted>
  <dcterms:created xsi:type="dcterms:W3CDTF">2020-11-23T12:58:00Z</dcterms:created>
  <dcterms:modified xsi:type="dcterms:W3CDTF">2024-05-22T14:13:00Z</dcterms:modified>
</cp:coreProperties>
</file>