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65458967"/>
      <w:bookmarkStart w:id="1" w:name="_GoBack"/>
      <w:bookmarkEnd w:id="1"/>
      <w:r>
        <w:t>Kostenverordnung zum Elektro- und Elektronikgerätegesetz - Elektro- und Elektronikgerätegesetz-Kostenverordnung - ElektroGKostV</w:t>
      </w:r>
      <w:bookmarkEnd w:id="0"/>
    </w:p>
    <w:p>
      <w:pPr>
        <w:pStyle w:val="GesAbsatz"/>
        <w:jc w:val="center"/>
      </w:pPr>
      <w:r>
        <w:t>vom 6. Juli 2005</w:t>
      </w:r>
    </w:p>
    <w:p>
      <w:pPr>
        <w:pStyle w:val="GesAbsatz"/>
        <w:jc w:val="left"/>
        <w:rPr>
          <w:b/>
          <w:i/>
          <w:iCs/>
          <w:color w:val="FF0000"/>
          <w:sz w:val="22"/>
          <w:szCs w:val="22"/>
        </w:rPr>
      </w:pPr>
      <w:r>
        <w:rPr>
          <w:b/>
          <w:i/>
          <w:color w:val="FF0000"/>
          <w:sz w:val="22"/>
          <w:szCs w:val="22"/>
        </w:rPr>
        <w:t>Gültig bis 23.10.2015 – aufgehoben durch § 4 Elektro- und Elektronikgerätegesetz-Gebührenverordnung ElektroGGebV v. 20.10.2015</w:t>
      </w:r>
    </w:p>
    <w:p>
      <w:pPr>
        <w:pStyle w:val="GesAbsatz"/>
      </w:pPr>
      <w:hyperlink w:anchor="Gesetzeshistorie" w:history="1">
        <w:r>
          <w:rPr>
            <w:rStyle w:val="Hyperlink"/>
          </w:rPr>
          <w:t>Gesetzeshistorie</w:t>
        </w:r>
      </w:hyperlink>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\h \z \u </w:instrText>
      </w:r>
      <w:r>
        <w:rPr>
          <w:b w:val="0"/>
          <w:bCs/>
          <w:caps w:val="0"/>
        </w:rPr>
        <w:fldChar w:fldCharType="separate"/>
      </w:r>
      <w:hyperlink w:anchor="_Toc365458967" w:history="1">
        <w:r>
          <w:rPr>
            <w:rStyle w:val="Hyperlink"/>
            <w:noProof/>
          </w:rPr>
          <w:t>Elektro- und Elektronikgerätegesetz-Kostenverordnung - ElektroGKostV</w:t>
        </w:r>
        <w:r>
          <w:rPr>
            <w:noProof/>
            <w:webHidden/>
          </w:rPr>
          <w:tab/>
        </w:r>
        <w:r>
          <w:rPr>
            <w:noProof/>
            <w:webHidden/>
          </w:rPr>
          <w:fldChar w:fldCharType="begin"/>
        </w:r>
        <w:r>
          <w:rPr>
            <w:noProof/>
            <w:webHidden/>
          </w:rPr>
          <w:instrText xml:space="preserve"> PAGEREF _Toc365458967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65458968" w:history="1">
        <w:r>
          <w:rPr>
            <w:rStyle w:val="Hyperlink"/>
            <w:noProof/>
          </w:rPr>
          <w:t>§ 1 Gebühren und Auslagen</w:t>
        </w:r>
        <w:r>
          <w:rPr>
            <w:noProof/>
            <w:webHidden/>
          </w:rPr>
          <w:tab/>
        </w:r>
        <w:r>
          <w:rPr>
            <w:noProof/>
            <w:webHidden/>
          </w:rPr>
          <w:fldChar w:fldCharType="begin"/>
        </w:r>
        <w:r>
          <w:rPr>
            <w:noProof/>
            <w:webHidden/>
          </w:rPr>
          <w:instrText xml:space="preserve"> PAGEREF _Toc365458968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65458969" w:history="1">
        <w:r>
          <w:rPr>
            <w:rStyle w:val="Hyperlink"/>
            <w:noProof/>
          </w:rPr>
          <w:t>§ 2 Gebührenermäßigung und Gebührenbefreiung</w:t>
        </w:r>
        <w:r>
          <w:rPr>
            <w:noProof/>
            <w:webHidden/>
          </w:rPr>
          <w:tab/>
        </w:r>
        <w:r>
          <w:rPr>
            <w:noProof/>
            <w:webHidden/>
          </w:rPr>
          <w:fldChar w:fldCharType="begin"/>
        </w:r>
        <w:r>
          <w:rPr>
            <w:noProof/>
            <w:webHidden/>
          </w:rPr>
          <w:instrText xml:space="preserve"> PAGEREF _Toc365458969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65458970" w:history="1">
        <w:r>
          <w:rPr>
            <w:rStyle w:val="Hyperlink"/>
            <w:noProof/>
          </w:rPr>
          <w:t>§ 3 Widerruf und Rücknahme einer Amtshandlung, Ablehnung und Zurücknahme von Anträgen</w:t>
        </w:r>
        <w:r>
          <w:rPr>
            <w:noProof/>
            <w:webHidden/>
          </w:rPr>
          <w:tab/>
        </w:r>
        <w:r>
          <w:rPr>
            <w:noProof/>
            <w:webHidden/>
          </w:rPr>
          <w:fldChar w:fldCharType="begin"/>
        </w:r>
        <w:r>
          <w:rPr>
            <w:noProof/>
            <w:webHidden/>
          </w:rPr>
          <w:instrText xml:space="preserve"> PAGEREF _Toc365458970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65458971" w:history="1">
        <w:r>
          <w:rPr>
            <w:rStyle w:val="Hyperlink"/>
            <w:noProof/>
          </w:rPr>
          <w:t>§ 4 Widerruf und Rücknahme eines Verwaltungsaktes, Ablehnung und Zurücknahme von Anträgen</w:t>
        </w:r>
        <w:r>
          <w:rPr>
            <w:noProof/>
            <w:webHidden/>
          </w:rPr>
          <w:tab/>
        </w:r>
        <w:r>
          <w:rPr>
            <w:noProof/>
            <w:webHidden/>
          </w:rPr>
          <w:fldChar w:fldCharType="begin"/>
        </w:r>
        <w:r>
          <w:rPr>
            <w:noProof/>
            <w:webHidden/>
          </w:rPr>
          <w:instrText xml:space="preserve"> PAGEREF _Toc365458971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65458972" w:history="1">
        <w:r>
          <w:rPr>
            <w:rStyle w:val="Hyperlink"/>
            <w:noProof/>
          </w:rPr>
          <w:t>§ 5 Übergangsvorschriften</w:t>
        </w:r>
        <w:r>
          <w:rPr>
            <w:noProof/>
            <w:webHidden/>
          </w:rPr>
          <w:tab/>
        </w:r>
        <w:r>
          <w:rPr>
            <w:noProof/>
            <w:webHidden/>
          </w:rPr>
          <w:fldChar w:fldCharType="begin"/>
        </w:r>
        <w:r>
          <w:rPr>
            <w:noProof/>
            <w:webHidden/>
          </w:rPr>
          <w:instrText xml:space="preserve"> PAGEREF _Toc365458972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65458973" w:history="1">
        <w:r>
          <w:rPr>
            <w:rStyle w:val="Hyperlink"/>
            <w:noProof/>
          </w:rPr>
          <w:t>§ 6 Inkrafttreten</w:t>
        </w:r>
        <w:r>
          <w:rPr>
            <w:noProof/>
            <w:webHidden/>
          </w:rPr>
          <w:tab/>
        </w:r>
        <w:r>
          <w:rPr>
            <w:noProof/>
            <w:webHidden/>
          </w:rPr>
          <w:fldChar w:fldCharType="begin"/>
        </w:r>
        <w:r>
          <w:rPr>
            <w:noProof/>
            <w:webHidden/>
          </w:rPr>
          <w:instrText xml:space="preserve"> PAGEREF _Toc365458973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smallCaps w:val="0"/>
          <w:noProof/>
          <w:sz w:val="24"/>
          <w:szCs w:val="24"/>
        </w:rPr>
      </w:pPr>
      <w:hyperlink w:anchor="_Toc365458974" w:history="1">
        <w:r>
          <w:rPr>
            <w:rStyle w:val="Hyperlink"/>
            <w:noProof/>
          </w:rPr>
          <w:t>Anhang 1 (zu § 1 Abs. 1)</w:t>
        </w:r>
        <w:r>
          <w:rPr>
            <w:noProof/>
            <w:webHidden/>
          </w:rPr>
          <w:tab/>
        </w:r>
        <w:r>
          <w:rPr>
            <w:noProof/>
            <w:webHidden/>
          </w:rPr>
          <w:fldChar w:fldCharType="begin"/>
        </w:r>
        <w:r>
          <w:rPr>
            <w:noProof/>
            <w:webHidden/>
          </w:rPr>
          <w:instrText xml:space="preserve"> PAGEREF _Toc365458974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smallCaps w:val="0"/>
          <w:noProof/>
          <w:sz w:val="24"/>
          <w:szCs w:val="24"/>
        </w:rPr>
      </w:pPr>
      <w:hyperlink w:anchor="_Toc365458975" w:history="1">
        <w:r>
          <w:rPr>
            <w:rStyle w:val="Hyperlink"/>
            <w:noProof/>
          </w:rPr>
          <w:t>Anhang 2 (zu § 2 Abs. 2)</w:t>
        </w:r>
        <w:r>
          <w:rPr>
            <w:noProof/>
            <w:webHidden/>
          </w:rPr>
          <w:tab/>
        </w:r>
        <w:r>
          <w:rPr>
            <w:noProof/>
            <w:webHidden/>
          </w:rPr>
          <w:fldChar w:fldCharType="begin"/>
        </w:r>
        <w:r>
          <w:rPr>
            <w:noProof/>
            <w:webHidden/>
          </w:rPr>
          <w:instrText xml:space="preserve"> PAGEREF _Toc365458975 \h </w:instrText>
        </w:r>
        <w:r>
          <w:rPr>
            <w:noProof/>
            <w:webHidden/>
          </w:rPr>
        </w:r>
        <w:r>
          <w:rPr>
            <w:noProof/>
            <w:webHidden/>
          </w:rPr>
          <w:fldChar w:fldCharType="separate"/>
        </w:r>
        <w:r>
          <w:rPr>
            <w:noProof/>
            <w:webHidden/>
          </w:rPr>
          <w:t>3</w:t>
        </w:r>
        <w:r>
          <w:rPr>
            <w:noProof/>
            <w:webHidden/>
          </w:rPr>
          <w:fldChar w:fldCharType="end"/>
        </w:r>
      </w:hyperlink>
    </w:p>
    <w:p>
      <w:pPr>
        <w:pStyle w:val="GesAbsatz"/>
      </w:pPr>
      <w:r>
        <w:rPr>
          <w:rFonts w:ascii="Times New Roman" w:hAnsi="Times New Roman"/>
          <w:b/>
          <w:bCs/>
          <w:caps/>
          <w:color w:val="auto"/>
        </w:rPr>
        <w:fldChar w:fldCharType="end"/>
      </w:r>
    </w:p>
    <w:p>
      <w:pPr>
        <w:pStyle w:val="GesAbsatz"/>
      </w:pPr>
      <w:r>
        <w:t>Auf Grund des § 22 Abs. 2 des Elektro- und Elektronikgerätegesetzes vom 16. März 2005 (BGBl. I S. 762) in Verbindung mit dem 2. Abschnitt des Verwaltungskostengesetzes vom 23. Juni 1970 (BGBl. I S. 821) verordnet das Bundesministerium für Umwelt, Naturschutz und Reaktorsicherheit:</w:t>
      </w:r>
    </w:p>
    <w:p>
      <w:pPr>
        <w:pStyle w:val="berschrift3"/>
      </w:pPr>
      <w:bookmarkStart w:id="2" w:name="_Toc365458968"/>
      <w:r>
        <w:t>§ 1</w:t>
      </w:r>
      <w:r>
        <w:br/>
        <w:t>Gebühren und Auslagen</w:t>
      </w:r>
      <w:bookmarkEnd w:id="2"/>
    </w:p>
    <w:p>
      <w:pPr>
        <w:pStyle w:val="GesAbsatz"/>
      </w:pPr>
      <w:r>
        <w:t>(1) Für individuell zurechenbare öffentliche Leistungen der nach § 16 Abs. 1 des Elektro- und Elektronikgerätegesetzes zuständigen Behörde oder der von dieser nach § 17 Abs. 1 des Elektro- und Elektronikgerätegesetzes beliehenen Gemeinsame Stelle werden Gebühren erhoben. Die gebührenpflichtigen Tatbestände und die Höhe der Gebühren ergeben sich aus dem Gebührenverzeichnis im Anhang 1 zu dieser Verordnung. Soweit die im Anhang 1 genannten Leistungen der Umsatzsteuer unterliegen, werden die Gebühren nach dieser Verordnung zuzüglich der gesetzlichen Umsatzsteuer erhoben.</w:t>
      </w:r>
    </w:p>
    <w:p>
      <w:pPr>
        <w:pStyle w:val="GesAbsatz"/>
      </w:pPr>
      <w:r>
        <w:t>(2) Für Leistungen nach Absatz 1 Satz 1 werden Auslagen nach § 23 Absatz 6 des Bundesgebührengesetzes erhoben.</w:t>
      </w:r>
    </w:p>
    <w:p>
      <w:pPr>
        <w:pStyle w:val="berschrift3"/>
      </w:pPr>
      <w:bookmarkStart w:id="3" w:name="_Toc365458969"/>
      <w:r>
        <w:t>§ 2</w:t>
      </w:r>
      <w:r>
        <w:br/>
        <w:t>Gebührenermäßigung und Gebührenbefreiung</w:t>
      </w:r>
      <w:bookmarkEnd w:id="3"/>
    </w:p>
    <w:p>
      <w:pPr>
        <w:pStyle w:val="GesAbsatz"/>
      </w:pPr>
      <w:r>
        <w:t xml:space="preserve">(1) Die nach § 16 Abs. 1 des Elektro- und Elektronikgerätegesetzes zuständige Behörde oder die von dieser nach § 17 Abs. 1 des Elektro- und Elektronikgerätegesetzes beliehene Gemeinsame Stelle kann die Gebühr nach den Nummern </w:t>
      </w:r>
      <w:smartTag w:uri="urn:schemas-microsoft-com:office:smarttags" w:element="time">
        <w:smartTagPr>
          <w:attr w:name="Hour" w:val="1"/>
          <w:attr w:name="Minute" w:val="01"/>
        </w:smartTagPr>
        <w:r>
          <w:t>1.01</w:t>
        </w:r>
      </w:smartTag>
      <w:r>
        <w:t xml:space="preserve"> bis </w:t>
      </w:r>
      <w:smartTag w:uri="urn:schemas-microsoft-com:office:smarttags" w:element="time">
        <w:smartTagPr>
          <w:attr w:name="Hour" w:val="1"/>
          <w:attr w:name="Minute" w:val="06"/>
        </w:smartTagPr>
        <w:r>
          <w:t>1.06</w:t>
        </w:r>
      </w:smartTag>
      <w:r>
        <w:t xml:space="preserve"> des Gebührenverzeichnisses auf Antrag ermäßigen oder von der Erhebung einer Gebühr absehen, wenn die Anwendung der Regelgebühr für die Registrierung unter Berücksichtigung der Menge der in Verkehr gebrachten Geräte, des wirtschaftlichen Wertes der Registrierung für das Unternehmen, der voraussichtlichen Entsorgungskosten und der abfallwirtschaftlichen Relevanz unverhältnismäßig wäre. Ein Antrag nach Satz 1 muss Angaben zu allen vier der dort genannten Kriterien enthalten.</w:t>
      </w:r>
    </w:p>
    <w:p>
      <w:pPr>
        <w:pStyle w:val="GesAbsatz"/>
      </w:pPr>
      <w:r>
        <w:t>(2) Von der Erhebung einer Gebühr nach den Nummern 1.04.a bis 1.04.f des Gebührenverzeichnisses ist auf Antrag abzusehen, wenn der Hersteller glaubhaft macht, in der jeweiligen Geräteart gerechnet auf ein Jahr weniger als die im Anhang 2 genannte Menge in Verkehr zu bringen. Umfasst der Registrierungszeitraum des Antragstellers nur den Bruchteil eines Jahres, so ist die Menge auf ein Jahr hochzurechnen.</w:t>
      </w:r>
    </w:p>
    <w:p>
      <w:pPr>
        <w:pStyle w:val="GesAbsatz"/>
      </w:pPr>
      <w:r>
        <w:t xml:space="preserve">(3) Der Antrag nach Absatz 1 oder Absatz 2 ist innerhalb von drei Monaten nach Bekanntgabe des Gebührenbescheids bei der Behörde oder der beliehenen Gemeinsamen Stelle zu stellen, die den Gebührenbescheid erlassen hat. Ohne Bekanntgabe eines Gebührenbescheids ist der Antrag nach Absatz 1 oder Absatz 2 innerhalb eines Jahres nach Entstehung der Gebührenschuld zu stellen, auf die sich der Antrag auf Gebührenermäßigung oder Gebührenbefreiung bezieht. Der Antrag nach Satz 2 ist bei der Behörde oder der beliehenen Gemeinsamen Stelle zu stellen, die für den Erlass des Gebührenbescheids zuständig ist. Gebührenermäßigung und Gebührenbefreiung stehen unter der Bedingung, dass die Voraussetzungen für ihre Gewährung nicht binnen eines Jahres nach Antragstellung durch Änderung der jeweils registrierten Gerätemenge wegfallen. Maßgeblich hierfür ist die Mengenmeldung nach § 13 Abs. 1 des Elektro- und Elektronikgerätegesetzes. </w:t>
      </w:r>
      <w:r>
        <w:lastRenderedPageBreak/>
        <w:t>Kommt der Antragsteller seinen Meldepflichten nach § 13 des Elektro- und Elektronikgerätegesetzes nicht oder nur unvollständig nach, so gilt die Bedingung als nicht eingetreten.</w:t>
      </w:r>
    </w:p>
    <w:p>
      <w:pPr>
        <w:pStyle w:val="berschrift3"/>
      </w:pPr>
      <w:bookmarkStart w:id="4" w:name="_Toc365458970"/>
      <w:r>
        <w:t>§ 3</w:t>
      </w:r>
      <w:r>
        <w:br/>
        <w:t>Widerruf und Rücknahme einer Amtshandlung, Ablehnung und Zurücknahme von Anträgen</w:t>
      </w:r>
      <w:bookmarkEnd w:id="4"/>
    </w:p>
    <w:p>
      <w:pPr>
        <w:pStyle w:val="GesAbsatz"/>
      </w:pPr>
      <w:r>
        <w:t>Für den Widerruf oder die Rücknahme einer Amtshandlung, die Ablehnung eines Antrags auf Vornahme einer Amtshandlung sowie in den Fällen der Zurücknahme eines Antrags auf Vornahme einer Amtshandlung werden Gebühren nach Maßgabe des § 15 des Verwaltungskostengesetzes erhoben.</w:t>
      </w:r>
    </w:p>
    <w:p>
      <w:pPr>
        <w:pStyle w:val="berschrift3"/>
      </w:pPr>
      <w:bookmarkStart w:id="5" w:name="_Toc365458971"/>
      <w:r>
        <w:t>§ 4</w:t>
      </w:r>
      <w:r>
        <w:br/>
        <w:t>Widerruf und Rücknahme eines Verwaltungsaktes, Ablehnung und Zurücknahme von Anträgen</w:t>
      </w:r>
      <w:bookmarkEnd w:id="5"/>
    </w:p>
    <w:p>
      <w:pPr>
        <w:pStyle w:val="GesAbsatz"/>
      </w:pPr>
      <w:r>
        <w:t>Für den Widerruf oder die Rücknahme eines Verwaltungsaktes, die Ablehnung eines Antrags auf Vornahme einer individuell zurechenbaren öffentlichen Leistung sowie in den Fällen der Zurücknahme eines Antrags auf Vornahme einer individuell zurechenbaren öffentlichen Leistung werden Gebühren nach Maßgabe des § 15 des Verwaltungskostengesetzes in der bis zum 14. August 2013 geltenden Fassung erhoben.</w:t>
      </w:r>
    </w:p>
    <w:p>
      <w:pPr>
        <w:pStyle w:val="berschrift3"/>
      </w:pPr>
      <w:bookmarkStart w:id="6" w:name="_Toc365458972"/>
      <w:r>
        <w:t>§ 5</w:t>
      </w:r>
      <w:r>
        <w:br/>
        <w:t>Übergangsvorschriften</w:t>
      </w:r>
      <w:bookmarkEnd w:id="6"/>
    </w:p>
    <w:p>
      <w:pPr>
        <w:pStyle w:val="GesAbsatz"/>
      </w:pPr>
      <w:r>
        <w:t>Für Anträge nach § 2 Absatz 2 Satz 1 dieser Verordnung, die sich auf Gebühren beziehen, denen eine Amtshandlung für eine Geräteklasse zugrunde liegt, die in Anhang 2 nicht verzeichnet ist, gilt Anhang 2 in der Fassung der Verordnung, welche im Zeitpunkt der Beantragung der Amtshandlung galt.</w:t>
      </w:r>
    </w:p>
    <w:p>
      <w:pPr>
        <w:pStyle w:val="berschrift3"/>
      </w:pPr>
      <w:bookmarkStart w:id="7" w:name="_Toc365458973"/>
      <w:r>
        <w:t>§ 6</w:t>
      </w:r>
      <w:r>
        <w:br/>
        <w:t>Inkrafttreten</w:t>
      </w:r>
      <w:bookmarkEnd w:id="7"/>
    </w:p>
    <w:p>
      <w:pPr>
        <w:pStyle w:val="GesAbsatz"/>
      </w:pPr>
      <w:r>
        <w:t>Diese Verordnung tritt am Tag nach der Verkündung in Kraft.</w:t>
      </w:r>
    </w:p>
    <w:p>
      <w:pPr>
        <w:pStyle w:val="GesAbsatz"/>
      </w:pPr>
    </w:p>
    <w:p>
      <w:pPr>
        <w:pStyle w:val="berschrift2"/>
        <w:jc w:val="left"/>
      </w:pPr>
      <w:bookmarkStart w:id="8" w:name="_Toc365458974"/>
      <w:r>
        <w:t>Anhang 1 (zu § 1 Abs. 1)</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5852"/>
        <w:gridCol w:w="2404"/>
      </w:tblGrid>
      <w:tr>
        <w:tc>
          <w:tcPr>
            <w:tcW w:w="1384" w:type="dxa"/>
            <w:shd w:val="clear" w:color="auto" w:fill="auto"/>
          </w:tcPr>
          <w:p>
            <w:pPr>
              <w:pStyle w:val="GesAbsatz"/>
              <w:tabs>
                <w:tab w:val="clear" w:pos="425"/>
              </w:tabs>
              <w:jc w:val="center"/>
            </w:pPr>
            <w:r>
              <w:t>Nr.</w:t>
            </w:r>
          </w:p>
        </w:tc>
        <w:tc>
          <w:tcPr>
            <w:tcW w:w="5954" w:type="dxa"/>
            <w:shd w:val="clear" w:color="auto" w:fill="auto"/>
          </w:tcPr>
          <w:p>
            <w:pPr>
              <w:pStyle w:val="GesAbsatz"/>
              <w:tabs>
                <w:tab w:val="clear" w:pos="425"/>
              </w:tabs>
              <w:jc w:val="center"/>
            </w:pPr>
            <w:r>
              <w:t>Gebührentatbestand</w:t>
            </w:r>
          </w:p>
        </w:tc>
        <w:tc>
          <w:tcPr>
            <w:tcW w:w="2440" w:type="dxa"/>
            <w:shd w:val="clear" w:color="auto" w:fill="auto"/>
          </w:tcPr>
          <w:p>
            <w:pPr>
              <w:pStyle w:val="GesAbsatz"/>
              <w:tabs>
                <w:tab w:val="clear" w:pos="425"/>
              </w:tabs>
              <w:jc w:val="center"/>
            </w:pPr>
            <w:r>
              <w:t>Gebühr in Euro</w:t>
            </w:r>
          </w:p>
        </w:tc>
      </w:tr>
      <w:tr>
        <w:tc>
          <w:tcPr>
            <w:tcW w:w="1384" w:type="dxa"/>
            <w:shd w:val="clear" w:color="auto" w:fill="auto"/>
          </w:tcPr>
          <w:p>
            <w:pPr>
              <w:pStyle w:val="GesAbsatz"/>
              <w:tabs>
                <w:tab w:val="clear" w:pos="425"/>
              </w:tabs>
              <w:rPr>
                <w:b/>
                <w:spacing w:val="60"/>
                <w:lang w:val="en-GB"/>
              </w:rPr>
            </w:pPr>
            <w:r>
              <w:rPr>
                <w:b/>
                <w:spacing w:val="60"/>
                <w:lang w:val="en-GB"/>
              </w:rPr>
              <w:t>1</w:t>
            </w:r>
          </w:p>
        </w:tc>
        <w:tc>
          <w:tcPr>
            <w:tcW w:w="5954" w:type="dxa"/>
            <w:shd w:val="clear" w:color="auto" w:fill="auto"/>
          </w:tcPr>
          <w:p>
            <w:pPr>
              <w:pStyle w:val="GesAbsatz"/>
              <w:tabs>
                <w:tab w:val="clear" w:pos="425"/>
              </w:tabs>
              <w:rPr>
                <w:b/>
                <w:spacing w:val="60"/>
              </w:rPr>
            </w:pPr>
            <w:r>
              <w:rPr>
                <w:b/>
                <w:spacing w:val="60"/>
              </w:rPr>
              <w:t>Registrierung</w:t>
            </w:r>
          </w:p>
        </w:tc>
        <w:tc>
          <w:tcPr>
            <w:tcW w:w="2440" w:type="dxa"/>
            <w:shd w:val="clear" w:color="auto" w:fill="auto"/>
          </w:tcPr>
          <w:p>
            <w:pPr>
              <w:pStyle w:val="GesAbsatz"/>
              <w:tabs>
                <w:tab w:val="clear" w:pos="425"/>
              </w:tabs>
              <w:jc w:val="center"/>
              <w:rPr>
                <w:b/>
                <w:spacing w:val="60"/>
                <w:lang w:val="en-GB"/>
              </w:rPr>
            </w:pPr>
          </w:p>
        </w:tc>
      </w:tr>
      <w:tr>
        <w:tc>
          <w:tcPr>
            <w:tcW w:w="1384" w:type="dxa"/>
            <w:shd w:val="clear" w:color="auto" w:fill="auto"/>
          </w:tcPr>
          <w:p>
            <w:pPr>
              <w:pStyle w:val="GesAbsatz"/>
              <w:tabs>
                <w:tab w:val="clear" w:pos="425"/>
              </w:tabs>
            </w:pPr>
            <w:r>
              <w:t xml:space="preserve">1.01 </w:t>
            </w:r>
          </w:p>
        </w:tc>
        <w:tc>
          <w:tcPr>
            <w:tcW w:w="5954" w:type="dxa"/>
            <w:shd w:val="clear" w:color="auto" w:fill="auto"/>
          </w:tcPr>
          <w:p>
            <w:pPr>
              <w:pStyle w:val="GesAbsatz"/>
              <w:tabs>
                <w:tab w:val="clear" w:pos="425"/>
              </w:tabs>
              <w:rPr>
                <w:b/>
              </w:rPr>
            </w:pPr>
            <w:r>
              <w:rPr>
                <w:b/>
              </w:rPr>
              <w:t>Registrierung</w:t>
            </w:r>
          </w:p>
        </w:tc>
        <w:tc>
          <w:tcPr>
            <w:tcW w:w="2440" w:type="dxa"/>
            <w:shd w:val="clear" w:color="auto" w:fill="auto"/>
          </w:tcPr>
          <w:p>
            <w:pPr>
              <w:pStyle w:val="GesAbsatz"/>
              <w:tabs>
                <w:tab w:val="clear" w:pos="425"/>
              </w:tabs>
              <w:jc w:val="center"/>
            </w:pPr>
          </w:p>
        </w:tc>
      </w:tr>
      <w:tr>
        <w:tc>
          <w:tcPr>
            <w:tcW w:w="1384" w:type="dxa"/>
            <w:shd w:val="clear" w:color="auto" w:fill="auto"/>
          </w:tcPr>
          <w:p>
            <w:pPr>
              <w:pStyle w:val="GesAbsatz"/>
              <w:tabs>
                <w:tab w:val="clear" w:pos="425"/>
              </w:tabs>
            </w:pPr>
          </w:p>
        </w:tc>
        <w:tc>
          <w:tcPr>
            <w:tcW w:w="5954" w:type="dxa"/>
            <w:shd w:val="clear" w:color="auto" w:fill="auto"/>
          </w:tcPr>
          <w:p>
            <w:pPr>
              <w:pStyle w:val="GesAbsatz"/>
              <w:tabs>
                <w:tab w:val="clear" w:pos="425"/>
              </w:tabs>
            </w:pPr>
            <w:r>
              <w:t>je Hersteller, erster Marke sowie erster Geräteart, soweit der Hersteller nicht bereits mit einer anderen Marke und Geräteart registriert ist</w:t>
            </w:r>
          </w:p>
        </w:tc>
        <w:tc>
          <w:tcPr>
            <w:tcW w:w="2440" w:type="dxa"/>
            <w:shd w:val="clear" w:color="auto" w:fill="auto"/>
          </w:tcPr>
          <w:p>
            <w:pPr>
              <w:pStyle w:val="GesAbsatz"/>
              <w:tabs>
                <w:tab w:val="clear" w:pos="425"/>
              </w:tabs>
              <w:jc w:val="center"/>
            </w:pPr>
            <w:r>
              <w:t>64,–</w:t>
            </w:r>
          </w:p>
        </w:tc>
      </w:tr>
      <w:tr>
        <w:tc>
          <w:tcPr>
            <w:tcW w:w="1384" w:type="dxa"/>
            <w:shd w:val="clear" w:color="auto" w:fill="auto"/>
          </w:tcPr>
          <w:p>
            <w:pPr>
              <w:pStyle w:val="GesAbsatz"/>
              <w:tabs>
                <w:tab w:val="clear" w:pos="425"/>
              </w:tabs>
            </w:pPr>
            <w:r>
              <w:t>1.02</w:t>
            </w:r>
          </w:p>
        </w:tc>
        <w:tc>
          <w:tcPr>
            <w:tcW w:w="5954" w:type="dxa"/>
            <w:shd w:val="clear" w:color="auto" w:fill="auto"/>
          </w:tcPr>
          <w:p>
            <w:pPr>
              <w:pStyle w:val="GesAbsatz"/>
              <w:tabs>
                <w:tab w:val="clear" w:pos="425"/>
              </w:tabs>
              <w:rPr>
                <w:b/>
              </w:rPr>
            </w:pPr>
            <w:r>
              <w:rPr>
                <w:b/>
              </w:rPr>
              <w:t>Weitere Registrierung</w:t>
            </w:r>
          </w:p>
        </w:tc>
        <w:tc>
          <w:tcPr>
            <w:tcW w:w="2440" w:type="dxa"/>
            <w:shd w:val="clear" w:color="auto" w:fill="auto"/>
          </w:tcPr>
          <w:p>
            <w:pPr>
              <w:pStyle w:val="GesAbsatz"/>
              <w:tabs>
                <w:tab w:val="clear" w:pos="425"/>
              </w:tabs>
              <w:jc w:val="center"/>
            </w:pPr>
          </w:p>
        </w:tc>
      </w:tr>
      <w:tr>
        <w:tc>
          <w:tcPr>
            <w:tcW w:w="1384" w:type="dxa"/>
            <w:shd w:val="clear" w:color="auto" w:fill="auto"/>
          </w:tcPr>
          <w:p>
            <w:pPr>
              <w:pStyle w:val="GesAbsatz"/>
              <w:tabs>
                <w:tab w:val="clear" w:pos="425"/>
              </w:tabs>
            </w:pPr>
          </w:p>
        </w:tc>
        <w:tc>
          <w:tcPr>
            <w:tcW w:w="5954" w:type="dxa"/>
            <w:shd w:val="clear" w:color="auto" w:fill="auto"/>
          </w:tcPr>
          <w:p>
            <w:pPr>
              <w:pStyle w:val="GesAbsatz"/>
              <w:tabs>
                <w:tab w:val="clear" w:pos="425"/>
              </w:tabs>
            </w:pPr>
            <w:r>
              <w:t>je Hersteller, Marke sowie Geräteart, soweit der Hersteller bereits mit mindestens einer Marke und Geräteart registriert ist</w:t>
            </w:r>
          </w:p>
        </w:tc>
        <w:tc>
          <w:tcPr>
            <w:tcW w:w="2440" w:type="dxa"/>
            <w:shd w:val="clear" w:color="auto" w:fill="auto"/>
          </w:tcPr>
          <w:p>
            <w:pPr>
              <w:pStyle w:val="GesAbsatz"/>
              <w:tabs>
                <w:tab w:val="clear" w:pos="425"/>
              </w:tabs>
              <w:jc w:val="center"/>
            </w:pPr>
            <w:r>
              <w:t>35,–</w:t>
            </w:r>
          </w:p>
        </w:tc>
      </w:tr>
      <w:tr>
        <w:tc>
          <w:tcPr>
            <w:tcW w:w="1384" w:type="dxa"/>
            <w:shd w:val="clear" w:color="auto" w:fill="auto"/>
          </w:tcPr>
          <w:p>
            <w:pPr>
              <w:pStyle w:val="GesAbsatz"/>
              <w:tabs>
                <w:tab w:val="clear" w:pos="425"/>
              </w:tabs>
            </w:pPr>
            <w:r>
              <w:t xml:space="preserve">1.03 </w:t>
            </w:r>
          </w:p>
        </w:tc>
        <w:tc>
          <w:tcPr>
            <w:tcW w:w="5954" w:type="dxa"/>
            <w:shd w:val="clear" w:color="auto" w:fill="auto"/>
          </w:tcPr>
          <w:p>
            <w:pPr>
              <w:pStyle w:val="GesAbsatz"/>
              <w:tabs>
                <w:tab w:val="clear" w:pos="425"/>
              </w:tabs>
              <w:rPr>
                <w:b/>
              </w:rPr>
            </w:pPr>
            <w:r>
              <w:rPr>
                <w:b/>
              </w:rPr>
              <w:t>Aktualisierung von Mengendaten zu bestehenden Registrierungen nach den Nummern 1.01 und 1.02</w:t>
            </w:r>
          </w:p>
        </w:tc>
        <w:tc>
          <w:tcPr>
            <w:tcW w:w="2440" w:type="dxa"/>
            <w:shd w:val="clear" w:color="auto" w:fill="auto"/>
          </w:tcPr>
          <w:p>
            <w:pPr>
              <w:pStyle w:val="GesAbsatz"/>
              <w:tabs>
                <w:tab w:val="clear" w:pos="425"/>
              </w:tabs>
              <w:jc w:val="center"/>
            </w:pPr>
          </w:p>
        </w:tc>
      </w:tr>
      <w:tr>
        <w:tc>
          <w:tcPr>
            <w:tcW w:w="1384" w:type="dxa"/>
            <w:shd w:val="clear" w:color="auto" w:fill="auto"/>
          </w:tcPr>
          <w:p>
            <w:pPr>
              <w:pStyle w:val="GesAbsatz"/>
              <w:tabs>
                <w:tab w:val="clear" w:pos="425"/>
              </w:tabs>
            </w:pPr>
          </w:p>
        </w:tc>
        <w:tc>
          <w:tcPr>
            <w:tcW w:w="5954" w:type="dxa"/>
            <w:shd w:val="clear" w:color="auto" w:fill="auto"/>
          </w:tcPr>
          <w:p>
            <w:pPr>
              <w:pStyle w:val="GesAbsatz"/>
              <w:tabs>
                <w:tab w:val="clear" w:pos="425"/>
              </w:tabs>
            </w:pPr>
            <w:r>
              <w:t>je Änderungssitzung</w:t>
            </w:r>
          </w:p>
        </w:tc>
        <w:tc>
          <w:tcPr>
            <w:tcW w:w="2440" w:type="dxa"/>
            <w:shd w:val="clear" w:color="auto" w:fill="auto"/>
          </w:tcPr>
          <w:p>
            <w:pPr>
              <w:pStyle w:val="GesAbsatz"/>
              <w:tabs>
                <w:tab w:val="clear" w:pos="425"/>
              </w:tabs>
              <w:jc w:val="center"/>
            </w:pPr>
            <w:r>
              <w:t>43,–</w:t>
            </w:r>
          </w:p>
        </w:tc>
      </w:tr>
      <w:tr>
        <w:tc>
          <w:tcPr>
            <w:tcW w:w="1384" w:type="dxa"/>
            <w:shd w:val="clear" w:color="auto" w:fill="auto"/>
          </w:tcPr>
          <w:p>
            <w:pPr>
              <w:pStyle w:val="GesAbsatz"/>
              <w:tabs>
                <w:tab w:val="clear" w:pos="425"/>
              </w:tabs>
            </w:pPr>
            <w:r>
              <w:t xml:space="preserve">1.04.a </w:t>
            </w:r>
          </w:p>
        </w:tc>
        <w:tc>
          <w:tcPr>
            <w:tcW w:w="5954" w:type="dxa"/>
            <w:shd w:val="clear" w:color="auto" w:fill="auto"/>
          </w:tcPr>
          <w:p>
            <w:pPr>
              <w:pStyle w:val="GesAbsatz"/>
              <w:tabs>
                <w:tab w:val="clear" w:pos="425"/>
              </w:tabs>
              <w:rPr>
                <w:b/>
              </w:rPr>
            </w:pPr>
            <w:r>
              <w:rPr>
                <w:b/>
              </w:rPr>
              <w:t>Vollprüfung einer hersteller-individuellen Garantie</w:t>
            </w:r>
          </w:p>
        </w:tc>
        <w:tc>
          <w:tcPr>
            <w:tcW w:w="2440" w:type="dxa"/>
            <w:shd w:val="clear" w:color="auto" w:fill="auto"/>
          </w:tcPr>
          <w:p>
            <w:pPr>
              <w:pStyle w:val="GesAbsatz"/>
              <w:tabs>
                <w:tab w:val="clear" w:pos="425"/>
              </w:tabs>
              <w:jc w:val="center"/>
            </w:pPr>
          </w:p>
        </w:tc>
      </w:tr>
      <w:tr>
        <w:tc>
          <w:tcPr>
            <w:tcW w:w="1384" w:type="dxa"/>
            <w:shd w:val="clear" w:color="auto" w:fill="auto"/>
          </w:tcPr>
          <w:p>
            <w:pPr>
              <w:pStyle w:val="GesAbsatz"/>
              <w:tabs>
                <w:tab w:val="clear" w:pos="425"/>
              </w:tabs>
            </w:pPr>
          </w:p>
        </w:tc>
        <w:tc>
          <w:tcPr>
            <w:tcW w:w="5954" w:type="dxa"/>
            <w:shd w:val="clear" w:color="auto" w:fill="auto"/>
          </w:tcPr>
          <w:p>
            <w:pPr>
              <w:pStyle w:val="GesAbsatz"/>
              <w:tabs>
                <w:tab w:val="clear" w:pos="425"/>
              </w:tabs>
            </w:pPr>
            <w:r>
              <w:t>je Hersteller und erster Prüfung der Garantie für eine Geräteart</w:t>
            </w:r>
          </w:p>
        </w:tc>
        <w:tc>
          <w:tcPr>
            <w:tcW w:w="2440" w:type="dxa"/>
            <w:shd w:val="clear" w:color="auto" w:fill="auto"/>
          </w:tcPr>
          <w:p>
            <w:pPr>
              <w:pStyle w:val="GesAbsatz"/>
              <w:tabs>
                <w:tab w:val="clear" w:pos="425"/>
              </w:tabs>
              <w:jc w:val="center"/>
            </w:pPr>
            <w:r>
              <w:t>129,–</w:t>
            </w:r>
          </w:p>
        </w:tc>
      </w:tr>
      <w:tr>
        <w:tc>
          <w:tcPr>
            <w:tcW w:w="1384" w:type="dxa"/>
            <w:shd w:val="clear" w:color="auto" w:fill="auto"/>
          </w:tcPr>
          <w:p>
            <w:pPr>
              <w:pStyle w:val="GesAbsatz"/>
              <w:tabs>
                <w:tab w:val="clear" w:pos="425"/>
              </w:tabs>
            </w:pPr>
            <w:r>
              <w:t xml:space="preserve">1.04.b </w:t>
            </w:r>
          </w:p>
        </w:tc>
        <w:tc>
          <w:tcPr>
            <w:tcW w:w="5954" w:type="dxa"/>
            <w:shd w:val="clear" w:color="auto" w:fill="auto"/>
          </w:tcPr>
          <w:p>
            <w:pPr>
              <w:pStyle w:val="GesAbsatz"/>
              <w:tabs>
                <w:tab w:val="clear" w:pos="425"/>
              </w:tabs>
              <w:rPr>
                <w:b/>
              </w:rPr>
            </w:pPr>
            <w:r>
              <w:rPr>
                <w:b/>
              </w:rPr>
              <w:t>Vollprüfung einer Garantie basierend auf einem vorab durch die Gemeinsame Stelle geprüften Herstellergarantiesystem</w:t>
            </w:r>
          </w:p>
        </w:tc>
        <w:tc>
          <w:tcPr>
            <w:tcW w:w="2440" w:type="dxa"/>
            <w:shd w:val="clear" w:color="auto" w:fill="auto"/>
          </w:tcPr>
          <w:p>
            <w:pPr>
              <w:pStyle w:val="GesAbsatz"/>
              <w:tabs>
                <w:tab w:val="clear" w:pos="425"/>
              </w:tabs>
              <w:jc w:val="center"/>
            </w:pPr>
          </w:p>
        </w:tc>
      </w:tr>
      <w:tr>
        <w:tc>
          <w:tcPr>
            <w:tcW w:w="1384" w:type="dxa"/>
            <w:shd w:val="clear" w:color="auto" w:fill="auto"/>
          </w:tcPr>
          <w:p>
            <w:pPr>
              <w:pStyle w:val="GesAbsatz"/>
              <w:tabs>
                <w:tab w:val="clear" w:pos="425"/>
              </w:tabs>
            </w:pPr>
          </w:p>
        </w:tc>
        <w:tc>
          <w:tcPr>
            <w:tcW w:w="5954" w:type="dxa"/>
            <w:shd w:val="clear" w:color="auto" w:fill="auto"/>
          </w:tcPr>
          <w:p>
            <w:pPr>
              <w:pStyle w:val="GesAbsatz"/>
              <w:tabs>
                <w:tab w:val="clear" w:pos="425"/>
              </w:tabs>
            </w:pPr>
            <w:r>
              <w:t>je Hersteller und erster Prüfung der Garantie für eine Geräteart</w:t>
            </w:r>
          </w:p>
        </w:tc>
        <w:tc>
          <w:tcPr>
            <w:tcW w:w="2440" w:type="dxa"/>
            <w:shd w:val="clear" w:color="auto" w:fill="auto"/>
          </w:tcPr>
          <w:p>
            <w:pPr>
              <w:pStyle w:val="GesAbsatz"/>
              <w:tabs>
                <w:tab w:val="clear" w:pos="425"/>
              </w:tabs>
              <w:jc w:val="center"/>
            </w:pPr>
            <w:r>
              <w:t>118,–</w:t>
            </w:r>
          </w:p>
        </w:tc>
      </w:tr>
      <w:tr>
        <w:tc>
          <w:tcPr>
            <w:tcW w:w="1384" w:type="dxa"/>
            <w:shd w:val="clear" w:color="auto" w:fill="auto"/>
          </w:tcPr>
          <w:p>
            <w:pPr>
              <w:pStyle w:val="GesAbsatz"/>
              <w:tabs>
                <w:tab w:val="clear" w:pos="425"/>
              </w:tabs>
            </w:pPr>
            <w:r>
              <w:t xml:space="preserve">1.04.c </w:t>
            </w:r>
          </w:p>
        </w:tc>
        <w:tc>
          <w:tcPr>
            <w:tcW w:w="5954" w:type="dxa"/>
            <w:shd w:val="clear" w:color="auto" w:fill="auto"/>
          </w:tcPr>
          <w:p>
            <w:pPr>
              <w:pStyle w:val="GesAbsatz"/>
              <w:rPr>
                <w:b/>
              </w:rPr>
            </w:pPr>
            <w:r>
              <w:rPr>
                <w:b/>
              </w:rPr>
              <w:t>Prüfung der Garantie bei Verwendung einer nach Nummer 1.04.a und 1.04.b voll geprüften Garantie für eine neu zu registrierende Geräteart</w:t>
            </w:r>
          </w:p>
        </w:tc>
        <w:tc>
          <w:tcPr>
            <w:tcW w:w="2440" w:type="dxa"/>
            <w:shd w:val="clear" w:color="auto" w:fill="auto"/>
          </w:tcPr>
          <w:p>
            <w:pPr>
              <w:pStyle w:val="GesAbsatz"/>
              <w:tabs>
                <w:tab w:val="clear" w:pos="425"/>
              </w:tabs>
              <w:jc w:val="center"/>
            </w:pPr>
          </w:p>
        </w:tc>
      </w:tr>
      <w:tr>
        <w:tc>
          <w:tcPr>
            <w:tcW w:w="1384" w:type="dxa"/>
            <w:shd w:val="clear" w:color="auto" w:fill="auto"/>
          </w:tcPr>
          <w:p>
            <w:pPr>
              <w:pStyle w:val="GesAbsatz"/>
              <w:tabs>
                <w:tab w:val="clear" w:pos="425"/>
              </w:tabs>
            </w:pPr>
          </w:p>
        </w:tc>
        <w:tc>
          <w:tcPr>
            <w:tcW w:w="5954" w:type="dxa"/>
            <w:shd w:val="clear" w:color="auto" w:fill="auto"/>
          </w:tcPr>
          <w:p>
            <w:pPr>
              <w:pStyle w:val="GesAbsatz"/>
            </w:pPr>
            <w:r>
              <w:t>je Hersteller für jede Prüfung der Garantie für eine noch nicht oder nicht mehr registrierte Geräteart</w:t>
            </w:r>
          </w:p>
        </w:tc>
        <w:tc>
          <w:tcPr>
            <w:tcW w:w="2440" w:type="dxa"/>
            <w:shd w:val="clear" w:color="auto" w:fill="auto"/>
          </w:tcPr>
          <w:p>
            <w:pPr>
              <w:pStyle w:val="GesAbsatz"/>
              <w:tabs>
                <w:tab w:val="clear" w:pos="425"/>
              </w:tabs>
              <w:jc w:val="center"/>
            </w:pPr>
            <w:r>
              <w:t>37,–</w:t>
            </w:r>
          </w:p>
        </w:tc>
      </w:tr>
      <w:tr>
        <w:tc>
          <w:tcPr>
            <w:tcW w:w="1384" w:type="dxa"/>
            <w:shd w:val="clear" w:color="auto" w:fill="auto"/>
          </w:tcPr>
          <w:p>
            <w:pPr>
              <w:pStyle w:val="GesAbsatz"/>
              <w:tabs>
                <w:tab w:val="clear" w:pos="425"/>
              </w:tabs>
            </w:pPr>
            <w:r>
              <w:t xml:space="preserve">1.04.d </w:t>
            </w:r>
          </w:p>
        </w:tc>
        <w:tc>
          <w:tcPr>
            <w:tcW w:w="5954" w:type="dxa"/>
            <w:shd w:val="clear" w:color="auto" w:fill="auto"/>
          </w:tcPr>
          <w:p>
            <w:pPr>
              <w:pStyle w:val="GesAbsatz"/>
              <w:tabs>
                <w:tab w:val="clear" w:pos="425"/>
              </w:tabs>
              <w:rPr>
                <w:b/>
              </w:rPr>
            </w:pPr>
            <w:r>
              <w:rPr>
                <w:b/>
              </w:rPr>
              <w:t>Änderung bzw. jährliche Aktualisierung einer oder nachträglicher Wechsel zu einer nach Nummer 1.04.a, 1.04.b oder 1.04.c nachgewiesenen Garantie bei unveränderter Geräteart</w:t>
            </w:r>
          </w:p>
        </w:tc>
        <w:tc>
          <w:tcPr>
            <w:tcW w:w="2440" w:type="dxa"/>
            <w:shd w:val="clear" w:color="auto" w:fill="auto"/>
          </w:tcPr>
          <w:p>
            <w:pPr>
              <w:pStyle w:val="GesAbsatz"/>
              <w:tabs>
                <w:tab w:val="clear" w:pos="425"/>
              </w:tabs>
              <w:jc w:val="center"/>
            </w:pPr>
          </w:p>
        </w:tc>
      </w:tr>
      <w:tr>
        <w:tc>
          <w:tcPr>
            <w:tcW w:w="1384" w:type="dxa"/>
            <w:shd w:val="clear" w:color="auto" w:fill="auto"/>
          </w:tcPr>
          <w:p>
            <w:pPr>
              <w:pStyle w:val="GesAbsatz"/>
              <w:tabs>
                <w:tab w:val="clear" w:pos="425"/>
              </w:tabs>
            </w:pPr>
          </w:p>
        </w:tc>
        <w:tc>
          <w:tcPr>
            <w:tcW w:w="5954" w:type="dxa"/>
            <w:shd w:val="clear" w:color="auto" w:fill="auto"/>
          </w:tcPr>
          <w:p>
            <w:pPr>
              <w:pStyle w:val="GesAbsatz"/>
              <w:tabs>
                <w:tab w:val="clear" w:pos="425"/>
              </w:tabs>
            </w:pPr>
            <w:r>
              <w:t>je Änderung, Aktualisierung oder nachträglichem Wechsel</w:t>
            </w:r>
          </w:p>
        </w:tc>
        <w:tc>
          <w:tcPr>
            <w:tcW w:w="2440" w:type="dxa"/>
            <w:shd w:val="clear" w:color="auto" w:fill="auto"/>
          </w:tcPr>
          <w:p>
            <w:pPr>
              <w:pStyle w:val="GesAbsatz"/>
              <w:tabs>
                <w:tab w:val="clear" w:pos="425"/>
              </w:tabs>
              <w:jc w:val="center"/>
            </w:pPr>
            <w:r>
              <w:t>83,–</w:t>
            </w:r>
          </w:p>
        </w:tc>
      </w:tr>
      <w:tr>
        <w:tc>
          <w:tcPr>
            <w:tcW w:w="1384" w:type="dxa"/>
            <w:shd w:val="clear" w:color="auto" w:fill="auto"/>
          </w:tcPr>
          <w:p>
            <w:pPr>
              <w:pStyle w:val="GesAbsatz"/>
              <w:tabs>
                <w:tab w:val="clear" w:pos="425"/>
              </w:tabs>
            </w:pPr>
            <w:r>
              <w:t xml:space="preserve">1.04.e </w:t>
            </w:r>
          </w:p>
        </w:tc>
        <w:tc>
          <w:tcPr>
            <w:tcW w:w="5954" w:type="dxa"/>
            <w:shd w:val="clear" w:color="auto" w:fill="auto"/>
          </w:tcPr>
          <w:p>
            <w:pPr>
              <w:pStyle w:val="GesAbsatz"/>
              <w:tabs>
                <w:tab w:val="clear" w:pos="425"/>
              </w:tabs>
              <w:rPr>
                <w:b/>
              </w:rPr>
            </w:pPr>
            <w:r>
              <w:rPr>
                <w:b/>
              </w:rPr>
              <w:t>Änderung sonstiger Garantiedaten</w:t>
            </w:r>
          </w:p>
        </w:tc>
        <w:tc>
          <w:tcPr>
            <w:tcW w:w="2440" w:type="dxa"/>
            <w:shd w:val="clear" w:color="auto" w:fill="auto"/>
          </w:tcPr>
          <w:p>
            <w:pPr>
              <w:pStyle w:val="GesAbsatz"/>
              <w:tabs>
                <w:tab w:val="clear" w:pos="425"/>
              </w:tabs>
              <w:jc w:val="center"/>
            </w:pPr>
          </w:p>
        </w:tc>
      </w:tr>
      <w:tr>
        <w:tc>
          <w:tcPr>
            <w:tcW w:w="1384" w:type="dxa"/>
            <w:shd w:val="clear" w:color="auto" w:fill="auto"/>
          </w:tcPr>
          <w:p>
            <w:pPr>
              <w:pStyle w:val="GesAbsatz"/>
              <w:tabs>
                <w:tab w:val="clear" w:pos="425"/>
              </w:tabs>
            </w:pPr>
          </w:p>
        </w:tc>
        <w:tc>
          <w:tcPr>
            <w:tcW w:w="5954" w:type="dxa"/>
            <w:shd w:val="clear" w:color="auto" w:fill="auto"/>
          </w:tcPr>
          <w:p>
            <w:pPr>
              <w:pStyle w:val="GesAbsatz"/>
              <w:tabs>
                <w:tab w:val="clear" w:pos="425"/>
              </w:tabs>
            </w:pPr>
            <w:r>
              <w:t>je vorgenommener Änderung</w:t>
            </w:r>
          </w:p>
        </w:tc>
        <w:tc>
          <w:tcPr>
            <w:tcW w:w="2440" w:type="dxa"/>
            <w:shd w:val="clear" w:color="auto" w:fill="auto"/>
          </w:tcPr>
          <w:p>
            <w:pPr>
              <w:pStyle w:val="GesAbsatz"/>
              <w:tabs>
                <w:tab w:val="clear" w:pos="425"/>
              </w:tabs>
              <w:jc w:val="center"/>
            </w:pPr>
            <w:r>
              <w:t>35,–</w:t>
            </w:r>
          </w:p>
        </w:tc>
      </w:tr>
      <w:tr>
        <w:tc>
          <w:tcPr>
            <w:tcW w:w="1384" w:type="dxa"/>
            <w:shd w:val="clear" w:color="auto" w:fill="auto"/>
          </w:tcPr>
          <w:p>
            <w:pPr>
              <w:pStyle w:val="GesAbsatz"/>
              <w:tabs>
                <w:tab w:val="clear" w:pos="425"/>
              </w:tabs>
            </w:pPr>
            <w:r>
              <w:t xml:space="preserve">1.04.f </w:t>
            </w:r>
          </w:p>
        </w:tc>
        <w:tc>
          <w:tcPr>
            <w:tcW w:w="5954" w:type="dxa"/>
            <w:shd w:val="clear" w:color="auto" w:fill="auto"/>
          </w:tcPr>
          <w:p>
            <w:pPr>
              <w:pStyle w:val="GesAbsatz"/>
              <w:tabs>
                <w:tab w:val="clear" w:pos="425"/>
              </w:tabs>
              <w:rPr>
                <w:b/>
              </w:rPr>
            </w:pPr>
            <w:r>
              <w:rPr>
                <w:b/>
              </w:rPr>
              <w:t>Prüfung der Glaubhaftmachung nach § 6 Absatz 3 Satz 2 des Elektro- und Elektronikgerätegesetzes</w:t>
            </w:r>
          </w:p>
        </w:tc>
        <w:tc>
          <w:tcPr>
            <w:tcW w:w="2440" w:type="dxa"/>
            <w:shd w:val="clear" w:color="auto" w:fill="auto"/>
          </w:tcPr>
          <w:p>
            <w:pPr>
              <w:pStyle w:val="GesAbsatz"/>
              <w:tabs>
                <w:tab w:val="clear" w:pos="425"/>
              </w:tabs>
              <w:jc w:val="center"/>
            </w:pPr>
          </w:p>
        </w:tc>
      </w:tr>
      <w:tr>
        <w:tc>
          <w:tcPr>
            <w:tcW w:w="1384" w:type="dxa"/>
            <w:shd w:val="clear" w:color="auto" w:fill="auto"/>
          </w:tcPr>
          <w:p>
            <w:pPr>
              <w:pStyle w:val="GesAbsatz"/>
              <w:tabs>
                <w:tab w:val="clear" w:pos="425"/>
              </w:tabs>
            </w:pPr>
          </w:p>
        </w:tc>
        <w:tc>
          <w:tcPr>
            <w:tcW w:w="5954" w:type="dxa"/>
            <w:shd w:val="clear" w:color="auto" w:fill="auto"/>
          </w:tcPr>
          <w:p>
            <w:pPr>
              <w:pStyle w:val="GesAbsatz"/>
              <w:tabs>
                <w:tab w:val="clear" w:pos="425"/>
              </w:tabs>
            </w:pPr>
            <w:r>
              <w:t>je Registrierung</w:t>
            </w:r>
          </w:p>
        </w:tc>
        <w:tc>
          <w:tcPr>
            <w:tcW w:w="2440" w:type="dxa"/>
            <w:shd w:val="clear" w:color="auto" w:fill="auto"/>
          </w:tcPr>
          <w:p>
            <w:pPr>
              <w:pStyle w:val="GesAbsatz"/>
              <w:tabs>
                <w:tab w:val="clear" w:pos="425"/>
              </w:tabs>
              <w:jc w:val="center"/>
            </w:pPr>
            <w:r>
              <w:t>107,–</w:t>
            </w:r>
          </w:p>
        </w:tc>
      </w:tr>
      <w:tr>
        <w:tc>
          <w:tcPr>
            <w:tcW w:w="1384" w:type="dxa"/>
            <w:shd w:val="clear" w:color="auto" w:fill="auto"/>
          </w:tcPr>
          <w:p>
            <w:pPr>
              <w:pStyle w:val="GesAbsatz"/>
              <w:tabs>
                <w:tab w:val="clear" w:pos="425"/>
              </w:tabs>
            </w:pPr>
            <w:r>
              <w:t xml:space="preserve">1.05 </w:t>
            </w:r>
          </w:p>
        </w:tc>
        <w:tc>
          <w:tcPr>
            <w:tcW w:w="5954" w:type="dxa"/>
            <w:shd w:val="clear" w:color="auto" w:fill="auto"/>
          </w:tcPr>
          <w:p>
            <w:pPr>
              <w:pStyle w:val="GesAbsatz"/>
              <w:tabs>
                <w:tab w:val="clear" w:pos="425"/>
              </w:tabs>
              <w:rPr>
                <w:b/>
              </w:rPr>
            </w:pPr>
            <w:r>
              <w:rPr>
                <w:b/>
              </w:rPr>
              <w:t>Sonstige Registrierungsdatenänderung</w:t>
            </w:r>
          </w:p>
        </w:tc>
        <w:tc>
          <w:tcPr>
            <w:tcW w:w="2440" w:type="dxa"/>
            <w:shd w:val="clear" w:color="auto" w:fill="auto"/>
          </w:tcPr>
          <w:p>
            <w:pPr>
              <w:pStyle w:val="GesAbsatz"/>
              <w:tabs>
                <w:tab w:val="clear" w:pos="425"/>
              </w:tabs>
              <w:jc w:val="center"/>
            </w:pPr>
          </w:p>
        </w:tc>
      </w:tr>
      <w:tr>
        <w:tc>
          <w:tcPr>
            <w:tcW w:w="1384" w:type="dxa"/>
            <w:shd w:val="clear" w:color="auto" w:fill="auto"/>
          </w:tcPr>
          <w:p>
            <w:pPr>
              <w:pStyle w:val="GesAbsatz"/>
              <w:tabs>
                <w:tab w:val="clear" w:pos="425"/>
              </w:tabs>
            </w:pPr>
          </w:p>
        </w:tc>
        <w:tc>
          <w:tcPr>
            <w:tcW w:w="5954" w:type="dxa"/>
            <w:shd w:val="clear" w:color="auto" w:fill="auto"/>
          </w:tcPr>
          <w:p>
            <w:pPr>
              <w:pStyle w:val="GesAbsatz"/>
              <w:tabs>
                <w:tab w:val="clear" w:pos="425"/>
              </w:tabs>
            </w:pPr>
            <w:r>
              <w:t>je Änderungssitzung</w:t>
            </w:r>
          </w:p>
        </w:tc>
        <w:tc>
          <w:tcPr>
            <w:tcW w:w="2440" w:type="dxa"/>
            <w:shd w:val="clear" w:color="auto" w:fill="auto"/>
          </w:tcPr>
          <w:p>
            <w:pPr>
              <w:pStyle w:val="GesAbsatz"/>
              <w:tabs>
                <w:tab w:val="clear" w:pos="425"/>
              </w:tabs>
              <w:jc w:val="center"/>
            </w:pPr>
            <w:r>
              <w:t>21,–</w:t>
            </w:r>
          </w:p>
        </w:tc>
      </w:tr>
      <w:tr>
        <w:tc>
          <w:tcPr>
            <w:tcW w:w="1384" w:type="dxa"/>
            <w:shd w:val="clear" w:color="auto" w:fill="auto"/>
          </w:tcPr>
          <w:p>
            <w:pPr>
              <w:pStyle w:val="GesAbsatz"/>
              <w:tabs>
                <w:tab w:val="clear" w:pos="425"/>
              </w:tabs>
            </w:pPr>
            <w:r>
              <w:t xml:space="preserve">1.06 </w:t>
            </w:r>
          </w:p>
        </w:tc>
        <w:tc>
          <w:tcPr>
            <w:tcW w:w="5954" w:type="dxa"/>
            <w:shd w:val="clear" w:color="auto" w:fill="auto"/>
          </w:tcPr>
          <w:p>
            <w:pPr>
              <w:pStyle w:val="GesAbsatz"/>
              <w:tabs>
                <w:tab w:val="clear" w:pos="425"/>
              </w:tabs>
              <w:rPr>
                <w:b/>
              </w:rPr>
            </w:pPr>
            <w:r>
              <w:rPr>
                <w:b/>
              </w:rPr>
              <w:t>Sonderaufwand bei nichtelektronischer Datenübergabe</w:t>
            </w:r>
          </w:p>
        </w:tc>
        <w:tc>
          <w:tcPr>
            <w:tcW w:w="2440" w:type="dxa"/>
            <w:shd w:val="clear" w:color="auto" w:fill="auto"/>
          </w:tcPr>
          <w:p>
            <w:pPr>
              <w:pStyle w:val="GesAbsatz"/>
              <w:tabs>
                <w:tab w:val="clear" w:pos="425"/>
              </w:tabs>
              <w:jc w:val="center"/>
            </w:pPr>
          </w:p>
        </w:tc>
      </w:tr>
      <w:tr>
        <w:tc>
          <w:tcPr>
            <w:tcW w:w="1384" w:type="dxa"/>
            <w:shd w:val="clear" w:color="auto" w:fill="auto"/>
          </w:tcPr>
          <w:p>
            <w:pPr>
              <w:pStyle w:val="GesAbsatz"/>
              <w:tabs>
                <w:tab w:val="clear" w:pos="425"/>
              </w:tabs>
            </w:pPr>
          </w:p>
        </w:tc>
        <w:tc>
          <w:tcPr>
            <w:tcW w:w="5954" w:type="dxa"/>
            <w:shd w:val="clear" w:color="auto" w:fill="auto"/>
          </w:tcPr>
          <w:p>
            <w:pPr>
              <w:pStyle w:val="GesAbsatz"/>
              <w:tabs>
                <w:tab w:val="clear" w:pos="425"/>
              </w:tabs>
            </w:pPr>
            <w:r>
              <w:t>je entgegengenommenem und bearbeitetem Vorgang</w:t>
            </w:r>
          </w:p>
        </w:tc>
        <w:tc>
          <w:tcPr>
            <w:tcW w:w="2440" w:type="dxa"/>
            <w:shd w:val="clear" w:color="auto" w:fill="auto"/>
          </w:tcPr>
          <w:p>
            <w:pPr>
              <w:pStyle w:val="GesAbsatz"/>
              <w:tabs>
                <w:tab w:val="clear" w:pos="425"/>
              </w:tabs>
              <w:jc w:val="center"/>
            </w:pPr>
            <w:r>
              <w:t>28,– bis 400,–</w:t>
            </w:r>
          </w:p>
        </w:tc>
      </w:tr>
      <w:tr>
        <w:tc>
          <w:tcPr>
            <w:tcW w:w="1384" w:type="dxa"/>
            <w:shd w:val="clear" w:color="auto" w:fill="auto"/>
          </w:tcPr>
          <w:p>
            <w:pPr>
              <w:pStyle w:val="GesAbsatz"/>
              <w:tabs>
                <w:tab w:val="clear" w:pos="425"/>
              </w:tabs>
            </w:pPr>
            <w:r>
              <w:t xml:space="preserve">1.07 </w:t>
            </w:r>
          </w:p>
        </w:tc>
        <w:tc>
          <w:tcPr>
            <w:tcW w:w="5954" w:type="dxa"/>
            <w:shd w:val="clear" w:color="auto" w:fill="auto"/>
          </w:tcPr>
          <w:p>
            <w:pPr>
              <w:pStyle w:val="GesAbsatz"/>
              <w:tabs>
                <w:tab w:val="clear" w:pos="425"/>
              </w:tabs>
              <w:rPr>
                <w:b/>
              </w:rPr>
            </w:pPr>
            <w:r>
              <w:rPr>
                <w:b/>
              </w:rPr>
              <w:t xml:space="preserve">Erteilung einer Bescheinigung über die Registrierungspflicht </w:t>
            </w:r>
          </w:p>
        </w:tc>
        <w:tc>
          <w:tcPr>
            <w:tcW w:w="2440" w:type="dxa"/>
            <w:shd w:val="clear" w:color="auto" w:fill="auto"/>
          </w:tcPr>
          <w:p>
            <w:pPr>
              <w:pStyle w:val="GesAbsatz"/>
              <w:tabs>
                <w:tab w:val="clear" w:pos="425"/>
              </w:tabs>
              <w:jc w:val="center"/>
            </w:pPr>
            <w:r>
              <w:t>28,– bis 7 500,–</w:t>
            </w:r>
          </w:p>
        </w:tc>
      </w:tr>
      <w:tr>
        <w:tc>
          <w:tcPr>
            <w:tcW w:w="1384" w:type="dxa"/>
            <w:shd w:val="clear" w:color="auto" w:fill="auto"/>
          </w:tcPr>
          <w:p>
            <w:pPr>
              <w:pStyle w:val="GesAbsatz"/>
              <w:tabs>
                <w:tab w:val="clear" w:pos="425"/>
              </w:tabs>
              <w:rPr>
                <w:b/>
                <w:lang w:val="en-GB"/>
              </w:rPr>
            </w:pPr>
            <w:r>
              <w:rPr>
                <w:b/>
                <w:lang w:val="en-GB"/>
              </w:rPr>
              <w:t xml:space="preserve">2 </w:t>
            </w:r>
          </w:p>
        </w:tc>
        <w:tc>
          <w:tcPr>
            <w:tcW w:w="5954" w:type="dxa"/>
            <w:shd w:val="clear" w:color="auto" w:fill="auto"/>
          </w:tcPr>
          <w:p>
            <w:pPr>
              <w:pStyle w:val="GesAbsatz"/>
              <w:tabs>
                <w:tab w:val="clear" w:pos="425"/>
              </w:tabs>
              <w:rPr>
                <w:b/>
                <w:spacing w:val="40"/>
              </w:rPr>
            </w:pPr>
            <w:r>
              <w:rPr>
                <w:b/>
                <w:spacing w:val="40"/>
              </w:rPr>
              <w:t xml:space="preserve">Bereitstellungsanordnung </w:t>
            </w:r>
          </w:p>
        </w:tc>
        <w:tc>
          <w:tcPr>
            <w:tcW w:w="2440" w:type="dxa"/>
            <w:shd w:val="clear" w:color="auto" w:fill="auto"/>
          </w:tcPr>
          <w:p>
            <w:pPr>
              <w:pStyle w:val="GesAbsatz"/>
              <w:tabs>
                <w:tab w:val="clear" w:pos="425"/>
              </w:tabs>
              <w:jc w:val="center"/>
              <w:rPr>
                <w:lang w:val="en-GB"/>
              </w:rPr>
            </w:pPr>
            <w:r>
              <w:t>32,70</w:t>
            </w:r>
          </w:p>
        </w:tc>
      </w:tr>
      <w:tr>
        <w:tc>
          <w:tcPr>
            <w:tcW w:w="1384" w:type="dxa"/>
            <w:shd w:val="clear" w:color="auto" w:fill="auto"/>
          </w:tcPr>
          <w:p>
            <w:pPr>
              <w:pStyle w:val="GesAbsatz"/>
              <w:tabs>
                <w:tab w:val="clear" w:pos="425"/>
              </w:tabs>
              <w:rPr>
                <w:b/>
              </w:rPr>
            </w:pPr>
            <w:r>
              <w:rPr>
                <w:b/>
              </w:rPr>
              <w:t xml:space="preserve">3 </w:t>
            </w:r>
          </w:p>
        </w:tc>
        <w:tc>
          <w:tcPr>
            <w:tcW w:w="5954" w:type="dxa"/>
            <w:shd w:val="clear" w:color="auto" w:fill="auto"/>
          </w:tcPr>
          <w:p>
            <w:pPr>
              <w:pStyle w:val="GesAbsatz"/>
              <w:tabs>
                <w:tab w:val="clear" w:pos="425"/>
              </w:tabs>
            </w:pPr>
            <w:r>
              <w:rPr>
                <w:b/>
                <w:spacing w:val="40"/>
              </w:rPr>
              <w:t>Abholanordnung</w:t>
            </w:r>
            <w:r>
              <w:t xml:space="preserve"> </w:t>
            </w:r>
          </w:p>
        </w:tc>
        <w:tc>
          <w:tcPr>
            <w:tcW w:w="2440" w:type="dxa"/>
            <w:shd w:val="clear" w:color="auto" w:fill="auto"/>
          </w:tcPr>
          <w:p>
            <w:pPr>
              <w:pStyle w:val="GesAbsatz"/>
              <w:tabs>
                <w:tab w:val="clear" w:pos="425"/>
              </w:tabs>
              <w:jc w:val="center"/>
            </w:pPr>
            <w:r>
              <w:t>40,90</w:t>
            </w:r>
          </w:p>
        </w:tc>
      </w:tr>
      <w:tr>
        <w:tc>
          <w:tcPr>
            <w:tcW w:w="1384" w:type="dxa"/>
            <w:shd w:val="clear" w:color="auto" w:fill="auto"/>
          </w:tcPr>
          <w:p>
            <w:pPr>
              <w:pStyle w:val="GesAbsatz"/>
              <w:tabs>
                <w:tab w:val="clear" w:pos="425"/>
              </w:tabs>
              <w:rPr>
                <w:b/>
              </w:rPr>
            </w:pPr>
            <w:r>
              <w:rPr>
                <w:b/>
              </w:rPr>
              <w:t xml:space="preserve">4 </w:t>
            </w:r>
          </w:p>
        </w:tc>
        <w:tc>
          <w:tcPr>
            <w:tcW w:w="5954" w:type="dxa"/>
            <w:shd w:val="clear" w:color="auto" w:fill="auto"/>
          </w:tcPr>
          <w:p>
            <w:pPr>
              <w:pStyle w:val="GesAbsatz"/>
              <w:tabs>
                <w:tab w:val="clear" w:pos="425"/>
              </w:tabs>
            </w:pPr>
            <w:r>
              <w:rPr>
                <w:b/>
                <w:spacing w:val="40"/>
              </w:rPr>
              <w:t>Sanktionen</w:t>
            </w:r>
          </w:p>
        </w:tc>
        <w:tc>
          <w:tcPr>
            <w:tcW w:w="2440" w:type="dxa"/>
            <w:shd w:val="clear" w:color="auto" w:fill="auto"/>
          </w:tcPr>
          <w:p>
            <w:pPr>
              <w:pStyle w:val="GesAbsatz"/>
              <w:tabs>
                <w:tab w:val="clear" w:pos="425"/>
              </w:tabs>
              <w:jc w:val="center"/>
            </w:pPr>
          </w:p>
        </w:tc>
      </w:tr>
      <w:tr>
        <w:tc>
          <w:tcPr>
            <w:tcW w:w="1384" w:type="dxa"/>
            <w:shd w:val="clear" w:color="auto" w:fill="auto"/>
          </w:tcPr>
          <w:p>
            <w:pPr>
              <w:pStyle w:val="GesAbsatz"/>
              <w:tabs>
                <w:tab w:val="clear" w:pos="425"/>
              </w:tabs>
            </w:pPr>
            <w:r>
              <w:t xml:space="preserve">4.01 </w:t>
            </w:r>
          </w:p>
        </w:tc>
        <w:tc>
          <w:tcPr>
            <w:tcW w:w="5954" w:type="dxa"/>
            <w:shd w:val="clear" w:color="auto" w:fill="auto"/>
          </w:tcPr>
          <w:p>
            <w:pPr>
              <w:pStyle w:val="GesAbsatz"/>
              <w:tabs>
                <w:tab w:val="clear" w:pos="425"/>
              </w:tabs>
              <w:rPr>
                <w:b/>
              </w:rPr>
            </w:pPr>
            <w:r>
              <w:rPr>
                <w:b/>
              </w:rPr>
              <w:t xml:space="preserve">Garantieaufstockungsanordnung </w:t>
            </w:r>
          </w:p>
        </w:tc>
        <w:tc>
          <w:tcPr>
            <w:tcW w:w="2440" w:type="dxa"/>
            <w:shd w:val="clear" w:color="auto" w:fill="auto"/>
          </w:tcPr>
          <w:p>
            <w:pPr>
              <w:pStyle w:val="GesAbsatz"/>
              <w:tabs>
                <w:tab w:val="clear" w:pos="425"/>
              </w:tabs>
              <w:jc w:val="center"/>
            </w:pPr>
            <w:r>
              <w:t>28,–</w:t>
            </w:r>
          </w:p>
        </w:tc>
      </w:tr>
      <w:tr>
        <w:tc>
          <w:tcPr>
            <w:tcW w:w="1384" w:type="dxa"/>
            <w:shd w:val="clear" w:color="auto" w:fill="auto"/>
          </w:tcPr>
          <w:p>
            <w:pPr>
              <w:pStyle w:val="GesAbsatz"/>
              <w:tabs>
                <w:tab w:val="clear" w:pos="425"/>
              </w:tabs>
            </w:pPr>
            <w:r>
              <w:t xml:space="preserve">4.02 </w:t>
            </w:r>
          </w:p>
        </w:tc>
        <w:tc>
          <w:tcPr>
            <w:tcW w:w="5954" w:type="dxa"/>
            <w:shd w:val="clear" w:color="auto" w:fill="auto"/>
          </w:tcPr>
          <w:p>
            <w:pPr>
              <w:pStyle w:val="GesAbsatz"/>
              <w:tabs>
                <w:tab w:val="clear" w:pos="425"/>
              </w:tabs>
              <w:rPr>
                <w:b/>
              </w:rPr>
            </w:pPr>
            <w:r>
              <w:rPr>
                <w:b/>
              </w:rPr>
              <w:t xml:space="preserve">Widerruf der Registrierung </w:t>
            </w:r>
          </w:p>
        </w:tc>
        <w:tc>
          <w:tcPr>
            <w:tcW w:w="2440" w:type="dxa"/>
            <w:shd w:val="clear" w:color="auto" w:fill="auto"/>
          </w:tcPr>
          <w:p>
            <w:pPr>
              <w:pStyle w:val="GesAbsatz"/>
              <w:tabs>
                <w:tab w:val="clear" w:pos="425"/>
              </w:tabs>
              <w:jc w:val="center"/>
            </w:pPr>
            <w:r>
              <w:t>bis zu 75 Prozent der Gebühr nach Nummer 1</w:t>
            </w:r>
          </w:p>
        </w:tc>
      </w:tr>
    </w:tbl>
    <w:p/>
    <w:p>
      <w:pPr>
        <w:pStyle w:val="berschrift2"/>
        <w:jc w:val="left"/>
      </w:pPr>
      <w:bookmarkStart w:id="9" w:name="_Toc365458975"/>
      <w:r>
        <w:t>Anhang 2 (zu § 2 Abs. 2)</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5849"/>
        <w:gridCol w:w="1713"/>
      </w:tblGrid>
      <w:tr>
        <w:tc>
          <w:tcPr>
            <w:tcW w:w="2093" w:type="dxa"/>
            <w:shd w:val="clear" w:color="auto" w:fill="auto"/>
            <w:vAlign w:val="center"/>
          </w:tcPr>
          <w:p>
            <w:pPr>
              <w:pStyle w:val="GesAbsatz"/>
              <w:tabs>
                <w:tab w:val="clear" w:pos="425"/>
              </w:tabs>
              <w:jc w:val="center"/>
            </w:pPr>
            <w:r>
              <w:t>Gewichtsklasse</w:t>
            </w:r>
          </w:p>
        </w:tc>
        <w:tc>
          <w:tcPr>
            <w:tcW w:w="5953" w:type="dxa"/>
            <w:shd w:val="clear" w:color="auto" w:fill="auto"/>
            <w:vAlign w:val="center"/>
          </w:tcPr>
          <w:p>
            <w:pPr>
              <w:pStyle w:val="GesAbsatz"/>
              <w:tabs>
                <w:tab w:val="clear" w:pos="425"/>
              </w:tabs>
              <w:jc w:val="center"/>
            </w:pPr>
            <w:r>
              <w:t>Geräteklasse</w:t>
            </w:r>
          </w:p>
        </w:tc>
        <w:tc>
          <w:tcPr>
            <w:tcW w:w="1732" w:type="dxa"/>
            <w:shd w:val="clear" w:color="auto" w:fill="auto"/>
            <w:vAlign w:val="center"/>
          </w:tcPr>
          <w:p>
            <w:pPr>
              <w:pStyle w:val="GesAbsatz"/>
              <w:tabs>
                <w:tab w:val="clear" w:pos="425"/>
              </w:tabs>
              <w:jc w:val="center"/>
            </w:pPr>
            <w:r>
              <w:t>Schwellenwert in kg/Jahr</w:t>
            </w:r>
            <w:r>
              <w:br/>
              <w:t>(=12 Monate)</w:t>
            </w:r>
          </w:p>
        </w:tc>
      </w:tr>
      <w:tr>
        <w:tc>
          <w:tcPr>
            <w:tcW w:w="2093" w:type="dxa"/>
            <w:vMerge w:val="restart"/>
            <w:shd w:val="clear" w:color="auto" w:fill="auto"/>
          </w:tcPr>
          <w:p>
            <w:pPr>
              <w:pStyle w:val="GesAbsatz"/>
              <w:tabs>
                <w:tab w:val="clear" w:pos="425"/>
              </w:tabs>
              <w:rPr>
                <w:b/>
              </w:rPr>
            </w:pPr>
            <w:r>
              <w:rPr>
                <w:b/>
              </w:rPr>
              <w:t xml:space="preserve">Gewichtsklasse I </w:t>
            </w:r>
          </w:p>
        </w:tc>
        <w:tc>
          <w:tcPr>
            <w:tcW w:w="5953" w:type="dxa"/>
            <w:shd w:val="clear" w:color="auto" w:fill="auto"/>
          </w:tcPr>
          <w:p>
            <w:pPr>
              <w:pStyle w:val="GesAbsatz"/>
              <w:tabs>
                <w:tab w:val="clear" w:pos="425"/>
              </w:tabs>
            </w:pPr>
            <w:r>
              <w:t>z. B.:</w:t>
            </w:r>
          </w:p>
        </w:tc>
        <w:tc>
          <w:tcPr>
            <w:tcW w:w="1732" w:type="dxa"/>
            <w:vMerge w:val="restart"/>
            <w:shd w:val="clear" w:color="auto" w:fill="auto"/>
            <w:vAlign w:val="center"/>
          </w:tcPr>
          <w:p>
            <w:pPr>
              <w:pStyle w:val="GesAbsatz"/>
              <w:jc w:val="center"/>
            </w:pPr>
            <w:r>
              <w:t>30</w:t>
            </w: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Haushaltskleingeräte für die Nutzung in privaten Haushalten</w:t>
            </w:r>
          </w:p>
        </w:tc>
        <w:tc>
          <w:tcPr>
            <w:tcW w:w="1732" w:type="dxa"/>
            <w:vMerge/>
            <w:shd w:val="clear" w:color="auto" w:fill="auto"/>
          </w:tcPr>
          <w:p>
            <w:pPr>
              <w:pStyle w:val="GesAbsatz"/>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Haushaltskleingeräte für ausschließlich gewerbliche Nutzung</w:t>
            </w:r>
          </w:p>
        </w:tc>
        <w:tc>
          <w:tcPr>
            <w:tcW w:w="1732" w:type="dxa"/>
            <w:vMerge/>
            <w:shd w:val="clear" w:color="auto" w:fill="auto"/>
          </w:tcPr>
          <w:p>
            <w:pPr>
              <w:pStyle w:val="GesAbsatz"/>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Geräte für die Informations- und/oder Datenverarbeitung, das Drucken von Informationen und die Übermittlung gedruckter Informationen in privaten Haushalten</w:t>
            </w:r>
          </w:p>
        </w:tc>
        <w:tc>
          <w:tcPr>
            <w:tcW w:w="1732" w:type="dxa"/>
            <w:vMerge/>
            <w:shd w:val="clear" w:color="auto" w:fill="auto"/>
          </w:tcPr>
          <w:p>
            <w:pPr>
              <w:pStyle w:val="GesAbsatz"/>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In privaten Haushalten genutzte Telekommunikationsgeräte</w:t>
            </w:r>
          </w:p>
        </w:tc>
        <w:tc>
          <w:tcPr>
            <w:tcW w:w="1732" w:type="dxa"/>
            <w:vMerge/>
            <w:shd w:val="clear" w:color="auto" w:fill="auto"/>
          </w:tcPr>
          <w:p>
            <w:pPr>
              <w:pStyle w:val="GesAbsatz"/>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Mobil-Telefone</w:t>
            </w:r>
          </w:p>
        </w:tc>
        <w:tc>
          <w:tcPr>
            <w:tcW w:w="1732" w:type="dxa"/>
            <w:vMerge/>
            <w:shd w:val="clear" w:color="auto" w:fill="auto"/>
          </w:tcPr>
          <w:p>
            <w:pPr>
              <w:pStyle w:val="GesAbsatz"/>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Kameras (Foto)</w:t>
            </w:r>
          </w:p>
        </w:tc>
        <w:tc>
          <w:tcPr>
            <w:tcW w:w="1732" w:type="dxa"/>
            <w:vMerge/>
            <w:shd w:val="clear" w:color="auto" w:fill="auto"/>
          </w:tcPr>
          <w:p>
            <w:pPr>
              <w:pStyle w:val="GesAbsatz"/>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Gewerblich genutzte Geräte der Informations- und Telekommunikationstechnik</w:t>
            </w:r>
          </w:p>
        </w:tc>
        <w:tc>
          <w:tcPr>
            <w:tcW w:w="1732" w:type="dxa"/>
            <w:vMerge/>
            <w:shd w:val="clear" w:color="auto" w:fill="auto"/>
          </w:tcPr>
          <w:p>
            <w:pPr>
              <w:pStyle w:val="GesAbsatz"/>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Geräte der Unterhaltungselektronik, soweit nicht in der Gewichtsklasse III</w:t>
            </w:r>
          </w:p>
        </w:tc>
        <w:tc>
          <w:tcPr>
            <w:tcW w:w="1732" w:type="dxa"/>
            <w:vMerge/>
            <w:shd w:val="clear" w:color="auto" w:fill="auto"/>
          </w:tcPr>
          <w:p>
            <w:pPr>
              <w:pStyle w:val="GesAbsatz"/>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Lampen, Gasentladungs- und LED-Lampen für die Nutzung in privaten Haushalten</w:t>
            </w:r>
          </w:p>
        </w:tc>
        <w:tc>
          <w:tcPr>
            <w:tcW w:w="1732" w:type="dxa"/>
            <w:vMerge/>
            <w:shd w:val="clear" w:color="auto" w:fill="auto"/>
          </w:tcPr>
          <w:p>
            <w:pPr>
              <w:pStyle w:val="GesAbsatz"/>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Sonstige Beleuchtungskörper oder Geräte für die Ausbreitung oder Steuerung von Licht für die Nutzung in privaten Haushalten</w:t>
            </w:r>
          </w:p>
        </w:tc>
        <w:tc>
          <w:tcPr>
            <w:tcW w:w="1732" w:type="dxa"/>
            <w:vMerge/>
            <w:shd w:val="clear" w:color="auto" w:fill="auto"/>
          </w:tcPr>
          <w:p>
            <w:pPr>
              <w:pStyle w:val="GesAbsatz"/>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Lampen, Gasentladungs- und LED-Lampen, sowie Leuchten und sonstige Beleuchtungskörper oder Geräte für die Ausbreitung oder Steuerung von Licht für ausschließlich gewerbliche Nutzung</w:t>
            </w:r>
          </w:p>
        </w:tc>
        <w:tc>
          <w:tcPr>
            <w:tcW w:w="1732" w:type="dxa"/>
            <w:vMerge/>
            <w:shd w:val="clear" w:color="auto" w:fill="auto"/>
          </w:tcPr>
          <w:p>
            <w:pPr>
              <w:pStyle w:val="GesAbsatz"/>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Spielzeug für die Nutzung in privaten Haushalten</w:t>
            </w:r>
          </w:p>
        </w:tc>
        <w:tc>
          <w:tcPr>
            <w:tcW w:w="1732" w:type="dxa"/>
            <w:vMerge/>
            <w:shd w:val="clear" w:color="auto" w:fill="auto"/>
          </w:tcPr>
          <w:p>
            <w:pPr>
              <w:pStyle w:val="GesAbsatz"/>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Medizinprodukte für die Nutzung in privaten Haushalten</w:t>
            </w:r>
          </w:p>
        </w:tc>
        <w:tc>
          <w:tcPr>
            <w:tcW w:w="1732" w:type="dxa"/>
            <w:vMerge/>
            <w:shd w:val="clear" w:color="auto" w:fill="auto"/>
          </w:tcPr>
          <w:p>
            <w:pPr>
              <w:pStyle w:val="GesAbsatz"/>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Überwachungs- und Kontrollinstrumente für die Nutzung in privaten Haushalten</w:t>
            </w:r>
          </w:p>
        </w:tc>
        <w:tc>
          <w:tcPr>
            <w:tcW w:w="1732" w:type="dxa"/>
            <w:vMerge/>
            <w:shd w:val="clear" w:color="auto" w:fill="auto"/>
          </w:tcPr>
          <w:p>
            <w:pPr>
              <w:pStyle w:val="GesAbsatz"/>
              <w:tabs>
                <w:tab w:val="clear" w:pos="425"/>
              </w:tabs>
            </w:pPr>
          </w:p>
        </w:tc>
      </w:tr>
      <w:tr>
        <w:tc>
          <w:tcPr>
            <w:tcW w:w="2093" w:type="dxa"/>
            <w:vMerge w:val="restart"/>
            <w:shd w:val="clear" w:color="auto" w:fill="auto"/>
          </w:tcPr>
          <w:p>
            <w:pPr>
              <w:pStyle w:val="GesAbsatz"/>
              <w:tabs>
                <w:tab w:val="clear" w:pos="425"/>
              </w:tabs>
              <w:rPr>
                <w:b/>
              </w:rPr>
            </w:pPr>
            <w:r>
              <w:rPr>
                <w:b/>
              </w:rPr>
              <w:t>Gewichtsklasse II</w:t>
            </w:r>
          </w:p>
        </w:tc>
        <w:tc>
          <w:tcPr>
            <w:tcW w:w="5953" w:type="dxa"/>
            <w:shd w:val="clear" w:color="auto" w:fill="auto"/>
          </w:tcPr>
          <w:p>
            <w:pPr>
              <w:pStyle w:val="GesAbsatz"/>
              <w:tabs>
                <w:tab w:val="clear" w:pos="425"/>
              </w:tabs>
            </w:pPr>
            <w:r>
              <w:t>z. B.:</w:t>
            </w:r>
          </w:p>
        </w:tc>
        <w:tc>
          <w:tcPr>
            <w:tcW w:w="1732" w:type="dxa"/>
            <w:vMerge w:val="restart"/>
            <w:shd w:val="clear" w:color="auto" w:fill="auto"/>
            <w:vAlign w:val="center"/>
          </w:tcPr>
          <w:p>
            <w:pPr>
              <w:pStyle w:val="GesAbsatz"/>
              <w:jc w:val="center"/>
            </w:pPr>
            <w:r>
              <w:t>70</w:t>
            </w: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Datensichtgeräte</w:t>
            </w:r>
          </w:p>
        </w:tc>
        <w:tc>
          <w:tcPr>
            <w:tcW w:w="1732" w:type="dxa"/>
            <w:vMerge/>
            <w:shd w:val="clear" w:color="auto" w:fill="auto"/>
            <w:vAlign w:val="center"/>
          </w:tcPr>
          <w:p>
            <w:pPr>
              <w:pStyle w:val="GesAbsatz"/>
              <w:jc w:val="center"/>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Werkzeuge für die Nutzung in privaten Haushalten</w:t>
            </w:r>
          </w:p>
        </w:tc>
        <w:tc>
          <w:tcPr>
            <w:tcW w:w="1732" w:type="dxa"/>
            <w:vMerge/>
            <w:shd w:val="clear" w:color="auto" w:fill="auto"/>
            <w:vAlign w:val="center"/>
          </w:tcPr>
          <w:p>
            <w:pPr>
              <w:pStyle w:val="GesAbsatz"/>
              <w:jc w:val="center"/>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Werkzeuge für die ausschließlich gewerbliche Nutzung</w:t>
            </w:r>
          </w:p>
        </w:tc>
        <w:tc>
          <w:tcPr>
            <w:tcW w:w="1732" w:type="dxa"/>
            <w:vMerge/>
            <w:shd w:val="clear" w:color="auto" w:fill="auto"/>
            <w:vAlign w:val="center"/>
          </w:tcPr>
          <w:p>
            <w:pPr>
              <w:pStyle w:val="GesAbsatz"/>
              <w:jc w:val="center"/>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Sport- und Freizeitgeräte für die Nutzung in privaten Haushalten</w:t>
            </w:r>
          </w:p>
        </w:tc>
        <w:tc>
          <w:tcPr>
            <w:tcW w:w="1732" w:type="dxa"/>
            <w:vMerge/>
            <w:shd w:val="clear" w:color="auto" w:fill="auto"/>
            <w:vAlign w:val="center"/>
          </w:tcPr>
          <w:p>
            <w:pPr>
              <w:pStyle w:val="GesAbsatz"/>
              <w:jc w:val="center"/>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Spielzeug, Sport- und Freizeitgeräte für ausschließlich gewerbliche Nutzung</w:t>
            </w:r>
          </w:p>
        </w:tc>
        <w:tc>
          <w:tcPr>
            <w:tcW w:w="1732" w:type="dxa"/>
            <w:vMerge/>
            <w:shd w:val="clear" w:color="auto" w:fill="auto"/>
            <w:vAlign w:val="center"/>
          </w:tcPr>
          <w:p>
            <w:pPr>
              <w:pStyle w:val="GesAbsatz"/>
              <w:jc w:val="center"/>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Medizinprodukte für den gewerblichen Anwender</w:t>
            </w:r>
          </w:p>
        </w:tc>
        <w:tc>
          <w:tcPr>
            <w:tcW w:w="1732" w:type="dxa"/>
            <w:vMerge/>
            <w:shd w:val="clear" w:color="auto" w:fill="auto"/>
            <w:vAlign w:val="center"/>
          </w:tcPr>
          <w:p>
            <w:pPr>
              <w:pStyle w:val="GesAbsatz"/>
              <w:jc w:val="center"/>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Überwachungs- und Kontrollinstrumente für die ausschließlich gewerbliche Nutzung</w:t>
            </w:r>
          </w:p>
        </w:tc>
        <w:tc>
          <w:tcPr>
            <w:tcW w:w="1732" w:type="dxa"/>
            <w:vMerge/>
            <w:shd w:val="clear" w:color="auto" w:fill="auto"/>
            <w:vAlign w:val="center"/>
          </w:tcPr>
          <w:p>
            <w:pPr>
              <w:pStyle w:val="GesAbsatz"/>
              <w:tabs>
                <w:tab w:val="clear" w:pos="425"/>
              </w:tabs>
              <w:jc w:val="center"/>
            </w:pPr>
          </w:p>
        </w:tc>
      </w:tr>
      <w:tr>
        <w:tc>
          <w:tcPr>
            <w:tcW w:w="2093" w:type="dxa"/>
            <w:vMerge w:val="restart"/>
            <w:shd w:val="clear" w:color="auto" w:fill="auto"/>
          </w:tcPr>
          <w:p>
            <w:pPr>
              <w:pStyle w:val="GesAbsatz"/>
              <w:tabs>
                <w:tab w:val="clear" w:pos="425"/>
              </w:tabs>
              <w:rPr>
                <w:b/>
              </w:rPr>
            </w:pPr>
            <w:r>
              <w:rPr>
                <w:b/>
              </w:rPr>
              <w:t>Gewichtsklasse III</w:t>
            </w:r>
          </w:p>
        </w:tc>
        <w:tc>
          <w:tcPr>
            <w:tcW w:w="5953" w:type="dxa"/>
            <w:shd w:val="clear" w:color="auto" w:fill="auto"/>
          </w:tcPr>
          <w:p>
            <w:pPr>
              <w:pStyle w:val="GesAbsatz"/>
              <w:tabs>
                <w:tab w:val="clear" w:pos="425"/>
              </w:tabs>
            </w:pPr>
            <w:r>
              <w:t>z. B.:</w:t>
            </w:r>
          </w:p>
        </w:tc>
        <w:tc>
          <w:tcPr>
            <w:tcW w:w="1732" w:type="dxa"/>
            <w:vMerge w:val="restart"/>
            <w:shd w:val="clear" w:color="auto" w:fill="auto"/>
            <w:vAlign w:val="center"/>
          </w:tcPr>
          <w:p>
            <w:pPr>
              <w:pStyle w:val="GesAbsatz"/>
              <w:jc w:val="center"/>
            </w:pPr>
            <w:r>
              <w:t>120</w:t>
            </w: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TV-Geräte</w:t>
            </w:r>
          </w:p>
        </w:tc>
        <w:tc>
          <w:tcPr>
            <w:tcW w:w="1732" w:type="dxa"/>
            <w:vMerge/>
            <w:shd w:val="clear" w:color="auto" w:fill="auto"/>
            <w:vAlign w:val="center"/>
          </w:tcPr>
          <w:p>
            <w:pPr>
              <w:pStyle w:val="GesAbsatz"/>
              <w:jc w:val="center"/>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Gewerblich genutztes Audio- und Video-Equipment</w:t>
            </w:r>
          </w:p>
        </w:tc>
        <w:tc>
          <w:tcPr>
            <w:tcW w:w="1732" w:type="dxa"/>
            <w:vMerge/>
            <w:shd w:val="clear" w:color="auto" w:fill="auto"/>
            <w:vAlign w:val="center"/>
          </w:tcPr>
          <w:p>
            <w:pPr>
              <w:pStyle w:val="GesAbsatz"/>
              <w:jc w:val="center"/>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Großdisplays</w:t>
            </w:r>
          </w:p>
        </w:tc>
        <w:tc>
          <w:tcPr>
            <w:tcW w:w="1732" w:type="dxa"/>
            <w:vMerge/>
            <w:shd w:val="clear" w:color="auto" w:fill="auto"/>
            <w:vAlign w:val="center"/>
          </w:tcPr>
          <w:p>
            <w:pPr>
              <w:pStyle w:val="GesAbsatz"/>
              <w:jc w:val="center"/>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Kältegeräte, Klimageräte und Ölradiatoren für die Nutzung in privaten Haushalten</w:t>
            </w:r>
          </w:p>
        </w:tc>
        <w:tc>
          <w:tcPr>
            <w:tcW w:w="1732" w:type="dxa"/>
            <w:vMerge/>
            <w:shd w:val="clear" w:color="auto" w:fill="auto"/>
            <w:vAlign w:val="center"/>
          </w:tcPr>
          <w:p>
            <w:pPr>
              <w:pStyle w:val="GesAbsatz"/>
              <w:jc w:val="center"/>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Andere Haushaltsgroßgeräte für die Nutzung in privaten Haushalten</w:t>
            </w:r>
          </w:p>
        </w:tc>
        <w:tc>
          <w:tcPr>
            <w:tcW w:w="1732" w:type="dxa"/>
            <w:vMerge/>
            <w:shd w:val="clear" w:color="auto" w:fill="auto"/>
            <w:vAlign w:val="center"/>
          </w:tcPr>
          <w:p>
            <w:pPr>
              <w:pStyle w:val="GesAbsatz"/>
              <w:tabs>
                <w:tab w:val="clear" w:pos="425"/>
              </w:tabs>
              <w:jc w:val="center"/>
            </w:pPr>
          </w:p>
        </w:tc>
      </w:tr>
      <w:tr>
        <w:tc>
          <w:tcPr>
            <w:tcW w:w="2093" w:type="dxa"/>
            <w:vMerge w:val="restart"/>
            <w:shd w:val="clear" w:color="auto" w:fill="auto"/>
          </w:tcPr>
          <w:p>
            <w:pPr>
              <w:pStyle w:val="GesAbsatz"/>
              <w:tabs>
                <w:tab w:val="clear" w:pos="425"/>
              </w:tabs>
              <w:rPr>
                <w:b/>
              </w:rPr>
            </w:pPr>
            <w:r>
              <w:rPr>
                <w:b/>
              </w:rPr>
              <w:t xml:space="preserve">Gewichtsklasse IV </w:t>
            </w:r>
          </w:p>
        </w:tc>
        <w:tc>
          <w:tcPr>
            <w:tcW w:w="5953" w:type="dxa"/>
            <w:shd w:val="clear" w:color="auto" w:fill="auto"/>
          </w:tcPr>
          <w:p>
            <w:pPr>
              <w:pStyle w:val="GesAbsatz"/>
              <w:tabs>
                <w:tab w:val="clear" w:pos="425"/>
              </w:tabs>
            </w:pPr>
            <w:r>
              <w:t>z. B.:</w:t>
            </w:r>
          </w:p>
        </w:tc>
        <w:tc>
          <w:tcPr>
            <w:tcW w:w="1732" w:type="dxa"/>
            <w:vMerge w:val="restart"/>
            <w:shd w:val="clear" w:color="auto" w:fill="auto"/>
            <w:vAlign w:val="center"/>
          </w:tcPr>
          <w:p>
            <w:pPr>
              <w:pStyle w:val="GesAbsatz"/>
              <w:jc w:val="center"/>
            </w:pPr>
            <w:r>
              <w:t>300</w:t>
            </w: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Haushaltsgroßgeräte für ausschließlich gewerbliche Nutzung</w:t>
            </w:r>
          </w:p>
        </w:tc>
        <w:tc>
          <w:tcPr>
            <w:tcW w:w="1732" w:type="dxa"/>
            <w:vMerge/>
            <w:shd w:val="clear" w:color="auto" w:fill="auto"/>
          </w:tcPr>
          <w:p>
            <w:pPr>
              <w:pStyle w:val="GesAbsatz"/>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Automatische Ausgabegeräte für die Nutzung in privaten Haushalten</w:t>
            </w:r>
          </w:p>
        </w:tc>
        <w:tc>
          <w:tcPr>
            <w:tcW w:w="1732" w:type="dxa"/>
            <w:vMerge/>
            <w:shd w:val="clear" w:color="auto" w:fill="auto"/>
          </w:tcPr>
          <w:p>
            <w:pPr>
              <w:pStyle w:val="GesAbsatz"/>
            </w:pPr>
          </w:p>
        </w:tc>
      </w:tr>
      <w:tr>
        <w:tc>
          <w:tcPr>
            <w:tcW w:w="2093" w:type="dxa"/>
            <w:vMerge/>
            <w:shd w:val="clear" w:color="auto" w:fill="auto"/>
          </w:tcPr>
          <w:p>
            <w:pPr>
              <w:pStyle w:val="GesAbsatz"/>
              <w:tabs>
                <w:tab w:val="clear" w:pos="425"/>
              </w:tabs>
            </w:pPr>
          </w:p>
        </w:tc>
        <w:tc>
          <w:tcPr>
            <w:tcW w:w="5953" w:type="dxa"/>
            <w:shd w:val="clear" w:color="auto" w:fill="auto"/>
          </w:tcPr>
          <w:p>
            <w:pPr>
              <w:pStyle w:val="GesAbsatz"/>
              <w:tabs>
                <w:tab w:val="clear" w:pos="425"/>
              </w:tabs>
              <w:ind w:left="317" w:hanging="317"/>
            </w:pPr>
            <w:r>
              <w:t>–</w:t>
            </w:r>
            <w:r>
              <w:tab/>
              <w:t>Automatische Ausgabegeräte für ausschließlich gewerbliche Nutzung</w:t>
            </w:r>
          </w:p>
        </w:tc>
        <w:tc>
          <w:tcPr>
            <w:tcW w:w="1732" w:type="dxa"/>
            <w:vMerge/>
            <w:shd w:val="clear" w:color="auto" w:fill="auto"/>
          </w:tcPr>
          <w:p>
            <w:pPr>
              <w:pStyle w:val="GesAbsatz"/>
              <w:tabs>
                <w:tab w:val="clear" w:pos="425"/>
              </w:tabs>
            </w:pPr>
          </w:p>
        </w:tc>
      </w:tr>
    </w:tbl>
    <w:p>
      <w:pPr>
        <w:pStyle w:val="GesAbsatz"/>
      </w:pPr>
    </w:p>
    <w:p>
      <w:pPr>
        <w:pStyle w:val="GesAbsatz"/>
      </w:pPr>
      <w:r>
        <w:br w:type="page"/>
      </w:r>
    </w:p>
    <w:p>
      <w:pPr>
        <w:pStyle w:val="GesAbsatz"/>
        <w:rPr>
          <w:b/>
          <w:sz w:val="22"/>
          <w:szCs w:val="22"/>
        </w:rPr>
      </w:pPr>
      <w:bookmarkStart w:id="10" w:name="Gesetzeshistorie"/>
      <w:bookmarkEnd w:id="10"/>
      <w:r>
        <w:rPr>
          <w:b/>
          <w:sz w:val="22"/>
          <w:szCs w:val="22"/>
        </w:rPr>
        <w:lastRenderedPageBreak/>
        <w:t>Änderungen:</w:t>
      </w:r>
    </w:p>
    <w:p>
      <w:pPr>
        <w:pStyle w:val="GesAbsatz"/>
        <w:tabs>
          <w:tab w:val="clear" w:pos="425"/>
          <w:tab w:val="left" w:pos="2268"/>
        </w:tabs>
      </w:pPr>
      <w:r>
        <w:t>06.07.2005</w:t>
      </w:r>
      <w:r>
        <w:tab/>
      </w:r>
      <w:hyperlink r:id="rId7" w:history="1">
        <w:r>
          <w:rPr>
            <w:rStyle w:val="Hyperlink"/>
          </w:rPr>
          <w:t xml:space="preserve">BGBl. I Nr. 42 S. 2020 </w:t>
        </w:r>
      </w:hyperlink>
      <w:r>
        <w:t>Inkrafttreten 13.07.2005 Ursprungsfassung</w:t>
      </w:r>
    </w:p>
    <w:p>
      <w:pPr>
        <w:pStyle w:val="GesAbsatz"/>
        <w:tabs>
          <w:tab w:val="clear" w:pos="425"/>
          <w:tab w:val="left" w:pos="2268"/>
        </w:tabs>
      </w:pPr>
      <w:r>
        <w:t>19.12.2006</w:t>
      </w:r>
      <w:r>
        <w:tab/>
      </w:r>
      <w:hyperlink r:id="rId8" w:history="1">
        <w:r>
          <w:rPr>
            <w:rStyle w:val="Hyperlink"/>
          </w:rPr>
          <w:t xml:space="preserve">BGBl. I Nr. 63 S. 3277 </w:t>
        </w:r>
      </w:hyperlink>
      <w:r>
        <w:t>Inkrafttreten 01.01.2007</w:t>
      </w:r>
    </w:p>
    <w:p>
      <w:pPr>
        <w:pStyle w:val="GesAbsatz"/>
        <w:tabs>
          <w:tab w:val="clear" w:pos="425"/>
          <w:tab w:val="left" w:pos="2268"/>
        </w:tabs>
      </w:pPr>
      <w:r>
        <w:t>05.12.2007</w:t>
      </w:r>
      <w:r>
        <w:tab/>
      </w:r>
      <w:hyperlink r:id="rId9" w:history="1">
        <w:r>
          <w:rPr>
            <w:rStyle w:val="Hyperlink"/>
          </w:rPr>
          <w:t>BGBl. I Nr. 62 S. 2825</w:t>
        </w:r>
      </w:hyperlink>
      <w:r>
        <w:t xml:space="preserve"> Inkrafttreten 01.01.2008</w:t>
      </w:r>
    </w:p>
    <w:p>
      <w:pPr>
        <w:pStyle w:val="GesAbsatz"/>
        <w:tabs>
          <w:tab w:val="clear" w:pos="425"/>
          <w:tab w:val="left" w:pos="2268"/>
        </w:tabs>
      </w:pPr>
      <w:r>
        <w:t>14.12.2011</w:t>
      </w:r>
      <w:r>
        <w:tab/>
      </w:r>
      <w:hyperlink r:id="rId10" w:history="1">
        <w:r>
          <w:rPr>
            <w:rStyle w:val="Hyperlink"/>
          </w:rPr>
          <w:t>BGBl. I Nr. 72 S. 3110</w:t>
        </w:r>
      </w:hyperlink>
      <w:r>
        <w:t xml:space="preserve"> Inkrafttreten 31.12.2011</w:t>
      </w:r>
    </w:p>
    <w:p>
      <w:pPr>
        <w:pStyle w:val="GesAbsatz"/>
        <w:tabs>
          <w:tab w:val="clear" w:pos="425"/>
          <w:tab w:val="left" w:pos="2268"/>
        </w:tabs>
      </w:pPr>
      <w:r>
        <w:t>03.04.2013</w:t>
      </w:r>
      <w:r>
        <w:tab/>
      </w:r>
      <w:hyperlink r:id="rId11" w:history="1">
        <w:r>
          <w:rPr>
            <w:rStyle w:val="Hyperlink"/>
          </w:rPr>
          <w:t>BGBl. I Nr. 16 S. 657</w:t>
        </w:r>
      </w:hyperlink>
      <w:r>
        <w:t xml:space="preserve"> Inkrafttreten 09.04.2013</w:t>
      </w:r>
    </w:p>
    <w:p>
      <w:pPr>
        <w:pStyle w:val="GesAbsatz"/>
        <w:tabs>
          <w:tab w:val="clear" w:pos="425"/>
        </w:tabs>
        <w:ind w:left="2268" w:hanging="2268"/>
        <w:jc w:val="left"/>
        <w:rPr>
          <w:lang w:val="pl-PL"/>
        </w:rPr>
      </w:pPr>
      <w:r>
        <w:rPr>
          <w:lang w:val="pl-PL"/>
        </w:rPr>
        <w:t>07.08.</w:t>
      </w:r>
      <w:r>
        <w:t>2013</w:t>
      </w:r>
      <w:r>
        <w:rPr>
          <w:lang w:val="pl-PL"/>
        </w:rPr>
        <w:tab/>
      </w:r>
      <w:hyperlink r:id="rId12" w:history="1">
        <w:r>
          <w:rPr>
            <w:rStyle w:val="Hyperlink"/>
            <w:rFonts w:cs="Arial"/>
            <w:lang w:val="pl-PL"/>
          </w:rPr>
          <w:t>BGBl. I Nr. 48 S. 3154, 3170</w:t>
        </w:r>
      </w:hyperlink>
      <w:r>
        <w:rPr>
          <w:lang w:val="pl-PL"/>
        </w:rPr>
        <w:t xml:space="preserve"> Inkrafttreten 15.08.2013</w:t>
      </w:r>
      <w:r>
        <w:rPr>
          <w:lang w:val="pl-PL"/>
        </w:rPr>
        <w:br/>
        <w:t>Artikel 2 Absatz 49 Gesetz zur Strukturreform des Gebührenrechts des Bundes</w:t>
      </w:r>
    </w:p>
    <w:p>
      <w:pPr>
        <w:pStyle w:val="GesAbsatz"/>
        <w:tabs>
          <w:tab w:val="clear" w:pos="425"/>
        </w:tabs>
        <w:ind w:left="2268" w:hanging="2268"/>
        <w:jc w:val="left"/>
        <w:rPr>
          <w:lang w:val="pl-PL"/>
        </w:rPr>
      </w:pPr>
      <w:r>
        <w:rPr>
          <w:lang w:val="pl-PL"/>
        </w:rPr>
        <w:t>07.08.</w:t>
      </w:r>
      <w:r>
        <w:t>2013</w:t>
      </w:r>
      <w:r>
        <w:rPr>
          <w:lang w:val="pl-PL"/>
        </w:rPr>
        <w:tab/>
      </w:r>
      <w:hyperlink r:id="rId13" w:history="1">
        <w:r>
          <w:rPr>
            <w:rStyle w:val="Hyperlink"/>
            <w:rFonts w:cs="Arial"/>
            <w:lang w:val="pl-PL"/>
          </w:rPr>
          <w:t>BGBl. I Nr. 48 S. 3154, 3202</w:t>
        </w:r>
      </w:hyperlink>
      <w:r>
        <w:rPr>
          <w:lang w:val="pl-PL"/>
        </w:rPr>
        <w:t xml:space="preserve"> Inkrafttreten </w:t>
      </w:r>
      <w:r>
        <w:rPr>
          <w:color w:val="FF0000"/>
        </w:rPr>
        <w:t>14.08.2018</w:t>
      </w:r>
      <w:r>
        <w:rPr>
          <w:lang w:val="pl-PL"/>
        </w:rPr>
        <w:br/>
        <w:t>Artikel 4 Absatz 31 Gesetz zur Strukturreform des Gebührenrechts des Bundes</w:t>
      </w:r>
    </w:p>
    <w:p>
      <w:pPr>
        <w:pStyle w:val="GesAbsatz"/>
        <w:tabs>
          <w:tab w:val="clear" w:pos="425"/>
          <w:tab w:val="left" w:pos="2268"/>
        </w:tabs>
        <w:rPr>
          <w:lang w:val="pl-PL"/>
        </w:rPr>
      </w:pPr>
      <w:r>
        <w:rPr>
          <w:lang w:val="pl-PL"/>
        </w:rPr>
        <w:t>28.11.2013</w:t>
      </w:r>
      <w:r>
        <w:rPr>
          <w:lang w:val="pl-PL"/>
        </w:rPr>
        <w:tab/>
      </w:r>
      <w:hyperlink r:id="rId14" w:history="1">
        <w:r>
          <w:rPr>
            <w:rStyle w:val="Hyperlink"/>
            <w:lang w:val="pl-PL"/>
          </w:rPr>
          <w:t>BGBl. I Nr. 71 S. 4094</w:t>
        </w:r>
      </w:hyperlink>
      <w:r>
        <w:rPr>
          <w:lang w:val="pl-PL"/>
        </w:rPr>
        <w:t xml:space="preserve"> Inkrafttreten 17.12.2013</w:t>
      </w:r>
    </w:p>
    <w:p>
      <w:pPr>
        <w:pStyle w:val="GesAbsatz"/>
        <w:tabs>
          <w:tab w:val="clear" w:pos="425"/>
          <w:tab w:val="left" w:pos="2268"/>
        </w:tabs>
      </w:pPr>
    </w:p>
    <w:p>
      <w:pPr>
        <w:pStyle w:val="GesAbsatz"/>
        <w:tabs>
          <w:tab w:val="clear" w:pos="425"/>
          <w:tab w:val="left" w:pos="2268"/>
        </w:tabs>
      </w:pPr>
    </w:p>
    <w:p>
      <w:pPr>
        <w:pStyle w:val="GesAbsatz"/>
        <w:tabs>
          <w:tab w:val="clear" w:pos="425"/>
          <w:tab w:val="left" w:pos="2268"/>
        </w:tabs>
      </w:pPr>
      <w:bookmarkStart w:id="11" w:name="ÄltereFassungen"/>
      <w:bookmarkEnd w:id="11"/>
    </w:p>
    <w:p>
      <w:pPr>
        <w:pStyle w:val="GesAbsatz"/>
        <w:tabs>
          <w:tab w:val="clear" w:pos="425"/>
          <w:tab w:val="left" w:pos="2268"/>
        </w:tabs>
      </w:pPr>
    </w:p>
    <w:sectPr>
      <w:headerReference w:type="default" r:id="rId15"/>
      <w:footerReference w:type="even" r:id="rId16"/>
      <w:footerReference w:type="default" r:id="rId17"/>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Helvetica Neu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06.07.2005 (BGBl. I S. 2020 / FNA 2129-43-1)</w:t>
    </w:r>
    <w:r>
      <w:tab/>
      <w:t xml:space="preserve">Seite </w:t>
    </w:r>
    <w:r>
      <w:fldChar w:fldCharType="begin"/>
    </w:r>
    <w:r>
      <w:instrText xml:space="preserve"> PAGE  \* MERGEFORMAT </w:instrText>
    </w:r>
    <w:r>
      <w:fldChar w:fldCharType="separate"/>
    </w:r>
    <w:r>
      <w:rPr>
        <w:noProof/>
      </w:rPr>
      <w:t>5</w:t>
    </w:r>
    <w:r>
      <w:fldChar w:fldCharType="end"/>
    </w:r>
  </w:p>
  <w:p>
    <w:pPr>
      <w:pStyle w:val="Fuzeile"/>
    </w:pPr>
    <w:r>
      <w:tab/>
      <w:t>Stand 28.11.2013 (BGBl. I S. 4094)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Archiv4.46</w:t>
    </w:r>
  </w:p>
  <w:p>
    <w:pPr>
      <w:pStyle w:val="Kopfzeile"/>
    </w:pPr>
    <w:r>
      <w:t>ElektroGKostV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8193"/>
    <o:shapelayout v:ext="edit">
      <o:idmap v:ext="edit" data="1"/>
    </o:shapelayout>
  </w:shapeDefaults>
  <w:decimalSymbol w:val=","/>
  <w:listSeparator w:val=";"/>
  <w15:docId w15:val="{38FF8E31-0C5C-408F-A86E-672EB216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Helvetica Neue" w:hAnsi="Helvetica Neue" w:cs="Helvetica Neue"/>
      <w:color w:val="000000"/>
      <w:sz w:val="24"/>
      <w:szCs w:val="24"/>
    </w:rPr>
  </w:style>
  <w:style w:type="character" w:styleId="BesuchterLink">
    <w:name w:val="FollowedHyperlink"/>
    <w:rPr>
      <w:color w:val="800080"/>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character" w:customStyle="1" w:styleId="GesAbsatzZchn">
    <w:name w:val="GesAbsatz Zchn"/>
    <w:basedOn w:val="Absatz-Standardschriftart"/>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6s3277.pdf'%5d" TargetMode="External"/><Relationship Id="rId13" Type="http://schemas.openxmlformats.org/officeDocument/2006/relationships/hyperlink" Target="http://www.bgbl.de/Xaver/start.xav?startbk=Bundesanzeiger_BGBl&amp;start=//*%5b@attr_id='bgbl113s3154.pdf'%5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05s1934.pdf'%5d" TargetMode="External"/><Relationship Id="rId12" Type="http://schemas.openxmlformats.org/officeDocument/2006/relationships/hyperlink" Target="http://www.bgbl.de/Xaver/start.xav?startbk=Bundesanzeiger_BGBl&amp;start=//*%5b@attr_id='bgbl113s3154.pdf'%5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3s0657.pdf'%5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gbl.de/Xaver/start.xav?startbk=Bundesanzeiger_BGBl&amp;start=//*%5b@attr_id='bgbl111s3110.pdf'%5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7s2825.pdf'%5d" TargetMode="External"/><Relationship Id="rId14" Type="http://schemas.openxmlformats.org/officeDocument/2006/relationships/hyperlink" Target="http://www.bgbl.de/Xaver/start.xav?startbk=Bundesanzeiger_BGBl&amp;start=//*%5b@attr_id='bgbl113s4094.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69F59-61FA-4040-9C29-7C8547E77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1345</Words>
  <Characters>10469</Characters>
  <Application>Microsoft Office Word</Application>
  <DocSecurity>0</DocSecurity>
  <Lines>87</Lines>
  <Paragraphs>23</Paragraphs>
  <ScaleCrop>false</ScaleCrop>
  <HeadingPairs>
    <vt:vector size="2" baseType="variant">
      <vt:variant>
        <vt:lpstr>Titel</vt:lpstr>
      </vt:variant>
      <vt:variant>
        <vt:i4>1</vt:i4>
      </vt:variant>
    </vt:vector>
  </HeadingPairs>
  <TitlesOfParts>
    <vt:vector size="1" baseType="lpstr">
      <vt:lpstr>ElektroGKostV</vt:lpstr>
    </vt:vector>
  </TitlesOfParts>
  <Company>LANUV NRW</Company>
  <LinksUpToDate>false</LinksUpToDate>
  <CharactersWithSpaces>11791</CharactersWithSpaces>
  <SharedDoc>false</SharedDoc>
  <HLinks>
    <vt:vector size="96" baseType="variant">
      <vt:variant>
        <vt:i4>4915307</vt:i4>
      </vt:variant>
      <vt:variant>
        <vt:i4>75</vt:i4>
      </vt:variant>
      <vt:variant>
        <vt:i4>0</vt:i4>
      </vt:variant>
      <vt:variant>
        <vt:i4>5</vt:i4>
      </vt:variant>
      <vt:variant>
        <vt:lpwstr>http://www.bgbl.de/Xaver/start.xav?startbk=Bundesanzeiger_BGBl&amp;start=//*%5b@attr_id='bgbl113s3154.pdf'%5d</vt:lpwstr>
      </vt:variant>
      <vt:variant>
        <vt:lpwstr/>
      </vt:variant>
      <vt:variant>
        <vt:i4>4718703</vt:i4>
      </vt:variant>
      <vt:variant>
        <vt:i4>72</vt:i4>
      </vt:variant>
      <vt:variant>
        <vt:i4>0</vt:i4>
      </vt:variant>
      <vt:variant>
        <vt:i4>5</vt:i4>
      </vt:variant>
      <vt:variant>
        <vt:lpwstr>http://www.bgbl.de/Xaver/start.xav?startbk=Bundesanzeiger_BGBl&amp;start=//*%5b@attr_id='bgbl113s0657.pdf'%5d</vt:lpwstr>
      </vt:variant>
      <vt:variant>
        <vt:lpwstr/>
      </vt:variant>
      <vt:variant>
        <vt:i4>5046383</vt:i4>
      </vt:variant>
      <vt:variant>
        <vt:i4>69</vt:i4>
      </vt:variant>
      <vt:variant>
        <vt:i4>0</vt:i4>
      </vt:variant>
      <vt:variant>
        <vt:i4>5</vt:i4>
      </vt:variant>
      <vt:variant>
        <vt:lpwstr>http://www.bgbl.de/Xaver/start.xav?startbk=Bundesanzeiger_BGBl&amp;start=//*%5b@attr_id='bgbl111s3110.pdf'%5d</vt:lpwstr>
      </vt:variant>
      <vt:variant>
        <vt:lpwstr/>
      </vt:variant>
      <vt:variant>
        <vt:i4>4784226</vt:i4>
      </vt:variant>
      <vt:variant>
        <vt:i4>66</vt:i4>
      </vt:variant>
      <vt:variant>
        <vt:i4>0</vt:i4>
      </vt:variant>
      <vt:variant>
        <vt:i4>5</vt:i4>
      </vt:variant>
      <vt:variant>
        <vt:lpwstr>http://www.bgbl.de/Xaver/start.xav?startbk=Bundesanzeiger_BGBl&amp;start=//*%5b@attr_id='bgbl107s2825.pdf'%5d</vt:lpwstr>
      </vt:variant>
      <vt:variant>
        <vt:lpwstr/>
      </vt:variant>
      <vt:variant>
        <vt:i4>4980842</vt:i4>
      </vt:variant>
      <vt:variant>
        <vt:i4>63</vt:i4>
      </vt:variant>
      <vt:variant>
        <vt:i4>0</vt:i4>
      </vt:variant>
      <vt:variant>
        <vt:i4>5</vt:i4>
      </vt:variant>
      <vt:variant>
        <vt:lpwstr>http://www.bgbl.de/Xaver/start.xav?startbk=Bundesanzeiger_BGBl&amp;start=//*%5b@attr_id='bgbl106s3277.pdf'%5d</vt:lpwstr>
      </vt:variant>
      <vt:variant>
        <vt:lpwstr/>
      </vt:variant>
      <vt:variant>
        <vt:i4>4784226</vt:i4>
      </vt:variant>
      <vt:variant>
        <vt:i4>60</vt:i4>
      </vt:variant>
      <vt:variant>
        <vt:i4>0</vt:i4>
      </vt:variant>
      <vt:variant>
        <vt:i4>5</vt:i4>
      </vt:variant>
      <vt:variant>
        <vt:lpwstr>http://www.bgbl.de/Xaver/start.xav?startbk=Bundesanzeiger_BGBl&amp;start=//*%5b@attr_id='bgbl105s1934.pdf'%5d</vt:lpwstr>
      </vt:variant>
      <vt:variant>
        <vt:lpwstr/>
      </vt:variant>
      <vt:variant>
        <vt:i4>1703994</vt:i4>
      </vt:variant>
      <vt:variant>
        <vt:i4>53</vt:i4>
      </vt:variant>
      <vt:variant>
        <vt:i4>0</vt:i4>
      </vt:variant>
      <vt:variant>
        <vt:i4>5</vt:i4>
      </vt:variant>
      <vt:variant>
        <vt:lpwstr/>
      </vt:variant>
      <vt:variant>
        <vt:lpwstr>_Toc365458975</vt:lpwstr>
      </vt:variant>
      <vt:variant>
        <vt:i4>1703994</vt:i4>
      </vt:variant>
      <vt:variant>
        <vt:i4>47</vt:i4>
      </vt:variant>
      <vt:variant>
        <vt:i4>0</vt:i4>
      </vt:variant>
      <vt:variant>
        <vt:i4>5</vt:i4>
      </vt:variant>
      <vt:variant>
        <vt:lpwstr/>
      </vt:variant>
      <vt:variant>
        <vt:lpwstr>_Toc365458974</vt:lpwstr>
      </vt:variant>
      <vt:variant>
        <vt:i4>1703994</vt:i4>
      </vt:variant>
      <vt:variant>
        <vt:i4>41</vt:i4>
      </vt:variant>
      <vt:variant>
        <vt:i4>0</vt:i4>
      </vt:variant>
      <vt:variant>
        <vt:i4>5</vt:i4>
      </vt:variant>
      <vt:variant>
        <vt:lpwstr/>
      </vt:variant>
      <vt:variant>
        <vt:lpwstr>_Toc365458973</vt:lpwstr>
      </vt:variant>
      <vt:variant>
        <vt:i4>1703994</vt:i4>
      </vt:variant>
      <vt:variant>
        <vt:i4>35</vt:i4>
      </vt:variant>
      <vt:variant>
        <vt:i4>0</vt:i4>
      </vt:variant>
      <vt:variant>
        <vt:i4>5</vt:i4>
      </vt:variant>
      <vt:variant>
        <vt:lpwstr/>
      </vt:variant>
      <vt:variant>
        <vt:lpwstr>_Toc365458972</vt:lpwstr>
      </vt:variant>
      <vt:variant>
        <vt:i4>1703994</vt:i4>
      </vt:variant>
      <vt:variant>
        <vt:i4>29</vt:i4>
      </vt:variant>
      <vt:variant>
        <vt:i4>0</vt:i4>
      </vt:variant>
      <vt:variant>
        <vt:i4>5</vt:i4>
      </vt:variant>
      <vt:variant>
        <vt:lpwstr/>
      </vt:variant>
      <vt:variant>
        <vt:lpwstr>_Toc365458971</vt:lpwstr>
      </vt:variant>
      <vt:variant>
        <vt:i4>1703994</vt:i4>
      </vt:variant>
      <vt:variant>
        <vt:i4>23</vt:i4>
      </vt:variant>
      <vt:variant>
        <vt:i4>0</vt:i4>
      </vt:variant>
      <vt:variant>
        <vt:i4>5</vt:i4>
      </vt:variant>
      <vt:variant>
        <vt:lpwstr/>
      </vt:variant>
      <vt:variant>
        <vt:lpwstr>_Toc365458970</vt:lpwstr>
      </vt:variant>
      <vt:variant>
        <vt:i4>1769530</vt:i4>
      </vt:variant>
      <vt:variant>
        <vt:i4>17</vt:i4>
      </vt:variant>
      <vt:variant>
        <vt:i4>0</vt:i4>
      </vt:variant>
      <vt:variant>
        <vt:i4>5</vt:i4>
      </vt:variant>
      <vt:variant>
        <vt:lpwstr/>
      </vt:variant>
      <vt:variant>
        <vt:lpwstr>_Toc365458969</vt:lpwstr>
      </vt:variant>
      <vt:variant>
        <vt:i4>1769530</vt:i4>
      </vt:variant>
      <vt:variant>
        <vt:i4>11</vt:i4>
      </vt:variant>
      <vt:variant>
        <vt:i4>0</vt:i4>
      </vt:variant>
      <vt:variant>
        <vt:i4>5</vt:i4>
      </vt:variant>
      <vt:variant>
        <vt:lpwstr/>
      </vt:variant>
      <vt:variant>
        <vt:lpwstr>_Toc365458968</vt:lpwstr>
      </vt:variant>
      <vt:variant>
        <vt:i4>1769530</vt:i4>
      </vt:variant>
      <vt:variant>
        <vt:i4>5</vt:i4>
      </vt:variant>
      <vt:variant>
        <vt:i4>0</vt:i4>
      </vt:variant>
      <vt:variant>
        <vt:i4>5</vt:i4>
      </vt:variant>
      <vt:variant>
        <vt:lpwstr/>
      </vt:variant>
      <vt:variant>
        <vt:lpwstr>_Toc365458967</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ElektroGKostV</dc:title>
  <dc:creator>LANUV NRW</dc:creator>
  <cp:lastModifiedBy>Rüter, Dr., Ingo</cp:lastModifiedBy>
  <cp:revision>3</cp:revision>
  <cp:lastPrinted>2012-01-06T08:48:00Z</cp:lastPrinted>
  <dcterms:created xsi:type="dcterms:W3CDTF">2015-11-25T09:49:00Z</dcterms:created>
  <dcterms:modified xsi:type="dcterms:W3CDTF">2024-05-22T14:09:00Z</dcterms:modified>
</cp:coreProperties>
</file>