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rPr>
          <w:rStyle w:val="berschrift1Zchn"/>
        </w:rPr>
      </w:pPr>
      <w:bookmarkStart w:id="0" w:name="_Toc397592206"/>
      <w:r>
        <w:rPr>
          <w:rStyle w:val="berschrift1Zchn"/>
        </w:rPr>
        <w:t>Zulassung von Stellen für die Untersuchung von</w:t>
      </w:r>
      <w:r>
        <w:rPr>
          <w:rStyle w:val="berschrift1Zchn"/>
        </w:rPr>
        <w:br/>
        <w:t>Abfällen, Sickerwasser, Oberflächenwasser und Grundwasser</w:t>
      </w:r>
      <w:r>
        <w:rPr>
          <w:rStyle w:val="berschrift1Zchn"/>
        </w:rPr>
        <w:br/>
        <w:t>nach § 25 Landesabfallgesetz</w:t>
      </w:r>
      <w:bookmarkEnd w:id="0"/>
    </w:p>
    <w:p>
      <w:pPr>
        <w:pStyle w:val="GesAbsatz"/>
        <w:jc w:val="center"/>
        <w:rPr>
          <w:rFonts w:cs="Arial"/>
        </w:rPr>
      </w:pPr>
      <w:r>
        <w:rPr>
          <w:rFonts w:cs="Arial"/>
        </w:rPr>
        <w:t>RdErl. d. Ministeriums für Umwelt und Naturschutz, Landwirtschaft und Verbraucherschutz</w:t>
      </w:r>
      <w:r>
        <w:rPr>
          <w:rFonts w:cs="Arial"/>
        </w:rPr>
        <w:br/>
        <w:t>- IV A 6 - 115.5.2 v. 21.08.2000</w:t>
      </w:r>
    </w:p>
    <w:p>
      <w:pPr>
        <w:pStyle w:val="GesAbsatz"/>
        <w:jc w:val="left"/>
        <w:rPr>
          <w:b/>
          <w:i/>
          <w:color w:val="FF0000"/>
          <w:sz w:val="22"/>
          <w:szCs w:val="22"/>
        </w:rPr>
      </w:pPr>
      <w:r>
        <w:rPr>
          <w:b/>
          <w:i/>
          <w:color w:val="FF0000"/>
          <w:sz w:val="22"/>
          <w:szCs w:val="22"/>
        </w:rPr>
        <w:t>Gültig bis 18.09.2015 - aufgehoben durch RdErl. v. 27.08.2015 - MBl. NRW. S. 526.</w:t>
      </w:r>
    </w:p>
    <w:p>
      <w:pPr>
        <w:pStyle w:val="GesAbsatz"/>
        <w:jc w:val="left"/>
        <w:rPr>
          <w:rFonts w:cs="Arial"/>
        </w:rPr>
      </w:pPr>
      <w:hyperlink r:id="rId7" w:history="1">
        <w:r>
          <w:rPr>
            <w:rStyle w:val="Hyperlink"/>
            <w:rFonts w:cs="Arial"/>
          </w:rPr>
          <w:t>Link zur Vorschrift im SMBl. NRW. 74</w:t>
        </w:r>
      </w:hyperlink>
      <w:r>
        <w:rPr>
          <w:rFonts w:cs="Arial"/>
        </w:rPr>
        <w:t>:</w:t>
      </w:r>
    </w:p>
    <w:p>
      <w:pPr>
        <w:pStyle w:val="GesAbsatz"/>
        <w:jc w:val="center"/>
        <w:rPr>
          <w:rFonts w:cs="Arial"/>
          <w:b/>
          <w:sz w:val="22"/>
        </w:rPr>
      </w:pPr>
      <w:r>
        <w:rPr>
          <w:rFonts w:cs="Arial"/>
          <w:b/>
          <w:sz w:val="22"/>
        </w:rPr>
        <w:t>Inhalt:</w:t>
      </w:r>
    </w:p>
    <w:p>
      <w:pPr>
        <w:pStyle w:val="Verzeichnis1"/>
        <w:rPr>
          <w:rFonts w:asciiTheme="minorHAnsi" w:eastAsiaTheme="minorEastAsia" w:hAnsiTheme="minorHAnsi" w:cstheme="minorBidi"/>
          <w:b w:val="0"/>
          <w:caps w:val="0"/>
          <w:noProof/>
          <w:sz w:val="22"/>
          <w:szCs w:val="22"/>
        </w:rPr>
      </w:pPr>
      <w:r>
        <w:rPr>
          <w:rFonts w:cs="Arial"/>
          <w:b w:val="0"/>
          <w:sz w:val="22"/>
        </w:rPr>
        <w:fldChar w:fldCharType="begin"/>
      </w:r>
      <w:r>
        <w:rPr>
          <w:rFonts w:cs="Arial"/>
          <w:b w:val="0"/>
          <w:sz w:val="22"/>
        </w:rPr>
        <w:instrText xml:space="preserve"> TOC \o "1-3" \h \z \u </w:instrText>
      </w:r>
      <w:r>
        <w:rPr>
          <w:rFonts w:cs="Arial"/>
          <w:b w:val="0"/>
          <w:sz w:val="22"/>
        </w:rPr>
        <w:fldChar w:fldCharType="separate"/>
      </w:r>
      <w:hyperlink w:anchor="_Toc397592206" w:history="1">
        <w:r>
          <w:rPr>
            <w:rStyle w:val="Hyperlink"/>
            <w:noProof/>
          </w:rPr>
          <w:t>Zulassung von Stellen für die Untersuchung von Abfällen, Sickerwasser, Oberflächenwasser und Grundwasser nach § 25 Landesabfallgesetz</w:t>
        </w:r>
        <w:r>
          <w:rPr>
            <w:noProof/>
            <w:webHidden/>
          </w:rPr>
          <w:tab/>
        </w:r>
        <w:r>
          <w:rPr>
            <w:noProof/>
            <w:webHidden/>
          </w:rPr>
          <w:fldChar w:fldCharType="begin"/>
        </w:r>
        <w:r>
          <w:rPr>
            <w:noProof/>
            <w:webHidden/>
          </w:rPr>
          <w:instrText xml:space="preserve"> PAGEREF _Toc397592206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07" w:history="1">
        <w:r>
          <w:rPr>
            <w:rStyle w:val="Hyperlink"/>
            <w:noProof/>
          </w:rPr>
          <w:t>1 Zuständigkeit</w:t>
        </w:r>
        <w:r>
          <w:rPr>
            <w:noProof/>
            <w:webHidden/>
          </w:rPr>
          <w:tab/>
        </w:r>
        <w:r>
          <w:rPr>
            <w:noProof/>
            <w:webHidden/>
          </w:rPr>
          <w:fldChar w:fldCharType="begin"/>
        </w:r>
        <w:r>
          <w:rPr>
            <w:noProof/>
            <w:webHidden/>
          </w:rPr>
          <w:instrText xml:space="preserve"> PAGEREF _Toc397592207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08" w:history="1">
        <w:r>
          <w:rPr>
            <w:rStyle w:val="Hyperlink"/>
            <w:noProof/>
          </w:rPr>
          <w:t>2 Zulassungsverfahren</w:t>
        </w:r>
        <w:r>
          <w:rPr>
            <w:noProof/>
            <w:webHidden/>
          </w:rPr>
          <w:tab/>
        </w:r>
        <w:r>
          <w:rPr>
            <w:noProof/>
            <w:webHidden/>
          </w:rPr>
          <w:fldChar w:fldCharType="begin"/>
        </w:r>
        <w:r>
          <w:rPr>
            <w:noProof/>
            <w:webHidden/>
          </w:rPr>
          <w:instrText xml:space="preserve"> PAGEREF _Toc397592208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09" w:history="1">
        <w:r>
          <w:rPr>
            <w:rStyle w:val="Hyperlink"/>
            <w:noProof/>
          </w:rPr>
          <w:t>3 Zulassungsvoraussetzungen</w:t>
        </w:r>
        <w:r>
          <w:rPr>
            <w:noProof/>
            <w:webHidden/>
          </w:rPr>
          <w:tab/>
        </w:r>
        <w:r>
          <w:rPr>
            <w:noProof/>
            <w:webHidden/>
          </w:rPr>
          <w:fldChar w:fldCharType="begin"/>
        </w:r>
        <w:r>
          <w:rPr>
            <w:noProof/>
            <w:webHidden/>
          </w:rPr>
          <w:instrText xml:space="preserve"> PAGEREF _Toc397592209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92210" w:history="1">
        <w:r>
          <w:rPr>
            <w:rStyle w:val="Hyperlink"/>
            <w:noProof/>
          </w:rPr>
          <w:t>3.1 Personelle Voraussetzungen</w:t>
        </w:r>
        <w:r>
          <w:rPr>
            <w:noProof/>
            <w:webHidden/>
          </w:rPr>
          <w:tab/>
        </w:r>
        <w:r>
          <w:rPr>
            <w:noProof/>
            <w:webHidden/>
          </w:rPr>
          <w:fldChar w:fldCharType="begin"/>
        </w:r>
        <w:r>
          <w:rPr>
            <w:noProof/>
            <w:webHidden/>
          </w:rPr>
          <w:instrText xml:space="preserve"> PAGEREF _Toc397592210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92211" w:history="1">
        <w:r>
          <w:rPr>
            <w:rStyle w:val="Hyperlink"/>
            <w:noProof/>
          </w:rPr>
          <w:t>3.2 Apparative Ausstattung</w:t>
        </w:r>
        <w:r>
          <w:rPr>
            <w:noProof/>
            <w:webHidden/>
          </w:rPr>
          <w:tab/>
        </w:r>
        <w:r>
          <w:rPr>
            <w:noProof/>
            <w:webHidden/>
          </w:rPr>
          <w:fldChar w:fldCharType="begin"/>
        </w:r>
        <w:r>
          <w:rPr>
            <w:noProof/>
            <w:webHidden/>
          </w:rPr>
          <w:instrText xml:space="preserve"> PAGEREF _Toc397592211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92212" w:history="1">
        <w:r>
          <w:rPr>
            <w:rStyle w:val="Hyperlink"/>
            <w:noProof/>
          </w:rPr>
          <w:t>3.3 Infrastruktur</w:t>
        </w:r>
        <w:r>
          <w:rPr>
            <w:noProof/>
            <w:webHidden/>
          </w:rPr>
          <w:tab/>
        </w:r>
        <w:r>
          <w:rPr>
            <w:noProof/>
            <w:webHidden/>
          </w:rPr>
          <w:fldChar w:fldCharType="begin"/>
        </w:r>
        <w:r>
          <w:rPr>
            <w:noProof/>
            <w:webHidden/>
          </w:rPr>
          <w:instrText xml:space="preserve"> PAGEREF _Toc397592212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3" w:history="1">
        <w:r>
          <w:rPr>
            <w:rStyle w:val="Hyperlink"/>
            <w:noProof/>
          </w:rPr>
          <w:t>4 Untersuchungsstelle mit mehreren Standorten</w:t>
        </w:r>
        <w:r>
          <w:rPr>
            <w:noProof/>
            <w:webHidden/>
          </w:rPr>
          <w:tab/>
        </w:r>
        <w:r>
          <w:rPr>
            <w:noProof/>
            <w:webHidden/>
          </w:rPr>
          <w:fldChar w:fldCharType="begin"/>
        </w:r>
        <w:r>
          <w:rPr>
            <w:noProof/>
            <w:webHidden/>
          </w:rPr>
          <w:instrText xml:space="preserve"> PAGEREF _Toc397592213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4" w:history="1">
        <w:r>
          <w:rPr>
            <w:rStyle w:val="Hyperlink"/>
            <w:noProof/>
          </w:rPr>
          <w:t>5 Externe Qualitätssicherung</w:t>
        </w:r>
        <w:r>
          <w:rPr>
            <w:noProof/>
            <w:webHidden/>
          </w:rPr>
          <w:tab/>
        </w:r>
        <w:r>
          <w:rPr>
            <w:noProof/>
            <w:webHidden/>
          </w:rPr>
          <w:fldChar w:fldCharType="begin"/>
        </w:r>
        <w:r>
          <w:rPr>
            <w:noProof/>
            <w:webHidden/>
          </w:rPr>
          <w:instrText xml:space="preserve"> PAGEREF _Toc397592214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5" w:history="1">
        <w:r>
          <w:rPr>
            <w:rStyle w:val="Hyperlink"/>
            <w:noProof/>
          </w:rPr>
          <w:t>6 Interne Qualitätssicherung</w:t>
        </w:r>
        <w:r>
          <w:rPr>
            <w:noProof/>
            <w:webHidden/>
          </w:rPr>
          <w:tab/>
        </w:r>
        <w:r>
          <w:rPr>
            <w:noProof/>
            <w:webHidden/>
          </w:rPr>
          <w:fldChar w:fldCharType="begin"/>
        </w:r>
        <w:r>
          <w:rPr>
            <w:noProof/>
            <w:webHidden/>
          </w:rPr>
          <w:instrText xml:space="preserve"> PAGEREF _Toc397592215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6" w:history="1">
        <w:r>
          <w:rPr>
            <w:rStyle w:val="Hyperlink"/>
            <w:noProof/>
          </w:rPr>
          <w:t>7 Durchführung der Untersuchung</w:t>
        </w:r>
        <w:r>
          <w:rPr>
            <w:noProof/>
            <w:webHidden/>
          </w:rPr>
          <w:tab/>
        </w:r>
        <w:r>
          <w:rPr>
            <w:noProof/>
            <w:webHidden/>
          </w:rPr>
          <w:fldChar w:fldCharType="begin"/>
        </w:r>
        <w:r>
          <w:rPr>
            <w:noProof/>
            <w:webHidden/>
          </w:rPr>
          <w:instrText xml:space="preserve"> PAGEREF _Toc397592216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7" w:history="1">
        <w:r>
          <w:rPr>
            <w:rStyle w:val="Hyperlink"/>
            <w:noProof/>
          </w:rPr>
          <w:t>8 Zulassungsdauer</w:t>
        </w:r>
        <w:r>
          <w:rPr>
            <w:noProof/>
            <w:webHidden/>
          </w:rPr>
          <w:tab/>
        </w:r>
        <w:r>
          <w:rPr>
            <w:noProof/>
            <w:webHidden/>
          </w:rPr>
          <w:fldChar w:fldCharType="begin"/>
        </w:r>
        <w:r>
          <w:rPr>
            <w:noProof/>
            <w:webHidden/>
          </w:rPr>
          <w:instrText xml:space="preserve"> PAGEREF _Toc397592217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8" w:history="1">
        <w:r>
          <w:rPr>
            <w:rStyle w:val="Hyperlink"/>
            <w:noProof/>
          </w:rPr>
          <w:t>9 Widerruf</w:t>
        </w:r>
        <w:r>
          <w:rPr>
            <w:noProof/>
            <w:webHidden/>
          </w:rPr>
          <w:tab/>
        </w:r>
        <w:r>
          <w:rPr>
            <w:noProof/>
            <w:webHidden/>
          </w:rPr>
          <w:fldChar w:fldCharType="begin"/>
        </w:r>
        <w:r>
          <w:rPr>
            <w:noProof/>
            <w:webHidden/>
          </w:rPr>
          <w:instrText xml:space="preserve"> PAGEREF _Toc397592218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19" w:history="1">
        <w:r>
          <w:rPr>
            <w:rStyle w:val="Hyperlink"/>
            <w:noProof/>
          </w:rPr>
          <w:t>10 Neuzulassung nach Widerruf</w:t>
        </w:r>
        <w:r>
          <w:rPr>
            <w:noProof/>
            <w:webHidden/>
          </w:rPr>
          <w:tab/>
        </w:r>
        <w:r>
          <w:rPr>
            <w:noProof/>
            <w:webHidden/>
          </w:rPr>
          <w:fldChar w:fldCharType="begin"/>
        </w:r>
        <w:r>
          <w:rPr>
            <w:noProof/>
            <w:webHidden/>
          </w:rPr>
          <w:instrText xml:space="preserve"> PAGEREF _Toc397592219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20" w:history="1">
        <w:r>
          <w:rPr>
            <w:rStyle w:val="Hyperlink"/>
            <w:noProof/>
          </w:rPr>
          <w:t>11 Änderung der Zulassungsvoraussetzungen</w:t>
        </w:r>
        <w:r>
          <w:rPr>
            <w:noProof/>
            <w:webHidden/>
          </w:rPr>
          <w:tab/>
        </w:r>
        <w:r>
          <w:rPr>
            <w:noProof/>
            <w:webHidden/>
          </w:rPr>
          <w:fldChar w:fldCharType="begin"/>
        </w:r>
        <w:r>
          <w:rPr>
            <w:noProof/>
            <w:webHidden/>
          </w:rPr>
          <w:instrText xml:space="preserve"> PAGEREF _Toc397592220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21" w:history="1">
        <w:r>
          <w:rPr>
            <w:rStyle w:val="Hyperlink"/>
            <w:noProof/>
          </w:rPr>
          <w:t>12 Gleichwertigkeit</w:t>
        </w:r>
        <w:r>
          <w:rPr>
            <w:noProof/>
            <w:webHidden/>
          </w:rPr>
          <w:tab/>
        </w:r>
        <w:r>
          <w:rPr>
            <w:noProof/>
            <w:webHidden/>
          </w:rPr>
          <w:fldChar w:fldCharType="begin"/>
        </w:r>
        <w:r>
          <w:rPr>
            <w:noProof/>
            <w:webHidden/>
          </w:rPr>
          <w:instrText xml:space="preserve"> PAGEREF _Toc397592221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22" w:history="1">
        <w:r>
          <w:rPr>
            <w:rStyle w:val="Hyperlink"/>
            <w:noProof/>
          </w:rPr>
          <w:t>13</w:t>
        </w:r>
        <w:r>
          <w:rPr>
            <w:noProof/>
            <w:webHidden/>
          </w:rPr>
          <w:tab/>
        </w:r>
        <w:r>
          <w:rPr>
            <w:noProof/>
            <w:webHidden/>
          </w:rPr>
          <w:fldChar w:fldCharType="begin"/>
        </w:r>
        <w:r>
          <w:rPr>
            <w:noProof/>
            <w:webHidden/>
          </w:rPr>
          <w:instrText xml:space="preserve"> PAGEREF _Toc397592222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92223" w:history="1">
        <w:r>
          <w:rPr>
            <w:rStyle w:val="Hyperlink"/>
            <w:noProof/>
          </w:rPr>
          <w:t>Anlage 1 zum RdErl. vom 21.8.2000</w:t>
        </w:r>
        <w:r>
          <w:rPr>
            <w:noProof/>
            <w:webHidden/>
          </w:rPr>
          <w:tab/>
        </w:r>
        <w:r>
          <w:rPr>
            <w:noProof/>
            <w:webHidden/>
          </w:rPr>
          <w:fldChar w:fldCharType="begin"/>
        </w:r>
        <w:r>
          <w:rPr>
            <w:noProof/>
            <w:webHidden/>
          </w:rPr>
          <w:instrText xml:space="preserve"> PAGEREF _Toc397592223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92224" w:history="1">
        <w:r>
          <w:rPr>
            <w:rStyle w:val="Hyperlink"/>
            <w:noProof/>
          </w:rPr>
          <w:t>Anhang zur Anlage</w:t>
        </w:r>
        <w:r>
          <w:rPr>
            <w:noProof/>
            <w:webHidden/>
          </w:rPr>
          <w:tab/>
        </w:r>
        <w:r>
          <w:rPr>
            <w:noProof/>
            <w:webHidden/>
          </w:rPr>
          <w:fldChar w:fldCharType="begin"/>
        </w:r>
        <w:r>
          <w:rPr>
            <w:noProof/>
            <w:webHidden/>
          </w:rPr>
          <w:instrText xml:space="preserve"> PAGEREF _Toc397592224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pPr>
      <w:bookmarkStart w:id="1" w:name="_Toc397592207"/>
      <w:r>
        <w:t>1</w:t>
      </w:r>
      <w:r>
        <w:br/>
        <w:t>Zuständigkeit</w:t>
      </w:r>
      <w:bookmarkEnd w:id="1"/>
    </w:p>
    <w:p>
      <w:pPr>
        <w:pStyle w:val="GesAbsatz"/>
        <w:rPr>
          <w:rFonts w:cs="Arial"/>
        </w:rPr>
      </w:pPr>
      <w:r>
        <w:rPr>
          <w:rFonts w:cs="Arial"/>
        </w:rPr>
        <w:t>Zuständig für die Erteilung der Zulassung ist die obere Abfallwirtschaftsbehörde, in deren Bezirk der Sitz der Untersuchungsstelle liegt. Die Zulassung ist wirksam für ganz Nordrhein-Westfalen. Untersuchungsstellen mit Sitz außerhalb Nordrhein-Westfalens werden von der nächstliegenden nordrhein-westfälischen oberen Abfallwirtschaftsbehörde zugelassen.</w:t>
      </w:r>
    </w:p>
    <w:p>
      <w:pPr>
        <w:pStyle w:val="GesAbsatz"/>
        <w:rPr>
          <w:rFonts w:cs="Arial"/>
        </w:rPr>
      </w:pPr>
      <w:r>
        <w:rPr>
          <w:rFonts w:cs="Arial"/>
        </w:rPr>
        <w:t>Für Untersuchungsstellen mit Sitz in einem anderen Bundesland, die bereits über eine entsprechende Zulassung in diesem Bundesland verfügen, werden die Zulassungsüberprüfungen der dort zuständigen Stelle berücksichtigt, sofern diese mit den in Nordrhein-Westfalen durchgeführten vergleichbar sind. Kompetenzfeststellungen aus Akkreditierungen durch ein evaluiertes Akkreditiersystem werden auf Antrag der Untersuchungsstelle berücksichtigt, soweit diese gültig, vollständig und für die Untersuchungsaufgabe anwendbar sind.</w:t>
      </w:r>
    </w:p>
    <w:p>
      <w:pPr>
        <w:pStyle w:val="berschrift2"/>
      </w:pPr>
      <w:bookmarkStart w:id="2" w:name="_Toc397592208"/>
      <w:r>
        <w:t>2</w:t>
      </w:r>
      <w:r>
        <w:br/>
        <w:t>Zulassungsverfahren</w:t>
      </w:r>
      <w:bookmarkEnd w:id="2"/>
    </w:p>
    <w:p>
      <w:pPr>
        <w:pStyle w:val="GesAbsatz"/>
        <w:rPr>
          <w:rFonts w:cs="Arial"/>
        </w:rPr>
      </w:pPr>
      <w:r>
        <w:rPr>
          <w:rFonts w:cs="Arial"/>
        </w:rPr>
        <w:t>Die Zulassung erfolgt auf Antrag bei der oberen Abfallwirtschaftsbehörde nach Überprüfung der Zulassungsvoraussetzungen gemäß Nummer 3 durch die von der oberen Abfallwirtschaftsbehörde beauftragte Fachdienststelle.</w:t>
      </w:r>
    </w:p>
    <w:p>
      <w:pPr>
        <w:pStyle w:val="GesAbsatz"/>
        <w:rPr>
          <w:rFonts w:cs="Arial"/>
        </w:rPr>
      </w:pPr>
      <w:r>
        <w:rPr>
          <w:rFonts w:cs="Arial"/>
        </w:rPr>
        <w:t>Eine Zulassung wird für bestimmte Untersuchungsparameter unter Angabe des Untersuchungsverfahrens widerruflich und befristet erteilt. Die Zulassung erfolgt für die Teilbereiche:</w:t>
      </w:r>
    </w:p>
    <w:p>
      <w:pPr>
        <w:pStyle w:val="GesAbsatz"/>
        <w:ind w:left="426" w:hanging="426"/>
        <w:rPr>
          <w:rFonts w:cs="Arial"/>
        </w:rPr>
      </w:pPr>
      <w:r>
        <w:rPr>
          <w:rFonts w:cs="Arial"/>
        </w:rPr>
        <w:t>1a:</w:t>
      </w:r>
      <w:r>
        <w:rPr>
          <w:rFonts w:cs="Arial"/>
        </w:rPr>
        <w:tab/>
        <w:t>Allgemeine Untersuchungsparameter und -verfahren für Abfall;</w:t>
      </w:r>
    </w:p>
    <w:p>
      <w:pPr>
        <w:pStyle w:val="GesAbsatz"/>
        <w:ind w:left="426" w:hanging="426"/>
        <w:rPr>
          <w:rFonts w:cs="Arial"/>
        </w:rPr>
      </w:pPr>
      <w:r>
        <w:rPr>
          <w:rFonts w:cs="Arial"/>
        </w:rPr>
        <w:t>1b:</w:t>
      </w:r>
      <w:r>
        <w:rPr>
          <w:rFonts w:cs="Arial"/>
        </w:rPr>
        <w:tab/>
        <w:t>Sonderuntersuchungsparameter und -verfahren für Abfall zur energetischen Verwertung;</w:t>
      </w:r>
    </w:p>
    <w:p>
      <w:pPr>
        <w:pStyle w:val="GesAbsatz"/>
        <w:ind w:left="426" w:hanging="426"/>
        <w:rPr>
          <w:rFonts w:cs="Arial"/>
        </w:rPr>
      </w:pPr>
      <w:r>
        <w:rPr>
          <w:rFonts w:cs="Arial"/>
        </w:rPr>
        <w:lastRenderedPageBreak/>
        <w:t>1c:</w:t>
      </w:r>
      <w:r>
        <w:rPr>
          <w:rFonts w:cs="Arial"/>
        </w:rPr>
        <w:tab/>
        <w:t>Sonderuntersuchungsparameter und -verfahren für Abfall aus mechanisch-biologischer Restabfallbehandlung;</w:t>
      </w:r>
    </w:p>
    <w:p>
      <w:pPr>
        <w:pStyle w:val="GesAbsatz"/>
        <w:ind w:left="426" w:hanging="426"/>
        <w:rPr>
          <w:rFonts w:cs="Arial"/>
        </w:rPr>
      </w:pPr>
      <w:r>
        <w:rPr>
          <w:rFonts w:cs="Arial"/>
        </w:rPr>
        <w:t>2:</w:t>
      </w:r>
      <w:r>
        <w:rPr>
          <w:rFonts w:cs="Arial"/>
        </w:rPr>
        <w:tab/>
        <w:t>Geotechnische Untersuchungsparameter und -verfahren für Abfall;</w:t>
      </w:r>
    </w:p>
    <w:p>
      <w:pPr>
        <w:pStyle w:val="GesAbsatz"/>
        <w:ind w:left="426" w:hanging="426"/>
        <w:rPr>
          <w:rFonts w:cs="Arial"/>
        </w:rPr>
      </w:pPr>
      <w:r>
        <w:rPr>
          <w:rFonts w:cs="Arial"/>
        </w:rPr>
        <w:t>3:</w:t>
      </w:r>
      <w:r>
        <w:rPr>
          <w:rFonts w:cs="Arial"/>
        </w:rPr>
        <w:tab/>
        <w:t>Allgemeine Untersuchungsparameter und -verfahren für Sickerwasser;</w:t>
      </w:r>
    </w:p>
    <w:p>
      <w:pPr>
        <w:pStyle w:val="GesAbsatz"/>
        <w:ind w:left="426" w:hanging="426"/>
        <w:rPr>
          <w:rFonts w:cs="Arial"/>
        </w:rPr>
      </w:pPr>
      <w:r>
        <w:rPr>
          <w:rFonts w:cs="Arial"/>
        </w:rPr>
        <w:t>4:</w:t>
      </w:r>
      <w:r>
        <w:rPr>
          <w:rFonts w:cs="Arial"/>
        </w:rPr>
        <w:tab/>
        <w:t>Allgemeine Untersuchungsparameter und -verfahren für Grund- und Oberflächenwasser;</w:t>
      </w:r>
    </w:p>
    <w:p>
      <w:pPr>
        <w:pStyle w:val="GesAbsatz"/>
        <w:ind w:left="426" w:hanging="426"/>
        <w:rPr>
          <w:rFonts w:cs="Arial"/>
        </w:rPr>
      </w:pPr>
      <w:r>
        <w:rPr>
          <w:rFonts w:cs="Arial"/>
        </w:rPr>
        <w:t>5:</w:t>
      </w:r>
      <w:r>
        <w:rPr>
          <w:rFonts w:cs="Arial"/>
        </w:rPr>
        <w:tab/>
        <w:t>Biologische Untersuchungsparameter und -verfahren für Sickerwasser, Grund- und Oberflächenwasser;</w:t>
      </w:r>
    </w:p>
    <w:p>
      <w:pPr>
        <w:pStyle w:val="GesAbsatz"/>
        <w:ind w:left="426" w:hanging="426"/>
        <w:rPr>
          <w:rFonts w:cs="Arial"/>
        </w:rPr>
      </w:pPr>
      <w:r>
        <w:rPr>
          <w:rFonts w:cs="Arial"/>
        </w:rPr>
        <w:t>6:</w:t>
      </w:r>
      <w:r>
        <w:rPr>
          <w:rFonts w:cs="Arial"/>
        </w:rPr>
        <w:tab/>
        <w:t>Untersuchungsparameter und -verfahren für Deponiegas und Bodenluft.</w:t>
      </w:r>
    </w:p>
    <w:p>
      <w:pPr>
        <w:pStyle w:val="GesAbsatz"/>
        <w:rPr>
          <w:rFonts w:cs="Arial"/>
        </w:rPr>
      </w:pPr>
      <w:r>
        <w:rPr>
          <w:rFonts w:cs="Arial"/>
        </w:rPr>
        <w:t>Um die Zulassung für einen Teilbereich zu erlangen, müssen mindestens die Zulassungsvoraussetzungen nach Nummer 3 für die ordnungsgemäße Durchführung der in der Anlage für diesen Teilbereich aufgeführten Untersuchungsverfahren nachgewiesen werden. Darüber hinaus kann eine Untersuchungsstelle für weitere Untersuchungsparameter und -verfahren innerhalb dieses Teilbereiches zugelassen werden.</w:t>
      </w:r>
    </w:p>
    <w:p>
      <w:pPr>
        <w:pStyle w:val="GesAbsatz"/>
        <w:rPr>
          <w:rFonts w:cs="Arial"/>
        </w:rPr>
      </w:pPr>
      <w:r>
        <w:rPr>
          <w:rFonts w:cs="Arial"/>
        </w:rPr>
        <w:t>Betreiber einer Abfallbeseitigungsanlage können hiervon abweichend auch für Teilaufgaben (z.B. Probenahme) zugelassen werden, sofern sich die Untersuchung auf Abfälle bezieht, die in der eigenen Abfallbeseitigungsanlage entsorgt werden, bzw. sofern es sich um eine Untersuchung von Sickerwässern, Grundwässern und Oberflächenwässern im Rahmen der Eigenüberwachung handelt.</w:t>
      </w:r>
    </w:p>
    <w:p>
      <w:pPr>
        <w:pStyle w:val="berschrift2"/>
      </w:pPr>
      <w:bookmarkStart w:id="3" w:name="_Toc397592209"/>
      <w:r>
        <w:t>3</w:t>
      </w:r>
      <w:r>
        <w:br/>
        <w:t>Zulassungsvoraussetzungen</w:t>
      </w:r>
      <w:bookmarkEnd w:id="3"/>
    </w:p>
    <w:p>
      <w:pPr>
        <w:pStyle w:val="GesAbsatz"/>
        <w:rPr>
          <w:rFonts w:cs="Arial"/>
        </w:rPr>
      </w:pPr>
      <w:r>
        <w:rPr>
          <w:rFonts w:cs="Arial"/>
        </w:rPr>
        <w:t>Die von der oberen Abfallwirtschaftsbehörde zugelassenen Untersuchungsstellen müssen die personellen und materiellen Voraussetzungen für</w:t>
      </w:r>
    </w:p>
    <w:p>
      <w:pPr>
        <w:pStyle w:val="GesAbsatz"/>
        <w:rPr>
          <w:rFonts w:cs="Arial"/>
        </w:rPr>
      </w:pPr>
      <w:r>
        <w:rPr>
          <w:rFonts w:cs="Arial"/>
        </w:rPr>
        <w:t>-</w:t>
      </w:r>
      <w:r>
        <w:rPr>
          <w:rFonts w:cs="Arial"/>
        </w:rPr>
        <w:tab/>
        <w:t>eine ordnungsgemäße Probenahme,</w:t>
      </w:r>
    </w:p>
    <w:p>
      <w:pPr>
        <w:pStyle w:val="GesAbsatz"/>
        <w:rPr>
          <w:rFonts w:cs="Arial"/>
        </w:rPr>
      </w:pPr>
      <w:r>
        <w:rPr>
          <w:rFonts w:cs="Arial"/>
        </w:rPr>
        <w:t>-</w:t>
      </w:r>
      <w:r>
        <w:rPr>
          <w:rFonts w:cs="Arial"/>
        </w:rPr>
        <w:tab/>
        <w:t>eine einwandfreie Durchführung der Analytik und</w:t>
      </w:r>
    </w:p>
    <w:p>
      <w:pPr>
        <w:pStyle w:val="GesAbsatz"/>
        <w:rPr>
          <w:rFonts w:cs="Arial"/>
        </w:rPr>
      </w:pPr>
      <w:r>
        <w:rPr>
          <w:rFonts w:cs="Arial"/>
        </w:rPr>
        <w:t>-</w:t>
      </w:r>
      <w:r>
        <w:rPr>
          <w:rFonts w:cs="Arial"/>
        </w:rPr>
        <w:tab/>
        <w:t>eine einwandfreie Durchführung der Qualitätssicherungsmaßnahmen erfüllen.</w:t>
      </w:r>
    </w:p>
    <w:p>
      <w:pPr>
        <w:pStyle w:val="GesAbsatz"/>
        <w:rPr>
          <w:rFonts w:cs="Arial"/>
        </w:rPr>
      </w:pPr>
      <w:r>
        <w:rPr>
          <w:rFonts w:cs="Arial"/>
        </w:rPr>
        <w:t>Dabei sind die Anforderungen der DIN EN ISO 17025 (übergangsweise bis 31.08.2003 DIN EN 45001) einzuhalten.</w:t>
      </w:r>
    </w:p>
    <w:p>
      <w:pPr>
        <w:pStyle w:val="berschrift3"/>
      </w:pPr>
      <w:bookmarkStart w:id="4" w:name="_Toc397592210"/>
      <w:r>
        <w:t>3.1</w:t>
      </w:r>
      <w:r>
        <w:br/>
        <w:t>Personelle Voraussetzungen</w:t>
      </w:r>
      <w:bookmarkEnd w:id="4"/>
    </w:p>
    <w:p>
      <w:pPr>
        <w:pStyle w:val="GesAbsatz"/>
        <w:rPr>
          <w:rFonts w:cs="Arial"/>
        </w:rPr>
      </w:pPr>
      <w:r>
        <w:rPr>
          <w:rFonts w:cs="Arial"/>
        </w:rPr>
        <w:t>Die Untersuchungsstelle muss von einer fachlich qualifizierten Person hauptberuflich und verantwortlich geleitet werden. Es sollte in der Regel eine Diplom-Chemikerin/ein Diplom-Chemiker, eine Lebensmittelchemikerin/ein Lebensmittelchemiker oder eine Diplom-Ingenieurin (Chemie)/ein Diplom-Ingenieur (Chemie) sein. In Ausnahmefällen kann die Leitung auch einer Person mit entsprechender Qualifikation auf dem Gebiet der chemischen Analytik übertragen werden. Darüber hinaus ist eine mindestens dreijährige Praxis auf dem Gebiet der entsprechenden Untersuchungen Voraussetzung für die Leitungsfunktion eines Labors.</w:t>
      </w:r>
    </w:p>
    <w:p>
      <w:pPr>
        <w:pStyle w:val="GesAbsatz"/>
        <w:rPr>
          <w:rFonts w:cs="Arial"/>
        </w:rPr>
      </w:pPr>
      <w:r>
        <w:rPr>
          <w:rFonts w:cs="Arial"/>
        </w:rPr>
        <w:t>Zur Durchführung der Untersuchungen einschließlich der Probenahme ist darüber hinaus entsprechend ausgebildetes Personal der Fachrichtung Chemie, ggf. Biologie, Physik oder Geologie in ausreichender Anzahl einzusetzen, wobei mindestens drei Mitarbeiterinnen/Mitarbeiter hauptberuflich beschäftigt sein müssen.</w:t>
      </w:r>
    </w:p>
    <w:p>
      <w:pPr>
        <w:pStyle w:val="GesAbsatz"/>
        <w:rPr>
          <w:rFonts w:cs="Arial"/>
        </w:rPr>
      </w:pPr>
      <w:r>
        <w:rPr>
          <w:rFonts w:cs="Arial"/>
        </w:rPr>
        <w:t>Es muss sichergestellt sein, dass das gesamte Personal regelmäßig und aktuell geschult wird. Hierüber sind entsprechende Aufzeichnungen zu führen.</w:t>
      </w:r>
    </w:p>
    <w:p>
      <w:pPr>
        <w:pStyle w:val="GesAbsatz"/>
        <w:rPr>
          <w:rFonts w:cs="Arial"/>
        </w:rPr>
      </w:pPr>
      <w:r>
        <w:rPr>
          <w:rFonts w:cs="Arial"/>
        </w:rPr>
        <w:t>Bei der Antragstellung sind von der Leitung der Untersuchungsstelle eine oder mehrere Personen zu benennen, die für die Qualitätssicherung verantwortlich sind.</w:t>
      </w:r>
    </w:p>
    <w:p>
      <w:pPr>
        <w:pStyle w:val="berschrift3"/>
      </w:pPr>
      <w:bookmarkStart w:id="5" w:name="_Toc397592211"/>
      <w:r>
        <w:t>3.2</w:t>
      </w:r>
      <w:r>
        <w:br/>
        <w:t>Apparative Ausstattung</w:t>
      </w:r>
      <w:bookmarkEnd w:id="5"/>
    </w:p>
    <w:p>
      <w:pPr>
        <w:pStyle w:val="GesAbsatz"/>
        <w:rPr>
          <w:rFonts w:cs="Arial"/>
        </w:rPr>
      </w:pPr>
      <w:r>
        <w:rPr>
          <w:rFonts w:cs="Arial"/>
        </w:rPr>
        <w:t>Die Untersuchungsstelle muss über eine apparative Ausstattung verfügen, die den zu untersuchenden Parametern und dem Untersuchungsumfang quantitativ und qualitativ entspricht.</w:t>
      </w:r>
    </w:p>
    <w:p>
      <w:pPr>
        <w:pStyle w:val="GesAbsatz"/>
        <w:rPr>
          <w:rFonts w:cs="Arial"/>
        </w:rPr>
      </w:pPr>
      <w:r>
        <w:rPr>
          <w:rFonts w:cs="Arial"/>
        </w:rPr>
        <w:t>Alle Einrichtungen sind ordnungsgemäß zu warten. Hierüber sind entsprechende Aufzeichnungen zu führen.</w:t>
      </w:r>
    </w:p>
    <w:p>
      <w:pPr>
        <w:pStyle w:val="berschrift3"/>
      </w:pPr>
      <w:bookmarkStart w:id="6" w:name="_Toc397592212"/>
      <w:r>
        <w:t>3.3</w:t>
      </w:r>
      <w:r>
        <w:br/>
        <w:t>Infrastruktur</w:t>
      </w:r>
      <w:bookmarkEnd w:id="6"/>
    </w:p>
    <w:p>
      <w:pPr>
        <w:pStyle w:val="GesAbsatz"/>
        <w:rPr>
          <w:rFonts w:cs="Arial"/>
        </w:rPr>
      </w:pPr>
      <w:r>
        <w:rPr>
          <w:rFonts w:cs="Arial"/>
        </w:rPr>
        <w:t>Die örtliche Lage, die baulichen und räumlichen Voraussetzungen und die haustechnische und labormäßige Ausstattung müssen eine gesicherte und störungsfreie Analytik gewährleisten.</w:t>
      </w:r>
    </w:p>
    <w:p>
      <w:pPr>
        <w:pStyle w:val="berschrift2"/>
      </w:pPr>
      <w:bookmarkStart w:id="7" w:name="_Toc397592213"/>
      <w:r>
        <w:lastRenderedPageBreak/>
        <w:t>4</w:t>
      </w:r>
      <w:r>
        <w:br/>
        <w:t>Untersuchungsstelle mit mehreren Standorten</w:t>
      </w:r>
      <w:bookmarkEnd w:id="7"/>
    </w:p>
    <w:p>
      <w:pPr>
        <w:pStyle w:val="GesAbsatz"/>
        <w:rPr>
          <w:rFonts w:cs="Arial"/>
        </w:rPr>
      </w:pPr>
      <w:r>
        <w:rPr>
          <w:rFonts w:cs="Arial"/>
        </w:rPr>
        <w:t>Die Untersuchungsstelle mit mehreren Standorten muss eine rechtliche Unternehmenseinheit darstellen. Sie muss von einer fachlich qualifizierten Person gem. Nummer 3.1 hauptberuflich und verantwortlich geleitet werden. Darüber hinaus ist von der Leiterin/ dem Leiter für jeden Standort eine fachlich qualifizierte, verantwortliche Person für die Leitung der Untersuchung zu benennen, die während der Betriebszeit am Standort anwesend sein muss. Die Untersuchungsstelle hat zu dokumentieren, an welchem Standort welches Untersuchungsverfahren durchgeführt wird. Dies muss im Zulassungsbescheid festgehalten werden. Im Übrigen gelten die Voraussetzungen unter den Nummern 3.1 bis 3.3 entsprechend.</w:t>
      </w:r>
    </w:p>
    <w:p>
      <w:pPr>
        <w:pStyle w:val="berschrift2"/>
      </w:pPr>
      <w:bookmarkStart w:id="8" w:name="_Toc397592214"/>
      <w:r>
        <w:t>5</w:t>
      </w:r>
      <w:r>
        <w:br/>
        <w:t>Externe Qualitätssicherung</w:t>
      </w:r>
      <w:bookmarkEnd w:id="8"/>
    </w:p>
    <w:p>
      <w:pPr>
        <w:pStyle w:val="GesAbsatz"/>
        <w:rPr>
          <w:rFonts w:cs="Arial"/>
        </w:rPr>
      </w:pPr>
      <w:r>
        <w:rPr>
          <w:rFonts w:cs="Arial"/>
        </w:rPr>
        <w:t>Die zugelassenen Untersuchungsstellen sind verpflichtet, an den vom Landesumweltamt NRW (LUA) festgesetzten Ringversuchen teilzunehmen. Die Verpflichtung besteht nur für die Parameter, für die eine Zulassung ausgesprochen wurde. Ist ein Untersuchungsverfahren für mehrere Standorte zugelassen, so müssen diese gesondert am Ringversuch teilnehmen. Die Teilnahme an den Ringversuchen ist gebührenpflichtig.</w:t>
      </w:r>
    </w:p>
    <w:p>
      <w:pPr>
        <w:pStyle w:val="GesAbsatz"/>
        <w:rPr>
          <w:rFonts w:cs="Arial"/>
        </w:rPr>
      </w:pPr>
      <w:r>
        <w:rPr>
          <w:rFonts w:cs="Arial"/>
        </w:rPr>
        <w:t>Darüber hinaus kann die Zulassungsbehörde in begründeten Fällen (z.B. Hinweis auf Verschlechterung der Analysenqualität) die Untersuchungsstelle zu weiteren externen Qualitätssicherungsmaßnahmen (z.B. Vergleichsuntersuchungen) verpflichten.</w:t>
      </w:r>
    </w:p>
    <w:p>
      <w:pPr>
        <w:pStyle w:val="berschrift2"/>
      </w:pPr>
      <w:bookmarkStart w:id="9" w:name="_Toc397592215"/>
      <w:r>
        <w:t>6</w:t>
      </w:r>
      <w:r>
        <w:br/>
        <w:t>Interne Qualitätssicherung</w:t>
      </w:r>
      <w:bookmarkEnd w:id="9"/>
    </w:p>
    <w:p>
      <w:pPr>
        <w:pStyle w:val="GesAbsatz"/>
        <w:rPr>
          <w:rFonts w:cs="Arial"/>
        </w:rPr>
      </w:pPr>
      <w:r>
        <w:rPr>
          <w:rFonts w:cs="Arial"/>
        </w:rPr>
        <w:t>Die zugelassenen Untersuchungsstellen sind verpflichtet, Maßnahmen zur Überprüfung der internen analytischen Laborqualität durchzuführen. Grundlage sind die „AQS-Merkblätter für die Wasser-, Abwasser- und Schlammuntersuchung" der Länderarbeitsgemeinschaft Wasser (LAWA), die durch das LWA-Merkblatt „Analytische Qualitätssicherung (AQS) für die Wasseranalytik in Nordrhein-Westfalen" in seiner jeweils gültigen Fassung ergänzt werden. Darüber hinaus kann die Zulassungsbehörde besondere AQS-Maßnahmen bestimmen. Die Ergebnisse sind zu dokumentieren, für die Dauer von mindestens 5 Jahren aufzubewahren und auf Anforderung der Zulassungsstelle zu übermitteln.</w:t>
      </w:r>
    </w:p>
    <w:p>
      <w:pPr>
        <w:pStyle w:val="GesAbsatz"/>
        <w:rPr>
          <w:rFonts w:cs="Arial"/>
        </w:rPr>
      </w:pPr>
      <w:r>
        <w:rPr>
          <w:rFonts w:cs="Arial"/>
        </w:rPr>
        <w:t>Ein Qualitätssicherungshandbuch (nach DIN EN 45001 Abschnitt 5.4.2) ist zu führen.</w:t>
      </w:r>
    </w:p>
    <w:p>
      <w:pPr>
        <w:pStyle w:val="berschrift2"/>
      </w:pPr>
      <w:bookmarkStart w:id="10" w:name="_Toc397592216"/>
      <w:r>
        <w:t>7</w:t>
      </w:r>
      <w:r>
        <w:br/>
        <w:t>Durchführung der Untersuchung</w:t>
      </w:r>
      <w:bookmarkEnd w:id="10"/>
    </w:p>
    <w:p>
      <w:pPr>
        <w:pStyle w:val="GesAbsatz"/>
        <w:rPr>
          <w:rFonts w:cs="Arial"/>
        </w:rPr>
      </w:pPr>
      <w:r>
        <w:rPr>
          <w:rFonts w:cs="Arial"/>
        </w:rPr>
        <w:t>Die Untersuchungsstelle hat die Untersuchung in der Regel selbst durchzuführen. Im Ausnahmefall, z.B. bei Krankheit oder Geräteausfall kann eine Untervergabe nur vorübergehend an eine ebenfalls für diese Aufgabe zugelassene Stelle erfolgen, die im jeweiligen Untersuchungsbericht genannt sein muss.</w:t>
      </w:r>
    </w:p>
    <w:p>
      <w:pPr>
        <w:pStyle w:val="berschrift2"/>
      </w:pPr>
      <w:bookmarkStart w:id="11" w:name="_Toc397592217"/>
      <w:r>
        <w:t>8</w:t>
      </w:r>
      <w:r>
        <w:br/>
        <w:t>Zulassungsdauer</w:t>
      </w:r>
      <w:bookmarkEnd w:id="11"/>
    </w:p>
    <w:p>
      <w:pPr>
        <w:pStyle w:val="GesAbsatz"/>
        <w:rPr>
          <w:rFonts w:cs="Arial"/>
        </w:rPr>
      </w:pPr>
      <w:r>
        <w:rPr>
          <w:rFonts w:cs="Arial"/>
        </w:rPr>
        <w:t>Die Zulassung wird für eine Dauer von längstens 5 Jahren erteilt. Eine erneute Zulassung ist auf Antrag möglich.</w:t>
      </w:r>
    </w:p>
    <w:p>
      <w:pPr>
        <w:pStyle w:val="berschrift2"/>
      </w:pPr>
      <w:bookmarkStart w:id="12" w:name="_Toc397592218"/>
      <w:r>
        <w:t>9</w:t>
      </w:r>
      <w:r>
        <w:br/>
        <w:t>Widerruf</w:t>
      </w:r>
      <w:bookmarkEnd w:id="12"/>
    </w:p>
    <w:p>
      <w:pPr>
        <w:pStyle w:val="GesAbsatz"/>
        <w:rPr>
          <w:rFonts w:cs="Arial"/>
        </w:rPr>
      </w:pPr>
      <w:r>
        <w:rPr>
          <w:rFonts w:cs="Arial"/>
        </w:rPr>
        <w:t>Ist durch Fortfall oder wesentliche Änderungen der Zulassungsvoraussetzungen eine ordnungsgemäße Durchführung der Untersuchung einschließlich Probenahme nicht mehr möglich, ist die Zulassung ganz oder teilweise zu widerrufen oder einzuschränken. Die Zulassung kann darüber hinaus beim Nachweis gravierender Mängel widerrufen werden, hier insbesondere:</w:t>
      </w:r>
    </w:p>
    <w:p>
      <w:pPr>
        <w:pStyle w:val="GesAbsatz"/>
        <w:ind w:left="426" w:hanging="426"/>
        <w:rPr>
          <w:rFonts w:cs="Arial"/>
        </w:rPr>
      </w:pPr>
      <w:r>
        <w:rPr>
          <w:rFonts w:cs="Arial"/>
        </w:rPr>
        <w:t>a)</w:t>
      </w:r>
      <w:r>
        <w:rPr>
          <w:rFonts w:cs="Arial"/>
        </w:rPr>
        <w:tab/>
        <w:t>beim Versäumen von vorgeschriebenen externen und internen Qualitätssicherungsmaßnahmen,</w:t>
      </w:r>
    </w:p>
    <w:p>
      <w:pPr>
        <w:pStyle w:val="GesAbsatz"/>
        <w:ind w:left="426" w:hanging="426"/>
        <w:rPr>
          <w:rFonts w:cs="Arial"/>
        </w:rPr>
      </w:pPr>
      <w:r>
        <w:rPr>
          <w:rFonts w:cs="Arial"/>
        </w:rPr>
        <w:t>b)</w:t>
      </w:r>
      <w:r>
        <w:rPr>
          <w:rFonts w:cs="Arial"/>
        </w:rPr>
        <w:tab/>
        <w:t>bei nicht erfolgreicher Teilnahme an einem Ringversuch des Landesumweltamtes NRW, d.</w:t>
      </w:r>
      <w:bookmarkStart w:id="13" w:name="_GoBack"/>
      <w:bookmarkEnd w:id="13"/>
      <w:r>
        <w:rPr>
          <w:rFonts w:cs="Arial"/>
        </w:rPr>
        <w:t>h. wenn weniger als 80% der überprüften Proben-Parameter-Kombinationen des jeweiligen Teilbereiches innerhalb festgelegter Qualitätsgrenzen liegen,</w:t>
      </w:r>
    </w:p>
    <w:p>
      <w:pPr>
        <w:pStyle w:val="GesAbsatz"/>
        <w:ind w:left="426" w:hanging="426"/>
        <w:rPr>
          <w:rFonts w:cs="Arial"/>
        </w:rPr>
      </w:pPr>
      <w:r>
        <w:rPr>
          <w:rFonts w:cs="Arial"/>
        </w:rPr>
        <w:t>c)</w:t>
      </w:r>
      <w:r>
        <w:rPr>
          <w:rFonts w:cs="Arial"/>
        </w:rPr>
        <w:tab/>
        <w:t>bei nicht ordnungsgemäßer Entsorgung der festen und flüssigen Abfälle, der Laborabwässer sowie der gasförmigen Abgänge.</w:t>
      </w:r>
    </w:p>
    <w:p>
      <w:pPr>
        <w:pStyle w:val="berschrift2"/>
      </w:pPr>
      <w:bookmarkStart w:id="14" w:name="_Toc397592219"/>
      <w:r>
        <w:lastRenderedPageBreak/>
        <w:t>10</w:t>
      </w:r>
      <w:r>
        <w:br/>
        <w:t>Neuzulassung nach Widerruf</w:t>
      </w:r>
      <w:bookmarkEnd w:id="14"/>
    </w:p>
    <w:p>
      <w:pPr>
        <w:pStyle w:val="GesAbsatz"/>
        <w:rPr>
          <w:rFonts w:cs="Arial"/>
        </w:rPr>
      </w:pPr>
      <w:r>
        <w:rPr>
          <w:rFonts w:cs="Arial"/>
        </w:rPr>
        <w:t>Die Untersuchungsstelle kann nach Widerruf der Zulassung eine erneute Zulassung beantragen.</w:t>
      </w:r>
    </w:p>
    <w:p>
      <w:pPr>
        <w:pStyle w:val="GesAbsatz"/>
        <w:rPr>
          <w:rFonts w:cs="Arial"/>
        </w:rPr>
      </w:pPr>
      <w:r>
        <w:rPr>
          <w:rFonts w:cs="Arial"/>
        </w:rPr>
        <w:t>Erfolgte der Widerruf nach Nummer 9 Buchstabe b, so ist vor Erteilung einer neuen Zulassung eine erfolgreiche Teilnahme an dem nächsten, vom LUA festgesetzten Ringversuch für die betroffenen Untersuchungsparameter des entsprechenden Teilbereiches nachzuweisen.</w:t>
      </w:r>
    </w:p>
    <w:p>
      <w:pPr>
        <w:pStyle w:val="GesAbsatz"/>
        <w:rPr>
          <w:rFonts w:cs="Arial"/>
        </w:rPr>
      </w:pPr>
      <w:r>
        <w:rPr>
          <w:rFonts w:cs="Arial"/>
        </w:rPr>
        <w:t>Im Falle des Widerrufes nach Nummer 9 Buchstabe c ist der Nachweis über die Behebung der festgestellten Mängel zu erbringen.</w:t>
      </w:r>
    </w:p>
    <w:p>
      <w:pPr>
        <w:pStyle w:val="GesAbsatz"/>
        <w:rPr>
          <w:rFonts w:cs="Arial"/>
        </w:rPr>
      </w:pPr>
      <w:r>
        <w:rPr>
          <w:rFonts w:cs="Arial"/>
        </w:rPr>
        <w:t>Darüber hinaus wird der Antrag wie ein Neuantrag behandelt.</w:t>
      </w:r>
    </w:p>
    <w:p>
      <w:pPr>
        <w:pStyle w:val="berschrift2"/>
      </w:pPr>
      <w:bookmarkStart w:id="15" w:name="_Toc397592220"/>
      <w:r>
        <w:t>11</w:t>
      </w:r>
      <w:r>
        <w:br/>
        <w:t>Änderung der Zulassungsvoraussetzungen</w:t>
      </w:r>
      <w:bookmarkEnd w:id="15"/>
    </w:p>
    <w:p>
      <w:pPr>
        <w:pStyle w:val="GesAbsatz"/>
        <w:rPr>
          <w:rFonts w:cs="Arial"/>
        </w:rPr>
      </w:pPr>
      <w:r>
        <w:rPr>
          <w:rFonts w:cs="Arial"/>
        </w:rPr>
        <w:t>Die Untersuchungsstelle ist verpflichtet, jede wesentliche Änderung der Zulassungsvoraussetzungen der Genehmigungsbehörde unverzüglich schriftlich anzuzeigen. Hierzu gehören insbesondere:</w:t>
      </w:r>
    </w:p>
    <w:p>
      <w:pPr>
        <w:pStyle w:val="GesAbsatz"/>
        <w:rPr>
          <w:rFonts w:cs="Arial"/>
        </w:rPr>
      </w:pPr>
      <w:r>
        <w:rPr>
          <w:rFonts w:cs="Arial"/>
        </w:rPr>
        <w:t>-</w:t>
      </w:r>
      <w:r>
        <w:rPr>
          <w:rFonts w:cs="Arial"/>
        </w:rPr>
        <w:tab/>
        <w:t>der Übergang des Labors in andere Besitzverhältnisse,</w:t>
      </w:r>
    </w:p>
    <w:p>
      <w:pPr>
        <w:pStyle w:val="GesAbsatz"/>
        <w:ind w:left="426" w:hanging="426"/>
        <w:rPr>
          <w:rFonts w:cs="Arial"/>
        </w:rPr>
      </w:pPr>
      <w:r>
        <w:rPr>
          <w:rFonts w:cs="Arial"/>
        </w:rPr>
        <w:t>-</w:t>
      </w:r>
      <w:r>
        <w:rPr>
          <w:rFonts w:cs="Arial"/>
        </w:rPr>
        <w:tab/>
        <w:t>die personelle Änderung der Laborleitung oder deren Vertretung, sowie der/dem Beauftragten für die Qualitätssicherung und</w:t>
      </w:r>
    </w:p>
    <w:p>
      <w:pPr>
        <w:pStyle w:val="GesAbsatz"/>
        <w:rPr>
          <w:rFonts w:cs="Arial"/>
        </w:rPr>
      </w:pPr>
      <w:r>
        <w:rPr>
          <w:rFonts w:cs="Arial"/>
        </w:rPr>
        <w:t>-</w:t>
      </w:r>
      <w:r>
        <w:rPr>
          <w:rFonts w:cs="Arial"/>
        </w:rPr>
        <w:tab/>
        <w:t>ein Wegfall oder eine Änderung von wesentlichen Teilen der Laborausstattung.</w:t>
      </w:r>
    </w:p>
    <w:p>
      <w:pPr>
        <w:pStyle w:val="GesAbsatz"/>
        <w:rPr>
          <w:rFonts w:cs="Arial"/>
        </w:rPr>
      </w:pPr>
      <w:r>
        <w:rPr>
          <w:rFonts w:cs="Arial"/>
        </w:rPr>
        <w:t>Die von der Genehmigungsbehörde beauftragte Fachdienststelle ist jederzeit berechtigt, die Einhaltung der Zulassungsvoraussetzungen zu prüfen.</w:t>
      </w:r>
    </w:p>
    <w:p>
      <w:pPr>
        <w:pStyle w:val="berschrift2"/>
      </w:pPr>
      <w:bookmarkStart w:id="16" w:name="_Toc397592221"/>
      <w:r>
        <w:t>12</w:t>
      </w:r>
      <w:r>
        <w:br/>
        <w:t>Gleichwertigkeit</w:t>
      </w:r>
      <w:bookmarkEnd w:id="16"/>
    </w:p>
    <w:p>
      <w:pPr>
        <w:pStyle w:val="GesAbsatz"/>
        <w:rPr>
          <w:rFonts w:cs="Arial"/>
        </w:rPr>
      </w:pPr>
      <w:r>
        <w:rPr>
          <w:rFonts w:cs="Arial"/>
        </w:rPr>
        <w:t>Ausnahmen von den in den Nummern 3.1 und 3.2 geforderten Kriterien kann die zuständige Behörde nur dann zulassen, wenn das LUA die Gleichwertigkeit bestätigt.</w:t>
      </w:r>
    </w:p>
    <w:p>
      <w:pPr>
        <w:pStyle w:val="berschrift2"/>
      </w:pPr>
      <w:bookmarkStart w:id="17" w:name="_Toc397592222"/>
      <w:r>
        <w:t>13</w:t>
      </w:r>
      <w:bookmarkEnd w:id="17"/>
    </w:p>
    <w:p>
      <w:pPr>
        <w:pStyle w:val="GesAbsatz"/>
        <w:rPr>
          <w:rFonts w:cs="Arial"/>
        </w:rPr>
      </w:pPr>
      <w:r>
        <w:rPr>
          <w:rFonts w:cs="Arial"/>
        </w:rPr>
        <w:t>Mein RdErl. v. 9.6.1993 (SMBl. NRW. 74) wird hiermit aufgehoben.</w:t>
      </w:r>
    </w:p>
    <w:p>
      <w:pPr>
        <w:pStyle w:val="berschrift2"/>
        <w:jc w:val="left"/>
      </w:pPr>
      <w:r>
        <w:br w:type="page"/>
      </w:r>
      <w:bookmarkStart w:id="18" w:name="_Toc397592223"/>
      <w:r>
        <w:lastRenderedPageBreak/>
        <w:t>Anlage 1</w:t>
      </w:r>
      <w:r>
        <w:br/>
        <w:t>zum RdErl. vom 21.8.2000</w:t>
      </w:r>
      <w:bookmarkEnd w:id="18"/>
    </w:p>
    <w:p>
      <w:pPr>
        <w:pStyle w:val="GesAbsatz"/>
        <w:jc w:val="center"/>
        <w:rPr>
          <w:rFonts w:cs="Arial"/>
          <w:b/>
        </w:rPr>
      </w:pPr>
      <w:r>
        <w:rPr>
          <w:rFonts w:cs="Arial"/>
          <w:b/>
        </w:rPr>
        <w:t>Mindestumfang der Untersuchungsparameter und -verfahren für die</w:t>
      </w:r>
      <w:r>
        <w:rPr>
          <w:rFonts w:cs="Arial"/>
          <w:b/>
        </w:rPr>
        <w:br/>
        <w:t>Zulassung von Untersuchungsstellen nach § 25 LAbfG</w:t>
      </w:r>
    </w:p>
    <w:p>
      <w:pPr>
        <w:pStyle w:val="GesAbsatz"/>
        <w:rPr>
          <w:rFonts w:cs="Arial"/>
        </w:rPr>
      </w:pPr>
      <w:r>
        <w:rPr>
          <w:rFonts w:cs="Arial"/>
        </w:rPr>
        <w:t>Ist bei den nachfolgend angegebenen Normen/Vorschriften keine Verfahrensvariante ausdrücklich benannt, steht es der Untersuchungsstelle frei, die für sie geeignete zu wählen.</w:t>
      </w:r>
    </w:p>
    <w:tbl>
      <w:tblPr>
        <w:tblStyle w:val="Tabellenraster"/>
        <w:tblW w:w="0" w:type="auto"/>
        <w:tblLook w:val="00A0" w:firstRow="1" w:lastRow="0" w:firstColumn="1" w:lastColumn="0" w:noHBand="0" w:noVBand="0"/>
      </w:tblPr>
      <w:tblGrid>
        <w:gridCol w:w="3208"/>
        <w:gridCol w:w="3208"/>
        <w:gridCol w:w="3212"/>
      </w:tblGrid>
      <w:tr>
        <w:tc>
          <w:tcPr>
            <w:tcW w:w="9778" w:type="dxa"/>
            <w:gridSpan w:val="3"/>
          </w:tcPr>
          <w:p>
            <w:pPr>
              <w:pStyle w:val="GesAbsatz"/>
              <w:jc w:val="left"/>
              <w:rPr>
                <w:rFonts w:cs="Arial"/>
                <w:b/>
              </w:rPr>
            </w:pPr>
            <w:r>
              <w:rPr>
                <w:rFonts w:cs="Arial"/>
                <w:b/>
              </w:rPr>
              <w:t>Teilbereich 1a: Allgemeine Untersuchungsparameter und -verfahren für Abfall</w:t>
            </w:r>
          </w:p>
        </w:tc>
      </w:tr>
      <w:tr>
        <w:tc>
          <w:tcPr>
            <w:tcW w:w="3259" w:type="dxa"/>
          </w:tcPr>
          <w:p>
            <w:pPr>
              <w:pStyle w:val="GesAbsatz"/>
              <w:jc w:val="left"/>
              <w:rPr>
                <w:rFonts w:cs="Arial"/>
              </w:rPr>
            </w:pPr>
            <w:r>
              <w:rPr>
                <w:rFonts w:cs="Arial"/>
              </w:rPr>
              <w:t>Probennahme</w:t>
            </w:r>
          </w:p>
        </w:tc>
        <w:tc>
          <w:tcPr>
            <w:tcW w:w="3259" w:type="dxa"/>
          </w:tcPr>
          <w:p>
            <w:pPr>
              <w:pStyle w:val="GesAbsatz"/>
              <w:jc w:val="left"/>
              <w:rPr>
                <w:rFonts w:cs="Arial"/>
              </w:rPr>
            </w:pPr>
            <w:r>
              <w:rPr>
                <w:rFonts w:cs="Arial"/>
              </w:rPr>
              <w:t xml:space="preserve">nach LAGA PN 2/78K </w:t>
            </w:r>
            <w:bookmarkStart w:id="19" w:name="_Ref100723905"/>
            <w:r>
              <w:rPr>
                <w:rStyle w:val="Funotenzeichen"/>
                <w:rFonts w:cs="Arial"/>
              </w:rPr>
              <w:footnoteReference w:id="1"/>
            </w:r>
            <w:bookmarkEnd w:id="19"/>
          </w:p>
        </w:tc>
        <w:tc>
          <w:tcPr>
            <w:tcW w:w="3260" w:type="dxa"/>
          </w:tcPr>
          <w:p>
            <w:pPr>
              <w:pStyle w:val="GesAbsatz"/>
              <w:jc w:val="left"/>
              <w:rPr>
                <w:rFonts w:cs="Arial"/>
              </w:rPr>
            </w:pPr>
            <w:r>
              <w:rPr>
                <w:rFonts w:cs="Arial"/>
              </w:rPr>
              <w:t>(Dezember 83)</w:t>
            </w:r>
          </w:p>
        </w:tc>
      </w:tr>
      <w:tr>
        <w:tc>
          <w:tcPr>
            <w:tcW w:w="3259" w:type="dxa"/>
          </w:tcPr>
          <w:p>
            <w:pPr>
              <w:pStyle w:val="GesAbsatz"/>
              <w:jc w:val="left"/>
              <w:rPr>
                <w:rFonts w:cs="Arial"/>
              </w:rPr>
            </w:pPr>
            <w:r>
              <w:rPr>
                <w:rFonts w:cs="Arial"/>
              </w:rPr>
              <w:t>Trockenrückstand</w:t>
            </w:r>
          </w:p>
        </w:tc>
        <w:tc>
          <w:tcPr>
            <w:tcW w:w="3259" w:type="dxa"/>
          </w:tcPr>
          <w:p>
            <w:pPr>
              <w:pStyle w:val="GesAbsatz"/>
              <w:jc w:val="left"/>
              <w:rPr>
                <w:rFonts w:cs="Arial"/>
              </w:rPr>
            </w:pPr>
            <w:r>
              <w:rPr>
                <w:rFonts w:cs="Arial"/>
              </w:rPr>
              <w:t>DIN ISO 11465</w:t>
            </w:r>
          </w:p>
        </w:tc>
        <w:tc>
          <w:tcPr>
            <w:tcW w:w="3260" w:type="dxa"/>
          </w:tcPr>
          <w:p>
            <w:pPr>
              <w:pStyle w:val="GesAbsatz"/>
              <w:jc w:val="left"/>
              <w:rPr>
                <w:rFonts w:cs="Arial"/>
              </w:rPr>
            </w:pPr>
            <w:r>
              <w:rPr>
                <w:rFonts w:cs="Arial"/>
              </w:rPr>
              <w:t>(Dezember 1996)</w:t>
            </w:r>
          </w:p>
        </w:tc>
      </w:tr>
      <w:tr>
        <w:tc>
          <w:tcPr>
            <w:tcW w:w="3259" w:type="dxa"/>
          </w:tcPr>
          <w:p>
            <w:pPr>
              <w:pStyle w:val="GesAbsatz"/>
              <w:jc w:val="left"/>
              <w:rPr>
                <w:rFonts w:cs="Arial"/>
              </w:rPr>
            </w:pPr>
            <w:r>
              <w:rPr>
                <w:rFonts w:cs="Arial"/>
              </w:rPr>
              <w:t>Glühverlust</w:t>
            </w:r>
          </w:p>
        </w:tc>
        <w:tc>
          <w:tcPr>
            <w:tcW w:w="3259" w:type="dxa"/>
          </w:tcPr>
          <w:p>
            <w:pPr>
              <w:pStyle w:val="GesAbsatz"/>
              <w:jc w:val="left"/>
              <w:rPr>
                <w:rFonts w:cs="Arial"/>
              </w:rPr>
            </w:pPr>
            <w:r>
              <w:rPr>
                <w:rFonts w:cs="Arial"/>
              </w:rPr>
              <w:t>DIN EN 12879</w:t>
            </w:r>
          </w:p>
        </w:tc>
        <w:tc>
          <w:tcPr>
            <w:tcW w:w="3260" w:type="dxa"/>
          </w:tcPr>
          <w:p>
            <w:pPr>
              <w:pStyle w:val="GesAbsatz"/>
              <w:jc w:val="left"/>
              <w:rPr>
                <w:rFonts w:cs="Arial"/>
              </w:rPr>
            </w:pPr>
            <w:r>
              <w:rPr>
                <w:rFonts w:cs="Arial"/>
              </w:rPr>
              <w:t>(Februar 2001)</w:t>
            </w:r>
          </w:p>
        </w:tc>
      </w:tr>
      <w:tr>
        <w:tc>
          <w:tcPr>
            <w:tcW w:w="3259" w:type="dxa"/>
          </w:tcPr>
          <w:p>
            <w:pPr>
              <w:pStyle w:val="GesAbsatz"/>
              <w:jc w:val="left"/>
              <w:rPr>
                <w:rFonts w:cs="Arial"/>
              </w:rPr>
            </w:pPr>
            <w:r>
              <w:rPr>
                <w:rFonts w:cs="Arial"/>
              </w:rPr>
              <w:t>Feststoff- TOC</w:t>
            </w:r>
          </w:p>
        </w:tc>
        <w:tc>
          <w:tcPr>
            <w:tcW w:w="3259" w:type="dxa"/>
          </w:tcPr>
          <w:p>
            <w:pPr>
              <w:pStyle w:val="GesAbsatz"/>
              <w:jc w:val="left"/>
              <w:rPr>
                <w:rFonts w:cs="Arial"/>
              </w:rPr>
            </w:pPr>
            <w:r>
              <w:rPr>
                <w:rFonts w:cs="Arial"/>
              </w:rPr>
              <w:t>DIN EN 13 137</w:t>
            </w:r>
          </w:p>
        </w:tc>
        <w:tc>
          <w:tcPr>
            <w:tcW w:w="3260" w:type="dxa"/>
          </w:tcPr>
          <w:p>
            <w:pPr>
              <w:pStyle w:val="GesAbsatz"/>
              <w:jc w:val="left"/>
              <w:rPr>
                <w:rFonts w:cs="Arial"/>
              </w:rPr>
            </w:pPr>
            <w:r>
              <w:rPr>
                <w:rFonts w:cs="Arial"/>
              </w:rPr>
              <w:t>(Dezember 2001)</w:t>
            </w:r>
          </w:p>
        </w:tc>
      </w:tr>
      <w:tr>
        <w:tc>
          <w:tcPr>
            <w:tcW w:w="3259" w:type="dxa"/>
          </w:tcPr>
          <w:p>
            <w:pPr>
              <w:pStyle w:val="GesAbsatz"/>
              <w:jc w:val="left"/>
              <w:rPr>
                <w:rFonts w:cs="Arial"/>
              </w:rPr>
            </w:pPr>
            <w:r>
              <w:rPr>
                <w:rFonts w:cs="Arial"/>
              </w:rPr>
              <w:t>Kohlenwasserstoffe</w:t>
            </w:r>
          </w:p>
        </w:tc>
        <w:tc>
          <w:tcPr>
            <w:tcW w:w="3259" w:type="dxa"/>
          </w:tcPr>
          <w:p>
            <w:pPr>
              <w:pStyle w:val="GesAbsatz"/>
              <w:jc w:val="left"/>
              <w:rPr>
                <w:rFonts w:cs="Arial"/>
              </w:rPr>
            </w:pPr>
            <w:r>
              <w:rPr>
                <w:rFonts w:cs="Arial"/>
              </w:rPr>
              <w:t>DIN EN 14039</w:t>
            </w:r>
          </w:p>
        </w:tc>
        <w:tc>
          <w:tcPr>
            <w:tcW w:w="3260" w:type="dxa"/>
          </w:tcPr>
          <w:p>
            <w:pPr>
              <w:pStyle w:val="GesAbsatz"/>
              <w:jc w:val="left"/>
              <w:rPr>
                <w:rFonts w:cs="Arial"/>
              </w:rPr>
            </w:pPr>
            <w:r>
              <w:rPr>
                <w:rFonts w:cs="Arial"/>
              </w:rPr>
              <w:t>(Entwurf Dez. 2000)</w:t>
            </w:r>
          </w:p>
        </w:tc>
      </w:tr>
      <w:tr>
        <w:tc>
          <w:tcPr>
            <w:tcW w:w="3259" w:type="dxa"/>
          </w:tcPr>
          <w:p>
            <w:pPr>
              <w:pStyle w:val="GesAbsatz"/>
              <w:jc w:val="left"/>
              <w:rPr>
                <w:rFonts w:cs="Arial"/>
              </w:rPr>
            </w:pPr>
            <w:r>
              <w:rPr>
                <w:rFonts w:cs="Arial"/>
              </w:rPr>
              <w:t>polycyclische aromatische Kohlenwasserstoffe (PAK)</w:t>
            </w:r>
          </w:p>
        </w:tc>
        <w:tc>
          <w:tcPr>
            <w:tcW w:w="3259" w:type="dxa"/>
          </w:tcPr>
          <w:p>
            <w:pPr>
              <w:pStyle w:val="GesAbsatz"/>
              <w:jc w:val="left"/>
              <w:rPr>
                <w:rFonts w:cs="Arial"/>
              </w:rPr>
            </w:pPr>
            <w:r>
              <w:rPr>
                <w:rFonts w:cs="Arial"/>
              </w:rPr>
              <w:t>DIN 38414–S23</w:t>
            </w:r>
          </w:p>
        </w:tc>
        <w:tc>
          <w:tcPr>
            <w:tcW w:w="3260" w:type="dxa"/>
          </w:tcPr>
          <w:p>
            <w:pPr>
              <w:pStyle w:val="GesAbsatz"/>
              <w:jc w:val="left"/>
              <w:rPr>
                <w:rFonts w:cs="Arial"/>
              </w:rPr>
            </w:pPr>
            <w:r>
              <w:rPr>
                <w:rFonts w:cs="Arial"/>
              </w:rPr>
              <w:t>(Februar 2002)</w:t>
            </w:r>
          </w:p>
        </w:tc>
      </w:tr>
      <w:tr>
        <w:tc>
          <w:tcPr>
            <w:tcW w:w="3259" w:type="dxa"/>
          </w:tcPr>
          <w:p>
            <w:pPr>
              <w:pStyle w:val="GesAbsatz"/>
              <w:jc w:val="left"/>
              <w:rPr>
                <w:rFonts w:cs="Arial"/>
              </w:rPr>
            </w:pPr>
            <w:r>
              <w:rPr>
                <w:rFonts w:cs="Arial"/>
              </w:rPr>
              <w:t>Leichtflüchtige Halogenkohlenwasserstoffe</w:t>
            </w:r>
          </w:p>
        </w:tc>
        <w:tc>
          <w:tcPr>
            <w:tcW w:w="3259" w:type="dxa"/>
          </w:tcPr>
          <w:p>
            <w:pPr>
              <w:pStyle w:val="GesAbsatz"/>
              <w:jc w:val="left"/>
              <w:rPr>
                <w:rFonts w:cs="Arial"/>
              </w:rPr>
            </w:pPr>
            <w:r>
              <w:rPr>
                <w:rFonts w:cs="Arial"/>
              </w:rPr>
              <w:t xml:space="preserve">nach HLUG Handbuch Bd. 7 </w:t>
            </w:r>
            <w:bookmarkStart w:id="20" w:name="_Ref100722416"/>
            <w:r>
              <w:rPr>
                <w:rStyle w:val="Funotenzeichen"/>
                <w:rFonts w:cs="Arial"/>
              </w:rPr>
              <w:footnoteReference w:id="2"/>
            </w:r>
            <w:bookmarkEnd w:id="20"/>
            <w:r>
              <w:rPr>
                <w:rFonts w:cs="Arial"/>
              </w:rPr>
              <w:br/>
              <w:t>oder DIN ISO 15009</w:t>
            </w:r>
          </w:p>
        </w:tc>
        <w:tc>
          <w:tcPr>
            <w:tcW w:w="3260" w:type="dxa"/>
          </w:tcPr>
          <w:p>
            <w:pPr>
              <w:pStyle w:val="GesAbsatz"/>
              <w:jc w:val="left"/>
              <w:rPr>
                <w:rFonts w:cs="Arial"/>
              </w:rPr>
            </w:pPr>
            <w:r>
              <w:rPr>
                <w:rFonts w:cs="Arial"/>
              </w:rPr>
              <w:t>(Oktober 2000)(März 2002)</w:t>
            </w:r>
          </w:p>
        </w:tc>
      </w:tr>
      <w:tr>
        <w:tc>
          <w:tcPr>
            <w:tcW w:w="3259" w:type="dxa"/>
          </w:tcPr>
          <w:p>
            <w:pPr>
              <w:pStyle w:val="GesAbsatz"/>
              <w:jc w:val="left"/>
              <w:rPr>
                <w:rFonts w:cs="Arial"/>
              </w:rPr>
            </w:pPr>
            <w:r>
              <w:rPr>
                <w:rFonts w:cs="Arial"/>
              </w:rPr>
              <w:t>Benzol und Derivate (BTXE)</w:t>
            </w:r>
          </w:p>
        </w:tc>
        <w:tc>
          <w:tcPr>
            <w:tcW w:w="3259" w:type="dxa"/>
          </w:tcPr>
          <w:p>
            <w:pPr>
              <w:pStyle w:val="GesAbsatz"/>
              <w:jc w:val="left"/>
              <w:rPr>
                <w:rFonts w:cs="Arial"/>
              </w:rPr>
            </w:pPr>
            <w:r>
              <w:rPr>
                <w:rFonts w:cs="Arial"/>
              </w:rPr>
              <w:t xml:space="preserve">nach HLUG Handbuch Bd. 7 </w:t>
            </w:r>
            <w:r>
              <w:rPr>
                <w:rFonts w:cs="Arial"/>
                <w:vertAlign w:val="superscript"/>
              </w:rPr>
              <w:fldChar w:fldCharType="begin"/>
            </w:r>
            <w:r>
              <w:rPr>
                <w:rFonts w:cs="Arial"/>
                <w:vertAlign w:val="superscript"/>
              </w:rPr>
              <w:instrText xml:space="preserve"> NOTEREF _Ref100722416 \h  \* MERGEFORMAT </w:instrText>
            </w:r>
            <w:r>
              <w:rPr>
                <w:rFonts w:cs="Arial"/>
                <w:vertAlign w:val="superscript"/>
              </w:rPr>
            </w:r>
            <w:r>
              <w:rPr>
                <w:rFonts w:cs="Arial"/>
                <w:vertAlign w:val="superscript"/>
              </w:rPr>
              <w:fldChar w:fldCharType="separate"/>
            </w:r>
            <w:r>
              <w:rPr>
                <w:rFonts w:cs="Arial"/>
                <w:vertAlign w:val="superscript"/>
              </w:rPr>
              <w:t>2</w:t>
            </w:r>
            <w:r>
              <w:rPr>
                <w:rFonts w:cs="Arial"/>
                <w:vertAlign w:val="superscript"/>
              </w:rPr>
              <w:fldChar w:fldCharType="end"/>
            </w:r>
          </w:p>
        </w:tc>
        <w:tc>
          <w:tcPr>
            <w:tcW w:w="3260" w:type="dxa"/>
          </w:tcPr>
          <w:p>
            <w:pPr>
              <w:pStyle w:val="GesAbsatz"/>
              <w:jc w:val="left"/>
              <w:rPr>
                <w:rFonts w:cs="Arial"/>
              </w:rPr>
            </w:pPr>
            <w:r>
              <w:rPr>
                <w:rFonts w:cs="Arial"/>
              </w:rPr>
              <w:t>(Oktober 2000)</w:t>
            </w:r>
          </w:p>
        </w:tc>
      </w:tr>
      <w:tr>
        <w:tc>
          <w:tcPr>
            <w:tcW w:w="3259" w:type="dxa"/>
          </w:tcPr>
          <w:p>
            <w:pPr>
              <w:pStyle w:val="GesAbsatz"/>
              <w:jc w:val="left"/>
              <w:rPr>
                <w:rFonts w:cs="Arial"/>
              </w:rPr>
            </w:pPr>
            <w:r>
              <w:rPr>
                <w:rFonts w:cs="Arial"/>
              </w:rPr>
              <w:t>polychlorierte Biphenyle (PCB):</w:t>
            </w:r>
          </w:p>
        </w:tc>
        <w:tc>
          <w:tcPr>
            <w:tcW w:w="3259" w:type="dxa"/>
          </w:tcPr>
          <w:p>
            <w:pPr>
              <w:pStyle w:val="GesAbsatz"/>
              <w:jc w:val="left"/>
              <w:rPr>
                <w:rFonts w:cs="Arial"/>
              </w:rPr>
            </w:pPr>
            <w:r>
              <w:rPr>
                <w:rFonts w:cs="Arial"/>
              </w:rPr>
              <w:t>DIN 39414 – S 20 (Feststoff)</w:t>
            </w:r>
            <w:r>
              <w:rPr>
                <w:rFonts w:cs="Arial"/>
              </w:rPr>
              <w:br/>
              <w:t>und DIN EN 12766- 1 (Altöl)</w:t>
            </w:r>
            <w:r>
              <w:rPr>
                <w:rFonts w:cs="Arial"/>
              </w:rPr>
              <w:br/>
              <w:t>und DIN EN 12766-2 (Altöl)</w:t>
            </w:r>
          </w:p>
        </w:tc>
        <w:tc>
          <w:tcPr>
            <w:tcW w:w="3260" w:type="dxa"/>
          </w:tcPr>
          <w:p>
            <w:pPr>
              <w:pStyle w:val="GesAbsatz"/>
              <w:jc w:val="left"/>
              <w:rPr>
                <w:rFonts w:cs="Arial"/>
              </w:rPr>
            </w:pPr>
            <w:r>
              <w:rPr>
                <w:rFonts w:cs="Arial"/>
              </w:rPr>
              <w:t>(Januar 1996)</w:t>
            </w:r>
            <w:r>
              <w:rPr>
                <w:rFonts w:cs="Arial"/>
              </w:rPr>
              <w:br/>
              <w:t>(November 2000)</w:t>
            </w:r>
            <w:r>
              <w:rPr>
                <w:rFonts w:cs="Arial"/>
              </w:rPr>
              <w:br/>
              <w:t>(Entwurf März 2001)</w:t>
            </w:r>
          </w:p>
        </w:tc>
      </w:tr>
      <w:tr>
        <w:tc>
          <w:tcPr>
            <w:tcW w:w="3259" w:type="dxa"/>
          </w:tcPr>
          <w:p>
            <w:pPr>
              <w:pStyle w:val="GesAbsatz"/>
              <w:jc w:val="left"/>
              <w:rPr>
                <w:rFonts w:cs="Arial"/>
              </w:rPr>
            </w:pPr>
            <w:r>
              <w:rPr>
                <w:rFonts w:cs="Arial"/>
              </w:rPr>
              <w:t>Königswasseraufschluss</w:t>
            </w:r>
          </w:p>
        </w:tc>
        <w:tc>
          <w:tcPr>
            <w:tcW w:w="3259" w:type="dxa"/>
          </w:tcPr>
          <w:p>
            <w:pPr>
              <w:pStyle w:val="GesAbsatz"/>
              <w:jc w:val="left"/>
              <w:rPr>
                <w:rFonts w:cs="Arial"/>
              </w:rPr>
            </w:pPr>
            <w:r>
              <w:rPr>
                <w:rFonts w:cs="Arial"/>
              </w:rPr>
              <w:t>DIN ISO 11466</w:t>
            </w:r>
          </w:p>
        </w:tc>
        <w:tc>
          <w:tcPr>
            <w:tcW w:w="3260" w:type="dxa"/>
          </w:tcPr>
          <w:p>
            <w:pPr>
              <w:pStyle w:val="GesAbsatz"/>
              <w:jc w:val="left"/>
              <w:rPr>
                <w:rFonts w:cs="Arial"/>
              </w:rPr>
            </w:pPr>
            <w:r>
              <w:rPr>
                <w:rFonts w:cs="Arial"/>
              </w:rPr>
              <w:t>(Juni 97)</w:t>
            </w:r>
          </w:p>
        </w:tc>
      </w:tr>
      <w:tr>
        <w:tc>
          <w:tcPr>
            <w:tcW w:w="3259" w:type="dxa"/>
          </w:tcPr>
          <w:p>
            <w:pPr>
              <w:pStyle w:val="GesAbsatz"/>
              <w:jc w:val="left"/>
              <w:rPr>
                <w:rFonts w:cs="Arial"/>
              </w:rPr>
            </w:pPr>
            <w:r>
              <w:rPr>
                <w:rFonts w:cs="Arial"/>
              </w:rPr>
              <w:t>Elution mit dest. Wasser</w:t>
            </w:r>
          </w:p>
        </w:tc>
        <w:tc>
          <w:tcPr>
            <w:tcW w:w="3259" w:type="dxa"/>
          </w:tcPr>
          <w:p>
            <w:pPr>
              <w:pStyle w:val="GesAbsatz"/>
              <w:jc w:val="left"/>
              <w:rPr>
                <w:rFonts w:cs="Arial"/>
              </w:rPr>
            </w:pPr>
            <w:r>
              <w:rPr>
                <w:rFonts w:cs="Arial"/>
              </w:rPr>
              <w:t>DIN EN 12457–4</w:t>
            </w:r>
          </w:p>
        </w:tc>
        <w:tc>
          <w:tcPr>
            <w:tcW w:w="3260" w:type="dxa"/>
          </w:tcPr>
          <w:p>
            <w:pPr>
              <w:pStyle w:val="GesAbsatz"/>
              <w:jc w:val="left"/>
              <w:rPr>
                <w:rFonts w:cs="Arial"/>
              </w:rPr>
            </w:pPr>
            <w:r>
              <w:rPr>
                <w:rFonts w:cs="Arial"/>
              </w:rPr>
              <w:t>(Entwurf Februar 2000)</w:t>
            </w:r>
          </w:p>
        </w:tc>
      </w:tr>
      <w:tr>
        <w:tc>
          <w:tcPr>
            <w:tcW w:w="3259" w:type="dxa"/>
          </w:tcPr>
          <w:p>
            <w:pPr>
              <w:pStyle w:val="GesAbsatz"/>
              <w:jc w:val="left"/>
              <w:rPr>
                <w:rFonts w:cs="Arial"/>
              </w:rPr>
            </w:pPr>
            <w:r>
              <w:rPr>
                <w:rFonts w:cs="Arial"/>
              </w:rPr>
              <w:t>pH - Wert</w:t>
            </w:r>
          </w:p>
        </w:tc>
        <w:tc>
          <w:tcPr>
            <w:tcW w:w="3259" w:type="dxa"/>
          </w:tcPr>
          <w:p>
            <w:pPr>
              <w:pStyle w:val="GesAbsatz"/>
              <w:jc w:val="left"/>
              <w:rPr>
                <w:rFonts w:cs="Arial"/>
              </w:rPr>
            </w:pPr>
            <w:r>
              <w:rPr>
                <w:rFonts w:cs="Arial"/>
              </w:rPr>
              <w:t>DIN ISO 10390</w:t>
            </w:r>
            <w:r>
              <w:rPr>
                <w:rFonts w:cs="Arial"/>
              </w:rPr>
              <w:br/>
              <w:t>und DIN 38 404-C5</w:t>
            </w:r>
          </w:p>
        </w:tc>
        <w:tc>
          <w:tcPr>
            <w:tcW w:w="3260" w:type="dxa"/>
          </w:tcPr>
          <w:p>
            <w:pPr>
              <w:pStyle w:val="GesAbsatz"/>
              <w:jc w:val="left"/>
              <w:rPr>
                <w:rFonts w:cs="Arial"/>
              </w:rPr>
            </w:pPr>
            <w:r>
              <w:rPr>
                <w:rFonts w:cs="Arial"/>
              </w:rPr>
              <w:t>(Mai 97)</w:t>
            </w:r>
            <w:r>
              <w:rPr>
                <w:rFonts w:cs="Arial"/>
              </w:rPr>
              <w:br/>
              <w:t>(Januar 84)</w:t>
            </w:r>
          </w:p>
        </w:tc>
      </w:tr>
      <w:tr>
        <w:tc>
          <w:tcPr>
            <w:tcW w:w="3259" w:type="dxa"/>
          </w:tcPr>
          <w:p>
            <w:pPr>
              <w:pStyle w:val="GesAbsatz"/>
              <w:jc w:val="left"/>
              <w:rPr>
                <w:rFonts w:cs="Arial"/>
              </w:rPr>
            </w:pPr>
            <w:r>
              <w:rPr>
                <w:rFonts w:cs="Arial"/>
              </w:rPr>
              <w:t>elektrische Leitfähigkeit</w:t>
            </w:r>
          </w:p>
        </w:tc>
        <w:tc>
          <w:tcPr>
            <w:tcW w:w="3259" w:type="dxa"/>
          </w:tcPr>
          <w:p>
            <w:pPr>
              <w:pStyle w:val="GesAbsatz"/>
              <w:jc w:val="left"/>
              <w:rPr>
                <w:rFonts w:cs="Arial"/>
              </w:rPr>
            </w:pPr>
            <w:r>
              <w:rPr>
                <w:rFonts w:cs="Arial"/>
              </w:rPr>
              <w:t>DIN EN 27888</w:t>
            </w:r>
          </w:p>
        </w:tc>
        <w:tc>
          <w:tcPr>
            <w:tcW w:w="3260" w:type="dxa"/>
          </w:tcPr>
          <w:p>
            <w:pPr>
              <w:pStyle w:val="GesAbsatz"/>
              <w:jc w:val="left"/>
              <w:rPr>
                <w:rFonts w:cs="Arial"/>
              </w:rPr>
            </w:pPr>
            <w:r>
              <w:rPr>
                <w:rFonts w:cs="Arial"/>
              </w:rPr>
              <w:t>(Nov. 93)</w:t>
            </w:r>
          </w:p>
        </w:tc>
      </w:tr>
      <w:tr>
        <w:tc>
          <w:tcPr>
            <w:tcW w:w="3259" w:type="dxa"/>
          </w:tcPr>
          <w:p>
            <w:pPr>
              <w:pStyle w:val="GesAbsatz"/>
              <w:jc w:val="left"/>
              <w:rPr>
                <w:rFonts w:cs="Arial"/>
              </w:rPr>
            </w:pPr>
            <w:r>
              <w:rPr>
                <w:rFonts w:cs="Arial"/>
              </w:rPr>
              <w:t>Arsen</w:t>
            </w:r>
          </w:p>
        </w:tc>
        <w:tc>
          <w:tcPr>
            <w:tcW w:w="3259" w:type="dxa"/>
          </w:tcPr>
          <w:p>
            <w:pPr>
              <w:pStyle w:val="GesAbsatz"/>
              <w:jc w:val="left"/>
              <w:rPr>
                <w:rFonts w:cs="Arial"/>
              </w:rPr>
            </w:pPr>
            <w:r>
              <w:rPr>
                <w:rFonts w:cs="Arial"/>
              </w:rPr>
              <w:t>nach DIN EN ISO 11969</w:t>
            </w:r>
            <w:r>
              <w:rPr>
                <w:rFonts w:cs="Arial"/>
              </w:rPr>
              <w:br/>
              <w:t>oder DIN EN ISO11885</w:t>
            </w:r>
          </w:p>
        </w:tc>
        <w:tc>
          <w:tcPr>
            <w:tcW w:w="3260" w:type="dxa"/>
          </w:tcPr>
          <w:p>
            <w:pPr>
              <w:pStyle w:val="GesAbsatz"/>
              <w:jc w:val="left"/>
              <w:rPr>
                <w:rFonts w:cs="Arial"/>
              </w:rPr>
            </w:pPr>
            <w:r>
              <w:rPr>
                <w:rFonts w:cs="Arial"/>
              </w:rPr>
              <w:t>(November 96)</w:t>
            </w:r>
            <w:r>
              <w:rPr>
                <w:rFonts w:cs="Arial"/>
              </w:rPr>
              <w:br/>
              <w:t>(April 98)</w:t>
            </w:r>
          </w:p>
        </w:tc>
      </w:tr>
      <w:tr>
        <w:tc>
          <w:tcPr>
            <w:tcW w:w="3259" w:type="dxa"/>
          </w:tcPr>
          <w:p>
            <w:pPr>
              <w:pStyle w:val="GesAbsatz"/>
              <w:jc w:val="left"/>
              <w:rPr>
                <w:rFonts w:cs="Arial"/>
              </w:rPr>
            </w:pPr>
            <w:r>
              <w:rPr>
                <w:rFonts w:cs="Arial"/>
              </w:rPr>
              <w:t>Blei</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38406-E 6 – 1</w:t>
            </w:r>
            <w:r>
              <w:rPr>
                <w:rFonts w:cs="Arial"/>
              </w:rPr>
              <w:br/>
              <w:t>oder DIN 38406-E 6 – 2</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(Juli 98)</w:t>
            </w:r>
            <w:r>
              <w:rPr>
                <w:rFonts w:cs="Arial"/>
              </w:rPr>
              <w:br/>
              <w:t>(Juli 98)</w:t>
            </w:r>
            <w:r>
              <w:rPr>
                <w:rFonts w:cs="Arial"/>
              </w:rPr>
              <w:br/>
              <w:t>(Mai 99)</w:t>
            </w:r>
          </w:p>
        </w:tc>
      </w:tr>
      <w:tr>
        <w:tc>
          <w:tcPr>
            <w:tcW w:w="3259" w:type="dxa"/>
          </w:tcPr>
          <w:p>
            <w:pPr>
              <w:pStyle w:val="GesAbsatz"/>
              <w:jc w:val="left"/>
              <w:rPr>
                <w:rFonts w:cs="Arial"/>
              </w:rPr>
            </w:pPr>
            <w:r>
              <w:rPr>
                <w:rFonts w:cs="Arial"/>
              </w:rPr>
              <w:t>Cadmium</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EN ISO 5961 Abs. 2</w:t>
            </w:r>
            <w:r>
              <w:rPr>
                <w:rFonts w:cs="Arial"/>
              </w:rPr>
              <w:br/>
              <w:t>oder DIN EN ISO 5961 Abs. 3</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(Mai 95)</w:t>
            </w:r>
            <w:r>
              <w:rPr>
                <w:rFonts w:cs="Arial"/>
              </w:rPr>
              <w:br/>
              <w:t>(Mai 95)</w:t>
            </w:r>
            <w:r>
              <w:rPr>
                <w:rFonts w:cs="Arial"/>
              </w:rPr>
              <w:br/>
              <w:t>(Mai 99)</w:t>
            </w:r>
          </w:p>
        </w:tc>
      </w:tr>
      <w:tr>
        <w:tc>
          <w:tcPr>
            <w:tcW w:w="3259" w:type="dxa"/>
          </w:tcPr>
          <w:p>
            <w:pPr>
              <w:pStyle w:val="GesAbsatz"/>
              <w:jc w:val="left"/>
              <w:rPr>
                <w:rFonts w:cs="Arial"/>
              </w:rPr>
            </w:pPr>
            <w:r>
              <w:rPr>
                <w:rFonts w:cs="Arial"/>
              </w:rPr>
              <w:t>Chrom</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EN 1233 Abschn. 3</w:t>
            </w:r>
            <w:r>
              <w:rPr>
                <w:rFonts w:cs="Arial"/>
              </w:rPr>
              <w:br/>
              <w:t>oder DIN EN 1233 Abschn. 4</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(August 96)</w:t>
            </w:r>
            <w:r>
              <w:rPr>
                <w:rFonts w:cs="Arial"/>
              </w:rPr>
              <w:br/>
              <w:t>(August 96)</w:t>
            </w:r>
            <w:r>
              <w:rPr>
                <w:rFonts w:cs="Arial"/>
              </w:rPr>
              <w:br/>
              <w:t>(Mai 99)</w:t>
            </w:r>
          </w:p>
        </w:tc>
      </w:tr>
      <w:tr>
        <w:tc>
          <w:tcPr>
            <w:tcW w:w="3259" w:type="dxa"/>
          </w:tcPr>
          <w:p>
            <w:pPr>
              <w:pStyle w:val="GesAbsatz"/>
              <w:jc w:val="left"/>
              <w:rPr>
                <w:rFonts w:cs="Arial"/>
              </w:rPr>
            </w:pPr>
            <w:r>
              <w:rPr>
                <w:rFonts w:cs="Arial"/>
              </w:rPr>
              <w:lastRenderedPageBreak/>
              <w:t>Chrom VI</w:t>
            </w:r>
          </w:p>
        </w:tc>
        <w:tc>
          <w:tcPr>
            <w:tcW w:w="3259" w:type="dxa"/>
          </w:tcPr>
          <w:p>
            <w:pPr>
              <w:pStyle w:val="GesAbsatz"/>
              <w:jc w:val="left"/>
              <w:rPr>
                <w:rFonts w:cs="Arial"/>
              </w:rPr>
            </w:pPr>
            <w:r>
              <w:rPr>
                <w:rFonts w:cs="Arial"/>
              </w:rPr>
              <w:t>nach DIN 38 405-D24</w:t>
            </w:r>
          </w:p>
        </w:tc>
        <w:tc>
          <w:tcPr>
            <w:tcW w:w="3260" w:type="dxa"/>
          </w:tcPr>
          <w:p>
            <w:pPr>
              <w:pStyle w:val="GesAbsatz"/>
              <w:jc w:val="left"/>
              <w:rPr>
                <w:rFonts w:cs="Arial"/>
              </w:rPr>
            </w:pPr>
            <w:r>
              <w:rPr>
                <w:rFonts w:cs="Arial"/>
              </w:rPr>
              <w:t>(Mai 87)</w:t>
            </w:r>
          </w:p>
        </w:tc>
      </w:tr>
      <w:tr>
        <w:tc>
          <w:tcPr>
            <w:tcW w:w="3259" w:type="dxa"/>
          </w:tcPr>
          <w:p>
            <w:pPr>
              <w:pStyle w:val="GesAbsatz"/>
              <w:jc w:val="left"/>
              <w:rPr>
                <w:rFonts w:cs="Arial"/>
              </w:rPr>
            </w:pPr>
            <w:r>
              <w:rPr>
                <w:rFonts w:cs="Arial"/>
              </w:rPr>
              <w:t>Kupfer</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38406–E 7 – 1</w:t>
            </w:r>
            <w:r>
              <w:rPr>
                <w:rFonts w:cs="Arial"/>
              </w:rPr>
              <w:br/>
              <w:t>oder DIN 38406–E 7 – 2</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(September 91)</w:t>
            </w:r>
            <w:r>
              <w:rPr>
                <w:rFonts w:cs="Arial"/>
              </w:rPr>
              <w:br/>
              <w:t>(September 91)</w:t>
            </w:r>
            <w:r>
              <w:rPr>
                <w:rFonts w:cs="Arial"/>
              </w:rPr>
              <w:br/>
              <w:t>(Mai 99)</w:t>
            </w:r>
          </w:p>
        </w:tc>
      </w:tr>
      <w:tr>
        <w:tc>
          <w:tcPr>
            <w:tcW w:w="3259" w:type="dxa"/>
          </w:tcPr>
          <w:p>
            <w:pPr>
              <w:pStyle w:val="GesAbsatz"/>
              <w:jc w:val="left"/>
              <w:rPr>
                <w:rFonts w:cs="Arial"/>
              </w:rPr>
            </w:pPr>
            <w:r>
              <w:rPr>
                <w:rFonts w:cs="Arial"/>
              </w:rPr>
              <w:t>Nickel</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38406-E 11 – 1</w:t>
            </w:r>
            <w:r>
              <w:rPr>
                <w:rFonts w:cs="Arial"/>
              </w:rPr>
              <w:br/>
              <w:t>oder DIN 38406-E 11 – 2</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(September 91)</w:t>
            </w:r>
            <w:r>
              <w:rPr>
                <w:rFonts w:cs="Arial"/>
              </w:rPr>
              <w:br/>
              <w:t>(September 91)</w:t>
            </w:r>
            <w:r>
              <w:rPr>
                <w:rFonts w:cs="Arial"/>
              </w:rPr>
              <w:br/>
              <w:t>(Mai 99)</w:t>
            </w:r>
          </w:p>
        </w:tc>
      </w:tr>
      <w:tr>
        <w:tc>
          <w:tcPr>
            <w:tcW w:w="3259" w:type="dxa"/>
          </w:tcPr>
          <w:p>
            <w:pPr>
              <w:pStyle w:val="GesAbsatz"/>
              <w:jc w:val="left"/>
              <w:rPr>
                <w:rFonts w:cs="Arial"/>
              </w:rPr>
            </w:pPr>
            <w:r>
              <w:rPr>
                <w:rFonts w:cs="Arial"/>
              </w:rPr>
              <w:t>Quecksilber</w:t>
            </w:r>
          </w:p>
        </w:tc>
        <w:tc>
          <w:tcPr>
            <w:tcW w:w="3259" w:type="dxa"/>
          </w:tcPr>
          <w:p>
            <w:pPr>
              <w:pStyle w:val="GesAbsatz"/>
              <w:jc w:val="left"/>
              <w:rPr>
                <w:rFonts w:cs="Arial"/>
              </w:rPr>
            </w:pPr>
            <w:r>
              <w:rPr>
                <w:rFonts w:cs="Arial"/>
              </w:rPr>
              <w:t>nach DIN EN 1483</w:t>
            </w:r>
            <w:r>
              <w:rPr>
                <w:rFonts w:cs="Arial"/>
              </w:rPr>
              <w:br/>
              <w:t>oder DIN EN 12 338</w:t>
            </w:r>
          </w:p>
        </w:tc>
        <w:tc>
          <w:tcPr>
            <w:tcW w:w="3260" w:type="dxa"/>
          </w:tcPr>
          <w:p>
            <w:pPr>
              <w:pStyle w:val="GesAbsatz"/>
              <w:jc w:val="left"/>
              <w:rPr>
                <w:rFonts w:cs="Arial"/>
              </w:rPr>
            </w:pPr>
            <w:r>
              <w:rPr>
                <w:rFonts w:cs="Arial"/>
              </w:rPr>
              <w:t>(August 97)</w:t>
            </w:r>
            <w:r>
              <w:rPr>
                <w:rFonts w:cs="Arial"/>
              </w:rPr>
              <w:br/>
              <w:t>(Oktober 98)</w:t>
            </w:r>
          </w:p>
        </w:tc>
      </w:tr>
      <w:tr>
        <w:tc>
          <w:tcPr>
            <w:tcW w:w="3259" w:type="dxa"/>
          </w:tcPr>
          <w:p>
            <w:pPr>
              <w:pStyle w:val="GesAbsatz"/>
              <w:jc w:val="left"/>
              <w:rPr>
                <w:rFonts w:cs="Arial"/>
              </w:rPr>
            </w:pPr>
            <w:r>
              <w:rPr>
                <w:rFonts w:cs="Arial"/>
              </w:rPr>
              <w:t>Zink</w:t>
            </w:r>
          </w:p>
        </w:tc>
        <w:tc>
          <w:tcPr>
            <w:tcW w:w="3259" w:type="dxa"/>
          </w:tcPr>
          <w:p>
            <w:pPr>
              <w:pStyle w:val="GesAbsatz"/>
              <w:jc w:val="left"/>
              <w:rPr>
                <w:rFonts w:cs="Arial"/>
              </w:rPr>
            </w:pPr>
            <w:r>
              <w:rPr>
                <w:rFonts w:cs="Arial"/>
              </w:rPr>
              <w:t>nach DIN ISO 11047</w:t>
            </w:r>
            <w:r>
              <w:rPr>
                <w:rFonts w:cs="Arial"/>
              </w:rPr>
              <w:br/>
              <w:t>oder DIN EN ISO 11885</w:t>
            </w:r>
            <w:r>
              <w:rPr>
                <w:rFonts w:cs="Arial"/>
              </w:rPr>
              <w:br/>
              <w:t>oder DIN 38406-E 8 – 1</w:t>
            </w:r>
            <w:r>
              <w:rPr>
                <w:rFonts w:cs="Arial"/>
              </w:rPr>
              <w:br/>
              <w:t>oder DIN 38406–E 29</w:t>
            </w:r>
          </w:p>
        </w:tc>
        <w:tc>
          <w:tcPr>
            <w:tcW w:w="3260" w:type="dxa"/>
          </w:tcPr>
          <w:p>
            <w:pPr>
              <w:pStyle w:val="GesAbsatz"/>
              <w:jc w:val="left"/>
              <w:rPr>
                <w:rFonts w:cs="Arial"/>
              </w:rPr>
            </w:pPr>
            <w:r>
              <w:rPr>
                <w:rFonts w:cs="Arial"/>
              </w:rPr>
              <w:t>(Entwurf Juni 95)</w:t>
            </w:r>
            <w:r>
              <w:rPr>
                <w:rFonts w:cs="Arial"/>
              </w:rPr>
              <w:br/>
              <w:t>(April 98)</w:t>
            </w:r>
            <w:r>
              <w:rPr>
                <w:rFonts w:cs="Arial"/>
              </w:rPr>
              <w:br/>
              <w:t>(Oktober 80)</w:t>
            </w:r>
            <w:r>
              <w:rPr>
                <w:rFonts w:cs="Arial"/>
              </w:rPr>
              <w:br/>
              <w:t>(Mai 99)</w:t>
            </w:r>
          </w:p>
        </w:tc>
      </w:tr>
      <w:tr>
        <w:tc>
          <w:tcPr>
            <w:tcW w:w="3259" w:type="dxa"/>
          </w:tcPr>
          <w:p>
            <w:pPr>
              <w:pStyle w:val="GesAbsatz"/>
              <w:jc w:val="left"/>
              <w:rPr>
                <w:rFonts w:cs="Arial"/>
              </w:rPr>
            </w:pPr>
            <w:r>
              <w:rPr>
                <w:rFonts w:cs="Arial"/>
              </w:rPr>
              <w:t>Chlorid</w:t>
            </w:r>
          </w:p>
        </w:tc>
        <w:tc>
          <w:tcPr>
            <w:tcW w:w="3259" w:type="dxa"/>
          </w:tcPr>
          <w:p>
            <w:pPr>
              <w:pStyle w:val="GesAbsatz"/>
              <w:jc w:val="left"/>
              <w:rPr>
                <w:rFonts w:cs="Arial"/>
              </w:rPr>
            </w:pPr>
            <w:r>
              <w:rPr>
                <w:rFonts w:cs="Arial"/>
              </w:rPr>
              <w:t>nach DIN EN ISO 10304-2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Cyanid</w:t>
            </w:r>
          </w:p>
        </w:tc>
        <w:tc>
          <w:tcPr>
            <w:tcW w:w="3259" w:type="dxa"/>
          </w:tcPr>
          <w:p>
            <w:pPr>
              <w:pStyle w:val="GesAbsatz"/>
              <w:jc w:val="left"/>
              <w:rPr>
                <w:rFonts w:cs="Arial"/>
              </w:rPr>
            </w:pPr>
            <w:r>
              <w:rPr>
                <w:rFonts w:cs="Arial"/>
              </w:rPr>
              <w:t>nach LAGA CN 2/79</w:t>
            </w:r>
            <w:r>
              <w:rPr>
                <w:rFonts w:cs="Arial"/>
              </w:rPr>
              <w:br/>
              <w:t>oder DIN ISO 11 262</w:t>
            </w:r>
          </w:p>
        </w:tc>
        <w:tc>
          <w:tcPr>
            <w:tcW w:w="3260" w:type="dxa"/>
          </w:tcPr>
          <w:p>
            <w:pPr>
              <w:pStyle w:val="GesAbsatz"/>
              <w:jc w:val="left"/>
              <w:rPr>
                <w:rFonts w:cs="Arial"/>
              </w:rPr>
            </w:pPr>
            <w:r>
              <w:rPr>
                <w:rFonts w:cs="Arial"/>
              </w:rPr>
              <w:t>(Dezember 83)</w:t>
            </w:r>
            <w:r>
              <w:rPr>
                <w:rFonts w:cs="Arial"/>
              </w:rPr>
              <w:br/>
              <w:t>(Juni 94)</w:t>
            </w:r>
          </w:p>
        </w:tc>
      </w:tr>
      <w:tr>
        <w:tc>
          <w:tcPr>
            <w:tcW w:w="3259" w:type="dxa"/>
          </w:tcPr>
          <w:p>
            <w:pPr>
              <w:pStyle w:val="GesAbsatz"/>
              <w:jc w:val="left"/>
              <w:rPr>
                <w:rFonts w:cs="Arial"/>
              </w:rPr>
            </w:pPr>
            <w:r>
              <w:rPr>
                <w:rFonts w:cs="Arial"/>
              </w:rPr>
              <w:t>Nitrat</w:t>
            </w:r>
          </w:p>
        </w:tc>
        <w:tc>
          <w:tcPr>
            <w:tcW w:w="3259" w:type="dxa"/>
          </w:tcPr>
          <w:p>
            <w:pPr>
              <w:pStyle w:val="GesAbsatz"/>
              <w:jc w:val="left"/>
              <w:rPr>
                <w:rFonts w:cs="Arial"/>
              </w:rPr>
            </w:pPr>
            <w:r>
              <w:rPr>
                <w:rFonts w:cs="Arial"/>
              </w:rPr>
              <w:t>nach DIN EN ISO 10 304-2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Sulfat</w:t>
            </w:r>
          </w:p>
        </w:tc>
        <w:tc>
          <w:tcPr>
            <w:tcW w:w="3259" w:type="dxa"/>
          </w:tcPr>
          <w:p>
            <w:pPr>
              <w:pStyle w:val="GesAbsatz"/>
              <w:jc w:val="left"/>
              <w:rPr>
                <w:rFonts w:cs="Arial"/>
              </w:rPr>
            </w:pPr>
            <w:r>
              <w:rPr>
                <w:rFonts w:cs="Arial"/>
              </w:rPr>
              <w:t>nach DIN EN ISO 10 304-2</w:t>
            </w:r>
          </w:p>
        </w:tc>
        <w:tc>
          <w:tcPr>
            <w:tcW w:w="3260" w:type="dxa"/>
          </w:tcPr>
          <w:p>
            <w:pPr>
              <w:pStyle w:val="GesAbsatz"/>
              <w:jc w:val="left"/>
              <w:rPr>
                <w:rFonts w:cs="Arial"/>
              </w:rPr>
            </w:pPr>
            <w:r>
              <w:rPr>
                <w:rFonts w:cs="Arial"/>
              </w:rPr>
              <w:t>(November 96)</w:t>
            </w:r>
          </w:p>
        </w:tc>
      </w:tr>
      <w:tr>
        <w:tc>
          <w:tcPr>
            <w:tcW w:w="9778" w:type="dxa"/>
            <w:gridSpan w:val="3"/>
          </w:tcPr>
          <w:p>
            <w:pPr>
              <w:pStyle w:val="GesAbsatz"/>
              <w:jc w:val="left"/>
              <w:rPr>
                <w:rFonts w:cs="Arial"/>
              </w:rPr>
            </w:pPr>
            <w:r>
              <w:rPr>
                <w:rFonts w:cs="Arial"/>
                <w:b/>
              </w:rPr>
              <w:t>Teilbereich 1b: Sonderuntersuchungsparameter und -verfahren für Abfall zur energetischen Verwertung</w:t>
            </w:r>
            <w:r>
              <w:rPr>
                <w:rFonts w:cs="Arial"/>
                <w:b/>
              </w:rPr>
              <w:br/>
            </w:r>
            <w:r>
              <w:rPr>
                <w:rFonts w:cs="Arial"/>
              </w:rPr>
              <w:t>(Zulassung nur zusammen mit Teilbereich 1a)</w:t>
            </w:r>
          </w:p>
        </w:tc>
      </w:tr>
      <w:tr>
        <w:tc>
          <w:tcPr>
            <w:tcW w:w="3259" w:type="dxa"/>
          </w:tcPr>
          <w:p>
            <w:pPr>
              <w:pStyle w:val="GesAbsatz"/>
              <w:jc w:val="left"/>
              <w:rPr>
                <w:rFonts w:cs="Arial"/>
              </w:rPr>
            </w:pPr>
            <w:r>
              <w:rPr>
                <w:rFonts w:cs="Arial"/>
              </w:rPr>
              <w:t>Heizwert</w:t>
            </w:r>
          </w:p>
        </w:tc>
        <w:tc>
          <w:tcPr>
            <w:tcW w:w="3259" w:type="dxa"/>
          </w:tcPr>
          <w:p>
            <w:pPr>
              <w:pStyle w:val="GesAbsatz"/>
              <w:jc w:val="left"/>
              <w:rPr>
                <w:rFonts w:cs="Arial"/>
              </w:rPr>
            </w:pPr>
            <w:r>
              <w:rPr>
                <w:rFonts w:cs="Arial"/>
              </w:rPr>
              <w:t>nach DIN 51 900-1</w:t>
            </w:r>
          </w:p>
        </w:tc>
        <w:tc>
          <w:tcPr>
            <w:tcW w:w="3260" w:type="dxa"/>
          </w:tcPr>
          <w:p>
            <w:pPr>
              <w:pStyle w:val="GesAbsatz"/>
              <w:jc w:val="left"/>
              <w:rPr>
                <w:rFonts w:cs="Arial"/>
              </w:rPr>
            </w:pPr>
            <w:r>
              <w:rPr>
                <w:rFonts w:cs="Arial"/>
              </w:rPr>
              <w:t>(April 2000)</w:t>
            </w:r>
          </w:p>
        </w:tc>
      </w:tr>
      <w:tr>
        <w:tc>
          <w:tcPr>
            <w:tcW w:w="3259" w:type="dxa"/>
          </w:tcPr>
          <w:p>
            <w:pPr>
              <w:pStyle w:val="GesAbsatz"/>
              <w:jc w:val="left"/>
              <w:rPr>
                <w:rFonts w:cs="Arial"/>
              </w:rPr>
            </w:pPr>
            <w:r>
              <w:rPr>
                <w:rFonts w:cs="Arial"/>
              </w:rPr>
              <w:t>Flammpunkt</w:t>
            </w:r>
          </w:p>
        </w:tc>
        <w:tc>
          <w:tcPr>
            <w:tcW w:w="3259" w:type="dxa"/>
          </w:tcPr>
          <w:p>
            <w:pPr>
              <w:pStyle w:val="GesAbsatz"/>
              <w:jc w:val="left"/>
              <w:rPr>
                <w:rFonts w:cs="Arial"/>
              </w:rPr>
            </w:pPr>
            <w:r>
              <w:rPr>
                <w:rFonts w:cs="Arial"/>
              </w:rPr>
              <w:t>nach DIN EN 22719</w:t>
            </w:r>
          </w:p>
        </w:tc>
        <w:tc>
          <w:tcPr>
            <w:tcW w:w="3260" w:type="dxa"/>
          </w:tcPr>
          <w:p>
            <w:pPr>
              <w:pStyle w:val="GesAbsatz"/>
              <w:jc w:val="left"/>
              <w:rPr>
                <w:rFonts w:cs="Arial"/>
              </w:rPr>
            </w:pPr>
            <w:r>
              <w:rPr>
                <w:rFonts w:cs="Arial"/>
              </w:rPr>
              <w:t>(Dezember 1993)</w:t>
            </w:r>
          </w:p>
        </w:tc>
      </w:tr>
      <w:tr>
        <w:tc>
          <w:tcPr>
            <w:tcW w:w="3259" w:type="dxa"/>
          </w:tcPr>
          <w:p>
            <w:pPr>
              <w:pStyle w:val="GesAbsatz"/>
              <w:jc w:val="left"/>
              <w:rPr>
                <w:rFonts w:cs="Arial"/>
              </w:rPr>
            </w:pPr>
            <w:r>
              <w:rPr>
                <w:rFonts w:cs="Arial"/>
              </w:rPr>
              <w:t>extrahierbare organische Halogenverbindungen (EOX)</w:t>
            </w:r>
          </w:p>
        </w:tc>
        <w:tc>
          <w:tcPr>
            <w:tcW w:w="3259" w:type="dxa"/>
          </w:tcPr>
          <w:p>
            <w:pPr>
              <w:pStyle w:val="GesAbsatz"/>
              <w:jc w:val="left"/>
              <w:rPr>
                <w:rFonts w:cs="Arial"/>
              </w:rPr>
            </w:pPr>
            <w:r>
              <w:rPr>
                <w:rFonts w:cs="Arial"/>
              </w:rPr>
              <w:t xml:space="preserve">analog DIN 38 414-S17 </w:t>
            </w:r>
            <w:r>
              <w:rPr>
                <w:rStyle w:val="Funotenzeichen"/>
                <w:rFonts w:cs="Arial"/>
              </w:rPr>
              <w:footnoteReference w:id="3"/>
            </w:r>
            <w:r>
              <w:rPr>
                <w:rFonts w:cs="Arial"/>
              </w:rPr>
              <w:br/>
              <w:t>Kap. 8.2.3</w:t>
            </w:r>
          </w:p>
        </w:tc>
        <w:tc>
          <w:tcPr>
            <w:tcW w:w="3260" w:type="dxa"/>
          </w:tcPr>
          <w:p>
            <w:pPr>
              <w:pStyle w:val="GesAbsatz"/>
              <w:jc w:val="left"/>
              <w:rPr>
                <w:rFonts w:cs="Arial"/>
              </w:rPr>
            </w:pPr>
            <w:r>
              <w:rPr>
                <w:rFonts w:cs="Arial"/>
              </w:rPr>
              <w:t>(November 89)</w:t>
            </w:r>
          </w:p>
        </w:tc>
      </w:tr>
      <w:tr>
        <w:tc>
          <w:tcPr>
            <w:tcW w:w="3259" w:type="dxa"/>
          </w:tcPr>
          <w:p>
            <w:pPr>
              <w:pStyle w:val="GesAbsatz"/>
              <w:jc w:val="left"/>
              <w:rPr>
                <w:rFonts w:cs="Arial"/>
              </w:rPr>
            </w:pPr>
            <w:r>
              <w:rPr>
                <w:rFonts w:cs="Arial"/>
              </w:rPr>
              <w:t>Chlor gesamt</w:t>
            </w:r>
          </w:p>
        </w:tc>
        <w:tc>
          <w:tcPr>
            <w:tcW w:w="3259" w:type="dxa"/>
          </w:tcPr>
          <w:p>
            <w:pPr>
              <w:pStyle w:val="GesAbsatz"/>
              <w:jc w:val="left"/>
              <w:rPr>
                <w:rFonts w:cs="Arial"/>
              </w:rPr>
            </w:pPr>
            <w:r>
              <w:rPr>
                <w:rFonts w:cs="Arial"/>
              </w:rPr>
              <w:t>analog DIN EN 24 260</w:t>
            </w:r>
          </w:p>
        </w:tc>
        <w:tc>
          <w:tcPr>
            <w:tcW w:w="3260" w:type="dxa"/>
          </w:tcPr>
          <w:p>
            <w:pPr>
              <w:pStyle w:val="GesAbsatz"/>
              <w:jc w:val="left"/>
              <w:rPr>
                <w:rFonts w:cs="Arial"/>
              </w:rPr>
            </w:pPr>
            <w:r>
              <w:rPr>
                <w:rFonts w:cs="Arial"/>
              </w:rPr>
              <w:t>(Mai 94)</w:t>
            </w:r>
          </w:p>
        </w:tc>
      </w:tr>
      <w:tr>
        <w:tc>
          <w:tcPr>
            <w:tcW w:w="3259" w:type="dxa"/>
          </w:tcPr>
          <w:p>
            <w:pPr>
              <w:pStyle w:val="GesAbsatz"/>
              <w:jc w:val="left"/>
              <w:rPr>
                <w:rFonts w:cs="Arial"/>
              </w:rPr>
            </w:pPr>
            <w:r>
              <w:rPr>
                <w:rFonts w:cs="Arial"/>
              </w:rPr>
              <w:t>Schwefel gesamt</w:t>
            </w:r>
          </w:p>
        </w:tc>
        <w:tc>
          <w:tcPr>
            <w:tcW w:w="3259" w:type="dxa"/>
          </w:tcPr>
          <w:p>
            <w:pPr>
              <w:pStyle w:val="GesAbsatz"/>
              <w:jc w:val="left"/>
              <w:rPr>
                <w:rFonts w:cs="Arial"/>
              </w:rPr>
            </w:pPr>
            <w:r>
              <w:rPr>
                <w:rFonts w:cs="Arial"/>
              </w:rPr>
              <w:t>nach DIN EN 24 260</w:t>
            </w:r>
          </w:p>
        </w:tc>
        <w:tc>
          <w:tcPr>
            <w:tcW w:w="3260" w:type="dxa"/>
          </w:tcPr>
          <w:p>
            <w:pPr>
              <w:pStyle w:val="GesAbsatz"/>
              <w:jc w:val="left"/>
              <w:rPr>
                <w:rFonts w:cs="Arial"/>
              </w:rPr>
            </w:pPr>
            <w:r>
              <w:rPr>
                <w:rFonts w:cs="Arial"/>
              </w:rPr>
              <w:t>(Mai 94)</w:t>
            </w:r>
          </w:p>
        </w:tc>
      </w:tr>
      <w:tr>
        <w:tc>
          <w:tcPr>
            <w:tcW w:w="9778" w:type="dxa"/>
            <w:gridSpan w:val="3"/>
          </w:tcPr>
          <w:p>
            <w:pPr>
              <w:pStyle w:val="GesAbsatz"/>
              <w:jc w:val="left"/>
              <w:rPr>
                <w:rFonts w:cs="Arial"/>
              </w:rPr>
            </w:pPr>
            <w:r>
              <w:rPr>
                <w:rFonts w:cs="Arial"/>
                <w:b/>
              </w:rPr>
              <w:t>Teilbereich 1c: Sonderuntersuchungsparameter und -verfahren für Abfall aus der mechanisch-biologischen Restabfallbehandlung</w:t>
            </w:r>
            <w:r>
              <w:rPr>
                <w:rFonts w:cs="Arial"/>
                <w:b/>
              </w:rPr>
              <w:br/>
            </w:r>
            <w:r>
              <w:rPr>
                <w:rFonts w:cs="Arial"/>
              </w:rPr>
              <w:t>(Zulassung nur zusammen mit Teilbereich 1a)</w:t>
            </w:r>
          </w:p>
        </w:tc>
      </w:tr>
      <w:tr>
        <w:tc>
          <w:tcPr>
            <w:tcW w:w="3259" w:type="dxa"/>
          </w:tcPr>
          <w:p>
            <w:pPr>
              <w:pStyle w:val="GesAbsatz"/>
              <w:jc w:val="left"/>
              <w:rPr>
                <w:rFonts w:cs="Arial"/>
              </w:rPr>
            </w:pPr>
            <w:r>
              <w:rPr>
                <w:rFonts w:cs="Arial"/>
              </w:rPr>
              <w:t>Biologische Abbaubarkeit des Trockenrückstands der Originalsubstanz Atmungsaktivität (AT</w:t>
            </w:r>
            <w:r>
              <w:rPr>
                <w:rFonts w:cs="Arial"/>
                <w:vertAlign w:val="subscript"/>
              </w:rPr>
              <w:t>4</w:t>
            </w:r>
            <w:r>
              <w:rPr>
                <w:rFonts w:cs="Arial"/>
              </w:rPr>
              <w:t>)</w:t>
            </w:r>
          </w:p>
        </w:tc>
        <w:tc>
          <w:tcPr>
            <w:tcW w:w="3259" w:type="dxa"/>
          </w:tcPr>
          <w:p>
            <w:pPr>
              <w:pStyle w:val="GesAbsatz"/>
              <w:jc w:val="left"/>
              <w:rPr>
                <w:rFonts w:cs="Arial"/>
              </w:rPr>
            </w:pPr>
            <w:r>
              <w:rPr>
                <w:rFonts w:cs="Arial"/>
              </w:rPr>
              <w:t xml:space="preserve">nach AbfAblV </w:t>
            </w:r>
            <w:bookmarkStart w:id="21" w:name="_Ref100723513"/>
            <w:r>
              <w:rPr>
                <w:rStyle w:val="Funotenzeichen"/>
                <w:rFonts w:cs="Arial"/>
              </w:rPr>
              <w:footnoteReference w:id="4"/>
            </w:r>
            <w:bookmarkEnd w:id="21"/>
            <w:r>
              <w:rPr>
                <w:rFonts w:cs="Arial"/>
              </w:rPr>
              <w:t xml:space="preserve"> Nr. 2.5</w:t>
            </w:r>
          </w:p>
        </w:tc>
        <w:tc>
          <w:tcPr>
            <w:tcW w:w="3260" w:type="dxa"/>
          </w:tcPr>
          <w:p>
            <w:pPr>
              <w:pStyle w:val="GesAbsatz"/>
              <w:jc w:val="left"/>
              <w:rPr>
                <w:rFonts w:cs="Arial"/>
              </w:rPr>
            </w:pPr>
            <w:r>
              <w:rPr>
                <w:rFonts w:cs="Arial"/>
              </w:rPr>
              <w:t>(Februar 2001)</w:t>
            </w:r>
          </w:p>
        </w:tc>
      </w:tr>
      <w:tr>
        <w:tc>
          <w:tcPr>
            <w:tcW w:w="3259" w:type="dxa"/>
          </w:tcPr>
          <w:p>
            <w:pPr>
              <w:pStyle w:val="GesAbsatz"/>
              <w:jc w:val="left"/>
              <w:rPr>
                <w:rFonts w:cs="Arial"/>
              </w:rPr>
            </w:pPr>
            <w:r>
              <w:rPr>
                <w:rFonts w:cs="Arial"/>
              </w:rPr>
              <w:t>Wasserlöslicher Anteil des Trockenrückstandes der Originalsubstanz bestimmt über Filtrattrockenrückstand des Eluates</w:t>
            </w:r>
          </w:p>
        </w:tc>
        <w:tc>
          <w:tcPr>
            <w:tcW w:w="3259" w:type="dxa"/>
          </w:tcPr>
          <w:p>
            <w:pPr>
              <w:pStyle w:val="GesAbsatz"/>
              <w:jc w:val="left"/>
              <w:rPr>
                <w:rFonts w:cs="Arial"/>
              </w:rPr>
            </w:pPr>
            <w:r>
              <w:rPr>
                <w:rFonts w:cs="Arial"/>
              </w:rPr>
              <w:t>nach DIN 38904 – H 1-2</w:t>
            </w:r>
          </w:p>
        </w:tc>
        <w:tc>
          <w:tcPr>
            <w:tcW w:w="3260" w:type="dxa"/>
          </w:tcPr>
          <w:p>
            <w:pPr>
              <w:pStyle w:val="GesAbsatz"/>
              <w:jc w:val="left"/>
              <w:rPr>
                <w:rFonts w:cs="Arial"/>
              </w:rPr>
            </w:pPr>
            <w:r>
              <w:rPr>
                <w:rFonts w:cs="Arial"/>
              </w:rPr>
              <w:t>(Januar 87)</w:t>
            </w:r>
          </w:p>
        </w:tc>
      </w:tr>
      <w:tr>
        <w:tc>
          <w:tcPr>
            <w:tcW w:w="3259" w:type="dxa"/>
          </w:tcPr>
          <w:p>
            <w:pPr>
              <w:pStyle w:val="GesAbsatz"/>
              <w:jc w:val="left"/>
              <w:rPr>
                <w:rFonts w:cs="Arial"/>
              </w:rPr>
            </w:pPr>
            <w:r>
              <w:rPr>
                <w:rFonts w:cs="Arial"/>
              </w:rPr>
              <w:t>Gasbildung (GB</w:t>
            </w:r>
            <w:r>
              <w:rPr>
                <w:rFonts w:cs="Arial"/>
                <w:vertAlign w:val="subscript"/>
              </w:rPr>
              <w:t>21</w:t>
            </w:r>
            <w:r>
              <w:rPr>
                <w:rFonts w:cs="Arial"/>
              </w:rPr>
              <w:t>)</w:t>
            </w:r>
          </w:p>
        </w:tc>
        <w:tc>
          <w:tcPr>
            <w:tcW w:w="3259" w:type="dxa"/>
          </w:tcPr>
          <w:p>
            <w:pPr>
              <w:pStyle w:val="GesAbsatz"/>
              <w:jc w:val="left"/>
              <w:rPr>
                <w:rFonts w:cs="Arial"/>
              </w:rPr>
            </w:pPr>
            <w:r>
              <w:rPr>
                <w:rFonts w:cs="Arial"/>
              </w:rPr>
              <w:t xml:space="preserve">nach AbfAblV </w:t>
            </w:r>
            <w:r>
              <w:rPr>
                <w:rFonts w:cs="Arial"/>
                <w:vertAlign w:val="superscript"/>
              </w:rPr>
              <w:fldChar w:fldCharType="begin"/>
            </w:r>
            <w:r>
              <w:rPr>
                <w:rFonts w:cs="Arial"/>
                <w:vertAlign w:val="superscript"/>
              </w:rPr>
              <w:instrText xml:space="preserve"> NOTEREF _Ref100723513 \h  \* MERGEFORMAT </w:instrText>
            </w:r>
            <w:r>
              <w:rPr>
                <w:rFonts w:cs="Arial"/>
                <w:vertAlign w:val="superscript"/>
              </w:rPr>
            </w:r>
            <w:r>
              <w:rPr>
                <w:rFonts w:cs="Arial"/>
                <w:vertAlign w:val="superscript"/>
              </w:rPr>
              <w:fldChar w:fldCharType="separate"/>
            </w:r>
            <w:r>
              <w:rPr>
                <w:rFonts w:cs="Arial"/>
                <w:vertAlign w:val="superscript"/>
              </w:rPr>
              <w:t>4</w:t>
            </w:r>
            <w:r>
              <w:rPr>
                <w:rFonts w:cs="Arial"/>
                <w:vertAlign w:val="superscript"/>
              </w:rPr>
              <w:fldChar w:fldCharType="end"/>
            </w:r>
            <w:r>
              <w:rPr>
                <w:rFonts w:cs="Arial"/>
              </w:rPr>
              <w:t xml:space="preserve"> Nr. 2.6</w:t>
            </w:r>
          </w:p>
        </w:tc>
        <w:tc>
          <w:tcPr>
            <w:tcW w:w="3260" w:type="dxa"/>
          </w:tcPr>
          <w:p>
            <w:pPr>
              <w:pStyle w:val="GesAbsatz"/>
              <w:jc w:val="left"/>
              <w:rPr>
                <w:rFonts w:cs="Arial"/>
              </w:rPr>
            </w:pPr>
            <w:r>
              <w:rPr>
                <w:rFonts w:cs="Arial"/>
              </w:rPr>
              <w:t>(Februar 2001)</w:t>
            </w:r>
          </w:p>
        </w:tc>
      </w:tr>
      <w:tr>
        <w:tc>
          <w:tcPr>
            <w:tcW w:w="3259" w:type="dxa"/>
          </w:tcPr>
          <w:p>
            <w:pPr>
              <w:pStyle w:val="GesAbsatz"/>
              <w:jc w:val="left"/>
              <w:rPr>
                <w:rFonts w:cs="Arial"/>
              </w:rPr>
            </w:pPr>
            <w:r>
              <w:rPr>
                <w:rFonts w:cs="Arial"/>
              </w:rPr>
              <w:lastRenderedPageBreak/>
              <w:t>adsorbierbare organische Halogenverbindungen (AOX) im Eluat</w:t>
            </w:r>
          </w:p>
        </w:tc>
        <w:tc>
          <w:tcPr>
            <w:tcW w:w="3259" w:type="dxa"/>
          </w:tcPr>
          <w:p>
            <w:pPr>
              <w:pStyle w:val="GesAbsatz"/>
              <w:jc w:val="left"/>
              <w:rPr>
                <w:rFonts w:cs="Arial"/>
              </w:rPr>
            </w:pPr>
            <w:r>
              <w:rPr>
                <w:rFonts w:cs="Arial"/>
              </w:rPr>
              <w:t>DIN EN 1485</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Phenole im Eluat</w:t>
            </w:r>
          </w:p>
        </w:tc>
        <w:tc>
          <w:tcPr>
            <w:tcW w:w="3259" w:type="dxa"/>
          </w:tcPr>
          <w:p>
            <w:pPr>
              <w:pStyle w:val="GesAbsatz"/>
              <w:jc w:val="left"/>
              <w:rPr>
                <w:rFonts w:cs="Arial"/>
              </w:rPr>
            </w:pPr>
            <w:r>
              <w:rPr>
                <w:rFonts w:cs="Arial"/>
              </w:rPr>
              <w:t>DIN 38409-H16-3</w:t>
            </w:r>
          </w:p>
        </w:tc>
        <w:tc>
          <w:tcPr>
            <w:tcW w:w="3260" w:type="dxa"/>
          </w:tcPr>
          <w:p>
            <w:pPr>
              <w:pStyle w:val="GesAbsatz"/>
              <w:jc w:val="left"/>
              <w:rPr>
                <w:rFonts w:cs="Arial"/>
              </w:rPr>
            </w:pPr>
            <w:r>
              <w:rPr>
                <w:rFonts w:cs="Arial"/>
              </w:rPr>
              <w:t>(Juni 1984)</w:t>
            </w:r>
          </w:p>
        </w:tc>
      </w:tr>
      <w:tr>
        <w:tc>
          <w:tcPr>
            <w:tcW w:w="3259" w:type="dxa"/>
          </w:tcPr>
          <w:p>
            <w:pPr>
              <w:pStyle w:val="GesAbsatz"/>
              <w:jc w:val="left"/>
              <w:rPr>
                <w:rFonts w:cs="Arial"/>
              </w:rPr>
            </w:pPr>
            <w:r>
              <w:rPr>
                <w:rFonts w:cs="Arial"/>
              </w:rPr>
              <w:t>Fluorid im Eluat</w:t>
            </w:r>
          </w:p>
        </w:tc>
        <w:tc>
          <w:tcPr>
            <w:tcW w:w="3259" w:type="dxa"/>
          </w:tcPr>
          <w:p>
            <w:pPr>
              <w:pStyle w:val="GesAbsatz"/>
              <w:jc w:val="left"/>
              <w:rPr>
                <w:rFonts w:cs="Arial"/>
              </w:rPr>
            </w:pPr>
            <w:r>
              <w:rPr>
                <w:rFonts w:cs="Arial"/>
              </w:rPr>
              <w:t>DIN 38405-D4-1</w:t>
            </w:r>
          </w:p>
        </w:tc>
        <w:tc>
          <w:tcPr>
            <w:tcW w:w="3260" w:type="dxa"/>
          </w:tcPr>
          <w:p>
            <w:pPr>
              <w:pStyle w:val="GesAbsatz"/>
              <w:jc w:val="left"/>
              <w:rPr>
                <w:rFonts w:cs="Arial"/>
              </w:rPr>
            </w:pPr>
            <w:r>
              <w:rPr>
                <w:rFonts w:cs="Arial"/>
              </w:rPr>
              <w:t>(Juli1985)</w:t>
            </w:r>
          </w:p>
        </w:tc>
      </w:tr>
      <w:tr>
        <w:tc>
          <w:tcPr>
            <w:tcW w:w="3259" w:type="dxa"/>
          </w:tcPr>
          <w:p>
            <w:pPr>
              <w:pStyle w:val="GesAbsatz"/>
              <w:jc w:val="left"/>
              <w:rPr>
                <w:rFonts w:cs="Arial"/>
              </w:rPr>
            </w:pPr>
            <w:r>
              <w:rPr>
                <w:rFonts w:cs="Arial"/>
              </w:rPr>
              <w:t>Extrahierbare lipophile Stoffe</w:t>
            </w:r>
          </w:p>
        </w:tc>
        <w:tc>
          <w:tcPr>
            <w:tcW w:w="3259" w:type="dxa"/>
          </w:tcPr>
          <w:p>
            <w:pPr>
              <w:pStyle w:val="GesAbsatz"/>
              <w:jc w:val="left"/>
              <w:rPr>
                <w:rFonts w:cs="Arial"/>
              </w:rPr>
            </w:pPr>
            <w:r>
              <w:rPr>
                <w:rFonts w:cs="Arial"/>
              </w:rPr>
              <w:t xml:space="preserve">nach AbfAblV </w:t>
            </w:r>
            <w:r>
              <w:rPr>
                <w:rFonts w:cs="Arial"/>
                <w:vertAlign w:val="superscript"/>
              </w:rPr>
              <w:fldChar w:fldCharType="begin"/>
            </w:r>
            <w:r>
              <w:rPr>
                <w:rFonts w:cs="Arial"/>
                <w:vertAlign w:val="superscript"/>
              </w:rPr>
              <w:instrText xml:space="preserve"> NOTEREF _Ref100723513 \h  \* MERGEFORMAT </w:instrText>
            </w:r>
            <w:r>
              <w:rPr>
                <w:rFonts w:cs="Arial"/>
                <w:vertAlign w:val="superscript"/>
              </w:rPr>
            </w:r>
            <w:r>
              <w:rPr>
                <w:rFonts w:cs="Arial"/>
                <w:vertAlign w:val="superscript"/>
              </w:rPr>
              <w:fldChar w:fldCharType="separate"/>
            </w:r>
            <w:r>
              <w:rPr>
                <w:rFonts w:cs="Arial"/>
                <w:vertAlign w:val="superscript"/>
              </w:rPr>
              <w:t>4</w:t>
            </w:r>
            <w:r>
              <w:rPr>
                <w:rFonts w:cs="Arial"/>
                <w:vertAlign w:val="superscript"/>
              </w:rPr>
              <w:fldChar w:fldCharType="end"/>
            </w:r>
            <w:r>
              <w:rPr>
                <w:rFonts w:cs="Arial"/>
              </w:rPr>
              <w:t xml:space="preserve"> Nr. 2.3</w:t>
            </w:r>
          </w:p>
        </w:tc>
        <w:tc>
          <w:tcPr>
            <w:tcW w:w="3260" w:type="dxa"/>
          </w:tcPr>
          <w:p>
            <w:pPr>
              <w:pStyle w:val="GesAbsatz"/>
              <w:jc w:val="left"/>
              <w:rPr>
                <w:rFonts w:cs="Arial"/>
              </w:rPr>
            </w:pPr>
            <w:r>
              <w:rPr>
                <w:rFonts w:cs="Arial"/>
              </w:rPr>
              <w:t>(Februar 2001)</w:t>
            </w:r>
          </w:p>
        </w:tc>
      </w:tr>
      <w:tr>
        <w:tc>
          <w:tcPr>
            <w:tcW w:w="9778" w:type="dxa"/>
            <w:gridSpan w:val="3"/>
          </w:tcPr>
          <w:p>
            <w:pPr>
              <w:pStyle w:val="GesAbsatz"/>
              <w:jc w:val="left"/>
              <w:rPr>
                <w:rFonts w:cs="Arial"/>
              </w:rPr>
            </w:pPr>
            <w:r>
              <w:rPr>
                <w:rFonts w:cs="Arial"/>
                <w:b/>
              </w:rPr>
              <w:t>Teilbereich 2: Geotechnische Untersuchungsparameter und -verfahren für Abfall</w:t>
            </w:r>
          </w:p>
        </w:tc>
      </w:tr>
      <w:tr>
        <w:tc>
          <w:tcPr>
            <w:tcW w:w="3259" w:type="dxa"/>
          </w:tcPr>
          <w:p>
            <w:pPr>
              <w:pStyle w:val="GesAbsatz"/>
              <w:jc w:val="left"/>
              <w:rPr>
                <w:rFonts w:cs="Arial"/>
              </w:rPr>
            </w:pPr>
            <w:r>
              <w:rPr>
                <w:rFonts w:cs="Arial"/>
              </w:rPr>
              <w:t>Probennahme</w:t>
            </w:r>
          </w:p>
        </w:tc>
        <w:tc>
          <w:tcPr>
            <w:tcW w:w="3259" w:type="dxa"/>
          </w:tcPr>
          <w:p>
            <w:pPr>
              <w:pStyle w:val="GesAbsatz"/>
              <w:jc w:val="left"/>
              <w:rPr>
                <w:rFonts w:cs="Arial"/>
              </w:rPr>
            </w:pPr>
            <w:r>
              <w:rPr>
                <w:rFonts w:cs="Arial"/>
              </w:rPr>
              <w:t xml:space="preserve">nach LAGA PN 2/78K </w:t>
            </w:r>
            <w:r>
              <w:rPr>
                <w:rFonts w:cs="Arial"/>
                <w:vertAlign w:val="superscript"/>
              </w:rPr>
              <w:fldChar w:fldCharType="begin"/>
            </w:r>
            <w:r>
              <w:rPr>
                <w:rFonts w:cs="Arial"/>
                <w:vertAlign w:val="superscript"/>
              </w:rPr>
              <w:instrText xml:space="preserve"> NOTEREF _Ref100723905 \h  \* MERGEFORMAT </w:instrText>
            </w:r>
            <w:r>
              <w:rPr>
                <w:rFonts w:cs="Arial"/>
                <w:vertAlign w:val="superscript"/>
              </w:rPr>
            </w:r>
            <w:r>
              <w:rPr>
                <w:rFonts w:cs="Arial"/>
                <w:vertAlign w:val="superscript"/>
              </w:rPr>
              <w:fldChar w:fldCharType="separate"/>
            </w:r>
            <w:r>
              <w:rPr>
                <w:rFonts w:cs="Arial"/>
                <w:vertAlign w:val="superscript"/>
              </w:rPr>
              <w:t>1</w:t>
            </w:r>
            <w:r>
              <w:rPr>
                <w:rFonts w:cs="Arial"/>
                <w:vertAlign w:val="superscript"/>
              </w:rPr>
              <w:fldChar w:fldCharType="end"/>
            </w:r>
            <w:r>
              <w:rPr>
                <w:rFonts w:cs="Arial"/>
              </w:rPr>
              <w:t xml:space="preserve"> </w:t>
            </w:r>
          </w:p>
        </w:tc>
        <w:tc>
          <w:tcPr>
            <w:tcW w:w="3260" w:type="dxa"/>
          </w:tcPr>
          <w:p>
            <w:pPr>
              <w:pStyle w:val="GesAbsatz"/>
              <w:jc w:val="left"/>
              <w:rPr>
                <w:rFonts w:cs="Arial"/>
              </w:rPr>
            </w:pPr>
            <w:r>
              <w:rPr>
                <w:rFonts w:cs="Arial"/>
              </w:rPr>
              <w:t>(Dezember 83)</w:t>
            </w:r>
          </w:p>
        </w:tc>
      </w:tr>
      <w:tr>
        <w:tc>
          <w:tcPr>
            <w:tcW w:w="3259" w:type="dxa"/>
          </w:tcPr>
          <w:p>
            <w:pPr>
              <w:pStyle w:val="GesAbsatz"/>
              <w:jc w:val="left"/>
              <w:rPr>
                <w:rFonts w:cs="Arial"/>
              </w:rPr>
            </w:pPr>
            <w:r>
              <w:rPr>
                <w:rFonts w:cs="Arial"/>
              </w:rPr>
              <w:t>Flügelscherfestigkeit</w:t>
            </w:r>
            <w:r>
              <w:rPr>
                <w:rFonts w:cs="Arial"/>
              </w:rPr>
              <w:br/>
              <w:t>(Labormethode)</w:t>
            </w:r>
          </w:p>
        </w:tc>
        <w:tc>
          <w:tcPr>
            <w:tcW w:w="3259" w:type="dxa"/>
          </w:tcPr>
          <w:p>
            <w:pPr>
              <w:pStyle w:val="GesAbsatz"/>
              <w:jc w:val="left"/>
              <w:rPr>
                <w:rFonts w:cs="Arial"/>
              </w:rPr>
            </w:pPr>
            <w:r>
              <w:rPr>
                <w:rFonts w:cs="Arial"/>
              </w:rPr>
              <w:t xml:space="preserve">analog DIN 4096 </w:t>
            </w:r>
            <w:bookmarkStart w:id="22" w:name="_Ref100724092"/>
            <w:r>
              <w:rPr>
                <w:rStyle w:val="Funotenzeichen"/>
                <w:rFonts w:cs="Arial"/>
              </w:rPr>
              <w:footnoteReference w:id="5"/>
            </w:r>
            <w:bookmarkEnd w:id="22"/>
          </w:p>
        </w:tc>
        <w:tc>
          <w:tcPr>
            <w:tcW w:w="3260" w:type="dxa"/>
          </w:tcPr>
          <w:p>
            <w:pPr>
              <w:pStyle w:val="GesAbsatz"/>
              <w:jc w:val="left"/>
              <w:rPr>
                <w:rFonts w:cs="Arial"/>
              </w:rPr>
            </w:pPr>
            <w:r>
              <w:rPr>
                <w:rFonts w:cs="Arial"/>
              </w:rPr>
              <w:t>(Mai 80)</w:t>
            </w:r>
          </w:p>
        </w:tc>
      </w:tr>
      <w:tr>
        <w:tc>
          <w:tcPr>
            <w:tcW w:w="3259" w:type="dxa"/>
          </w:tcPr>
          <w:p>
            <w:pPr>
              <w:pStyle w:val="GesAbsatz"/>
              <w:jc w:val="left"/>
              <w:rPr>
                <w:rFonts w:cs="Arial"/>
              </w:rPr>
            </w:pPr>
            <w:r>
              <w:rPr>
                <w:rFonts w:cs="Arial"/>
              </w:rPr>
              <w:t>Einaxiale Druckfestigkeit</w:t>
            </w:r>
          </w:p>
        </w:tc>
        <w:tc>
          <w:tcPr>
            <w:tcW w:w="3259" w:type="dxa"/>
          </w:tcPr>
          <w:p>
            <w:pPr>
              <w:pStyle w:val="GesAbsatz"/>
              <w:jc w:val="left"/>
              <w:rPr>
                <w:rFonts w:cs="Arial"/>
              </w:rPr>
            </w:pPr>
            <w:r>
              <w:rPr>
                <w:rFonts w:cs="Arial"/>
              </w:rPr>
              <w:t xml:space="preserve">nach DIN 18136 </w:t>
            </w:r>
            <w:r>
              <w:rPr>
                <w:rFonts w:cs="Arial"/>
                <w:vertAlign w:val="superscript"/>
              </w:rPr>
              <w:fldChar w:fldCharType="begin"/>
            </w:r>
            <w:r>
              <w:rPr>
                <w:rFonts w:cs="Arial"/>
                <w:vertAlign w:val="superscript"/>
              </w:rPr>
              <w:instrText xml:space="preserve"> NOTEREF _Ref100724092 \h  \* MERGEFORMAT </w:instrText>
            </w:r>
            <w:r>
              <w:rPr>
                <w:rFonts w:cs="Arial"/>
                <w:vertAlign w:val="superscript"/>
              </w:rPr>
            </w:r>
            <w:r>
              <w:rPr>
                <w:rFonts w:cs="Arial"/>
                <w:vertAlign w:val="superscript"/>
              </w:rPr>
              <w:fldChar w:fldCharType="separate"/>
            </w:r>
            <w:r>
              <w:rPr>
                <w:rFonts w:cs="Arial"/>
                <w:vertAlign w:val="superscript"/>
              </w:rPr>
              <w:t>5</w:t>
            </w:r>
            <w:r>
              <w:rPr>
                <w:rFonts w:cs="Arial"/>
                <w:vertAlign w:val="superscript"/>
              </w:rPr>
              <w:fldChar w:fldCharType="end"/>
            </w:r>
          </w:p>
        </w:tc>
        <w:tc>
          <w:tcPr>
            <w:tcW w:w="3260" w:type="dxa"/>
          </w:tcPr>
          <w:p>
            <w:pPr>
              <w:pStyle w:val="GesAbsatz"/>
              <w:jc w:val="left"/>
              <w:rPr>
                <w:rFonts w:cs="Arial"/>
              </w:rPr>
            </w:pPr>
            <w:r>
              <w:rPr>
                <w:rFonts w:cs="Arial"/>
              </w:rPr>
              <w:t>(August 96)</w:t>
            </w:r>
          </w:p>
        </w:tc>
      </w:tr>
      <w:tr>
        <w:tc>
          <w:tcPr>
            <w:tcW w:w="9778" w:type="dxa"/>
            <w:gridSpan w:val="3"/>
          </w:tcPr>
          <w:p>
            <w:pPr>
              <w:pStyle w:val="GesAbsatz"/>
              <w:jc w:val="left"/>
              <w:rPr>
                <w:rFonts w:cs="Arial"/>
                <w:b/>
              </w:rPr>
            </w:pPr>
            <w:r>
              <w:rPr>
                <w:rFonts w:cs="Arial"/>
                <w:b/>
              </w:rPr>
              <w:t>Teilbereich 3: Allgemeine Untersuchungsparameter und -verfahren für Sickerwasser</w:t>
            </w:r>
          </w:p>
        </w:tc>
      </w:tr>
      <w:tr>
        <w:tc>
          <w:tcPr>
            <w:tcW w:w="3259" w:type="dxa"/>
          </w:tcPr>
          <w:p>
            <w:pPr>
              <w:pStyle w:val="GesAbsatz"/>
              <w:jc w:val="left"/>
              <w:rPr>
                <w:rFonts w:cs="Arial"/>
              </w:rPr>
            </w:pPr>
            <w:r>
              <w:rPr>
                <w:rFonts w:cs="Arial"/>
              </w:rPr>
              <w:t>Probennahme</w:t>
            </w:r>
          </w:p>
        </w:tc>
        <w:tc>
          <w:tcPr>
            <w:tcW w:w="3259" w:type="dxa"/>
          </w:tcPr>
          <w:p>
            <w:pPr>
              <w:pStyle w:val="GesAbsatz"/>
              <w:jc w:val="left"/>
              <w:rPr>
                <w:rFonts w:cs="Arial"/>
              </w:rPr>
            </w:pPr>
            <w:r>
              <w:rPr>
                <w:rFonts w:cs="Arial"/>
              </w:rPr>
              <w:t>nach DIN 38 402 A11</w:t>
            </w:r>
            <w:r>
              <w:rPr>
                <w:rFonts w:cs="Arial"/>
              </w:rPr>
              <w:br/>
              <w:t>und DIN EN 25667 Teil 2</w:t>
            </w:r>
          </w:p>
        </w:tc>
        <w:tc>
          <w:tcPr>
            <w:tcW w:w="3260" w:type="dxa"/>
          </w:tcPr>
          <w:p>
            <w:pPr>
              <w:pStyle w:val="GesAbsatz"/>
              <w:jc w:val="left"/>
              <w:rPr>
                <w:rFonts w:cs="Arial"/>
              </w:rPr>
            </w:pPr>
            <w:r>
              <w:rPr>
                <w:rFonts w:cs="Arial"/>
              </w:rPr>
              <w:t>(Dezember 95)</w:t>
            </w:r>
            <w:r>
              <w:rPr>
                <w:rFonts w:cs="Arial"/>
              </w:rPr>
              <w:br/>
              <w:t>(Juli 93)</w:t>
            </w:r>
          </w:p>
        </w:tc>
      </w:tr>
      <w:tr>
        <w:tc>
          <w:tcPr>
            <w:tcW w:w="3259" w:type="dxa"/>
          </w:tcPr>
          <w:p>
            <w:pPr>
              <w:pStyle w:val="GesAbsatz"/>
              <w:jc w:val="left"/>
              <w:rPr>
                <w:rFonts w:cs="Arial"/>
              </w:rPr>
            </w:pPr>
            <w:r>
              <w:rPr>
                <w:rFonts w:cs="Arial"/>
              </w:rPr>
              <w:t>Homogenisierung von Teilproben</w:t>
            </w:r>
          </w:p>
        </w:tc>
        <w:tc>
          <w:tcPr>
            <w:tcW w:w="3259" w:type="dxa"/>
          </w:tcPr>
          <w:p>
            <w:pPr>
              <w:pStyle w:val="GesAbsatz"/>
              <w:jc w:val="left"/>
              <w:rPr>
                <w:rFonts w:cs="Arial"/>
              </w:rPr>
            </w:pPr>
            <w:r>
              <w:rPr>
                <w:rFonts w:cs="Arial"/>
              </w:rPr>
              <w:t>nach DIN 38 402-A 30</w:t>
            </w:r>
          </w:p>
        </w:tc>
        <w:tc>
          <w:tcPr>
            <w:tcW w:w="3260" w:type="dxa"/>
          </w:tcPr>
          <w:p>
            <w:pPr>
              <w:pStyle w:val="GesAbsatz"/>
              <w:jc w:val="left"/>
              <w:rPr>
                <w:rFonts w:cs="Arial"/>
              </w:rPr>
            </w:pPr>
            <w:r>
              <w:rPr>
                <w:rFonts w:cs="Arial"/>
              </w:rPr>
              <w:t>(Juli 1998)</w:t>
            </w:r>
          </w:p>
        </w:tc>
      </w:tr>
      <w:tr>
        <w:tc>
          <w:tcPr>
            <w:tcW w:w="3259" w:type="dxa"/>
          </w:tcPr>
          <w:p>
            <w:pPr>
              <w:pStyle w:val="GesAbsatz"/>
              <w:jc w:val="left"/>
              <w:rPr>
                <w:rFonts w:cs="Arial"/>
              </w:rPr>
            </w:pPr>
            <w:r>
              <w:rPr>
                <w:rFonts w:cs="Arial"/>
              </w:rPr>
              <w:t>Temperatur</w:t>
            </w:r>
          </w:p>
        </w:tc>
        <w:tc>
          <w:tcPr>
            <w:tcW w:w="3259" w:type="dxa"/>
          </w:tcPr>
          <w:p>
            <w:pPr>
              <w:pStyle w:val="GesAbsatz"/>
              <w:jc w:val="left"/>
              <w:rPr>
                <w:rFonts w:cs="Arial"/>
              </w:rPr>
            </w:pPr>
            <w:r>
              <w:rPr>
                <w:rFonts w:cs="Arial"/>
              </w:rPr>
              <w:t>nach DIN 38 404-C4</w:t>
            </w:r>
          </w:p>
        </w:tc>
        <w:tc>
          <w:tcPr>
            <w:tcW w:w="3260" w:type="dxa"/>
          </w:tcPr>
          <w:p>
            <w:pPr>
              <w:pStyle w:val="GesAbsatz"/>
              <w:jc w:val="left"/>
              <w:rPr>
                <w:rFonts w:cs="Arial"/>
              </w:rPr>
            </w:pPr>
            <w:r>
              <w:rPr>
                <w:rFonts w:cs="Arial"/>
              </w:rPr>
              <w:t>(Dezember 76)</w:t>
            </w:r>
          </w:p>
        </w:tc>
      </w:tr>
      <w:tr>
        <w:tc>
          <w:tcPr>
            <w:tcW w:w="3259" w:type="dxa"/>
          </w:tcPr>
          <w:p>
            <w:pPr>
              <w:pStyle w:val="GesAbsatz"/>
              <w:jc w:val="left"/>
              <w:rPr>
                <w:rFonts w:cs="Arial"/>
              </w:rPr>
            </w:pPr>
            <w:r>
              <w:rPr>
                <w:rFonts w:cs="Arial"/>
              </w:rPr>
              <w:t>pH-Wert</w:t>
            </w:r>
          </w:p>
        </w:tc>
        <w:tc>
          <w:tcPr>
            <w:tcW w:w="3259" w:type="dxa"/>
          </w:tcPr>
          <w:p>
            <w:pPr>
              <w:pStyle w:val="GesAbsatz"/>
              <w:jc w:val="left"/>
              <w:rPr>
                <w:rFonts w:cs="Arial"/>
              </w:rPr>
            </w:pPr>
            <w:r>
              <w:rPr>
                <w:rFonts w:cs="Arial"/>
              </w:rPr>
              <w:t>nach DIN 38 404-C5</w:t>
            </w:r>
          </w:p>
        </w:tc>
        <w:tc>
          <w:tcPr>
            <w:tcW w:w="3260" w:type="dxa"/>
          </w:tcPr>
          <w:p>
            <w:pPr>
              <w:pStyle w:val="GesAbsatz"/>
              <w:jc w:val="left"/>
              <w:rPr>
                <w:rFonts w:cs="Arial"/>
              </w:rPr>
            </w:pPr>
            <w:r>
              <w:rPr>
                <w:rFonts w:cs="Arial"/>
              </w:rPr>
              <w:t>(Januar 84)</w:t>
            </w:r>
          </w:p>
        </w:tc>
      </w:tr>
      <w:tr>
        <w:tc>
          <w:tcPr>
            <w:tcW w:w="3259" w:type="dxa"/>
          </w:tcPr>
          <w:p>
            <w:pPr>
              <w:pStyle w:val="GesAbsatz"/>
              <w:jc w:val="left"/>
              <w:rPr>
                <w:rFonts w:cs="Arial"/>
              </w:rPr>
            </w:pPr>
            <w:r>
              <w:rPr>
                <w:rFonts w:cs="Arial"/>
              </w:rPr>
              <w:t>Säurekapazität bis pH = 4,3</w:t>
            </w:r>
          </w:p>
        </w:tc>
        <w:tc>
          <w:tcPr>
            <w:tcW w:w="3259" w:type="dxa"/>
          </w:tcPr>
          <w:p>
            <w:pPr>
              <w:pStyle w:val="GesAbsatz"/>
              <w:jc w:val="left"/>
              <w:rPr>
                <w:rFonts w:cs="Arial"/>
              </w:rPr>
            </w:pPr>
            <w:r>
              <w:rPr>
                <w:rFonts w:cs="Arial"/>
              </w:rPr>
              <w:t>nach DIN 38 409-H7-1-2</w:t>
            </w:r>
          </w:p>
        </w:tc>
        <w:tc>
          <w:tcPr>
            <w:tcW w:w="3260" w:type="dxa"/>
          </w:tcPr>
          <w:p>
            <w:pPr>
              <w:pStyle w:val="GesAbsatz"/>
              <w:jc w:val="left"/>
              <w:rPr>
                <w:rFonts w:cs="Arial"/>
              </w:rPr>
            </w:pPr>
            <w:r>
              <w:rPr>
                <w:rFonts w:cs="Arial"/>
              </w:rPr>
              <w:t>(Mai 79)</w:t>
            </w:r>
          </w:p>
        </w:tc>
      </w:tr>
      <w:tr>
        <w:tc>
          <w:tcPr>
            <w:tcW w:w="3259" w:type="dxa"/>
          </w:tcPr>
          <w:p>
            <w:pPr>
              <w:pStyle w:val="GesAbsatz"/>
              <w:jc w:val="left"/>
              <w:rPr>
                <w:rFonts w:cs="Arial"/>
              </w:rPr>
            </w:pPr>
            <w:r>
              <w:rPr>
                <w:rFonts w:cs="Arial"/>
              </w:rPr>
              <w:t>Säurekapazität bis pH = 8,2</w:t>
            </w:r>
          </w:p>
        </w:tc>
        <w:tc>
          <w:tcPr>
            <w:tcW w:w="3259" w:type="dxa"/>
          </w:tcPr>
          <w:p>
            <w:pPr>
              <w:pStyle w:val="GesAbsatz"/>
              <w:jc w:val="left"/>
              <w:rPr>
                <w:rFonts w:cs="Arial"/>
              </w:rPr>
            </w:pPr>
            <w:r>
              <w:rPr>
                <w:rFonts w:cs="Arial"/>
              </w:rPr>
              <w:t>nach DIN 38 409-H7-1-1</w:t>
            </w:r>
          </w:p>
        </w:tc>
        <w:tc>
          <w:tcPr>
            <w:tcW w:w="3260" w:type="dxa"/>
          </w:tcPr>
          <w:p>
            <w:pPr>
              <w:pStyle w:val="GesAbsatz"/>
              <w:jc w:val="left"/>
              <w:rPr>
                <w:rFonts w:cs="Arial"/>
              </w:rPr>
            </w:pPr>
            <w:r>
              <w:rPr>
                <w:rFonts w:cs="Arial"/>
              </w:rPr>
              <w:t>(Mai 79)</w:t>
            </w:r>
          </w:p>
        </w:tc>
      </w:tr>
      <w:tr>
        <w:tc>
          <w:tcPr>
            <w:tcW w:w="3259" w:type="dxa"/>
          </w:tcPr>
          <w:p>
            <w:pPr>
              <w:pStyle w:val="GesAbsatz"/>
              <w:jc w:val="left"/>
              <w:rPr>
                <w:rFonts w:cs="Arial"/>
              </w:rPr>
            </w:pPr>
            <w:r>
              <w:rPr>
                <w:rFonts w:cs="Arial"/>
              </w:rPr>
              <w:t>elektrische Leitfähigkeit</w:t>
            </w:r>
          </w:p>
        </w:tc>
        <w:tc>
          <w:tcPr>
            <w:tcW w:w="3259" w:type="dxa"/>
          </w:tcPr>
          <w:p>
            <w:pPr>
              <w:pStyle w:val="GesAbsatz"/>
              <w:jc w:val="left"/>
              <w:rPr>
                <w:rFonts w:cs="Arial"/>
              </w:rPr>
            </w:pPr>
            <w:r>
              <w:rPr>
                <w:rFonts w:cs="Arial"/>
              </w:rPr>
              <w:t>nach DIN EN 27 888</w:t>
            </w:r>
          </w:p>
        </w:tc>
        <w:tc>
          <w:tcPr>
            <w:tcW w:w="3260" w:type="dxa"/>
          </w:tcPr>
          <w:p>
            <w:pPr>
              <w:pStyle w:val="GesAbsatz"/>
              <w:jc w:val="left"/>
              <w:rPr>
                <w:rFonts w:cs="Arial"/>
              </w:rPr>
            </w:pPr>
            <w:r>
              <w:rPr>
                <w:rFonts w:cs="Arial"/>
              </w:rPr>
              <w:t>(November 93)</w:t>
            </w:r>
          </w:p>
        </w:tc>
      </w:tr>
      <w:tr>
        <w:tc>
          <w:tcPr>
            <w:tcW w:w="3259" w:type="dxa"/>
          </w:tcPr>
          <w:p>
            <w:pPr>
              <w:pStyle w:val="GesAbsatz"/>
              <w:jc w:val="left"/>
              <w:rPr>
                <w:rFonts w:cs="Arial"/>
              </w:rPr>
            </w:pPr>
            <w:r>
              <w:rPr>
                <w:rFonts w:cs="Arial"/>
              </w:rPr>
              <w:t>gesamter organisch gebundener Kohlenstoff (TOC)</w:t>
            </w:r>
          </w:p>
        </w:tc>
        <w:tc>
          <w:tcPr>
            <w:tcW w:w="3259" w:type="dxa"/>
          </w:tcPr>
          <w:p>
            <w:pPr>
              <w:pStyle w:val="GesAbsatz"/>
              <w:jc w:val="left"/>
              <w:rPr>
                <w:rFonts w:cs="Arial"/>
              </w:rPr>
            </w:pPr>
            <w:r>
              <w:rPr>
                <w:rFonts w:cs="Arial"/>
              </w:rPr>
              <w:t>nach DIN EN 1484</w:t>
            </w:r>
          </w:p>
        </w:tc>
        <w:tc>
          <w:tcPr>
            <w:tcW w:w="3260" w:type="dxa"/>
          </w:tcPr>
          <w:p>
            <w:pPr>
              <w:pStyle w:val="GesAbsatz"/>
              <w:jc w:val="left"/>
              <w:rPr>
                <w:rFonts w:cs="Arial"/>
              </w:rPr>
            </w:pPr>
            <w:r>
              <w:rPr>
                <w:rFonts w:cs="Arial"/>
              </w:rPr>
              <w:t>(August 97)</w:t>
            </w:r>
          </w:p>
        </w:tc>
      </w:tr>
      <w:tr>
        <w:tc>
          <w:tcPr>
            <w:tcW w:w="3259" w:type="dxa"/>
          </w:tcPr>
          <w:p>
            <w:pPr>
              <w:pStyle w:val="GesAbsatz"/>
              <w:jc w:val="left"/>
              <w:rPr>
                <w:rFonts w:cs="Arial"/>
              </w:rPr>
            </w:pPr>
            <w:r>
              <w:rPr>
                <w:rFonts w:cs="Arial"/>
              </w:rPr>
              <w:t>adsorbierbare organische Halogenverbindungen (AOX)</w:t>
            </w:r>
          </w:p>
        </w:tc>
        <w:tc>
          <w:tcPr>
            <w:tcW w:w="3259" w:type="dxa"/>
          </w:tcPr>
          <w:p>
            <w:pPr>
              <w:pStyle w:val="GesAbsatz"/>
              <w:jc w:val="left"/>
              <w:rPr>
                <w:rFonts w:cs="Arial"/>
              </w:rPr>
            </w:pPr>
            <w:r>
              <w:rPr>
                <w:rFonts w:cs="Arial"/>
              </w:rPr>
              <w:t>nach DIN EN 1485</w:t>
            </w:r>
            <w:r>
              <w:rPr>
                <w:rFonts w:cs="Arial"/>
              </w:rPr>
              <w:br/>
              <w:t xml:space="preserve">Abschn. 8.2.2 </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Kohlenwasserstoffindex</w:t>
            </w:r>
          </w:p>
        </w:tc>
        <w:tc>
          <w:tcPr>
            <w:tcW w:w="3259" w:type="dxa"/>
          </w:tcPr>
          <w:p>
            <w:pPr>
              <w:pStyle w:val="GesAbsatz"/>
              <w:jc w:val="left"/>
              <w:rPr>
                <w:rFonts w:cs="Arial"/>
              </w:rPr>
            </w:pPr>
            <w:r>
              <w:rPr>
                <w:rFonts w:cs="Arial"/>
              </w:rPr>
              <w:t>nach DIN EN ISO 9377 - 2</w:t>
            </w:r>
          </w:p>
        </w:tc>
        <w:tc>
          <w:tcPr>
            <w:tcW w:w="3260" w:type="dxa"/>
          </w:tcPr>
          <w:p>
            <w:pPr>
              <w:pStyle w:val="GesAbsatz"/>
              <w:jc w:val="left"/>
              <w:rPr>
                <w:rFonts w:cs="Arial"/>
              </w:rPr>
            </w:pPr>
            <w:r>
              <w:rPr>
                <w:rFonts w:cs="Arial"/>
              </w:rPr>
              <w:t>(Juli 2001)</w:t>
            </w:r>
          </w:p>
        </w:tc>
      </w:tr>
      <w:tr>
        <w:tc>
          <w:tcPr>
            <w:tcW w:w="3259" w:type="dxa"/>
          </w:tcPr>
          <w:p>
            <w:pPr>
              <w:pStyle w:val="GesAbsatz"/>
              <w:jc w:val="left"/>
              <w:rPr>
                <w:rFonts w:cs="Arial"/>
              </w:rPr>
            </w:pPr>
            <w:r>
              <w:rPr>
                <w:rFonts w:cs="Arial"/>
              </w:rPr>
              <w:t>polycyclische aromatische Kohlenwasserstoffe (PAK)</w:t>
            </w:r>
          </w:p>
        </w:tc>
        <w:tc>
          <w:tcPr>
            <w:tcW w:w="3259" w:type="dxa"/>
          </w:tcPr>
          <w:p>
            <w:pPr>
              <w:pStyle w:val="GesAbsatz"/>
              <w:jc w:val="left"/>
              <w:rPr>
                <w:rFonts w:cs="Arial"/>
              </w:rPr>
            </w:pPr>
            <w:r>
              <w:rPr>
                <w:rFonts w:cs="Arial"/>
              </w:rPr>
              <w:t>nach DIN 38 407-F18</w:t>
            </w:r>
          </w:p>
        </w:tc>
        <w:tc>
          <w:tcPr>
            <w:tcW w:w="3260" w:type="dxa"/>
          </w:tcPr>
          <w:p>
            <w:pPr>
              <w:pStyle w:val="GesAbsatz"/>
              <w:jc w:val="left"/>
              <w:rPr>
                <w:rFonts w:cs="Arial"/>
              </w:rPr>
            </w:pPr>
            <w:r>
              <w:rPr>
                <w:rFonts w:cs="Arial"/>
              </w:rPr>
              <w:t>(Mai 99)</w:t>
            </w:r>
          </w:p>
        </w:tc>
      </w:tr>
      <w:tr>
        <w:tc>
          <w:tcPr>
            <w:tcW w:w="3259" w:type="dxa"/>
          </w:tcPr>
          <w:p>
            <w:pPr>
              <w:pStyle w:val="GesAbsatz"/>
              <w:jc w:val="left"/>
              <w:rPr>
                <w:rFonts w:cs="Arial"/>
              </w:rPr>
            </w:pPr>
            <w:r>
              <w:rPr>
                <w:rFonts w:cs="Arial"/>
              </w:rPr>
              <w:t>polychlorierte Biphenyle (PCB)</w:t>
            </w:r>
          </w:p>
        </w:tc>
        <w:tc>
          <w:tcPr>
            <w:tcW w:w="3259" w:type="dxa"/>
          </w:tcPr>
          <w:p>
            <w:pPr>
              <w:pStyle w:val="GesAbsatz"/>
              <w:jc w:val="left"/>
              <w:rPr>
                <w:rFonts w:cs="Arial"/>
              </w:rPr>
            </w:pPr>
            <w:r>
              <w:rPr>
                <w:rFonts w:cs="Arial"/>
              </w:rPr>
              <w:t>nach DIN 38 407-F3</w:t>
            </w:r>
            <w:r>
              <w:rPr>
                <w:rFonts w:cs="Arial"/>
              </w:rPr>
              <w:br/>
              <w:t>oder DIN EN ISO 6468</w:t>
            </w:r>
          </w:p>
        </w:tc>
        <w:tc>
          <w:tcPr>
            <w:tcW w:w="3260" w:type="dxa"/>
          </w:tcPr>
          <w:p>
            <w:pPr>
              <w:pStyle w:val="GesAbsatz"/>
              <w:jc w:val="left"/>
              <w:rPr>
                <w:rFonts w:cs="Arial"/>
              </w:rPr>
            </w:pPr>
            <w:r>
              <w:rPr>
                <w:rFonts w:cs="Arial"/>
              </w:rPr>
              <w:t>(Juli 98)</w:t>
            </w:r>
            <w:r>
              <w:rPr>
                <w:rFonts w:cs="Arial"/>
              </w:rPr>
              <w:br/>
              <w:t>(Februar 97)</w:t>
            </w:r>
          </w:p>
        </w:tc>
      </w:tr>
      <w:tr>
        <w:tc>
          <w:tcPr>
            <w:tcW w:w="3259" w:type="dxa"/>
          </w:tcPr>
          <w:p>
            <w:pPr>
              <w:pStyle w:val="GesAbsatz"/>
              <w:jc w:val="left"/>
              <w:rPr>
                <w:rFonts w:cs="Arial"/>
              </w:rPr>
            </w:pPr>
            <w:r>
              <w:rPr>
                <w:rFonts w:cs="Arial"/>
              </w:rPr>
              <w:t>LHKW</w:t>
            </w:r>
          </w:p>
        </w:tc>
        <w:tc>
          <w:tcPr>
            <w:tcW w:w="3259" w:type="dxa"/>
          </w:tcPr>
          <w:p>
            <w:pPr>
              <w:pStyle w:val="GesAbsatz"/>
              <w:jc w:val="left"/>
              <w:rPr>
                <w:rFonts w:cs="Arial"/>
              </w:rPr>
            </w:pPr>
            <w:r>
              <w:rPr>
                <w:rFonts w:cs="Arial"/>
              </w:rPr>
              <w:t>nach DIN EN ISO 10301Abschn.2</w:t>
            </w:r>
            <w:r>
              <w:rPr>
                <w:rFonts w:cs="Arial"/>
              </w:rPr>
              <w:br/>
              <w:t>oder DIN EN ISO 10301Abschn.3</w:t>
            </w:r>
            <w:r>
              <w:rPr>
                <w:rFonts w:cs="Arial"/>
              </w:rPr>
              <w:br/>
              <w:t>oder DIN 38 407-F19</w:t>
            </w:r>
          </w:p>
        </w:tc>
        <w:tc>
          <w:tcPr>
            <w:tcW w:w="3260" w:type="dxa"/>
          </w:tcPr>
          <w:p>
            <w:pPr>
              <w:pStyle w:val="GesAbsatz"/>
              <w:jc w:val="left"/>
              <w:rPr>
                <w:rFonts w:cs="Arial"/>
              </w:rPr>
            </w:pPr>
            <w:r>
              <w:rPr>
                <w:rFonts w:cs="Arial"/>
              </w:rPr>
              <w:t>(August 97)</w:t>
            </w:r>
            <w:r>
              <w:rPr>
                <w:rFonts w:cs="Arial"/>
              </w:rPr>
              <w:br/>
              <w:t>(August 97)</w:t>
            </w:r>
            <w:r>
              <w:rPr>
                <w:rFonts w:cs="Arial"/>
              </w:rPr>
              <w:br/>
              <w:t>(Entwurf. Januar 96)</w:t>
            </w:r>
          </w:p>
        </w:tc>
      </w:tr>
      <w:tr>
        <w:tc>
          <w:tcPr>
            <w:tcW w:w="3259" w:type="dxa"/>
          </w:tcPr>
          <w:p>
            <w:pPr>
              <w:pStyle w:val="GesAbsatz"/>
              <w:jc w:val="left"/>
              <w:rPr>
                <w:rFonts w:cs="Arial"/>
              </w:rPr>
            </w:pPr>
            <w:r>
              <w:rPr>
                <w:rFonts w:cs="Arial"/>
              </w:rPr>
              <w:t>Benzol, Toluol, Xylol</w:t>
            </w:r>
            <w:r>
              <w:rPr>
                <w:rFonts w:cs="Arial"/>
              </w:rPr>
              <w:br/>
              <w:t>(BTX)</w:t>
            </w:r>
          </w:p>
        </w:tc>
        <w:tc>
          <w:tcPr>
            <w:tcW w:w="3259" w:type="dxa"/>
          </w:tcPr>
          <w:p>
            <w:pPr>
              <w:pStyle w:val="GesAbsatz"/>
              <w:jc w:val="left"/>
              <w:rPr>
                <w:rFonts w:cs="Arial"/>
              </w:rPr>
            </w:pPr>
            <w:r>
              <w:rPr>
                <w:rFonts w:cs="Arial"/>
              </w:rPr>
              <w:t>nach DIN 38 407-F9</w:t>
            </w:r>
            <w:r>
              <w:rPr>
                <w:rFonts w:cs="Arial"/>
              </w:rPr>
              <w:br/>
              <w:t>oder DIN 38 407-F19</w:t>
            </w:r>
          </w:p>
        </w:tc>
        <w:tc>
          <w:tcPr>
            <w:tcW w:w="3260" w:type="dxa"/>
          </w:tcPr>
          <w:p>
            <w:pPr>
              <w:pStyle w:val="GesAbsatz"/>
              <w:jc w:val="left"/>
              <w:rPr>
                <w:rFonts w:cs="Arial"/>
              </w:rPr>
            </w:pPr>
            <w:r>
              <w:rPr>
                <w:rFonts w:cs="Arial"/>
              </w:rPr>
              <w:t>(Mai 91)</w:t>
            </w:r>
            <w:r>
              <w:rPr>
                <w:rFonts w:cs="Arial"/>
              </w:rPr>
              <w:br/>
              <w:t>(Entwurf. Januar 96)</w:t>
            </w:r>
          </w:p>
        </w:tc>
      </w:tr>
      <w:tr>
        <w:tc>
          <w:tcPr>
            <w:tcW w:w="3259" w:type="dxa"/>
          </w:tcPr>
          <w:p>
            <w:pPr>
              <w:pStyle w:val="GesAbsatz"/>
              <w:jc w:val="left"/>
              <w:rPr>
                <w:rFonts w:cs="Arial"/>
              </w:rPr>
            </w:pPr>
            <w:r>
              <w:rPr>
                <w:rFonts w:cs="Arial"/>
              </w:rPr>
              <w:t>Ammonium</w:t>
            </w:r>
          </w:p>
        </w:tc>
        <w:tc>
          <w:tcPr>
            <w:tcW w:w="3259" w:type="dxa"/>
          </w:tcPr>
          <w:p>
            <w:pPr>
              <w:pStyle w:val="GesAbsatz"/>
              <w:jc w:val="left"/>
              <w:rPr>
                <w:rFonts w:cs="Arial"/>
              </w:rPr>
            </w:pPr>
            <w:r>
              <w:rPr>
                <w:rFonts w:cs="Arial"/>
              </w:rPr>
              <w:t>nach DIN 38 406-E5-2</w:t>
            </w:r>
            <w:r>
              <w:rPr>
                <w:rFonts w:cs="Arial"/>
              </w:rPr>
              <w:br/>
              <w:t>oder DIN EN ISO 11 732</w:t>
            </w:r>
          </w:p>
        </w:tc>
        <w:tc>
          <w:tcPr>
            <w:tcW w:w="3260" w:type="dxa"/>
          </w:tcPr>
          <w:p>
            <w:pPr>
              <w:pStyle w:val="GesAbsatz"/>
              <w:jc w:val="left"/>
              <w:rPr>
                <w:rFonts w:cs="Arial"/>
              </w:rPr>
            </w:pPr>
            <w:r>
              <w:rPr>
                <w:rFonts w:cs="Arial"/>
              </w:rPr>
              <w:t>(Oktober 83)</w:t>
            </w:r>
            <w:r>
              <w:rPr>
                <w:rFonts w:cs="Arial"/>
              </w:rPr>
              <w:br/>
              <w:t>(September 97)</w:t>
            </w:r>
          </w:p>
        </w:tc>
      </w:tr>
      <w:tr>
        <w:tc>
          <w:tcPr>
            <w:tcW w:w="3259" w:type="dxa"/>
          </w:tcPr>
          <w:p>
            <w:pPr>
              <w:pStyle w:val="GesAbsatz"/>
              <w:jc w:val="left"/>
              <w:rPr>
                <w:rFonts w:cs="Arial"/>
              </w:rPr>
            </w:pPr>
            <w:r>
              <w:rPr>
                <w:rFonts w:cs="Arial"/>
              </w:rPr>
              <w:t>Arsen</w:t>
            </w:r>
          </w:p>
        </w:tc>
        <w:tc>
          <w:tcPr>
            <w:tcW w:w="3259" w:type="dxa"/>
          </w:tcPr>
          <w:p>
            <w:pPr>
              <w:pStyle w:val="GesAbsatz"/>
              <w:jc w:val="left"/>
              <w:rPr>
                <w:rFonts w:cs="Arial"/>
              </w:rPr>
            </w:pPr>
            <w:r>
              <w:rPr>
                <w:rFonts w:cs="Arial"/>
              </w:rPr>
              <w:t>nach DIN EN ISO 11969</w:t>
            </w:r>
            <w:r>
              <w:rPr>
                <w:rFonts w:cs="Arial"/>
              </w:rPr>
              <w:br/>
              <w:t>oder DIN EN ISO 11885</w:t>
            </w:r>
          </w:p>
        </w:tc>
        <w:tc>
          <w:tcPr>
            <w:tcW w:w="3260" w:type="dxa"/>
          </w:tcPr>
          <w:p>
            <w:pPr>
              <w:pStyle w:val="GesAbsatz"/>
              <w:jc w:val="left"/>
              <w:rPr>
                <w:rFonts w:cs="Arial"/>
              </w:rPr>
            </w:pPr>
            <w:r>
              <w:rPr>
                <w:rFonts w:cs="Arial"/>
              </w:rPr>
              <w:t>(November 96)</w:t>
            </w:r>
            <w:r>
              <w:rPr>
                <w:rFonts w:cs="Arial"/>
              </w:rPr>
              <w:br/>
              <w:t>(April 98)</w:t>
            </w:r>
          </w:p>
        </w:tc>
      </w:tr>
      <w:tr>
        <w:tc>
          <w:tcPr>
            <w:tcW w:w="3259" w:type="dxa"/>
          </w:tcPr>
          <w:p>
            <w:pPr>
              <w:pStyle w:val="GesAbsatz"/>
              <w:jc w:val="left"/>
              <w:rPr>
                <w:rFonts w:cs="Arial"/>
              </w:rPr>
            </w:pPr>
            <w:r>
              <w:rPr>
                <w:rFonts w:cs="Arial"/>
              </w:rPr>
              <w:lastRenderedPageBreak/>
              <w:t>Blei</w:t>
            </w:r>
          </w:p>
        </w:tc>
        <w:tc>
          <w:tcPr>
            <w:tcW w:w="3259" w:type="dxa"/>
          </w:tcPr>
          <w:p>
            <w:pPr>
              <w:pStyle w:val="GesAbsatz"/>
              <w:jc w:val="left"/>
              <w:rPr>
                <w:rFonts w:cs="Arial"/>
              </w:rPr>
            </w:pPr>
            <w:r>
              <w:rPr>
                <w:rFonts w:cs="Arial"/>
              </w:rPr>
              <w:t>nach DIN 38 406-E6-2</w:t>
            </w:r>
            <w:r>
              <w:rPr>
                <w:rFonts w:cs="Arial"/>
              </w:rPr>
              <w:br/>
              <w:t>oder DIN EN ISO 11885</w:t>
            </w:r>
            <w:r>
              <w:rPr>
                <w:rFonts w:cs="Arial"/>
              </w:rPr>
              <w:br/>
              <w:t>oder DIN 38406–E 29</w:t>
            </w:r>
          </w:p>
        </w:tc>
        <w:tc>
          <w:tcPr>
            <w:tcW w:w="3260" w:type="dxa"/>
          </w:tcPr>
          <w:p>
            <w:pPr>
              <w:pStyle w:val="GesAbsatz"/>
              <w:jc w:val="left"/>
              <w:rPr>
                <w:rFonts w:cs="Arial"/>
              </w:rPr>
            </w:pPr>
            <w:r>
              <w:rPr>
                <w:rFonts w:cs="Arial"/>
              </w:rPr>
              <w:t>(Juli 98)</w:t>
            </w:r>
            <w:r>
              <w:rPr>
                <w:rFonts w:cs="Arial"/>
              </w:rPr>
              <w:br/>
              <w:t>(April 98)</w:t>
            </w:r>
            <w:r>
              <w:rPr>
                <w:rFonts w:cs="Arial"/>
              </w:rPr>
              <w:br/>
              <w:t>(Mai 99)</w:t>
            </w:r>
          </w:p>
        </w:tc>
      </w:tr>
      <w:tr>
        <w:tc>
          <w:tcPr>
            <w:tcW w:w="3259" w:type="dxa"/>
          </w:tcPr>
          <w:p>
            <w:pPr>
              <w:pStyle w:val="GesAbsatz"/>
              <w:jc w:val="left"/>
              <w:rPr>
                <w:rFonts w:cs="Arial"/>
              </w:rPr>
            </w:pPr>
            <w:r>
              <w:rPr>
                <w:rFonts w:cs="Arial"/>
              </w:rPr>
              <w:t>Cadmium</w:t>
            </w:r>
          </w:p>
        </w:tc>
        <w:tc>
          <w:tcPr>
            <w:tcW w:w="3259" w:type="dxa"/>
          </w:tcPr>
          <w:p>
            <w:pPr>
              <w:pStyle w:val="GesAbsatz"/>
              <w:jc w:val="left"/>
              <w:rPr>
                <w:rFonts w:cs="Arial"/>
              </w:rPr>
            </w:pPr>
            <w:r>
              <w:rPr>
                <w:rFonts w:cs="Arial"/>
              </w:rPr>
              <w:t>nach DIN EN ISO 5961 Abs.3</w:t>
            </w:r>
            <w:r>
              <w:rPr>
                <w:rFonts w:cs="Arial"/>
              </w:rPr>
              <w:br/>
              <w:t>oder DIN EN ISO 11885</w:t>
            </w:r>
            <w:r>
              <w:rPr>
                <w:rFonts w:cs="Arial"/>
              </w:rPr>
              <w:br/>
              <w:t>oder DIN 38406–E 29</w:t>
            </w:r>
          </w:p>
        </w:tc>
        <w:tc>
          <w:tcPr>
            <w:tcW w:w="3260" w:type="dxa"/>
          </w:tcPr>
          <w:p>
            <w:pPr>
              <w:pStyle w:val="GesAbsatz"/>
              <w:jc w:val="left"/>
              <w:rPr>
                <w:rFonts w:cs="Arial"/>
              </w:rPr>
            </w:pPr>
            <w:r>
              <w:rPr>
                <w:rFonts w:cs="Arial"/>
              </w:rPr>
              <w:t>(Mai 95)</w:t>
            </w:r>
            <w:r>
              <w:rPr>
                <w:rFonts w:cs="Arial"/>
              </w:rPr>
              <w:br/>
              <w:t>(April 98)</w:t>
            </w:r>
            <w:r>
              <w:rPr>
                <w:rFonts w:cs="Arial"/>
              </w:rPr>
              <w:br/>
              <w:t>(Mai 99)</w:t>
            </w:r>
          </w:p>
        </w:tc>
      </w:tr>
      <w:tr>
        <w:tc>
          <w:tcPr>
            <w:tcW w:w="3259" w:type="dxa"/>
          </w:tcPr>
          <w:p>
            <w:pPr>
              <w:pStyle w:val="GesAbsatz"/>
              <w:jc w:val="left"/>
              <w:rPr>
                <w:rFonts w:cs="Arial"/>
              </w:rPr>
            </w:pPr>
            <w:r>
              <w:rPr>
                <w:rFonts w:cs="Arial"/>
              </w:rPr>
              <w:t>Chrom</w:t>
            </w:r>
          </w:p>
        </w:tc>
        <w:tc>
          <w:tcPr>
            <w:tcW w:w="3259" w:type="dxa"/>
          </w:tcPr>
          <w:p>
            <w:pPr>
              <w:pStyle w:val="GesAbsatz"/>
              <w:jc w:val="left"/>
              <w:rPr>
                <w:rFonts w:cs="Arial"/>
              </w:rPr>
            </w:pPr>
            <w:r>
              <w:rPr>
                <w:rFonts w:cs="Arial"/>
              </w:rPr>
              <w:t>nach DIN EN 1233 Abs.4</w:t>
            </w:r>
            <w:r>
              <w:rPr>
                <w:rFonts w:cs="Arial"/>
              </w:rPr>
              <w:br/>
              <w:t>oder DIN EN ISO 11885</w:t>
            </w:r>
            <w:r>
              <w:rPr>
                <w:rFonts w:cs="Arial"/>
              </w:rPr>
              <w:br/>
              <w:t>oder DIN 38406–E 29</w:t>
            </w:r>
          </w:p>
        </w:tc>
        <w:tc>
          <w:tcPr>
            <w:tcW w:w="3260" w:type="dxa"/>
          </w:tcPr>
          <w:p>
            <w:pPr>
              <w:pStyle w:val="GesAbsatz"/>
              <w:jc w:val="left"/>
              <w:rPr>
                <w:rFonts w:cs="Arial"/>
              </w:rPr>
            </w:pPr>
            <w:r>
              <w:rPr>
                <w:rFonts w:cs="Arial"/>
              </w:rPr>
              <w:t>(August 96)</w:t>
            </w:r>
            <w:r>
              <w:rPr>
                <w:rFonts w:cs="Arial"/>
              </w:rPr>
              <w:br/>
              <w:t>(April 98)</w:t>
            </w:r>
            <w:r>
              <w:rPr>
                <w:rFonts w:cs="Arial"/>
              </w:rPr>
              <w:br/>
              <w:t>(Mai 99)</w:t>
            </w:r>
          </w:p>
        </w:tc>
      </w:tr>
      <w:tr>
        <w:tc>
          <w:tcPr>
            <w:tcW w:w="3259" w:type="dxa"/>
          </w:tcPr>
          <w:p>
            <w:pPr>
              <w:pStyle w:val="GesAbsatz"/>
              <w:jc w:val="left"/>
              <w:rPr>
                <w:rFonts w:cs="Arial"/>
              </w:rPr>
            </w:pPr>
            <w:r>
              <w:rPr>
                <w:rFonts w:cs="Arial"/>
              </w:rPr>
              <w:t>Chrom (VI)</w:t>
            </w:r>
          </w:p>
        </w:tc>
        <w:tc>
          <w:tcPr>
            <w:tcW w:w="3259" w:type="dxa"/>
          </w:tcPr>
          <w:p>
            <w:pPr>
              <w:pStyle w:val="GesAbsatz"/>
              <w:jc w:val="left"/>
              <w:rPr>
                <w:rFonts w:cs="Arial"/>
              </w:rPr>
            </w:pPr>
            <w:r>
              <w:rPr>
                <w:rFonts w:cs="Arial"/>
              </w:rPr>
              <w:t>nach DIN 38405-D24</w:t>
            </w:r>
            <w:r>
              <w:rPr>
                <w:rFonts w:cs="Arial"/>
              </w:rPr>
              <w:br/>
              <w:t>oder DIN EN ISO 10304–3</w:t>
            </w:r>
            <w:r>
              <w:rPr>
                <w:rFonts w:cs="Arial"/>
              </w:rPr>
              <w:br/>
              <w:t>Abschn. 6</w:t>
            </w:r>
          </w:p>
        </w:tc>
        <w:tc>
          <w:tcPr>
            <w:tcW w:w="3260" w:type="dxa"/>
          </w:tcPr>
          <w:p>
            <w:pPr>
              <w:pStyle w:val="GesAbsatz"/>
              <w:jc w:val="left"/>
              <w:rPr>
                <w:rFonts w:cs="Arial"/>
              </w:rPr>
            </w:pPr>
            <w:r>
              <w:rPr>
                <w:rFonts w:cs="Arial"/>
              </w:rPr>
              <w:t>(Mai 87)</w:t>
            </w:r>
            <w:r>
              <w:rPr>
                <w:rFonts w:cs="Arial"/>
              </w:rPr>
              <w:br/>
              <w:t>(November 97)</w:t>
            </w:r>
          </w:p>
        </w:tc>
      </w:tr>
      <w:tr>
        <w:tc>
          <w:tcPr>
            <w:tcW w:w="3259" w:type="dxa"/>
          </w:tcPr>
          <w:p>
            <w:pPr>
              <w:pStyle w:val="GesAbsatz"/>
              <w:jc w:val="left"/>
              <w:rPr>
                <w:rFonts w:cs="Arial"/>
              </w:rPr>
            </w:pPr>
            <w:r>
              <w:rPr>
                <w:rFonts w:cs="Arial"/>
              </w:rPr>
              <w:t>Kupfer</w:t>
            </w:r>
          </w:p>
        </w:tc>
        <w:tc>
          <w:tcPr>
            <w:tcW w:w="3259" w:type="dxa"/>
          </w:tcPr>
          <w:p>
            <w:pPr>
              <w:pStyle w:val="GesAbsatz"/>
              <w:jc w:val="left"/>
              <w:rPr>
                <w:rFonts w:cs="Arial"/>
              </w:rPr>
            </w:pPr>
            <w:r>
              <w:rPr>
                <w:rFonts w:cs="Arial"/>
              </w:rPr>
              <w:t>nach DIN 38 406-E7-2</w:t>
            </w:r>
            <w:r>
              <w:rPr>
                <w:rFonts w:cs="Arial"/>
              </w:rPr>
              <w:br/>
              <w:t>oder DIN EN ISO 11885</w:t>
            </w:r>
            <w:r>
              <w:rPr>
                <w:rFonts w:cs="Arial"/>
              </w:rPr>
              <w:br/>
              <w:t>oder DIN 38406–E 29</w:t>
            </w:r>
          </w:p>
        </w:tc>
        <w:tc>
          <w:tcPr>
            <w:tcW w:w="3260" w:type="dxa"/>
          </w:tcPr>
          <w:p>
            <w:pPr>
              <w:pStyle w:val="GesAbsatz"/>
              <w:jc w:val="left"/>
              <w:rPr>
                <w:rFonts w:cs="Arial"/>
              </w:rPr>
            </w:pPr>
            <w:r>
              <w:rPr>
                <w:rFonts w:cs="Arial"/>
              </w:rPr>
              <w:t>(September 91)</w:t>
            </w:r>
            <w:r>
              <w:rPr>
                <w:rFonts w:cs="Arial"/>
              </w:rPr>
              <w:br/>
              <w:t>(April 98)</w:t>
            </w:r>
            <w:r>
              <w:rPr>
                <w:rFonts w:cs="Arial"/>
              </w:rPr>
              <w:br/>
              <w:t>(Mai 99)</w:t>
            </w:r>
          </w:p>
        </w:tc>
      </w:tr>
      <w:tr>
        <w:tc>
          <w:tcPr>
            <w:tcW w:w="3259" w:type="dxa"/>
          </w:tcPr>
          <w:p>
            <w:pPr>
              <w:pStyle w:val="GesAbsatz"/>
              <w:jc w:val="left"/>
              <w:rPr>
                <w:rFonts w:cs="Arial"/>
              </w:rPr>
            </w:pPr>
            <w:r>
              <w:rPr>
                <w:rFonts w:cs="Arial"/>
              </w:rPr>
              <w:t>Nickel</w:t>
            </w:r>
          </w:p>
        </w:tc>
        <w:tc>
          <w:tcPr>
            <w:tcW w:w="3259" w:type="dxa"/>
          </w:tcPr>
          <w:p>
            <w:pPr>
              <w:pStyle w:val="GesAbsatz"/>
              <w:jc w:val="left"/>
              <w:rPr>
                <w:rFonts w:cs="Arial"/>
              </w:rPr>
            </w:pPr>
            <w:r>
              <w:rPr>
                <w:rFonts w:cs="Arial"/>
              </w:rPr>
              <w:t>nach DIN 38 406-E11-2</w:t>
            </w:r>
            <w:r>
              <w:rPr>
                <w:rFonts w:cs="Arial"/>
              </w:rPr>
              <w:br/>
              <w:t>oder DIN EN ISO 11885</w:t>
            </w:r>
            <w:r>
              <w:rPr>
                <w:rFonts w:cs="Arial"/>
              </w:rPr>
              <w:br/>
              <w:t>oder DIN 38406–E 29</w:t>
            </w:r>
          </w:p>
        </w:tc>
        <w:tc>
          <w:tcPr>
            <w:tcW w:w="3260" w:type="dxa"/>
          </w:tcPr>
          <w:p>
            <w:pPr>
              <w:pStyle w:val="GesAbsatz"/>
              <w:jc w:val="left"/>
              <w:rPr>
                <w:rFonts w:cs="Arial"/>
              </w:rPr>
            </w:pPr>
            <w:r>
              <w:rPr>
                <w:rFonts w:cs="Arial"/>
              </w:rPr>
              <w:t>(September 91)</w:t>
            </w:r>
            <w:r>
              <w:rPr>
                <w:rFonts w:cs="Arial"/>
              </w:rPr>
              <w:br/>
              <w:t>(April 98)</w:t>
            </w:r>
            <w:r>
              <w:rPr>
                <w:rFonts w:cs="Arial"/>
              </w:rPr>
              <w:br/>
              <w:t>(Mai 99)</w:t>
            </w:r>
          </w:p>
        </w:tc>
      </w:tr>
      <w:tr>
        <w:tc>
          <w:tcPr>
            <w:tcW w:w="3259" w:type="dxa"/>
          </w:tcPr>
          <w:p>
            <w:pPr>
              <w:pStyle w:val="GesAbsatz"/>
              <w:jc w:val="left"/>
              <w:rPr>
                <w:rFonts w:cs="Arial"/>
              </w:rPr>
            </w:pPr>
            <w:r>
              <w:rPr>
                <w:rFonts w:cs="Arial"/>
              </w:rPr>
              <w:t>Quecksilber</w:t>
            </w:r>
          </w:p>
        </w:tc>
        <w:tc>
          <w:tcPr>
            <w:tcW w:w="3259" w:type="dxa"/>
          </w:tcPr>
          <w:p>
            <w:pPr>
              <w:pStyle w:val="GesAbsatz"/>
              <w:jc w:val="left"/>
              <w:rPr>
                <w:rFonts w:cs="Arial"/>
              </w:rPr>
            </w:pPr>
            <w:r>
              <w:rPr>
                <w:rFonts w:cs="Arial"/>
              </w:rPr>
              <w:t>nach DIN EN 1483</w:t>
            </w:r>
            <w:r>
              <w:rPr>
                <w:rFonts w:cs="Arial"/>
              </w:rPr>
              <w:br/>
              <w:t>oder DIN EN 12 338</w:t>
            </w:r>
          </w:p>
        </w:tc>
        <w:tc>
          <w:tcPr>
            <w:tcW w:w="3260" w:type="dxa"/>
          </w:tcPr>
          <w:p>
            <w:pPr>
              <w:pStyle w:val="GesAbsatz"/>
              <w:jc w:val="left"/>
              <w:rPr>
                <w:rFonts w:cs="Arial"/>
              </w:rPr>
            </w:pPr>
            <w:r>
              <w:rPr>
                <w:rFonts w:cs="Arial"/>
              </w:rPr>
              <w:t>(August 97)</w:t>
            </w:r>
            <w:r>
              <w:rPr>
                <w:rFonts w:cs="Arial"/>
              </w:rPr>
              <w:br/>
              <w:t>(Oktober 98)</w:t>
            </w:r>
            <w:r>
              <w:rPr>
                <w:rFonts w:cs="Arial"/>
              </w:rPr>
              <w:br/>
            </w:r>
          </w:p>
        </w:tc>
      </w:tr>
      <w:tr>
        <w:tc>
          <w:tcPr>
            <w:tcW w:w="3259" w:type="dxa"/>
          </w:tcPr>
          <w:p>
            <w:pPr>
              <w:pStyle w:val="GesAbsatz"/>
              <w:jc w:val="left"/>
              <w:rPr>
                <w:rFonts w:cs="Arial"/>
              </w:rPr>
            </w:pPr>
            <w:r>
              <w:rPr>
                <w:rFonts w:cs="Arial"/>
              </w:rPr>
              <w:t>Zink</w:t>
            </w:r>
          </w:p>
        </w:tc>
        <w:tc>
          <w:tcPr>
            <w:tcW w:w="3259" w:type="dxa"/>
          </w:tcPr>
          <w:p>
            <w:pPr>
              <w:pStyle w:val="GesAbsatz"/>
              <w:jc w:val="left"/>
              <w:rPr>
                <w:rFonts w:cs="Arial"/>
              </w:rPr>
            </w:pPr>
            <w:r>
              <w:rPr>
                <w:rFonts w:cs="Arial"/>
              </w:rPr>
              <w:t>nach DIN 38 406-E8-1</w:t>
            </w:r>
            <w:r>
              <w:rPr>
                <w:rFonts w:cs="Arial"/>
              </w:rPr>
              <w:br/>
              <w:t>oder DIN EN ISO 11885</w:t>
            </w:r>
            <w:r>
              <w:rPr>
                <w:rFonts w:cs="Arial"/>
              </w:rPr>
              <w:br/>
              <w:t>oder DIN 38406 – E 29</w:t>
            </w:r>
          </w:p>
        </w:tc>
        <w:tc>
          <w:tcPr>
            <w:tcW w:w="3260" w:type="dxa"/>
          </w:tcPr>
          <w:p>
            <w:pPr>
              <w:pStyle w:val="GesAbsatz"/>
              <w:jc w:val="left"/>
              <w:rPr>
                <w:rFonts w:cs="Arial"/>
              </w:rPr>
            </w:pPr>
            <w:r>
              <w:rPr>
                <w:rFonts w:cs="Arial"/>
              </w:rPr>
              <w:t>(Oktober 80)</w:t>
            </w:r>
            <w:r>
              <w:rPr>
                <w:rFonts w:cs="Arial"/>
              </w:rPr>
              <w:br/>
              <w:t>(April 98)</w:t>
            </w:r>
            <w:r>
              <w:rPr>
                <w:rFonts w:cs="Arial"/>
              </w:rPr>
              <w:br/>
              <w:t>(Mai 99)</w:t>
            </w:r>
          </w:p>
        </w:tc>
      </w:tr>
      <w:tr>
        <w:tc>
          <w:tcPr>
            <w:tcW w:w="3259" w:type="dxa"/>
          </w:tcPr>
          <w:p>
            <w:pPr>
              <w:pStyle w:val="GesAbsatz"/>
              <w:jc w:val="left"/>
              <w:rPr>
                <w:rFonts w:cs="Arial"/>
              </w:rPr>
            </w:pPr>
            <w:r>
              <w:rPr>
                <w:rFonts w:cs="Arial"/>
              </w:rPr>
              <w:t>Natrium</w:t>
            </w:r>
          </w:p>
        </w:tc>
        <w:tc>
          <w:tcPr>
            <w:tcW w:w="3259" w:type="dxa"/>
          </w:tcPr>
          <w:p>
            <w:pPr>
              <w:pStyle w:val="GesAbsatz"/>
              <w:jc w:val="left"/>
              <w:rPr>
                <w:rFonts w:cs="Arial"/>
              </w:rPr>
            </w:pPr>
            <w:r>
              <w:rPr>
                <w:rFonts w:cs="Arial"/>
              </w:rPr>
              <w:t>nach DIN 38 406-E14</w:t>
            </w:r>
            <w:r>
              <w:rPr>
                <w:rFonts w:cs="Arial"/>
              </w:rPr>
              <w:br/>
              <w:t>oder DIN EN ISO 11885</w:t>
            </w:r>
          </w:p>
        </w:tc>
        <w:tc>
          <w:tcPr>
            <w:tcW w:w="3260" w:type="dxa"/>
          </w:tcPr>
          <w:p>
            <w:pPr>
              <w:pStyle w:val="GesAbsatz"/>
              <w:jc w:val="left"/>
              <w:rPr>
                <w:rFonts w:cs="Arial"/>
              </w:rPr>
            </w:pPr>
            <w:r>
              <w:rPr>
                <w:rFonts w:cs="Arial"/>
              </w:rPr>
              <w:t>(Juli 92)</w:t>
            </w:r>
            <w:r>
              <w:rPr>
                <w:rFonts w:cs="Arial"/>
              </w:rPr>
              <w:br/>
              <w:t>(April 98)</w:t>
            </w:r>
          </w:p>
        </w:tc>
      </w:tr>
      <w:tr>
        <w:tc>
          <w:tcPr>
            <w:tcW w:w="3259" w:type="dxa"/>
          </w:tcPr>
          <w:p>
            <w:pPr>
              <w:pStyle w:val="GesAbsatz"/>
              <w:jc w:val="left"/>
              <w:rPr>
                <w:rFonts w:cs="Arial"/>
              </w:rPr>
            </w:pPr>
            <w:r>
              <w:rPr>
                <w:rFonts w:cs="Arial"/>
              </w:rPr>
              <w:t>Kalium</w:t>
            </w:r>
          </w:p>
        </w:tc>
        <w:tc>
          <w:tcPr>
            <w:tcW w:w="3259" w:type="dxa"/>
          </w:tcPr>
          <w:p>
            <w:pPr>
              <w:pStyle w:val="GesAbsatz"/>
              <w:jc w:val="left"/>
              <w:rPr>
                <w:rFonts w:cs="Arial"/>
              </w:rPr>
            </w:pPr>
            <w:r>
              <w:rPr>
                <w:rFonts w:cs="Arial"/>
              </w:rPr>
              <w:t>nach DIN 38 406-E13</w:t>
            </w:r>
            <w:r>
              <w:rPr>
                <w:rFonts w:cs="Arial"/>
              </w:rPr>
              <w:br/>
              <w:t>oder DIN EN ISO 11885</w:t>
            </w:r>
          </w:p>
        </w:tc>
        <w:tc>
          <w:tcPr>
            <w:tcW w:w="3260" w:type="dxa"/>
          </w:tcPr>
          <w:p>
            <w:pPr>
              <w:pStyle w:val="GesAbsatz"/>
              <w:jc w:val="left"/>
              <w:rPr>
                <w:rFonts w:cs="Arial"/>
              </w:rPr>
            </w:pPr>
            <w:r>
              <w:rPr>
                <w:rFonts w:cs="Arial"/>
              </w:rPr>
              <w:t>(Juli 92)</w:t>
            </w:r>
            <w:r>
              <w:rPr>
                <w:rFonts w:cs="Arial"/>
              </w:rPr>
              <w:br/>
              <w:t>(April 98)</w:t>
            </w:r>
          </w:p>
        </w:tc>
      </w:tr>
      <w:tr>
        <w:tc>
          <w:tcPr>
            <w:tcW w:w="3259" w:type="dxa"/>
          </w:tcPr>
          <w:p>
            <w:pPr>
              <w:pStyle w:val="GesAbsatz"/>
              <w:jc w:val="left"/>
              <w:rPr>
                <w:rFonts w:cs="Arial"/>
              </w:rPr>
            </w:pPr>
            <w:r>
              <w:rPr>
                <w:rFonts w:cs="Arial"/>
              </w:rPr>
              <w:t>Magnesium</w:t>
            </w:r>
          </w:p>
        </w:tc>
        <w:tc>
          <w:tcPr>
            <w:tcW w:w="3259" w:type="dxa"/>
          </w:tcPr>
          <w:p>
            <w:pPr>
              <w:pStyle w:val="GesAbsatz"/>
              <w:jc w:val="left"/>
              <w:rPr>
                <w:rFonts w:cs="Arial"/>
              </w:rPr>
            </w:pPr>
            <w:r>
              <w:rPr>
                <w:rFonts w:cs="Arial"/>
              </w:rPr>
              <w:t>nach DIN 38 406-E3-1</w:t>
            </w:r>
            <w:r>
              <w:rPr>
                <w:rFonts w:cs="Arial"/>
              </w:rPr>
              <w:br/>
              <w:t>oder DIN EN ISO 11885</w:t>
            </w:r>
          </w:p>
        </w:tc>
        <w:tc>
          <w:tcPr>
            <w:tcW w:w="3260" w:type="dxa"/>
          </w:tcPr>
          <w:p>
            <w:pPr>
              <w:pStyle w:val="GesAbsatz"/>
              <w:jc w:val="left"/>
              <w:rPr>
                <w:rFonts w:cs="Arial"/>
              </w:rPr>
            </w:pPr>
            <w:r>
              <w:rPr>
                <w:rFonts w:cs="Arial"/>
              </w:rPr>
              <w:t>(September 82)</w:t>
            </w:r>
            <w:r>
              <w:rPr>
                <w:rFonts w:cs="Arial"/>
              </w:rPr>
              <w:br/>
              <w:t>(April 98)</w:t>
            </w:r>
          </w:p>
        </w:tc>
      </w:tr>
      <w:tr>
        <w:tc>
          <w:tcPr>
            <w:tcW w:w="3259" w:type="dxa"/>
          </w:tcPr>
          <w:p>
            <w:pPr>
              <w:pStyle w:val="GesAbsatz"/>
              <w:jc w:val="left"/>
              <w:rPr>
                <w:rFonts w:cs="Arial"/>
              </w:rPr>
            </w:pPr>
            <w:r>
              <w:rPr>
                <w:rFonts w:cs="Arial"/>
              </w:rPr>
              <w:t>Calcium</w:t>
            </w:r>
          </w:p>
        </w:tc>
        <w:tc>
          <w:tcPr>
            <w:tcW w:w="3259" w:type="dxa"/>
          </w:tcPr>
          <w:p>
            <w:pPr>
              <w:pStyle w:val="GesAbsatz"/>
              <w:jc w:val="left"/>
              <w:rPr>
                <w:rFonts w:cs="Arial"/>
              </w:rPr>
            </w:pPr>
            <w:r>
              <w:rPr>
                <w:rFonts w:cs="Arial"/>
              </w:rPr>
              <w:t>nach DIN 38 406-E3-1</w:t>
            </w:r>
            <w:r>
              <w:rPr>
                <w:rFonts w:cs="Arial"/>
              </w:rPr>
              <w:br/>
              <w:t>oder DIN EN ISO 11885</w:t>
            </w:r>
          </w:p>
        </w:tc>
        <w:tc>
          <w:tcPr>
            <w:tcW w:w="3260" w:type="dxa"/>
          </w:tcPr>
          <w:p>
            <w:pPr>
              <w:pStyle w:val="GesAbsatz"/>
              <w:jc w:val="left"/>
              <w:rPr>
                <w:rFonts w:cs="Arial"/>
              </w:rPr>
            </w:pPr>
            <w:r>
              <w:rPr>
                <w:rFonts w:cs="Arial"/>
              </w:rPr>
              <w:t>(September 82)</w:t>
            </w:r>
            <w:r>
              <w:rPr>
                <w:rFonts w:cs="Arial"/>
              </w:rPr>
              <w:br/>
              <w:t>(April 98)</w:t>
            </w:r>
          </w:p>
        </w:tc>
      </w:tr>
      <w:tr>
        <w:tc>
          <w:tcPr>
            <w:tcW w:w="3259" w:type="dxa"/>
          </w:tcPr>
          <w:p>
            <w:pPr>
              <w:pStyle w:val="GesAbsatz"/>
              <w:jc w:val="left"/>
              <w:rPr>
                <w:rFonts w:cs="Arial"/>
              </w:rPr>
            </w:pPr>
            <w:r>
              <w:rPr>
                <w:rFonts w:cs="Arial"/>
              </w:rPr>
              <w:t>Phosphor, gesamt</w:t>
            </w:r>
          </w:p>
        </w:tc>
        <w:tc>
          <w:tcPr>
            <w:tcW w:w="3259" w:type="dxa"/>
          </w:tcPr>
          <w:p>
            <w:pPr>
              <w:pStyle w:val="GesAbsatz"/>
              <w:jc w:val="left"/>
              <w:rPr>
                <w:rFonts w:cs="Arial"/>
              </w:rPr>
            </w:pPr>
            <w:r>
              <w:rPr>
                <w:rFonts w:cs="Arial"/>
              </w:rPr>
              <w:t>nach DIN EN ISO 11885</w:t>
            </w:r>
            <w:r>
              <w:rPr>
                <w:rFonts w:cs="Arial"/>
              </w:rPr>
              <w:br/>
              <w:t>oder DIN EN 1189, Abschn. 6,7</w:t>
            </w:r>
          </w:p>
        </w:tc>
        <w:tc>
          <w:tcPr>
            <w:tcW w:w="3260" w:type="dxa"/>
          </w:tcPr>
          <w:p>
            <w:pPr>
              <w:pStyle w:val="GesAbsatz"/>
              <w:jc w:val="left"/>
              <w:rPr>
                <w:rFonts w:cs="Arial"/>
              </w:rPr>
            </w:pPr>
            <w:r>
              <w:rPr>
                <w:rFonts w:cs="Arial"/>
              </w:rPr>
              <w:t>(April 98)</w:t>
            </w:r>
            <w:r>
              <w:rPr>
                <w:rFonts w:cs="Arial"/>
              </w:rPr>
              <w:br/>
              <w:t>(Dezember 96)</w:t>
            </w:r>
          </w:p>
        </w:tc>
      </w:tr>
      <w:tr>
        <w:tc>
          <w:tcPr>
            <w:tcW w:w="3259" w:type="dxa"/>
          </w:tcPr>
          <w:p>
            <w:pPr>
              <w:pStyle w:val="GesAbsatz"/>
              <w:jc w:val="left"/>
              <w:rPr>
                <w:rFonts w:cs="Arial"/>
              </w:rPr>
            </w:pPr>
            <w:r>
              <w:rPr>
                <w:rFonts w:cs="Arial"/>
              </w:rPr>
              <w:t>Chlorid</w:t>
            </w:r>
          </w:p>
        </w:tc>
        <w:tc>
          <w:tcPr>
            <w:tcW w:w="3259" w:type="dxa"/>
          </w:tcPr>
          <w:p>
            <w:pPr>
              <w:pStyle w:val="GesAbsatz"/>
              <w:jc w:val="left"/>
              <w:rPr>
                <w:rFonts w:cs="Arial"/>
              </w:rPr>
            </w:pPr>
            <w:r>
              <w:rPr>
                <w:rFonts w:cs="Arial"/>
              </w:rPr>
              <w:t>nach DIN EN ISO 10304-2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Cyanid</w:t>
            </w:r>
          </w:p>
        </w:tc>
        <w:tc>
          <w:tcPr>
            <w:tcW w:w="3259" w:type="dxa"/>
          </w:tcPr>
          <w:p>
            <w:pPr>
              <w:pStyle w:val="GesAbsatz"/>
              <w:jc w:val="left"/>
              <w:rPr>
                <w:rFonts w:cs="Arial"/>
              </w:rPr>
            </w:pPr>
            <w:r>
              <w:rPr>
                <w:rFonts w:cs="Arial"/>
              </w:rPr>
              <w:t xml:space="preserve">nach DIN 38 405-D13 </w:t>
            </w:r>
            <w:r>
              <w:rPr>
                <w:rStyle w:val="Funotenzeichen"/>
                <w:rFonts w:cs="Arial"/>
              </w:rPr>
              <w:footnoteReference w:id="6"/>
            </w:r>
          </w:p>
        </w:tc>
        <w:tc>
          <w:tcPr>
            <w:tcW w:w="3260" w:type="dxa"/>
          </w:tcPr>
          <w:p>
            <w:pPr>
              <w:pStyle w:val="GesAbsatz"/>
              <w:jc w:val="left"/>
              <w:rPr>
                <w:rFonts w:cs="Arial"/>
              </w:rPr>
            </w:pPr>
            <w:r>
              <w:rPr>
                <w:rFonts w:cs="Arial"/>
              </w:rPr>
              <w:t>(Februar 81)</w:t>
            </w:r>
          </w:p>
        </w:tc>
      </w:tr>
      <w:tr>
        <w:tc>
          <w:tcPr>
            <w:tcW w:w="3259" w:type="dxa"/>
          </w:tcPr>
          <w:p>
            <w:pPr>
              <w:pStyle w:val="GesAbsatz"/>
              <w:jc w:val="left"/>
              <w:rPr>
                <w:rFonts w:cs="Arial"/>
              </w:rPr>
            </w:pPr>
            <w:r>
              <w:rPr>
                <w:rFonts w:cs="Arial"/>
              </w:rPr>
              <w:t>Nitrat</w:t>
            </w:r>
          </w:p>
        </w:tc>
        <w:tc>
          <w:tcPr>
            <w:tcW w:w="3259" w:type="dxa"/>
          </w:tcPr>
          <w:p>
            <w:pPr>
              <w:pStyle w:val="GesAbsatz"/>
              <w:jc w:val="left"/>
              <w:rPr>
                <w:rFonts w:cs="Arial"/>
              </w:rPr>
            </w:pPr>
            <w:r>
              <w:rPr>
                <w:rFonts w:cs="Arial"/>
              </w:rPr>
              <w:t>nach DIN EN ISO 10304-2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Nitrit</w:t>
            </w:r>
          </w:p>
        </w:tc>
        <w:tc>
          <w:tcPr>
            <w:tcW w:w="3259" w:type="dxa"/>
          </w:tcPr>
          <w:p>
            <w:pPr>
              <w:pStyle w:val="GesAbsatz"/>
              <w:jc w:val="left"/>
              <w:rPr>
                <w:rFonts w:cs="Arial"/>
              </w:rPr>
            </w:pPr>
            <w:r>
              <w:rPr>
                <w:rFonts w:cs="Arial"/>
              </w:rPr>
              <w:t>nach DIN EN ISO 10304-2</w:t>
            </w:r>
            <w:r>
              <w:rPr>
                <w:rFonts w:cs="Arial"/>
              </w:rPr>
              <w:br/>
              <w:t>oder DIN EN 26 777</w:t>
            </w:r>
          </w:p>
        </w:tc>
        <w:tc>
          <w:tcPr>
            <w:tcW w:w="3260" w:type="dxa"/>
          </w:tcPr>
          <w:p>
            <w:pPr>
              <w:pStyle w:val="GesAbsatz"/>
              <w:jc w:val="left"/>
              <w:rPr>
                <w:rFonts w:cs="Arial"/>
              </w:rPr>
            </w:pPr>
            <w:r>
              <w:rPr>
                <w:rFonts w:cs="Arial"/>
              </w:rPr>
              <w:t>(November 96)</w:t>
            </w:r>
            <w:r>
              <w:rPr>
                <w:rFonts w:cs="Arial"/>
              </w:rPr>
              <w:br/>
              <w:t>(April 93)</w:t>
            </w:r>
          </w:p>
        </w:tc>
      </w:tr>
      <w:tr>
        <w:tc>
          <w:tcPr>
            <w:tcW w:w="3259" w:type="dxa"/>
          </w:tcPr>
          <w:p>
            <w:pPr>
              <w:pStyle w:val="GesAbsatz"/>
              <w:jc w:val="left"/>
              <w:rPr>
                <w:rFonts w:cs="Arial"/>
              </w:rPr>
            </w:pPr>
            <w:r>
              <w:rPr>
                <w:rFonts w:cs="Arial"/>
              </w:rPr>
              <w:t>Sulfat</w:t>
            </w:r>
          </w:p>
        </w:tc>
        <w:tc>
          <w:tcPr>
            <w:tcW w:w="3259" w:type="dxa"/>
          </w:tcPr>
          <w:p>
            <w:pPr>
              <w:pStyle w:val="GesAbsatz"/>
              <w:jc w:val="left"/>
              <w:rPr>
                <w:rFonts w:cs="Arial"/>
              </w:rPr>
            </w:pPr>
            <w:r>
              <w:rPr>
                <w:rFonts w:cs="Arial"/>
              </w:rPr>
              <w:t>nach DIN EN ISO 10304-2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Sulfid</w:t>
            </w:r>
          </w:p>
        </w:tc>
        <w:tc>
          <w:tcPr>
            <w:tcW w:w="3259" w:type="dxa"/>
          </w:tcPr>
          <w:p>
            <w:pPr>
              <w:pStyle w:val="GesAbsatz"/>
              <w:jc w:val="left"/>
              <w:rPr>
                <w:rFonts w:cs="Arial"/>
              </w:rPr>
            </w:pPr>
            <w:r>
              <w:rPr>
                <w:rFonts w:cs="Arial"/>
              </w:rPr>
              <w:t>nach DIN 38405-D26</w:t>
            </w:r>
          </w:p>
        </w:tc>
        <w:tc>
          <w:tcPr>
            <w:tcW w:w="3260" w:type="dxa"/>
          </w:tcPr>
          <w:p>
            <w:pPr>
              <w:pStyle w:val="GesAbsatz"/>
              <w:jc w:val="left"/>
              <w:rPr>
                <w:rFonts w:cs="Arial"/>
              </w:rPr>
            </w:pPr>
            <w:r>
              <w:rPr>
                <w:rFonts w:cs="Arial"/>
              </w:rPr>
              <w:t>(April 89)</w:t>
            </w:r>
          </w:p>
        </w:tc>
      </w:tr>
      <w:tr>
        <w:tc>
          <w:tcPr>
            <w:tcW w:w="9778" w:type="dxa"/>
            <w:gridSpan w:val="3"/>
          </w:tcPr>
          <w:p>
            <w:pPr>
              <w:pStyle w:val="GesAbsatz"/>
              <w:jc w:val="left"/>
              <w:rPr>
                <w:rFonts w:cs="Arial"/>
              </w:rPr>
            </w:pPr>
            <w:r>
              <w:rPr>
                <w:rFonts w:cs="Arial"/>
                <w:b/>
              </w:rPr>
              <w:t>Teilbereich 4: Allgemeine Untersuchungsparameter und -verfahren für Grund- und Oberflächenwasser</w:t>
            </w:r>
          </w:p>
        </w:tc>
      </w:tr>
      <w:tr>
        <w:tc>
          <w:tcPr>
            <w:tcW w:w="3259" w:type="dxa"/>
          </w:tcPr>
          <w:p>
            <w:pPr>
              <w:pStyle w:val="GesAbsatz"/>
              <w:jc w:val="left"/>
              <w:rPr>
                <w:rFonts w:cs="Arial"/>
              </w:rPr>
            </w:pPr>
            <w:r>
              <w:rPr>
                <w:rFonts w:cs="Arial"/>
              </w:rPr>
              <w:lastRenderedPageBreak/>
              <w:t>Probennahme</w:t>
            </w:r>
          </w:p>
        </w:tc>
        <w:tc>
          <w:tcPr>
            <w:tcW w:w="3259" w:type="dxa"/>
          </w:tcPr>
          <w:p>
            <w:pPr>
              <w:pStyle w:val="GesAbsatz"/>
              <w:jc w:val="left"/>
              <w:rPr>
                <w:rFonts w:cs="Arial"/>
              </w:rPr>
            </w:pPr>
            <w:r>
              <w:rPr>
                <w:rFonts w:cs="Arial"/>
              </w:rPr>
              <w:t>nach DIN EN 25667Teil 2</w:t>
            </w:r>
            <w:r>
              <w:rPr>
                <w:rFonts w:cs="Arial"/>
              </w:rPr>
              <w:br/>
              <w:t>und DIN 38 402-A13</w:t>
            </w:r>
            <w:r>
              <w:rPr>
                <w:rFonts w:cs="Arial"/>
              </w:rPr>
              <w:br/>
              <w:t>und DIN 38 402-A 15</w:t>
            </w:r>
          </w:p>
        </w:tc>
        <w:tc>
          <w:tcPr>
            <w:tcW w:w="3260" w:type="dxa"/>
          </w:tcPr>
          <w:p>
            <w:pPr>
              <w:pStyle w:val="GesAbsatz"/>
              <w:jc w:val="left"/>
              <w:rPr>
                <w:rFonts w:cs="Arial"/>
              </w:rPr>
            </w:pPr>
            <w:r>
              <w:rPr>
                <w:rFonts w:cs="Arial"/>
              </w:rPr>
              <w:t>(Juli 93)</w:t>
            </w:r>
            <w:r>
              <w:rPr>
                <w:rFonts w:cs="Arial"/>
              </w:rPr>
              <w:br/>
              <w:t>(Dezember 85)</w:t>
            </w:r>
            <w:r>
              <w:rPr>
                <w:rFonts w:cs="Arial"/>
              </w:rPr>
              <w:br/>
              <w:t>(Juli 86)</w:t>
            </w:r>
          </w:p>
        </w:tc>
      </w:tr>
      <w:tr>
        <w:tc>
          <w:tcPr>
            <w:tcW w:w="3259" w:type="dxa"/>
          </w:tcPr>
          <w:p>
            <w:pPr>
              <w:pStyle w:val="GesAbsatz"/>
              <w:jc w:val="left"/>
              <w:rPr>
                <w:rFonts w:cs="Arial"/>
              </w:rPr>
            </w:pPr>
            <w:r>
              <w:rPr>
                <w:rFonts w:cs="Arial"/>
              </w:rPr>
              <w:t>Temperatur</w:t>
            </w:r>
          </w:p>
        </w:tc>
        <w:tc>
          <w:tcPr>
            <w:tcW w:w="3259" w:type="dxa"/>
          </w:tcPr>
          <w:p>
            <w:pPr>
              <w:pStyle w:val="GesAbsatz"/>
              <w:jc w:val="left"/>
              <w:rPr>
                <w:rFonts w:cs="Arial"/>
              </w:rPr>
            </w:pPr>
            <w:r>
              <w:rPr>
                <w:rFonts w:cs="Arial"/>
              </w:rPr>
              <w:t>nach DIN 38 404-C4</w:t>
            </w:r>
          </w:p>
        </w:tc>
        <w:tc>
          <w:tcPr>
            <w:tcW w:w="3260" w:type="dxa"/>
          </w:tcPr>
          <w:p>
            <w:pPr>
              <w:pStyle w:val="GesAbsatz"/>
              <w:jc w:val="left"/>
              <w:rPr>
                <w:rFonts w:cs="Arial"/>
              </w:rPr>
            </w:pPr>
            <w:r>
              <w:rPr>
                <w:rFonts w:cs="Arial"/>
              </w:rPr>
              <w:t>(Dezember 76)</w:t>
            </w:r>
          </w:p>
        </w:tc>
      </w:tr>
      <w:tr>
        <w:tc>
          <w:tcPr>
            <w:tcW w:w="3259" w:type="dxa"/>
          </w:tcPr>
          <w:p>
            <w:pPr>
              <w:pStyle w:val="GesAbsatz"/>
              <w:jc w:val="left"/>
              <w:rPr>
                <w:rFonts w:cs="Arial"/>
              </w:rPr>
            </w:pPr>
            <w:r>
              <w:rPr>
                <w:rFonts w:cs="Arial"/>
              </w:rPr>
              <w:t>Redoxpotential</w:t>
            </w:r>
          </w:p>
        </w:tc>
        <w:tc>
          <w:tcPr>
            <w:tcW w:w="3259" w:type="dxa"/>
          </w:tcPr>
          <w:p>
            <w:pPr>
              <w:pStyle w:val="GesAbsatz"/>
              <w:jc w:val="left"/>
              <w:rPr>
                <w:rFonts w:cs="Arial"/>
              </w:rPr>
            </w:pPr>
            <w:r>
              <w:rPr>
                <w:rFonts w:cs="Arial"/>
              </w:rPr>
              <w:t>nach DIN 38 404-C6</w:t>
            </w:r>
          </w:p>
        </w:tc>
        <w:tc>
          <w:tcPr>
            <w:tcW w:w="3260" w:type="dxa"/>
          </w:tcPr>
          <w:p>
            <w:pPr>
              <w:pStyle w:val="GesAbsatz"/>
              <w:jc w:val="left"/>
              <w:rPr>
                <w:rFonts w:cs="Arial"/>
              </w:rPr>
            </w:pPr>
            <w:r>
              <w:rPr>
                <w:rFonts w:cs="Arial"/>
              </w:rPr>
              <w:t>(Mai 84)</w:t>
            </w:r>
          </w:p>
        </w:tc>
      </w:tr>
      <w:tr>
        <w:tc>
          <w:tcPr>
            <w:tcW w:w="3259" w:type="dxa"/>
          </w:tcPr>
          <w:p>
            <w:pPr>
              <w:pStyle w:val="GesAbsatz"/>
              <w:jc w:val="left"/>
              <w:rPr>
                <w:rFonts w:cs="Arial"/>
              </w:rPr>
            </w:pPr>
            <w:r>
              <w:rPr>
                <w:rFonts w:cs="Arial"/>
              </w:rPr>
              <w:t>pH-Wert</w:t>
            </w:r>
          </w:p>
        </w:tc>
        <w:tc>
          <w:tcPr>
            <w:tcW w:w="3259" w:type="dxa"/>
          </w:tcPr>
          <w:p>
            <w:pPr>
              <w:pStyle w:val="GesAbsatz"/>
              <w:jc w:val="left"/>
              <w:rPr>
                <w:rFonts w:cs="Arial"/>
              </w:rPr>
            </w:pPr>
            <w:r>
              <w:rPr>
                <w:rFonts w:cs="Arial"/>
              </w:rPr>
              <w:t>nach DIN 38 404-C5</w:t>
            </w:r>
          </w:p>
        </w:tc>
        <w:tc>
          <w:tcPr>
            <w:tcW w:w="3260" w:type="dxa"/>
          </w:tcPr>
          <w:p>
            <w:pPr>
              <w:pStyle w:val="GesAbsatz"/>
              <w:jc w:val="left"/>
              <w:rPr>
                <w:rFonts w:cs="Arial"/>
              </w:rPr>
            </w:pPr>
            <w:r>
              <w:rPr>
                <w:rFonts w:cs="Arial"/>
              </w:rPr>
              <w:t>(Januar 84)</w:t>
            </w:r>
          </w:p>
        </w:tc>
      </w:tr>
      <w:tr>
        <w:tc>
          <w:tcPr>
            <w:tcW w:w="3259" w:type="dxa"/>
          </w:tcPr>
          <w:p>
            <w:pPr>
              <w:pStyle w:val="GesAbsatz"/>
              <w:jc w:val="left"/>
              <w:rPr>
                <w:rFonts w:cs="Arial"/>
              </w:rPr>
            </w:pPr>
            <w:r>
              <w:rPr>
                <w:rFonts w:cs="Arial"/>
              </w:rPr>
              <w:t>elektrische Leitfähigkeit</w:t>
            </w:r>
          </w:p>
        </w:tc>
        <w:tc>
          <w:tcPr>
            <w:tcW w:w="3259" w:type="dxa"/>
          </w:tcPr>
          <w:p>
            <w:pPr>
              <w:pStyle w:val="GesAbsatz"/>
              <w:jc w:val="left"/>
              <w:rPr>
                <w:rFonts w:cs="Arial"/>
              </w:rPr>
            </w:pPr>
            <w:r>
              <w:rPr>
                <w:rFonts w:cs="Arial"/>
              </w:rPr>
              <w:t>nach DIN EN 27 888</w:t>
            </w:r>
          </w:p>
        </w:tc>
        <w:tc>
          <w:tcPr>
            <w:tcW w:w="3260" w:type="dxa"/>
          </w:tcPr>
          <w:p>
            <w:pPr>
              <w:pStyle w:val="GesAbsatz"/>
              <w:jc w:val="left"/>
              <w:rPr>
                <w:rFonts w:cs="Arial"/>
              </w:rPr>
            </w:pPr>
            <w:r>
              <w:rPr>
                <w:rFonts w:cs="Arial"/>
              </w:rPr>
              <w:t>(November 93)</w:t>
            </w:r>
          </w:p>
        </w:tc>
      </w:tr>
      <w:tr>
        <w:tc>
          <w:tcPr>
            <w:tcW w:w="3259" w:type="dxa"/>
          </w:tcPr>
          <w:p>
            <w:pPr>
              <w:pStyle w:val="GesAbsatz"/>
              <w:jc w:val="left"/>
              <w:rPr>
                <w:rFonts w:cs="Arial"/>
              </w:rPr>
            </w:pPr>
            <w:r>
              <w:rPr>
                <w:rFonts w:cs="Arial"/>
              </w:rPr>
              <w:t>Sauerstoffgehalt</w:t>
            </w:r>
          </w:p>
        </w:tc>
        <w:tc>
          <w:tcPr>
            <w:tcW w:w="3259" w:type="dxa"/>
          </w:tcPr>
          <w:p>
            <w:pPr>
              <w:pStyle w:val="GesAbsatz"/>
              <w:jc w:val="left"/>
              <w:rPr>
                <w:rFonts w:cs="Arial"/>
              </w:rPr>
            </w:pPr>
            <w:r>
              <w:rPr>
                <w:rFonts w:cs="Arial"/>
              </w:rPr>
              <w:t>nach DIN EN 25 814</w:t>
            </w:r>
          </w:p>
        </w:tc>
        <w:tc>
          <w:tcPr>
            <w:tcW w:w="3260" w:type="dxa"/>
          </w:tcPr>
          <w:p>
            <w:pPr>
              <w:pStyle w:val="GesAbsatz"/>
              <w:jc w:val="left"/>
              <w:rPr>
                <w:rFonts w:cs="Arial"/>
              </w:rPr>
            </w:pPr>
            <w:r>
              <w:rPr>
                <w:rFonts w:cs="Arial"/>
              </w:rPr>
              <w:t>(November 92)</w:t>
            </w:r>
          </w:p>
        </w:tc>
      </w:tr>
      <w:tr>
        <w:tc>
          <w:tcPr>
            <w:tcW w:w="3259" w:type="dxa"/>
          </w:tcPr>
          <w:p>
            <w:pPr>
              <w:pStyle w:val="GesAbsatz"/>
              <w:jc w:val="left"/>
              <w:rPr>
                <w:rFonts w:cs="Arial"/>
              </w:rPr>
            </w:pPr>
            <w:r>
              <w:rPr>
                <w:rFonts w:cs="Arial"/>
              </w:rPr>
              <w:t>Säurekapazität bis pH = 4,3</w:t>
            </w:r>
          </w:p>
        </w:tc>
        <w:tc>
          <w:tcPr>
            <w:tcW w:w="3259" w:type="dxa"/>
          </w:tcPr>
          <w:p>
            <w:pPr>
              <w:pStyle w:val="GesAbsatz"/>
              <w:jc w:val="left"/>
              <w:rPr>
                <w:rFonts w:cs="Arial"/>
              </w:rPr>
            </w:pPr>
            <w:r>
              <w:rPr>
                <w:rFonts w:cs="Arial"/>
              </w:rPr>
              <w:t>nach DIN 38 409 H7-1-2</w:t>
            </w:r>
          </w:p>
        </w:tc>
        <w:tc>
          <w:tcPr>
            <w:tcW w:w="3260" w:type="dxa"/>
          </w:tcPr>
          <w:p>
            <w:pPr>
              <w:pStyle w:val="GesAbsatz"/>
              <w:jc w:val="left"/>
              <w:rPr>
                <w:rFonts w:cs="Arial"/>
              </w:rPr>
            </w:pPr>
            <w:r>
              <w:rPr>
                <w:rFonts w:cs="Arial"/>
              </w:rPr>
              <w:t>(Mai 79)</w:t>
            </w:r>
          </w:p>
        </w:tc>
      </w:tr>
      <w:tr>
        <w:tc>
          <w:tcPr>
            <w:tcW w:w="3259" w:type="dxa"/>
          </w:tcPr>
          <w:p>
            <w:pPr>
              <w:pStyle w:val="GesAbsatz"/>
              <w:jc w:val="left"/>
              <w:rPr>
                <w:rFonts w:cs="Arial"/>
              </w:rPr>
            </w:pPr>
            <w:r>
              <w:rPr>
                <w:rFonts w:cs="Arial"/>
              </w:rPr>
              <w:t>Säurekapazität bis pH = 8,2</w:t>
            </w:r>
          </w:p>
        </w:tc>
        <w:tc>
          <w:tcPr>
            <w:tcW w:w="3259" w:type="dxa"/>
          </w:tcPr>
          <w:p>
            <w:pPr>
              <w:pStyle w:val="GesAbsatz"/>
              <w:jc w:val="left"/>
              <w:rPr>
                <w:rFonts w:cs="Arial"/>
              </w:rPr>
            </w:pPr>
            <w:r>
              <w:rPr>
                <w:rFonts w:cs="Arial"/>
              </w:rPr>
              <w:t>nach DIN 38 409 H7-1-1</w:t>
            </w:r>
          </w:p>
        </w:tc>
        <w:tc>
          <w:tcPr>
            <w:tcW w:w="3260" w:type="dxa"/>
          </w:tcPr>
          <w:p>
            <w:pPr>
              <w:pStyle w:val="GesAbsatz"/>
              <w:jc w:val="left"/>
              <w:rPr>
                <w:rFonts w:cs="Arial"/>
              </w:rPr>
            </w:pPr>
            <w:r>
              <w:rPr>
                <w:rFonts w:cs="Arial"/>
              </w:rPr>
              <w:t>(Mai 79)</w:t>
            </w:r>
          </w:p>
        </w:tc>
      </w:tr>
      <w:tr>
        <w:tc>
          <w:tcPr>
            <w:tcW w:w="3259" w:type="dxa"/>
          </w:tcPr>
          <w:p>
            <w:pPr>
              <w:pStyle w:val="GesAbsatz"/>
              <w:jc w:val="left"/>
              <w:rPr>
                <w:rFonts w:cs="Arial"/>
              </w:rPr>
            </w:pPr>
            <w:r>
              <w:rPr>
                <w:rFonts w:cs="Arial"/>
              </w:rPr>
              <w:t>gesamter organisch gebundener Kohlenstoff (TOC)</w:t>
            </w:r>
          </w:p>
        </w:tc>
        <w:tc>
          <w:tcPr>
            <w:tcW w:w="3259" w:type="dxa"/>
          </w:tcPr>
          <w:p>
            <w:pPr>
              <w:pStyle w:val="GesAbsatz"/>
              <w:jc w:val="left"/>
              <w:rPr>
                <w:rFonts w:cs="Arial"/>
              </w:rPr>
            </w:pPr>
            <w:r>
              <w:rPr>
                <w:rFonts w:cs="Arial"/>
              </w:rPr>
              <w:t>nach DIN EN 1484</w:t>
            </w:r>
          </w:p>
        </w:tc>
        <w:tc>
          <w:tcPr>
            <w:tcW w:w="3260" w:type="dxa"/>
          </w:tcPr>
          <w:p>
            <w:pPr>
              <w:pStyle w:val="GesAbsatz"/>
              <w:jc w:val="left"/>
              <w:rPr>
                <w:rFonts w:cs="Arial"/>
              </w:rPr>
            </w:pPr>
            <w:r>
              <w:rPr>
                <w:rFonts w:cs="Arial"/>
              </w:rPr>
              <w:t>(August 97)</w:t>
            </w:r>
          </w:p>
        </w:tc>
      </w:tr>
      <w:tr>
        <w:tc>
          <w:tcPr>
            <w:tcW w:w="3259" w:type="dxa"/>
          </w:tcPr>
          <w:p>
            <w:pPr>
              <w:pStyle w:val="GesAbsatz"/>
              <w:jc w:val="left"/>
              <w:rPr>
                <w:rFonts w:cs="Arial"/>
              </w:rPr>
            </w:pPr>
            <w:r>
              <w:rPr>
                <w:rFonts w:cs="Arial"/>
              </w:rPr>
              <w:t>adsorbierbare organische Halogenverbindungen (AOX)</w:t>
            </w:r>
          </w:p>
        </w:tc>
        <w:tc>
          <w:tcPr>
            <w:tcW w:w="3259" w:type="dxa"/>
          </w:tcPr>
          <w:p>
            <w:pPr>
              <w:pStyle w:val="GesAbsatz"/>
              <w:jc w:val="left"/>
              <w:rPr>
                <w:rFonts w:cs="Arial"/>
              </w:rPr>
            </w:pPr>
            <w:r>
              <w:rPr>
                <w:rFonts w:cs="Arial"/>
              </w:rPr>
              <w:t>nach DIN EN 1485</w:t>
            </w:r>
            <w:r>
              <w:rPr>
                <w:rFonts w:cs="Arial"/>
              </w:rPr>
              <w:br/>
              <w:t>Abschn. 8.2.2</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leichtflüchtige halogenierte Kohlenwasserstoffe (LHKW)</w:t>
            </w:r>
          </w:p>
        </w:tc>
        <w:tc>
          <w:tcPr>
            <w:tcW w:w="3259" w:type="dxa"/>
          </w:tcPr>
          <w:p>
            <w:pPr>
              <w:pStyle w:val="GesAbsatz"/>
              <w:jc w:val="left"/>
              <w:rPr>
                <w:rFonts w:cs="Arial"/>
              </w:rPr>
            </w:pPr>
            <w:r>
              <w:rPr>
                <w:rFonts w:cs="Arial"/>
              </w:rPr>
              <w:t>nach DIN EN ISO 10301</w:t>
            </w:r>
            <w:r>
              <w:rPr>
                <w:rFonts w:cs="Arial"/>
              </w:rPr>
              <w:br/>
              <w:t>Abschn. 2</w:t>
            </w:r>
            <w:r>
              <w:rPr>
                <w:rFonts w:cs="Arial"/>
              </w:rPr>
              <w:br/>
              <w:t>oder DIN EN ISO 10301 Abschn. 3</w:t>
            </w:r>
            <w:r>
              <w:rPr>
                <w:rFonts w:cs="Arial"/>
              </w:rPr>
              <w:br/>
              <w:t>oder DIN 38 407-F19</w:t>
            </w:r>
          </w:p>
        </w:tc>
        <w:tc>
          <w:tcPr>
            <w:tcW w:w="3260" w:type="dxa"/>
          </w:tcPr>
          <w:p>
            <w:pPr>
              <w:pStyle w:val="GesAbsatz"/>
              <w:jc w:val="left"/>
              <w:rPr>
                <w:rFonts w:cs="Arial"/>
              </w:rPr>
            </w:pPr>
            <w:r>
              <w:rPr>
                <w:rFonts w:cs="Arial"/>
              </w:rPr>
              <w:t>(August 97)</w:t>
            </w:r>
            <w:r>
              <w:rPr>
                <w:rFonts w:cs="Arial"/>
              </w:rPr>
              <w:br/>
            </w:r>
            <w:r>
              <w:rPr>
                <w:rFonts w:cs="Arial"/>
              </w:rPr>
              <w:br/>
              <w:t>(August 97)</w:t>
            </w:r>
            <w:r>
              <w:rPr>
                <w:rFonts w:cs="Arial"/>
              </w:rPr>
              <w:br/>
            </w:r>
            <w:r>
              <w:rPr>
                <w:rFonts w:cs="Arial"/>
              </w:rPr>
              <w:br/>
              <w:t>(Entwurf. Januar 96)</w:t>
            </w:r>
          </w:p>
        </w:tc>
      </w:tr>
      <w:tr>
        <w:tc>
          <w:tcPr>
            <w:tcW w:w="3259" w:type="dxa"/>
          </w:tcPr>
          <w:p>
            <w:pPr>
              <w:pStyle w:val="GesAbsatz"/>
              <w:jc w:val="left"/>
              <w:rPr>
                <w:rFonts w:cs="Arial"/>
              </w:rPr>
            </w:pPr>
            <w:r>
              <w:rPr>
                <w:rFonts w:cs="Arial"/>
              </w:rPr>
              <w:t>Benzol, Toluol und Xylol</w:t>
            </w:r>
            <w:r>
              <w:rPr>
                <w:rFonts w:cs="Arial"/>
              </w:rPr>
              <w:br/>
              <w:t>(BTX)</w:t>
            </w:r>
          </w:p>
        </w:tc>
        <w:tc>
          <w:tcPr>
            <w:tcW w:w="3259" w:type="dxa"/>
          </w:tcPr>
          <w:p>
            <w:pPr>
              <w:pStyle w:val="GesAbsatz"/>
              <w:jc w:val="left"/>
              <w:rPr>
                <w:rFonts w:cs="Arial"/>
              </w:rPr>
            </w:pPr>
            <w:r>
              <w:rPr>
                <w:rFonts w:cs="Arial"/>
              </w:rPr>
              <w:t>nach DIN 38 407-F9</w:t>
            </w:r>
            <w:r>
              <w:rPr>
                <w:rFonts w:cs="Arial"/>
              </w:rPr>
              <w:br/>
              <w:t>oder DIN 38 407-F19</w:t>
            </w:r>
          </w:p>
        </w:tc>
        <w:tc>
          <w:tcPr>
            <w:tcW w:w="3260" w:type="dxa"/>
          </w:tcPr>
          <w:p>
            <w:pPr>
              <w:pStyle w:val="GesAbsatz"/>
              <w:jc w:val="left"/>
              <w:rPr>
                <w:rFonts w:cs="Arial"/>
              </w:rPr>
            </w:pPr>
            <w:r>
              <w:rPr>
                <w:rFonts w:cs="Arial"/>
              </w:rPr>
              <w:t>(Mai 91)</w:t>
            </w:r>
            <w:r>
              <w:rPr>
                <w:rFonts w:cs="Arial"/>
              </w:rPr>
              <w:br/>
              <w:t>(Entw. Januar 96)</w:t>
            </w:r>
          </w:p>
        </w:tc>
      </w:tr>
      <w:tr>
        <w:tc>
          <w:tcPr>
            <w:tcW w:w="3259" w:type="dxa"/>
          </w:tcPr>
          <w:p>
            <w:pPr>
              <w:pStyle w:val="GesAbsatz"/>
              <w:jc w:val="left"/>
              <w:rPr>
                <w:rFonts w:cs="Arial"/>
              </w:rPr>
            </w:pPr>
            <w:r>
              <w:rPr>
                <w:rFonts w:cs="Arial"/>
              </w:rPr>
              <w:t>Ammonium</w:t>
            </w:r>
          </w:p>
        </w:tc>
        <w:tc>
          <w:tcPr>
            <w:tcW w:w="3259" w:type="dxa"/>
          </w:tcPr>
          <w:p>
            <w:pPr>
              <w:pStyle w:val="GesAbsatz"/>
              <w:jc w:val="left"/>
              <w:rPr>
                <w:rFonts w:cs="Arial"/>
              </w:rPr>
            </w:pPr>
            <w:r>
              <w:rPr>
                <w:rFonts w:cs="Arial"/>
              </w:rPr>
              <w:t>nach DIN 38 406-E5-1</w:t>
            </w:r>
            <w:r>
              <w:rPr>
                <w:rFonts w:cs="Arial"/>
              </w:rPr>
              <w:br/>
              <w:t>oder DIN EN ISO 11 732</w:t>
            </w:r>
          </w:p>
        </w:tc>
        <w:tc>
          <w:tcPr>
            <w:tcW w:w="3260" w:type="dxa"/>
          </w:tcPr>
          <w:p>
            <w:pPr>
              <w:pStyle w:val="GesAbsatz"/>
              <w:jc w:val="left"/>
              <w:rPr>
                <w:rFonts w:cs="Arial"/>
              </w:rPr>
            </w:pPr>
            <w:r>
              <w:rPr>
                <w:rFonts w:cs="Arial"/>
              </w:rPr>
              <w:t>(Oktober 83)</w:t>
            </w:r>
            <w:r>
              <w:rPr>
                <w:rFonts w:cs="Arial"/>
              </w:rPr>
              <w:br/>
              <w:t>(September 97)</w:t>
            </w:r>
          </w:p>
        </w:tc>
      </w:tr>
      <w:tr>
        <w:tc>
          <w:tcPr>
            <w:tcW w:w="3259" w:type="dxa"/>
          </w:tcPr>
          <w:p>
            <w:pPr>
              <w:pStyle w:val="GesAbsatz"/>
              <w:jc w:val="left"/>
              <w:rPr>
                <w:rFonts w:cs="Arial"/>
              </w:rPr>
            </w:pPr>
            <w:r>
              <w:rPr>
                <w:rFonts w:cs="Arial"/>
              </w:rPr>
              <w:t>Arsen</w:t>
            </w:r>
          </w:p>
        </w:tc>
        <w:tc>
          <w:tcPr>
            <w:tcW w:w="3259" w:type="dxa"/>
          </w:tcPr>
          <w:p>
            <w:pPr>
              <w:pStyle w:val="GesAbsatz"/>
              <w:jc w:val="left"/>
              <w:rPr>
                <w:rFonts w:cs="Arial"/>
              </w:rPr>
            </w:pPr>
            <w:r>
              <w:rPr>
                <w:rFonts w:cs="Arial"/>
              </w:rPr>
              <w:t>nach DIN EN ISO 11969</w:t>
            </w:r>
          </w:p>
        </w:tc>
        <w:tc>
          <w:tcPr>
            <w:tcW w:w="3260" w:type="dxa"/>
          </w:tcPr>
          <w:p>
            <w:pPr>
              <w:pStyle w:val="GesAbsatz"/>
              <w:jc w:val="left"/>
              <w:rPr>
                <w:rFonts w:cs="Arial"/>
              </w:rPr>
            </w:pPr>
            <w:r>
              <w:rPr>
                <w:rFonts w:cs="Arial"/>
              </w:rPr>
              <w:t>(November 96)</w:t>
            </w:r>
          </w:p>
        </w:tc>
      </w:tr>
      <w:tr>
        <w:tc>
          <w:tcPr>
            <w:tcW w:w="3259" w:type="dxa"/>
          </w:tcPr>
          <w:p>
            <w:pPr>
              <w:pStyle w:val="GesAbsatz"/>
              <w:jc w:val="left"/>
              <w:rPr>
                <w:rFonts w:cs="Arial"/>
              </w:rPr>
            </w:pPr>
            <w:r>
              <w:rPr>
                <w:rFonts w:cs="Arial"/>
              </w:rPr>
              <w:t>Blei</w:t>
            </w:r>
          </w:p>
        </w:tc>
        <w:tc>
          <w:tcPr>
            <w:tcW w:w="3259" w:type="dxa"/>
          </w:tcPr>
          <w:p>
            <w:pPr>
              <w:pStyle w:val="GesAbsatz"/>
              <w:jc w:val="left"/>
              <w:rPr>
                <w:rFonts w:cs="Arial"/>
              </w:rPr>
            </w:pPr>
            <w:r>
              <w:rPr>
                <w:rFonts w:cs="Arial"/>
              </w:rPr>
              <w:t>nach DIN 38 406-E6-2</w:t>
            </w:r>
            <w:r>
              <w:rPr>
                <w:rFonts w:cs="Arial"/>
              </w:rPr>
              <w:br/>
              <w:t>oder DIN 38406–E 29</w:t>
            </w:r>
          </w:p>
        </w:tc>
        <w:tc>
          <w:tcPr>
            <w:tcW w:w="3260" w:type="dxa"/>
          </w:tcPr>
          <w:p>
            <w:pPr>
              <w:pStyle w:val="GesAbsatz"/>
              <w:jc w:val="left"/>
              <w:rPr>
                <w:rFonts w:cs="Arial"/>
              </w:rPr>
            </w:pPr>
            <w:r>
              <w:rPr>
                <w:rFonts w:cs="Arial"/>
              </w:rPr>
              <w:t>(Juli 98)</w:t>
            </w:r>
            <w:r>
              <w:rPr>
                <w:rFonts w:cs="Arial"/>
              </w:rPr>
              <w:br/>
              <w:t>(Mai 99)</w:t>
            </w:r>
          </w:p>
        </w:tc>
      </w:tr>
      <w:tr>
        <w:tc>
          <w:tcPr>
            <w:tcW w:w="3259" w:type="dxa"/>
          </w:tcPr>
          <w:p>
            <w:pPr>
              <w:pStyle w:val="GesAbsatz"/>
              <w:jc w:val="left"/>
              <w:rPr>
                <w:rFonts w:cs="Arial"/>
              </w:rPr>
            </w:pPr>
            <w:r>
              <w:rPr>
                <w:rFonts w:cs="Arial"/>
              </w:rPr>
              <w:t>Cadmium</w:t>
            </w:r>
          </w:p>
        </w:tc>
        <w:tc>
          <w:tcPr>
            <w:tcW w:w="3259" w:type="dxa"/>
          </w:tcPr>
          <w:p>
            <w:pPr>
              <w:pStyle w:val="GesAbsatz"/>
              <w:jc w:val="left"/>
              <w:rPr>
                <w:rFonts w:cs="Arial"/>
              </w:rPr>
            </w:pPr>
            <w:r>
              <w:rPr>
                <w:rFonts w:cs="Arial"/>
              </w:rPr>
              <w:t>nach DIN EN ISO 5961</w:t>
            </w:r>
            <w:r>
              <w:rPr>
                <w:rFonts w:cs="Arial"/>
              </w:rPr>
              <w:br/>
              <w:t>Abs. 3</w:t>
            </w:r>
            <w:r>
              <w:rPr>
                <w:rFonts w:cs="Arial"/>
              </w:rPr>
              <w:br/>
              <w:t>oder DIN 38406–E 29</w:t>
            </w:r>
          </w:p>
        </w:tc>
        <w:tc>
          <w:tcPr>
            <w:tcW w:w="3260" w:type="dxa"/>
          </w:tcPr>
          <w:p>
            <w:pPr>
              <w:pStyle w:val="GesAbsatz"/>
              <w:jc w:val="left"/>
              <w:rPr>
                <w:rFonts w:cs="Arial"/>
              </w:rPr>
            </w:pPr>
            <w:r>
              <w:rPr>
                <w:rFonts w:cs="Arial"/>
              </w:rPr>
              <w:t>(Mai 95)</w:t>
            </w:r>
            <w:r>
              <w:rPr>
                <w:rFonts w:cs="Arial"/>
              </w:rPr>
              <w:br/>
              <w:t>(Mai 99)</w:t>
            </w:r>
          </w:p>
        </w:tc>
      </w:tr>
      <w:tr>
        <w:tc>
          <w:tcPr>
            <w:tcW w:w="3259" w:type="dxa"/>
          </w:tcPr>
          <w:p>
            <w:pPr>
              <w:pStyle w:val="GesAbsatz"/>
              <w:jc w:val="left"/>
              <w:rPr>
                <w:rFonts w:cs="Arial"/>
              </w:rPr>
            </w:pPr>
            <w:r>
              <w:rPr>
                <w:rFonts w:cs="Arial"/>
              </w:rPr>
              <w:t>Chrom</w:t>
            </w:r>
          </w:p>
        </w:tc>
        <w:tc>
          <w:tcPr>
            <w:tcW w:w="3259" w:type="dxa"/>
          </w:tcPr>
          <w:p>
            <w:pPr>
              <w:pStyle w:val="GesAbsatz"/>
              <w:jc w:val="left"/>
              <w:rPr>
                <w:rFonts w:cs="Arial"/>
              </w:rPr>
            </w:pPr>
            <w:r>
              <w:rPr>
                <w:rFonts w:cs="Arial"/>
              </w:rPr>
              <w:t>nach DIN EN 1233 Abschn. 4</w:t>
            </w:r>
            <w:r>
              <w:rPr>
                <w:rFonts w:cs="Arial"/>
              </w:rPr>
              <w:br/>
              <w:t>oder DIN EN ISO 11885</w:t>
            </w:r>
            <w:r>
              <w:rPr>
                <w:rFonts w:cs="Arial"/>
              </w:rPr>
              <w:br/>
              <w:t>oder DIN 38406 – E 29</w:t>
            </w:r>
          </w:p>
        </w:tc>
        <w:tc>
          <w:tcPr>
            <w:tcW w:w="3260" w:type="dxa"/>
          </w:tcPr>
          <w:p>
            <w:pPr>
              <w:pStyle w:val="GesAbsatz"/>
              <w:jc w:val="left"/>
              <w:rPr>
                <w:rFonts w:cs="Arial"/>
              </w:rPr>
            </w:pPr>
            <w:r>
              <w:rPr>
                <w:rFonts w:cs="Arial"/>
              </w:rPr>
              <w:t>(August 96)</w:t>
            </w:r>
            <w:r>
              <w:rPr>
                <w:rFonts w:cs="Arial"/>
              </w:rPr>
              <w:br/>
              <w:t>(April 98)</w:t>
            </w:r>
            <w:r>
              <w:rPr>
                <w:rFonts w:cs="Arial"/>
              </w:rPr>
              <w:br/>
              <w:t>(Mai 99)</w:t>
            </w:r>
          </w:p>
        </w:tc>
      </w:tr>
      <w:tr>
        <w:tc>
          <w:tcPr>
            <w:tcW w:w="3259" w:type="dxa"/>
          </w:tcPr>
          <w:p>
            <w:pPr>
              <w:pStyle w:val="GesAbsatz"/>
              <w:jc w:val="left"/>
              <w:rPr>
                <w:rFonts w:cs="Arial"/>
              </w:rPr>
            </w:pPr>
            <w:r>
              <w:rPr>
                <w:rFonts w:cs="Arial"/>
              </w:rPr>
              <w:t>Kupfer</w:t>
            </w:r>
          </w:p>
        </w:tc>
        <w:tc>
          <w:tcPr>
            <w:tcW w:w="3259" w:type="dxa"/>
          </w:tcPr>
          <w:p>
            <w:pPr>
              <w:pStyle w:val="GesAbsatz"/>
              <w:jc w:val="left"/>
              <w:rPr>
                <w:rFonts w:cs="Arial"/>
              </w:rPr>
            </w:pPr>
            <w:r>
              <w:rPr>
                <w:rFonts w:cs="Arial"/>
              </w:rPr>
              <w:t>nach DIN 38 406-E7-2</w:t>
            </w:r>
            <w:r>
              <w:rPr>
                <w:rFonts w:cs="Arial"/>
              </w:rPr>
              <w:br/>
              <w:t>oder DIN EN ISO 11885</w:t>
            </w:r>
            <w:r>
              <w:rPr>
                <w:rFonts w:cs="Arial"/>
              </w:rPr>
              <w:br/>
              <w:t>oder DIN 38406 – E 29</w:t>
            </w:r>
          </w:p>
        </w:tc>
        <w:tc>
          <w:tcPr>
            <w:tcW w:w="3260" w:type="dxa"/>
          </w:tcPr>
          <w:p>
            <w:pPr>
              <w:pStyle w:val="GesAbsatz"/>
              <w:jc w:val="left"/>
              <w:rPr>
                <w:rFonts w:cs="Arial"/>
              </w:rPr>
            </w:pPr>
            <w:r>
              <w:rPr>
                <w:rFonts w:cs="Arial"/>
              </w:rPr>
              <w:t>(September 91)</w:t>
            </w:r>
            <w:r>
              <w:rPr>
                <w:rFonts w:cs="Arial"/>
              </w:rPr>
              <w:br/>
              <w:t>(April 98)</w:t>
            </w:r>
            <w:r>
              <w:rPr>
                <w:rFonts w:cs="Arial"/>
              </w:rPr>
              <w:br/>
              <w:t>(Mai 99)</w:t>
            </w:r>
          </w:p>
        </w:tc>
      </w:tr>
      <w:tr>
        <w:tc>
          <w:tcPr>
            <w:tcW w:w="3259" w:type="dxa"/>
          </w:tcPr>
          <w:p>
            <w:pPr>
              <w:pStyle w:val="GesAbsatz"/>
              <w:jc w:val="left"/>
              <w:rPr>
                <w:rFonts w:cs="Arial"/>
              </w:rPr>
            </w:pPr>
            <w:r>
              <w:rPr>
                <w:rFonts w:cs="Arial"/>
              </w:rPr>
              <w:t>Nickel</w:t>
            </w:r>
          </w:p>
        </w:tc>
        <w:tc>
          <w:tcPr>
            <w:tcW w:w="3259" w:type="dxa"/>
          </w:tcPr>
          <w:p>
            <w:pPr>
              <w:pStyle w:val="GesAbsatz"/>
              <w:jc w:val="left"/>
              <w:rPr>
                <w:rFonts w:cs="Arial"/>
              </w:rPr>
            </w:pPr>
            <w:r>
              <w:rPr>
                <w:rFonts w:cs="Arial"/>
              </w:rPr>
              <w:t>nach DIN 38 406-E11-2</w:t>
            </w:r>
            <w:r>
              <w:rPr>
                <w:rFonts w:cs="Arial"/>
              </w:rPr>
              <w:br/>
              <w:t>oder DIN EN ISO 11885</w:t>
            </w:r>
            <w:r>
              <w:rPr>
                <w:rFonts w:cs="Arial"/>
              </w:rPr>
              <w:br/>
              <w:t>oder DIN 38406 – E 29</w:t>
            </w:r>
          </w:p>
        </w:tc>
        <w:tc>
          <w:tcPr>
            <w:tcW w:w="3260" w:type="dxa"/>
          </w:tcPr>
          <w:p>
            <w:pPr>
              <w:pStyle w:val="GesAbsatz"/>
              <w:jc w:val="left"/>
              <w:rPr>
                <w:rFonts w:cs="Arial"/>
              </w:rPr>
            </w:pPr>
            <w:r>
              <w:rPr>
                <w:rFonts w:cs="Arial"/>
              </w:rPr>
              <w:t>(September 91)</w:t>
            </w:r>
            <w:r>
              <w:rPr>
                <w:rFonts w:cs="Arial"/>
              </w:rPr>
              <w:br/>
              <w:t>(April 98)</w:t>
            </w:r>
            <w:r>
              <w:rPr>
                <w:rFonts w:cs="Arial"/>
              </w:rPr>
              <w:br/>
              <w:t>(Mai 99)</w:t>
            </w:r>
          </w:p>
        </w:tc>
      </w:tr>
      <w:tr>
        <w:tc>
          <w:tcPr>
            <w:tcW w:w="3259" w:type="dxa"/>
          </w:tcPr>
          <w:p>
            <w:pPr>
              <w:pStyle w:val="GesAbsatz"/>
              <w:jc w:val="left"/>
              <w:rPr>
                <w:rFonts w:cs="Arial"/>
              </w:rPr>
            </w:pPr>
            <w:r>
              <w:rPr>
                <w:rFonts w:cs="Arial"/>
              </w:rPr>
              <w:t>Quecksilber</w:t>
            </w:r>
          </w:p>
        </w:tc>
        <w:tc>
          <w:tcPr>
            <w:tcW w:w="3259" w:type="dxa"/>
          </w:tcPr>
          <w:p>
            <w:pPr>
              <w:pStyle w:val="GesAbsatz"/>
              <w:jc w:val="left"/>
              <w:rPr>
                <w:rFonts w:cs="Arial"/>
              </w:rPr>
            </w:pPr>
            <w:r>
              <w:rPr>
                <w:rFonts w:cs="Arial"/>
              </w:rPr>
              <w:t>nach DIN EN 1483</w:t>
            </w:r>
            <w:r>
              <w:rPr>
                <w:rFonts w:cs="Arial"/>
              </w:rPr>
              <w:br/>
              <w:t>oder DIN EN 12338</w:t>
            </w:r>
          </w:p>
        </w:tc>
        <w:tc>
          <w:tcPr>
            <w:tcW w:w="3260" w:type="dxa"/>
          </w:tcPr>
          <w:p>
            <w:pPr>
              <w:pStyle w:val="GesAbsatz"/>
              <w:jc w:val="left"/>
              <w:rPr>
                <w:rFonts w:cs="Arial"/>
              </w:rPr>
            </w:pPr>
            <w:r>
              <w:rPr>
                <w:rFonts w:cs="Arial"/>
              </w:rPr>
              <w:t>(August 97)</w:t>
            </w:r>
            <w:r>
              <w:rPr>
                <w:rFonts w:cs="Arial"/>
              </w:rPr>
              <w:br/>
              <w:t>(Oktober 98)</w:t>
            </w:r>
          </w:p>
        </w:tc>
      </w:tr>
      <w:tr>
        <w:tc>
          <w:tcPr>
            <w:tcW w:w="3259" w:type="dxa"/>
          </w:tcPr>
          <w:p>
            <w:pPr>
              <w:pStyle w:val="GesAbsatz"/>
              <w:jc w:val="left"/>
              <w:rPr>
                <w:rFonts w:cs="Arial"/>
              </w:rPr>
            </w:pPr>
            <w:r>
              <w:rPr>
                <w:rFonts w:cs="Arial"/>
              </w:rPr>
              <w:t>Zink</w:t>
            </w:r>
          </w:p>
        </w:tc>
        <w:tc>
          <w:tcPr>
            <w:tcW w:w="3259" w:type="dxa"/>
          </w:tcPr>
          <w:p>
            <w:pPr>
              <w:pStyle w:val="GesAbsatz"/>
              <w:jc w:val="left"/>
              <w:rPr>
                <w:rFonts w:cs="Arial"/>
              </w:rPr>
            </w:pPr>
            <w:r>
              <w:rPr>
                <w:rFonts w:cs="Arial"/>
              </w:rPr>
              <w:t>nach DIN 38 406-E8-1</w:t>
            </w:r>
            <w:r>
              <w:rPr>
                <w:rFonts w:cs="Arial"/>
              </w:rPr>
              <w:br/>
              <w:t>oder DIN EN ISO 11885</w:t>
            </w:r>
            <w:r>
              <w:rPr>
                <w:rFonts w:cs="Arial"/>
              </w:rPr>
              <w:br/>
              <w:t>oder DIN 38406 – E 29</w:t>
            </w:r>
          </w:p>
        </w:tc>
        <w:tc>
          <w:tcPr>
            <w:tcW w:w="3260" w:type="dxa"/>
          </w:tcPr>
          <w:p>
            <w:pPr>
              <w:pStyle w:val="GesAbsatz"/>
              <w:jc w:val="left"/>
              <w:rPr>
                <w:rFonts w:cs="Arial"/>
              </w:rPr>
            </w:pPr>
            <w:r>
              <w:rPr>
                <w:rFonts w:cs="Arial"/>
              </w:rPr>
              <w:t>(Oktober 80)</w:t>
            </w:r>
            <w:r>
              <w:rPr>
                <w:rFonts w:cs="Arial"/>
              </w:rPr>
              <w:br/>
              <w:t>(April 98)</w:t>
            </w:r>
            <w:r>
              <w:rPr>
                <w:rFonts w:cs="Arial"/>
              </w:rPr>
              <w:br/>
              <w:t>(Mai 99)</w:t>
            </w:r>
          </w:p>
        </w:tc>
      </w:tr>
      <w:tr>
        <w:tc>
          <w:tcPr>
            <w:tcW w:w="3259" w:type="dxa"/>
          </w:tcPr>
          <w:p>
            <w:pPr>
              <w:pStyle w:val="GesAbsatz"/>
              <w:jc w:val="left"/>
              <w:rPr>
                <w:rFonts w:cs="Arial"/>
              </w:rPr>
            </w:pPr>
            <w:r>
              <w:rPr>
                <w:rFonts w:cs="Arial"/>
              </w:rPr>
              <w:t>Natrium</w:t>
            </w:r>
          </w:p>
        </w:tc>
        <w:tc>
          <w:tcPr>
            <w:tcW w:w="3259" w:type="dxa"/>
          </w:tcPr>
          <w:p>
            <w:pPr>
              <w:pStyle w:val="GesAbsatz"/>
              <w:jc w:val="left"/>
              <w:rPr>
                <w:rFonts w:cs="Arial"/>
              </w:rPr>
            </w:pPr>
            <w:r>
              <w:rPr>
                <w:rFonts w:cs="Arial"/>
              </w:rPr>
              <w:t>nach DIN 38 406-E14</w:t>
            </w:r>
            <w:r>
              <w:rPr>
                <w:rFonts w:cs="Arial"/>
              </w:rPr>
              <w:br/>
              <w:t>oder DIN EN ISO 11885</w:t>
            </w:r>
          </w:p>
        </w:tc>
        <w:tc>
          <w:tcPr>
            <w:tcW w:w="3260" w:type="dxa"/>
          </w:tcPr>
          <w:p>
            <w:pPr>
              <w:pStyle w:val="GesAbsatz"/>
              <w:jc w:val="left"/>
              <w:rPr>
                <w:rFonts w:cs="Arial"/>
              </w:rPr>
            </w:pPr>
            <w:r>
              <w:rPr>
                <w:rFonts w:cs="Arial"/>
              </w:rPr>
              <w:t>(Juli '92)</w:t>
            </w:r>
            <w:r>
              <w:rPr>
                <w:rFonts w:cs="Arial"/>
              </w:rPr>
              <w:br/>
              <w:t>(April 98)</w:t>
            </w:r>
          </w:p>
        </w:tc>
      </w:tr>
      <w:tr>
        <w:tc>
          <w:tcPr>
            <w:tcW w:w="3259" w:type="dxa"/>
          </w:tcPr>
          <w:p>
            <w:pPr>
              <w:pStyle w:val="GesAbsatz"/>
              <w:jc w:val="left"/>
              <w:rPr>
                <w:rFonts w:cs="Arial"/>
              </w:rPr>
            </w:pPr>
            <w:r>
              <w:rPr>
                <w:rFonts w:cs="Arial"/>
              </w:rPr>
              <w:lastRenderedPageBreak/>
              <w:t>Kalium</w:t>
            </w:r>
          </w:p>
        </w:tc>
        <w:tc>
          <w:tcPr>
            <w:tcW w:w="3259" w:type="dxa"/>
          </w:tcPr>
          <w:p>
            <w:pPr>
              <w:pStyle w:val="GesAbsatz"/>
              <w:jc w:val="left"/>
              <w:rPr>
                <w:rFonts w:cs="Arial"/>
              </w:rPr>
            </w:pPr>
            <w:r>
              <w:rPr>
                <w:rFonts w:cs="Arial"/>
              </w:rPr>
              <w:t>nach DIN 38 406-E13</w:t>
            </w:r>
            <w:r>
              <w:rPr>
                <w:rFonts w:cs="Arial"/>
              </w:rPr>
              <w:br/>
              <w:t>oder DIN EN ISO 11885</w:t>
            </w:r>
          </w:p>
        </w:tc>
        <w:tc>
          <w:tcPr>
            <w:tcW w:w="3260" w:type="dxa"/>
          </w:tcPr>
          <w:p>
            <w:pPr>
              <w:pStyle w:val="GesAbsatz"/>
              <w:jc w:val="left"/>
              <w:rPr>
                <w:rFonts w:cs="Arial"/>
              </w:rPr>
            </w:pPr>
            <w:r>
              <w:rPr>
                <w:rFonts w:cs="Arial"/>
              </w:rPr>
              <w:t>(Juli '92)</w:t>
            </w:r>
            <w:r>
              <w:rPr>
                <w:rFonts w:cs="Arial"/>
              </w:rPr>
              <w:br/>
              <w:t>(April 98)</w:t>
            </w:r>
          </w:p>
        </w:tc>
      </w:tr>
      <w:tr>
        <w:tc>
          <w:tcPr>
            <w:tcW w:w="3259" w:type="dxa"/>
          </w:tcPr>
          <w:p>
            <w:pPr>
              <w:pStyle w:val="GesAbsatz"/>
              <w:jc w:val="left"/>
              <w:rPr>
                <w:rFonts w:cs="Arial"/>
              </w:rPr>
            </w:pPr>
            <w:r>
              <w:rPr>
                <w:rFonts w:cs="Arial"/>
              </w:rPr>
              <w:t>Magnesium</w:t>
            </w:r>
          </w:p>
        </w:tc>
        <w:tc>
          <w:tcPr>
            <w:tcW w:w="3259" w:type="dxa"/>
          </w:tcPr>
          <w:p>
            <w:pPr>
              <w:pStyle w:val="GesAbsatz"/>
              <w:jc w:val="left"/>
              <w:rPr>
                <w:rFonts w:cs="Arial"/>
              </w:rPr>
            </w:pPr>
            <w:r>
              <w:rPr>
                <w:rFonts w:cs="Arial"/>
              </w:rPr>
              <w:t>nach DIN EN ISO 11885</w:t>
            </w:r>
            <w:r>
              <w:rPr>
                <w:rFonts w:cs="Arial"/>
              </w:rPr>
              <w:br/>
              <w:t>oder DIN 38 406-E3-1</w:t>
            </w:r>
          </w:p>
        </w:tc>
        <w:tc>
          <w:tcPr>
            <w:tcW w:w="3260" w:type="dxa"/>
          </w:tcPr>
          <w:p>
            <w:pPr>
              <w:pStyle w:val="GesAbsatz"/>
              <w:jc w:val="left"/>
              <w:rPr>
                <w:rFonts w:cs="Arial"/>
              </w:rPr>
            </w:pPr>
            <w:r>
              <w:rPr>
                <w:rFonts w:cs="Arial"/>
              </w:rPr>
              <w:t>(April 98)</w:t>
            </w:r>
            <w:r>
              <w:rPr>
                <w:rFonts w:cs="Arial"/>
              </w:rPr>
              <w:br/>
              <w:t>(September '82)</w:t>
            </w:r>
          </w:p>
        </w:tc>
      </w:tr>
      <w:tr>
        <w:tc>
          <w:tcPr>
            <w:tcW w:w="3259" w:type="dxa"/>
          </w:tcPr>
          <w:p>
            <w:pPr>
              <w:pStyle w:val="GesAbsatz"/>
              <w:jc w:val="left"/>
              <w:rPr>
                <w:rFonts w:cs="Arial"/>
              </w:rPr>
            </w:pPr>
            <w:r>
              <w:rPr>
                <w:rFonts w:cs="Arial"/>
              </w:rPr>
              <w:t>Calcium</w:t>
            </w:r>
          </w:p>
        </w:tc>
        <w:tc>
          <w:tcPr>
            <w:tcW w:w="3259" w:type="dxa"/>
          </w:tcPr>
          <w:p>
            <w:pPr>
              <w:pStyle w:val="GesAbsatz"/>
              <w:jc w:val="left"/>
              <w:rPr>
                <w:rFonts w:cs="Arial"/>
              </w:rPr>
            </w:pPr>
            <w:r>
              <w:rPr>
                <w:rFonts w:cs="Arial"/>
              </w:rPr>
              <w:t>nach DIN EN ISO 11885</w:t>
            </w:r>
            <w:r>
              <w:rPr>
                <w:rFonts w:cs="Arial"/>
              </w:rPr>
              <w:br/>
              <w:t>oder DIN 38 406 E3-1</w:t>
            </w:r>
          </w:p>
        </w:tc>
        <w:tc>
          <w:tcPr>
            <w:tcW w:w="3260" w:type="dxa"/>
          </w:tcPr>
          <w:p>
            <w:pPr>
              <w:pStyle w:val="GesAbsatz"/>
              <w:jc w:val="left"/>
              <w:rPr>
                <w:rFonts w:cs="Arial"/>
              </w:rPr>
            </w:pPr>
            <w:r>
              <w:rPr>
                <w:rFonts w:cs="Arial"/>
              </w:rPr>
              <w:t>(April 98)</w:t>
            </w:r>
            <w:r>
              <w:rPr>
                <w:rFonts w:cs="Arial"/>
              </w:rPr>
              <w:br/>
              <w:t>(September '82)</w:t>
            </w:r>
          </w:p>
        </w:tc>
      </w:tr>
      <w:tr>
        <w:tc>
          <w:tcPr>
            <w:tcW w:w="3259" w:type="dxa"/>
          </w:tcPr>
          <w:p>
            <w:pPr>
              <w:pStyle w:val="GesAbsatz"/>
              <w:jc w:val="left"/>
              <w:rPr>
                <w:rFonts w:cs="Arial"/>
              </w:rPr>
            </w:pPr>
            <w:r>
              <w:rPr>
                <w:rFonts w:cs="Arial"/>
              </w:rPr>
              <w:t>Chlorid</w:t>
            </w:r>
          </w:p>
        </w:tc>
        <w:tc>
          <w:tcPr>
            <w:tcW w:w="3259" w:type="dxa"/>
          </w:tcPr>
          <w:p>
            <w:pPr>
              <w:pStyle w:val="GesAbsatz"/>
              <w:jc w:val="left"/>
              <w:rPr>
                <w:rFonts w:cs="Arial"/>
              </w:rPr>
            </w:pPr>
            <w:r>
              <w:rPr>
                <w:rFonts w:cs="Arial"/>
              </w:rPr>
              <w:t>nach DIN EN ISO 10304-1</w:t>
            </w:r>
          </w:p>
        </w:tc>
        <w:tc>
          <w:tcPr>
            <w:tcW w:w="3260" w:type="dxa"/>
          </w:tcPr>
          <w:p>
            <w:pPr>
              <w:pStyle w:val="GesAbsatz"/>
              <w:jc w:val="left"/>
              <w:rPr>
                <w:rFonts w:cs="Arial"/>
              </w:rPr>
            </w:pPr>
            <w:r>
              <w:rPr>
                <w:rFonts w:cs="Arial"/>
              </w:rPr>
              <w:t>(April 95)</w:t>
            </w:r>
          </w:p>
        </w:tc>
      </w:tr>
      <w:tr>
        <w:tc>
          <w:tcPr>
            <w:tcW w:w="3259" w:type="dxa"/>
          </w:tcPr>
          <w:p>
            <w:pPr>
              <w:pStyle w:val="GesAbsatz"/>
              <w:jc w:val="left"/>
              <w:rPr>
                <w:rFonts w:cs="Arial"/>
              </w:rPr>
            </w:pPr>
            <w:r>
              <w:rPr>
                <w:rFonts w:cs="Arial"/>
              </w:rPr>
              <w:t>Nitrat</w:t>
            </w:r>
          </w:p>
        </w:tc>
        <w:tc>
          <w:tcPr>
            <w:tcW w:w="3259" w:type="dxa"/>
          </w:tcPr>
          <w:p>
            <w:pPr>
              <w:pStyle w:val="GesAbsatz"/>
              <w:jc w:val="left"/>
              <w:rPr>
                <w:rFonts w:cs="Arial"/>
              </w:rPr>
            </w:pPr>
            <w:r>
              <w:rPr>
                <w:rFonts w:cs="Arial"/>
              </w:rPr>
              <w:t>nach DIN EN ISO 10304-1</w:t>
            </w:r>
          </w:p>
        </w:tc>
        <w:tc>
          <w:tcPr>
            <w:tcW w:w="3260" w:type="dxa"/>
          </w:tcPr>
          <w:p>
            <w:pPr>
              <w:pStyle w:val="GesAbsatz"/>
              <w:jc w:val="left"/>
              <w:rPr>
                <w:rFonts w:cs="Arial"/>
              </w:rPr>
            </w:pPr>
            <w:r>
              <w:rPr>
                <w:rFonts w:cs="Arial"/>
              </w:rPr>
              <w:t>(April 95)</w:t>
            </w:r>
          </w:p>
        </w:tc>
      </w:tr>
      <w:tr>
        <w:tc>
          <w:tcPr>
            <w:tcW w:w="3259" w:type="dxa"/>
          </w:tcPr>
          <w:p>
            <w:pPr>
              <w:pStyle w:val="GesAbsatz"/>
              <w:jc w:val="left"/>
              <w:rPr>
                <w:rFonts w:cs="Arial"/>
              </w:rPr>
            </w:pPr>
            <w:r>
              <w:rPr>
                <w:rFonts w:cs="Arial"/>
              </w:rPr>
              <w:t>Nitrit</w:t>
            </w:r>
          </w:p>
        </w:tc>
        <w:tc>
          <w:tcPr>
            <w:tcW w:w="3259" w:type="dxa"/>
          </w:tcPr>
          <w:p>
            <w:pPr>
              <w:pStyle w:val="GesAbsatz"/>
              <w:jc w:val="left"/>
              <w:rPr>
                <w:rFonts w:cs="Arial"/>
              </w:rPr>
            </w:pPr>
            <w:r>
              <w:rPr>
                <w:rFonts w:cs="Arial"/>
              </w:rPr>
              <w:t>nach DIN EN 26 777</w:t>
            </w:r>
            <w:r>
              <w:rPr>
                <w:rFonts w:cs="Arial"/>
              </w:rPr>
              <w:br/>
              <w:t>oder DIN EN ISO 10304 – 1</w:t>
            </w:r>
          </w:p>
        </w:tc>
        <w:tc>
          <w:tcPr>
            <w:tcW w:w="3260" w:type="dxa"/>
          </w:tcPr>
          <w:p>
            <w:pPr>
              <w:pStyle w:val="GesAbsatz"/>
              <w:jc w:val="left"/>
              <w:rPr>
                <w:rFonts w:cs="Arial"/>
              </w:rPr>
            </w:pPr>
            <w:r>
              <w:rPr>
                <w:rFonts w:cs="Arial"/>
              </w:rPr>
              <w:t>(April 93)</w:t>
            </w:r>
            <w:r>
              <w:rPr>
                <w:rFonts w:cs="Arial"/>
              </w:rPr>
              <w:br/>
              <w:t>(April 95)</w:t>
            </w:r>
          </w:p>
        </w:tc>
      </w:tr>
      <w:tr>
        <w:tc>
          <w:tcPr>
            <w:tcW w:w="3259" w:type="dxa"/>
          </w:tcPr>
          <w:p>
            <w:pPr>
              <w:pStyle w:val="GesAbsatz"/>
              <w:jc w:val="left"/>
              <w:rPr>
                <w:rFonts w:cs="Arial"/>
              </w:rPr>
            </w:pPr>
            <w:r>
              <w:rPr>
                <w:rFonts w:cs="Arial"/>
              </w:rPr>
              <w:t>Sulfat</w:t>
            </w:r>
          </w:p>
        </w:tc>
        <w:tc>
          <w:tcPr>
            <w:tcW w:w="3259" w:type="dxa"/>
          </w:tcPr>
          <w:p>
            <w:pPr>
              <w:pStyle w:val="GesAbsatz"/>
              <w:jc w:val="left"/>
              <w:rPr>
                <w:rFonts w:cs="Arial"/>
              </w:rPr>
            </w:pPr>
            <w:r>
              <w:rPr>
                <w:rFonts w:cs="Arial"/>
              </w:rPr>
              <w:t>nach DIN EN ISO 10304-1</w:t>
            </w:r>
          </w:p>
        </w:tc>
        <w:tc>
          <w:tcPr>
            <w:tcW w:w="3260" w:type="dxa"/>
          </w:tcPr>
          <w:p>
            <w:pPr>
              <w:pStyle w:val="GesAbsatz"/>
              <w:jc w:val="left"/>
              <w:rPr>
                <w:rFonts w:cs="Arial"/>
              </w:rPr>
            </w:pPr>
            <w:r>
              <w:rPr>
                <w:rFonts w:cs="Arial"/>
              </w:rPr>
              <w:t>(April 95)</w:t>
            </w:r>
          </w:p>
        </w:tc>
      </w:tr>
      <w:tr>
        <w:tc>
          <w:tcPr>
            <w:tcW w:w="9778" w:type="dxa"/>
            <w:gridSpan w:val="3"/>
          </w:tcPr>
          <w:p>
            <w:pPr>
              <w:pStyle w:val="GesAbsatz"/>
              <w:jc w:val="left"/>
              <w:rPr>
                <w:rFonts w:cs="Arial"/>
                <w:b/>
              </w:rPr>
            </w:pPr>
            <w:r>
              <w:rPr>
                <w:rFonts w:cs="Arial"/>
                <w:b/>
              </w:rPr>
              <w:t>Teilbereich 5: Biologische Untersuchungsparameter und -verfahren für Sickerwasser, Grund- und Oberflächenwasser</w:t>
            </w:r>
          </w:p>
        </w:tc>
      </w:tr>
      <w:tr>
        <w:tc>
          <w:tcPr>
            <w:tcW w:w="3259" w:type="dxa"/>
          </w:tcPr>
          <w:p>
            <w:pPr>
              <w:pStyle w:val="GesAbsatz"/>
              <w:jc w:val="left"/>
              <w:rPr>
                <w:rFonts w:cs="Arial"/>
              </w:rPr>
            </w:pPr>
            <w:r>
              <w:rPr>
                <w:rFonts w:cs="Arial"/>
              </w:rPr>
              <w:t>Probennahme</w:t>
            </w:r>
          </w:p>
        </w:tc>
        <w:tc>
          <w:tcPr>
            <w:tcW w:w="3259" w:type="dxa"/>
          </w:tcPr>
          <w:p>
            <w:pPr>
              <w:pStyle w:val="GesAbsatz"/>
              <w:jc w:val="left"/>
              <w:rPr>
                <w:rFonts w:cs="Arial"/>
              </w:rPr>
            </w:pPr>
            <w:r>
              <w:rPr>
                <w:rFonts w:cs="Arial"/>
              </w:rPr>
              <w:t>nach DIN EN 25667Teil 2</w:t>
            </w:r>
            <w:r>
              <w:rPr>
                <w:rFonts w:cs="Arial"/>
              </w:rPr>
              <w:br/>
              <w:t>und DIN 38 402 A11</w:t>
            </w:r>
            <w:r>
              <w:rPr>
                <w:rFonts w:cs="Arial"/>
              </w:rPr>
              <w:br/>
              <w:t>und DIN 38 402 A13</w:t>
            </w:r>
            <w:r>
              <w:rPr>
                <w:rFonts w:cs="Arial"/>
              </w:rPr>
              <w:br/>
              <w:t>und DIN 38 402 A 15</w:t>
            </w:r>
          </w:p>
        </w:tc>
        <w:tc>
          <w:tcPr>
            <w:tcW w:w="3260" w:type="dxa"/>
          </w:tcPr>
          <w:p>
            <w:pPr>
              <w:pStyle w:val="GesAbsatz"/>
              <w:jc w:val="left"/>
              <w:rPr>
                <w:rFonts w:cs="Arial"/>
              </w:rPr>
            </w:pPr>
            <w:r>
              <w:rPr>
                <w:rFonts w:cs="Arial"/>
              </w:rPr>
              <w:t>(Juli 93)</w:t>
            </w:r>
            <w:r>
              <w:rPr>
                <w:rFonts w:cs="Arial"/>
              </w:rPr>
              <w:br/>
              <w:t>(Dezember 95)</w:t>
            </w:r>
            <w:r>
              <w:rPr>
                <w:rFonts w:cs="Arial"/>
              </w:rPr>
              <w:br/>
              <w:t>(Dezember 85)</w:t>
            </w:r>
            <w:r>
              <w:rPr>
                <w:rFonts w:cs="Arial"/>
              </w:rPr>
              <w:br/>
              <w:t>(Juli 86)</w:t>
            </w:r>
          </w:p>
        </w:tc>
      </w:tr>
      <w:tr>
        <w:tc>
          <w:tcPr>
            <w:tcW w:w="3259" w:type="dxa"/>
          </w:tcPr>
          <w:p>
            <w:pPr>
              <w:pStyle w:val="GesAbsatz"/>
              <w:jc w:val="left"/>
              <w:rPr>
                <w:rFonts w:cs="Arial"/>
              </w:rPr>
            </w:pPr>
            <w:r>
              <w:rPr>
                <w:rFonts w:cs="Arial"/>
              </w:rPr>
              <w:t>Daphnientest</w:t>
            </w:r>
          </w:p>
        </w:tc>
        <w:tc>
          <w:tcPr>
            <w:tcW w:w="3259" w:type="dxa"/>
          </w:tcPr>
          <w:p>
            <w:pPr>
              <w:pStyle w:val="GesAbsatz"/>
              <w:jc w:val="left"/>
              <w:rPr>
                <w:rFonts w:cs="Arial"/>
              </w:rPr>
            </w:pPr>
            <w:r>
              <w:rPr>
                <w:rFonts w:cs="Arial"/>
              </w:rPr>
              <w:t>nach DIN 38 412-L30</w:t>
            </w:r>
          </w:p>
        </w:tc>
        <w:tc>
          <w:tcPr>
            <w:tcW w:w="3260" w:type="dxa"/>
          </w:tcPr>
          <w:p>
            <w:pPr>
              <w:pStyle w:val="GesAbsatz"/>
              <w:jc w:val="left"/>
              <w:rPr>
                <w:rFonts w:cs="Arial"/>
              </w:rPr>
            </w:pPr>
            <w:r>
              <w:rPr>
                <w:rFonts w:cs="Arial"/>
              </w:rPr>
              <w:t>(März 89)</w:t>
            </w:r>
          </w:p>
        </w:tc>
      </w:tr>
      <w:tr>
        <w:tc>
          <w:tcPr>
            <w:tcW w:w="3259" w:type="dxa"/>
          </w:tcPr>
          <w:p>
            <w:pPr>
              <w:pStyle w:val="GesAbsatz"/>
              <w:jc w:val="left"/>
              <w:rPr>
                <w:rFonts w:cs="Arial"/>
              </w:rPr>
            </w:pPr>
            <w:r>
              <w:rPr>
                <w:rFonts w:cs="Arial"/>
              </w:rPr>
              <w:t>Leuchtbakterientest</w:t>
            </w:r>
          </w:p>
        </w:tc>
        <w:tc>
          <w:tcPr>
            <w:tcW w:w="3259" w:type="dxa"/>
          </w:tcPr>
          <w:p>
            <w:pPr>
              <w:pStyle w:val="GesAbsatz"/>
              <w:jc w:val="left"/>
              <w:rPr>
                <w:rFonts w:cs="Arial"/>
              </w:rPr>
            </w:pPr>
            <w:r>
              <w:rPr>
                <w:rFonts w:cs="Arial"/>
              </w:rPr>
              <w:t xml:space="preserve">nach DIN EN ISO 11348 – 1,2 </w:t>
            </w:r>
            <w:r>
              <w:rPr>
                <w:rStyle w:val="Funotenzeichen"/>
                <w:rFonts w:cs="Arial"/>
              </w:rPr>
              <w:footnoteReference w:id="7"/>
            </w:r>
          </w:p>
        </w:tc>
        <w:tc>
          <w:tcPr>
            <w:tcW w:w="3260" w:type="dxa"/>
          </w:tcPr>
          <w:p>
            <w:pPr>
              <w:pStyle w:val="GesAbsatz"/>
              <w:jc w:val="left"/>
              <w:rPr>
                <w:rFonts w:cs="Arial"/>
              </w:rPr>
            </w:pPr>
            <w:r>
              <w:rPr>
                <w:rFonts w:cs="Arial"/>
              </w:rPr>
              <w:t>(April 99)</w:t>
            </w:r>
          </w:p>
        </w:tc>
      </w:tr>
      <w:tr>
        <w:tc>
          <w:tcPr>
            <w:tcW w:w="9778" w:type="dxa"/>
            <w:gridSpan w:val="3"/>
          </w:tcPr>
          <w:p>
            <w:pPr>
              <w:pStyle w:val="GesAbsatz"/>
              <w:jc w:val="left"/>
              <w:rPr>
                <w:rFonts w:cs="Arial"/>
                <w:b/>
              </w:rPr>
            </w:pPr>
            <w:r>
              <w:rPr>
                <w:rFonts w:cs="Arial"/>
                <w:b/>
              </w:rPr>
              <w:t>Teilbereich 6: Untersuchungsparameter und -verfahren für Bodenluft und Deponiegas</w:t>
            </w:r>
          </w:p>
        </w:tc>
      </w:tr>
      <w:tr>
        <w:tc>
          <w:tcPr>
            <w:tcW w:w="3259" w:type="dxa"/>
          </w:tcPr>
          <w:p>
            <w:pPr>
              <w:pStyle w:val="GesAbsatz"/>
              <w:jc w:val="left"/>
              <w:rPr>
                <w:rFonts w:cs="Arial"/>
              </w:rPr>
            </w:pPr>
            <w:r>
              <w:rPr>
                <w:rFonts w:cs="Arial"/>
              </w:rPr>
              <w:t>Probennahme</w:t>
            </w:r>
          </w:p>
        </w:tc>
        <w:tc>
          <w:tcPr>
            <w:tcW w:w="6519" w:type="dxa"/>
            <w:gridSpan w:val="2"/>
          </w:tcPr>
          <w:p>
            <w:pPr>
              <w:pStyle w:val="GesAbsatz"/>
              <w:jc w:val="left"/>
              <w:rPr>
                <w:rFonts w:cs="Arial"/>
              </w:rPr>
            </w:pPr>
            <w:r>
              <w:rPr>
                <w:rFonts w:cs="Arial"/>
              </w:rPr>
              <w:t>Verfahren nach Anhang zur Anlage</w:t>
            </w:r>
          </w:p>
        </w:tc>
      </w:tr>
      <w:tr>
        <w:tc>
          <w:tcPr>
            <w:tcW w:w="3259" w:type="dxa"/>
          </w:tcPr>
          <w:p>
            <w:pPr>
              <w:pStyle w:val="GesAbsatz"/>
              <w:jc w:val="left"/>
              <w:rPr>
                <w:rFonts w:cs="Arial"/>
              </w:rPr>
            </w:pPr>
            <w:r>
              <w:rPr>
                <w:rFonts w:cs="Arial"/>
              </w:rPr>
              <w:t>Sauerstoff</w:t>
            </w:r>
          </w:p>
        </w:tc>
        <w:tc>
          <w:tcPr>
            <w:tcW w:w="6519" w:type="dxa"/>
            <w:gridSpan w:val="2"/>
          </w:tcPr>
          <w:p>
            <w:pPr>
              <w:pStyle w:val="GesAbsatz"/>
              <w:rPr>
                <w:rFonts w:cs="Arial"/>
              </w:rPr>
            </w:pPr>
            <w:r>
              <w:rPr>
                <w:rFonts w:cs="Arial"/>
              </w:rPr>
              <w:t>Verfahren nach Anhang zur Anlage</w:t>
            </w:r>
          </w:p>
        </w:tc>
      </w:tr>
      <w:tr>
        <w:tc>
          <w:tcPr>
            <w:tcW w:w="3259" w:type="dxa"/>
          </w:tcPr>
          <w:p>
            <w:pPr>
              <w:pStyle w:val="GesAbsatz"/>
              <w:jc w:val="left"/>
              <w:rPr>
                <w:rFonts w:cs="Arial"/>
              </w:rPr>
            </w:pPr>
            <w:r>
              <w:rPr>
                <w:rFonts w:cs="Arial"/>
              </w:rPr>
              <w:t>Methan</w:t>
            </w:r>
          </w:p>
        </w:tc>
        <w:tc>
          <w:tcPr>
            <w:tcW w:w="6519" w:type="dxa"/>
            <w:gridSpan w:val="2"/>
          </w:tcPr>
          <w:p>
            <w:pPr>
              <w:pStyle w:val="GesAbsatz"/>
              <w:rPr>
                <w:rFonts w:cs="Arial"/>
              </w:rPr>
            </w:pPr>
            <w:r>
              <w:rPr>
                <w:rFonts w:cs="Arial"/>
              </w:rPr>
              <w:t>Verfahren nach Anhang zur Anlage</w:t>
            </w:r>
          </w:p>
        </w:tc>
      </w:tr>
      <w:tr>
        <w:tc>
          <w:tcPr>
            <w:tcW w:w="3259" w:type="dxa"/>
          </w:tcPr>
          <w:p>
            <w:pPr>
              <w:pStyle w:val="GesAbsatz"/>
              <w:jc w:val="left"/>
              <w:rPr>
                <w:rFonts w:cs="Arial"/>
              </w:rPr>
            </w:pPr>
            <w:r>
              <w:rPr>
                <w:rFonts w:cs="Arial"/>
              </w:rPr>
              <w:t>Schwefelwasserstoff</w:t>
            </w:r>
          </w:p>
        </w:tc>
        <w:tc>
          <w:tcPr>
            <w:tcW w:w="6519" w:type="dxa"/>
            <w:gridSpan w:val="2"/>
          </w:tcPr>
          <w:p>
            <w:pPr>
              <w:pStyle w:val="GesAbsatz"/>
              <w:rPr>
                <w:rFonts w:cs="Arial"/>
              </w:rPr>
            </w:pPr>
            <w:r>
              <w:rPr>
                <w:rFonts w:cs="Arial"/>
              </w:rPr>
              <w:t>Verfahren nach Anhang zur Anlage</w:t>
            </w:r>
          </w:p>
        </w:tc>
      </w:tr>
      <w:tr>
        <w:tc>
          <w:tcPr>
            <w:tcW w:w="3259" w:type="dxa"/>
          </w:tcPr>
          <w:p>
            <w:pPr>
              <w:pStyle w:val="GesAbsatz"/>
              <w:jc w:val="left"/>
              <w:rPr>
                <w:rFonts w:cs="Arial"/>
              </w:rPr>
            </w:pPr>
            <w:r>
              <w:rPr>
                <w:rFonts w:cs="Arial"/>
              </w:rPr>
              <w:t>LHKW</w:t>
            </w:r>
          </w:p>
        </w:tc>
        <w:tc>
          <w:tcPr>
            <w:tcW w:w="6519" w:type="dxa"/>
            <w:gridSpan w:val="2"/>
          </w:tcPr>
          <w:p>
            <w:pPr>
              <w:pStyle w:val="GesAbsatz"/>
              <w:rPr>
                <w:rFonts w:cs="Arial"/>
              </w:rPr>
            </w:pPr>
            <w:r>
              <w:rPr>
                <w:rFonts w:cs="Arial"/>
              </w:rPr>
              <w:t>Verfahren nach Anhang zur Anlage</w:t>
            </w:r>
          </w:p>
        </w:tc>
      </w:tr>
      <w:tr>
        <w:tc>
          <w:tcPr>
            <w:tcW w:w="3259" w:type="dxa"/>
          </w:tcPr>
          <w:p>
            <w:pPr>
              <w:pStyle w:val="GesAbsatz"/>
              <w:jc w:val="left"/>
              <w:rPr>
                <w:rFonts w:cs="Arial"/>
              </w:rPr>
            </w:pPr>
            <w:r>
              <w:rPr>
                <w:rFonts w:cs="Arial"/>
              </w:rPr>
              <w:t>BTEX</w:t>
            </w:r>
          </w:p>
        </w:tc>
        <w:tc>
          <w:tcPr>
            <w:tcW w:w="6519" w:type="dxa"/>
            <w:gridSpan w:val="2"/>
          </w:tcPr>
          <w:p>
            <w:pPr>
              <w:pStyle w:val="GesAbsatz"/>
              <w:rPr>
                <w:rFonts w:cs="Arial"/>
              </w:rPr>
            </w:pPr>
            <w:r>
              <w:rPr>
                <w:rFonts w:cs="Arial"/>
              </w:rPr>
              <w:t>Verfahren nach Anhang zur Anlage</w:t>
            </w:r>
          </w:p>
        </w:tc>
      </w:tr>
      <w:tr>
        <w:tc>
          <w:tcPr>
            <w:tcW w:w="3259" w:type="dxa"/>
          </w:tcPr>
          <w:p>
            <w:pPr>
              <w:pStyle w:val="GesAbsatz"/>
              <w:jc w:val="left"/>
              <w:rPr>
                <w:rFonts w:cs="Arial"/>
              </w:rPr>
            </w:pPr>
            <w:r>
              <w:rPr>
                <w:rFonts w:cs="Arial"/>
              </w:rPr>
              <w:t>CO</w:t>
            </w:r>
            <w:r>
              <w:rPr>
                <w:rFonts w:cs="Arial"/>
                <w:vertAlign w:val="subscript"/>
              </w:rPr>
              <w:t>2</w:t>
            </w:r>
          </w:p>
        </w:tc>
        <w:tc>
          <w:tcPr>
            <w:tcW w:w="6519" w:type="dxa"/>
            <w:gridSpan w:val="2"/>
          </w:tcPr>
          <w:p>
            <w:pPr>
              <w:pStyle w:val="GesAbsatz"/>
              <w:rPr>
                <w:rFonts w:cs="Arial"/>
              </w:rPr>
            </w:pPr>
            <w:r>
              <w:rPr>
                <w:rFonts w:cs="Arial"/>
              </w:rPr>
              <w:t>Verfahren nach Anhang zur Anlage</w:t>
            </w:r>
          </w:p>
        </w:tc>
      </w:tr>
    </w:tbl>
    <w:p>
      <w:pPr>
        <w:pStyle w:val="GesAbsatz"/>
        <w:rPr>
          <w:rFonts w:cs="Arial"/>
        </w:rPr>
      </w:pPr>
    </w:p>
    <w:p>
      <w:pPr>
        <w:pStyle w:val="GesAbsatz"/>
        <w:rPr>
          <w:rFonts w:cs="Arial"/>
        </w:rPr>
      </w:pPr>
    </w:p>
    <w:p>
      <w:pPr>
        <w:pStyle w:val="berschrift3"/>
        <w:jc w:val="left"/>
      </w:pPr>
      <w:r>
        <w:br w:type="page"/>
      </w:r>
      <w:bookmarkStart w:id="23" w:name="_Toc397592224"/>
      <w:r>
        <w:lastRenderedPageBreak/>
        <w:t>Anhang zur Anlage</w:t>
      </w:r>
      <w:bookmarkEnd w:id="23"/>
    </w:p>
    <w:p>
      <w:pPr>
        <w:pStyle w:val="GesAbsatz"/>
        <w:rPr>
          <w:rFonts w:cs="Arial"/>
          <w:b/>
        </w:rPr>
      </w:pPr>
      <w:r>
        <w:rPr>
          <w:rFonts w:cs="Arial"/>
          <w:b/>
        </w:rPr>
        <w:t>Probennahme und Untersuchung von organischen Spurenverbindungen in der Bodenluft</w:t>
      </w:r>
    </w:p>
    <w:p>
      <w:pPr>
        <w:pStyle w:val="GesAbsatz"/>
        <w:rPr>
          <w:rFonts w:cs="Arial"/>
        </w:rPr>
      </w:pPr>
      <w:r>
        <w:rPr>
          <w:rFonts w:cs="Arial"/>
        </w:rPr>
        <w:t xml:space="preserve">Probennahme und Untersuchung von organischen Spurenverbindungen in der Bodenluft </w:t>
      </w:r>
    </w:p>
    <w:p>
      <w:pPr>
        <w:pStyle w:val="GesAbsatz"/>
        <w:rPr>
          <w:rFonts w:cs="Arial"/>
          <w:b/>
        </w:rPr>
      </w:pPr>
      <w:r>
        <w:rPr>
          <w:rFonts w:cs="Arial"/>
          <w:b/>
        </w:rPr>
        <w:t xml:space="preserve">1 Allgemeines </w:t>
      </w:r>
    </w:p>
    <w:p>
      <w:pPr>
        <w:pStyle w:val="GesAbsatz"/>
        <w:rPr>
          <w:rFonts w:cs="Arial"/>
        </w:rPr>
      </w:pPr>
      <w:r>
        <w:rPr>
          <w:rFonts w:cs="Arial"/>
        </w:rPr>
        <w:t>Vor der Entnahme von Bodenluftproben ist der Untergrundaufbau durch Sondierung zu ermitteln es sei denn, die Erkenntnisse liegen aus dem Ausbau von Bodenluftmessstellen bereits vor.</w:t>
      </w:r>
    </w:p>
    <w:p>
      <w:pPr>
        <w:pStyle w:val="GesAbsatz"/>
        <w:rPr>
          <w:rFonts w:cs="Arial"/>
        </w:rPr>
      </w:pPr>
      <w:r>
        <w:rPr>
          <w:rFonts w:cs="Arial"/>
        </w:rPr>
        <w:t>Die Probennahme und Untersuchung von Bodenluft sollte sich an Teilen des VDI-Richtlinien VDI 3865 orientieren, wobei die nachfolgenden allgemeinen Beschreibungen zu beachten sind.</w:t>
      </w:r>
    </w:p>
    <w:p>
      <w:pPr>
        <w:pStyle w:val="GesAbsatz"/>
        <w:rPr>
          <w:rFonts w:cs="Arial"/>
        </w:rPr>
      </w:pPr>
      <w:r>
        <w:rPr>
          <w:rFonts w:cs="Arial"/>
        </w:rPr>
        <w:t>Zur Bodenluftprobennahme können Sondierungen für einmalige Messungen und ausgebaute Messstellen für Mehrfachmessungen herangezogen werden.</w:t>
      </w:r>
    </w:p>
    <w:p>
      <w:pPr>
        <w:pStyle w:val="GesAbsatz"/>
        <w:rPr>
          <w:rFonts w:cs="Arial"/>
        </w:rPr>
      </w:pPr>
      <w:r>
        <w:rPr>
          <w:rFonts w:cs="Arial"/>
        </w:rPr>
        <w:t>Aus der Sondierung werden abhängig von der Fragestellung Bodenluftproben über Sonden entnommen. Bei der Beprobung aus stationären Messstellen sollten die Bodenluftproben unter Verwendung von regelbaren Pumpen abgesaugt werden.</w:t>
      </w:r>
    </w:p>
    <w:p>
      <w:pPr>
        <w:pStyle w:val="GesAbsatz"/>
        <w:rPr>
          <w:rFonts w:cs="Arial"/>
        </w:rPr>
      </w:pPr>
      <w:r>
        <w:rPr>
          <w:rFonts w:cs="Arial"/>
        </w:rPr>
        <w:t>Zur Bestimmung des Probennahmezeitpunktes werden die Hauptkomponenten (CH</w:t>
      </w:r>
      <w:r>
        <w:rPr>
          <w:rFonts w:cs="Arial"/>
          <w:vertAlign w:val="subscript"/>
        </w:rPr>
        <w:t>4</w:t>
      </w:r>
      <w:r>
        <w:rPr>
          <w:rFonts w:cs="Arial"/>
        </w:rPr>
        <w:t>, CO</w:t>
      </w:r>
      <w:r>
        <w:rPr>
          <w:rFonts w:cs="Arial"/>
          <w:vertAlign w:val="subscript"/>
        </w:rPr>
        <w:t>2</w:t>
      </w:r>
      <w:r>
        <w:rPr>
          <w:rFonts w:cs="Arial"/>
        </w:rPr>
        <w:t>) mit direktanzeigenden Messinstrumenten gemessen und aufgezeichnet.</w:t>
      </w:r>
    </w:p>
    <w:p>
      <w:pPr>
        <w:pStyle w:val="GesAbsatz"/>
        <w:rPr>
          <w:rFonts w:cs="Arial"/>
        </w:rPr>
      </w:pPr>
      <w:r>
        <w:rPr>
          <w:rFonts w:cs="Arial"/>
        </w:rPr>
        <w:t>Es können die nachfolgenden Probennahme- und Untersuchungsprinzipien angewandt werden:</w:t>
      </w:r>
    </w:p>
    <w:p>
      <w:pPr>
        <w:pStyle w:val="GesAbsatz"/>
        <w:rPr>
          <w:rFonts w:cs="Arial"/>
        </w:rPr>
      </w:pPr>
      <w:r>
        <w:rPr>
          <w:rFonts w:cs="Arial"/>
        </w:rPr>
        <w:t>A Verfahren mit Anreicherung</w:t>
      </w:r>
    </w:p>
    <w:p>
      <w:pPr>
        <w:pStyle w:val="GesAbsatz"/>
        <w:rPr>
          <w:rFonts w:cs="Arial"/>
        </w:rPr>
      </w:pPr>
      <w:r>
        <w:rPr>
          <w:rFonts w:cs="Arial"/>
        </w:rPr>
        <w:t>Adsorption des abgesaugten Gases auf Aktivkohle</w:t>
      </w:r>
    </w:p>
    <w:p>
      <w:pPr>
        <w:pStyle w:val="GesAbsatz"/>
        <w:rPr>
          <w:rFonts w:cs="Arial"/>
        </w:rPr>
      </w:pPr>
      <w:r>
        <w:rPr>
          <w:rFonts w:cs="Arial"/>
        </w:rPr>
        <w:t>Adsorption des abgesaugten Gases auf XAD-Harz</w:t>
      </w:r>
    </w:p>
    <w:p>
      <w:pPr>
        <w:pStyle w:val="GesAbsatz"/>
        <w:rPr>
          <w:rFonts w:cs="Arial"/>
        </w:rPr>
      </w:pPr>
      <w:r>
        <w:rPr>
          <w:rFonts w:cs="Arial"/>
        </w:rPr>
        <w:t>B Verfahren ohne Anreicherung</w:t>
      </w:r>
    </w:p>
    <w:p>
      <w:pPr>
        <w:pStyle w:val="GesAbsatz"/>
        <w:rPr>
          <w:rFonts w:cs="Arial"/>
        </w:rPr>
      </w:pPr>
      <w:r>
        <w:rPr>
          <w:rFonts w:cs="Arial"/>
        </w:rPr>
        <w:t>Direktmessung mittels Gaschromatograph</w:t>
      </w:r>
    </w:p>
    <w:p>
      <w:pPr>
        <w:pStyle w:val="GesAbsatz"/>
        <w:rPr>
          <w:rFonts w:cs="Arial"/>
          <w:b/>
        </w:rPr>
      </w:pPr>
      <w:r>
        <w:rPr>
          <w:rFonts w:cs="Arial"/>
          <w:b/>
        </w:rPr>
        <w:t>2 Anlegen von Messstellen</w:t>
      </w:r>
    </w:p>
    <w:p>
      <w:pPr>
        <w:pStyle w:val="GesAbsatz"/>
        <w:rPr>
          <w:rFonts w:cs="Arial"/>
        </w:rPr>
      </w:pPr>
      <w:r>
        <w:rPr>
          <w:rFonts w:cs="Arial"/>
        </w:rPr>
        <w:t>Anlegen von temporären Bodenluftmessstellen</w:t>
      </w:r>
    </w:p>
    <w:p>
      <w:pPr>
        <w:pStyle w:val="GesAbsatz"/>
        <w:rPr>
          <w:rFonts w:cs="Arial"/>
        </w:rPr>
      </w:pPr>
      <w:r>
        <w:rPr>
          <w:rFonts w:cs="Arial"/>
        </w:rPr>
        <w:t>Zum Anlegen von Sondierungen zur Bodenluftmessung sollte bevorzugt ein Elektrohammer verwendet werden, um die Probennahmestelle nicht mit Abgasen oder verdampfenden Treibstoffen zu kontaminieren. Eine Kontamination durch das notwendige Stromaggregat sollte durch die richtige Wahl des Aufstellungsortes vermieden werden. Die Bohrlochmindesttiefe beträgt 1 m. Für vergleichende Messungen sind Sondierungen mit gleicher Dimensionierung zu verwenden.</w:t>
      </w:r>
    </w:p>
    <w:p>
      <w:pPr>
        <w:pStyle w:val="GesAbsatz"/>
        <w:rPr>
          <w:rFonts w:cs="Arial"/>
          <w:b/>
        </w:rPr>
      </w:pPr>
      <w:r>
        <w:rPr>
          <w:rFonts w:cs="Arial"/>
          <w:b/>
        </w:rPr>
        <w:t>3 Allgemeine Beschreibung der Probennahmeprinzipien</w:t>
      </w:r>
    </w:p>
    <w:p>
      <w:pPr>
        <w:pStyle w:val="GesAbsatz"/>
        <w:rPr>
          <w:rFonts w:cs="Arial"/>
        </w:rPr>
      </w:pPr>
      <w:r>
        <w:rPr>
          <w:rFonts w:cs="Arial"/>
        </w:rPr>
        <w:t>-</w:t>
      </w:r>
      <w:r>
        <w:rPr>
          <w:rFonts w:cs="Arial"/>
        </w:rPr>
        <w:tab/>
        <w:t>Sondierung zur Ermittlung des Untergrundaufbaus</w:t>
      </w:r>
    </w:p>
    <w:p>
      <w:pPr>
        <w:pStyle w:val="GesAbsatz"/>
        <w:rPr>
          <w:rFonts w:cs="Arial"/>
        </w:rPr>
      </w:pPr>
      <w:r>
        <w:rPr>
          <w:rFonts w:cs="Arial"/>
        </w:rPr>
        <w:t>-</w:t>
      </w:r>
      <w:r>
        <w:rPr>
          <w:rFonts w:cs="Arial"/>
        </w:rPr>
        <w:tab/>
        <w:t>Probennahme aus abgedichteten Sondierungen oder stationären Messstellen</w:t>
      </w:r>
    </w:p>
    <w:p>
      <w:pPr>
        <w:pStyle w:val="GesAbsatz"/>
        <w:rPr>
          <w:rFonts w:cs="Arial"/>
        </w:rPr>
      </w:pPr>
      <w:r>
        <w:rPr>
          <w:rFonts w:cs="Arial"/>
        </w:rPr>
        <w:t>-</w:t>
      </w:r>
      <w:r>
        <w:rPr>
          <w:rFonts w:cs="Arial"/>
        </w:rPr>
        <w:tab/>
        <w:t>Probenentnahme über Sonden</w:t>
      </w:r>
    </w:p>
    <w:p>
      <w:pPr>
        <w:pStyle w:val="GesAbsatz"/>
        <w:rPr>
          <w:rFonts w:cs="Arial"/>
        </w:rPr>
      </w:pPr>
      <w:r>
        <w:rPr>
          <w:rFonts w:cs="Arial"/>
        </w:rPr>
        <w:t>-</w:t>
      </w:r>
      <w:r>
        <w:rPr>
          <w:rFonts w:cs="Arial"/>
        </w:rPr>
        <w:tab/>
        <w:t>Probennahmetiefe</w:t>
      </w:r>
    </w:p>
    <w:p>
      <w:pPr>
        <w:pStyle w:val="GesAbsatz"/>
        <w:tabs>
          <w:tab w:val="left" w:pos="851"/>
        </w:tabs>
        <w:ind w:left="851"/>
        <w:rPr>
          <w:rFonts w:cs="Arial"/>
        </w:rPr>
      </w:pPr>
      <w:r>
        <w:rPr>
          <w:rFonts w:cs="Arial"/>
        </w:rPr>
        <w:t>Mindesttiefe: 1m unter Geländeoberkante (GOK)</w:t>
      </w:r>
    </w:p>
    <w:p>
      <w:pPr>
        <w:pStyle w:val="GesAbsatz"/>
        <w:tabs>
          <w:tab w:val="left" w:pos="851"/>
        </w:tabs>
        <w:ind w:left="851"/>
        <w:rPr>
          <w:rFonts w:cs="Arial"/>
        </w:rPr>
      </w:pPr>
      <w:r>
        <w:rPr>
          <w:rFonts w:cs="Arial"/>
        </w:rPr>
        <w:t>Maximaltiefe: bis 1m über Grundwasseroberfläche</w:t>
      </w:r>
    </w:p>
    <w:p>
      <w:pPr>
        <w:pStyle w:val="GesAbsatz"/>
        <w:rPr>
          <w:rFonts w:cs="Arial"/>
        </w:rPr>
      </w:pPr>
      <w:r>
        <w:rPr>
          <w:rFonts w:cs="Arial"/>
        </w:rPr>
        <w:t>-</w:t>
      </w:r>
      <w:r>
        <w:rPr>
          <w:rFonts w:cs="Arial"/>
        </w:rPr>
        <w:tab/>
        <w:t>Startzeit der Probennahme</w:t>
      </w:r>
    </w:p>
    <w:p>
      <w:pPr>
        <w:pStyle w:val="GesAbsatz"/>
        <w:ind w:left="426"/>
        <w:rPr>
          <w:rFonts w:cs="Arial"/>
        </w:rPr>
      </w:pPr>
      <w:r>
        <w:rPr>
          <w:rFonts w:cs="Arial"/>
        </w:rPr>
        <w:t>gesteuert über den Konzentrationsverlauf charakteristischer Bodengase z.B. CO</w:t>
      </w:r>
      <w:r>
        <w:rPr>
          <w:rFonts w:cs="Arial"/>
          <w:vertAlign w:val="subscript"/>
        </w:rPr>
        <w:t>2</w:t>
      </w:r>
      <w:r>
        <w:rPr>
          <w:rFonts w:cs="Arial"/>
        </w:rPr>
        <w:t>, CH</w:t>
      </w:r>
      <w:r>
        <w:rPr>
          <w:rFonts w:cs="Arial"/>
          <w:vertAlign w:val="subscript"/>
        </w:rPr>
        <w:t>4</w:t>
      </w:r>
    </w:p>
    <w:p>
      <w:pPr>
        <w:pStyle w:val="GesAbsatz"/>
        <w:rPr>
          <w:rFonts w:cs="Arial"/>
        </w:rPr>
      </w:pPr>
      <w:r>
        <w:rPr>
          <w:rFonts w:cs="Arial"/>
        </w:rPr>
        <w:t>-</w:t>
      </w:r>
      <w:r>
        <w:rPr>
          <w:rFonts w:cs="Arial"/>
        </w:rPr>
        <w:tab/>
        <w:t>Probensammlung</w:t>
      </w:r>
    </w:p>
    <w:p>
      <w:pPr>
        <w:pStyle w:val="GesAbsatz"/>
        <w:rPr>
          <w:rFonts w:cs="Arial"/>
        </w:rPr>
      </w:pPr>
      <w:r>
        <w:rPr>
          <w:rFonts w:cs="Arial"/>
        </w:rPr>
        <w:t>Anreicherung auf Adsorptionsmaterial wie z.B.</w:t>
      </w:r>
    </w:p>
    <w:p>
      <w:pPr>
        <w:pStyle w:val="GesAbsatz"/>
        <w:tabs>
          <w:tab w:val="left" w:pos="851"/>
        </w:tabs>
        <w:ind w:left="851"/>
        <w:rPr>
          <w:rFonts w:cs="Arial"/>
        </w:rPr>
      </w:pPr>
      <w:r>
        <w:rPr>
          <w:rFonts w:cs="Arial"/>
        </w:rPr>
        <w:t>Aktivkohle</w:t>
      </w:r>
    </w:p>
    <w:p>
      <w:pPr>
        <w:pStyle w:val="GesAbsatz"/>
        <w:tabs>
          <w:tab w:val="left" w:pos="851"/>
        </w:tabs>
        <w:ind w:left="851"/>
        <w:rPr>
          <w:rFonts w:cs="Arial"/>
        </w:rPr>
      </w:pPr>
      <w:r>
        <w:rPr>
          <w:rFonts w:cs="Arial"/>
        </w:rPr>
        <w:t>Adsorberharz (z.B. XAD 4)</w:t>
      </w:r>
    </w:p>
    <w:p>
      <w:pPr>
        <w:pStyle w:val="GesAbsatz"/>
        <w:ind w:left="426"/>
        <w:rPr>
          <w:rFonts w:cs="Arial"/>
        </w:rPr>
      </w:pPr>
      <w:r>
        <w:rPr>
          <w:rFonts w:cs="Arial"/>
        </w:rPr>
        <w:t xml:space="preserve">im geschlossenen Messsystem zur Direktmessung im Gaschromatographen </w:t>
      </w:r>
    </w:p>
    <w:p>
      <w:pPr>
        <w:pStyle w:val="GesAbsatz"/>
        <w:rPr>
          <w:rFonts w:cs="Arial"/>
          <w:b/>
        </w:rPr>
      </w:pPr>
      <w:r>
        <w:rPr>
          <w:rFonts w:cs="Arial"/>
          <w:b/>
        </w:rPr>
        <w:t>4 Allgemeine Beschreibung der Analysenprinzipien</w:t>
      </w:r>
    </w:p>
    <w:p>
      <w:pPr>
        <w:pStyle w:val="GesAbsatz"/>
        <w:rPr>
          <w:rFonts w:cs="Arial"/>
        </w:rPr>
      </w:pPr>
      <w:r>
        <w:rPr>
          <w:rFonts w:cs="Arial"/>
        </w:rPr>
        <w:t>Die Angaben zu den Analysenverfahren sind den Richtlinien VDI 3865 Blatt 3 und 4 zu entnehmen.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21.08.2000 (MBl. NRW. S. 983)</w:t>
    </w:r>
    <w:r>
      <w:tab/>
      <w:t xml:space="preserve">Seite </w:t>
    </w:r>
    <w:r>
      <w:fldChar w:fldCharType="begin"/>
    </w:r>
    <w:r>
      <w:instrText xml:space="preserve"> PAGE  \* MERGEFORMAT </w:instrText>
    </w:r>
    <w:r>
      <w:fldChar w:fldCharType="separate"/>
    </w:r>
    <w:r>
      <w:rPr>
        <w:noProof/>
      </w:rPr>
      <w:t>11</w:t>
    </w:r>
    <w:r>
      <w:fldChar w:fldCharType="end"/>
    </w:r>
  </w:p>
  <w:p>
    <w:pPr>
      <w:pStyle w:val="Fuzeile"/>
      <w:rPr>
        <w:lang w:val="en-US"/>
      </w:rPr>
    </w:pPr>
    <w:r>
      <w:tab/>
      <w:t>Stand 03.07.2002 (MBl. NRW. S</w:t>
    </w:r>
    <w:r>
      <w:rPr>
        <w:lang w:val="en-US"/>
      </w:rPr>
      <w:t>. 821 / SMBl. NRW. 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 w:id="1">
    <w:p>
      <w:pPr>
        <w:pStyle w:val="Funotentext"/>
        <w:rPr>
          <w:szCs w:val="16"/>
        </w:rPr>
      </w:pPr>
      <w:r>
        <w:rPr>
          <w:rStyle w:val="Funotenzeichen"/>
        </w:rPr>
        <w:footnoteRef/>
      </w:r>
      <w:r>
        <w:t xml:space="preserve"> </w:t>
      </w:r>
      <w:r>
        <w:rPr>
          <w:rFonts w:cs="Arial"/>
          <w:szCs w:val="16"/>
        </w:rPr>
        <w:t>wird ersetzt durch PN 98 (z.Zt. Entwurf Dezember 2001)</w:t>
      </w:r>
    </w:p>
  </w:footnote>
  <w:footnote w:id="2">
    <w:p>
      <w:pPr>
        <w:pStyle w:val="Funotentext"/>
        <w:rPr>
          <w:szCs w:val="16"/>
        </w:rPr>
      </w:pPr>
      <w:r>
        <w:rPr>
          <w:rStyle w:val="Funotenzeichen"/>
        </w:rPr>
        <w:footnoteRef/>
      </w:r>
      <w:r>
        <w:t xml:space="preserve"> </w:t>
      </w:r>
      <w:r>
        <w:rPr>
          <w:rFonts w:cs="Arial"/>
          <w:szCs w:val="16"/>
        </w:rPr>
        <w:t>Handbuch Altlasten Band 7, Analysenverfahren Teil 4 Bestimmung von BTEX / LHKW in Feststoffen aus dem Altlastenbereich, Hessisches Landesamt für Umwelt und Geologie, Rheingaustr. 186, 65203Wiesbaden; Wiesbaden 2000</w:t>
      </w:r>
    </w:p>
  </w:footnote>
  <w:footnote w:id="3">
    <w:p>
      <w:pPr>
        <w:pStyle w:val="Funotentext"/>
        <w:rPr>
          <w:szCs w:val="16"/>
        </w:rPr>
      </w:pPr>
      <w:r>
        <w:rPr>
          <w:rStyle w:val="Funotenzeichen"/>
        </w:rPr>
        <w:footnoteRef/>
      </w:r>
      <w:r>
        <w:t xml:space="preserve"> </w:t>
      </w:r>
      <w:r>
        <w:rPr>
          <w:rFonts w:cs="Arial"/>
          <w:szCs w:val="16"/>
        </w:rPr>
        <w:t>Gefriertrocknung oder Lufttrocknung</w:t>
      </w:r>
    </w:p>
  </w:footnote>
  <w:footnote w:id="4">
    <w:p>
      <w:pPr>
        <w:pStyle w:val="Funotentext"/>
        <w:rPr>
          <w:szCs w:val="16"/>
        </w:rPr>
      </w:pPr>
      <w:r>
        <w:rPr>
          <w:rStyle w:val="Funotenzeichen"/>
        </w:rPr>
        <w:footnoteRef/>
      </w:r>
      <w:r>
        <w:t xml:space="preserve"> </w:t>
      </w:r>
      <w:r>
        <w:rPr>
          <w:rFonts w:cs="Arial"/>
          <w:szCs w:val="16"/>
        </w:rPr>
        <w:t>Anhang 4 der Verordnung über die umweltverträgliche Ablagerung von Siedlungsabfällen und über biologische Abfallbehandlungsanlagen -Abfallablagerungsverordnung – AbfAblV vom 20. Februar 2001 BGBl. 1 S. 305</w:t>
      </w:r>
    </w:p>
  </w:footnote>
  <w:footnote w:id="5">
    <w:p>
      <w:pPr>
        <w:pStyle w:val="Funotentext"/>
        <w:rPr>
          <w:szCs w:val="16"/>
        </w:rPr>
      </w:pPr>
      <w:r>
        <w:rPr>
          <w:rStyle w:val="Funotenzeichen"/>
        </w:rPr>
        <w:footnoteRef/>
      </w:r>
      <w:r>
        <w:t xml:space="preserve"> </w:t>
      </w:r>
      <w:r>
        <w:rPr>
          <w:rFonts w:cs="Arial"/>
          <w:szCs w:val="16"/>
        </w:rPr>
        <w:t>unter Beachtung des LUA – Merkblattes Nr. 35 Vollzugshilfe „Bestimmung der Festigkeit von Abfällen“, Landesumweltamt NRW, Essen 2001</w:t>
      </w:r>
    </w:p>
  </w:footnote>
  <w:footnote w:id="6">
    <w:p>
      <w:pPr>
        <w:pStyle w:val="Funotentext"/>
        <w:rPr>
          <w:szCs w:val="16"/>
        </w:rPr>
      </w:pPr>
      <w:r>
        <w:rPr>
          <w:rStyle w:val="Funotenzeichen"/>
        </w:rPr>
        <w:footnoteRef/>
      </w:r>
      <w:r>
        <w:t xml:space="preserve"> </w:t>
      </w:r>
      <w:r>
        <w:rPr>
          <w:rFonts w:cs="Arial"/>
          <w:szCs w:val="16"/>
        </w:rPr>
        <w:t xml:space="preserve">Konservierung mit Natriumhydroxid, Zinn-(II)-Chlorid und Zinksulfatlösung bei pH </w:t>
      </w:r>
      <w:r>
        <w:rPr>
          <w:rFonts w:cs="Arial"/>
          <w:szCs w:val="16"/>
          <w:u w:val="single"/>
        </w:rPr>
        <w:t xml:space="preserve">&gt; </w:t>
      </w:r>
      <w:r>
        <w:rPr>
          <w:rFonts w:cs="Arial"/>
          <w:szCs w:val="16"/>
        </w:rPr>
        <w:t>9</w:t>
      </w:r>
    </w:p>
  </w:footnote>
  <w:footnote w:id="7">
    <w:p>
      <w:pPr>
        <w:pStyle w:val="GesAbsatz"/>
        <w:rPr>
          <w:sz w:val="16"/>
          <w:szCs w:val="16"/>
        </w:rPr>
      </w:pPr>
      <w:r>
        <w:rPr>
          <w:rStyle w:val="Funotenzeichen"/>
        </w:rPr>
        <w:footnoteRef/>
      </w:r>
      <w:r>
        <w:t xml:space="preserve"> </w:t>
      </w:r>
      <w:r>
        <w:rPr>
          <w:sz w:val="16"/>
          <w:szCs w:val="16"/>
        </w:rPr>
        <w:t xml:space="preserve">unter Berücksichtigung der folgenden Änderungen: der pH – Wert muss auf pH 7,0 </w:t>
      </w:r>
      <w:r>
        <w:rPr>
          <w:sz w:val="16"/>
          <w:szCs w:val="16"/>
          <w:u w:val="single"/>
        </w:rPr>
        <w:t xml:space="preserve">+ </w:t>
      </w:r>
      <w:r>
        <w:rPr>
          <w:sz w:val="16"/>
          <w:szCs w:val="16"/>
        </w:rPr>
        <w:t>0,2 eingestellt werden, die Kontaktzeit wird auf 30 min festgelegt, der Test muss für alle Verdünnungsstufen in Doppelansätzen durchgeführt werden, der GL – Wert muss bestimmt werden, genauere Angaben zur Testung der Referenzsubstanzen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084B94-392D-4BB4-8C76-64A4AC4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customStyle="1" w:styleId="berschrift1Zchn">
    <w:name w:val="Überschrift 1 Zchn"/>
    <w:basedOn w:val="Absatz-Standardschriftart"/>
    <w:link w:val="berschrift1"/>
    <w:rPr>
      <w:rFonts w:ascii="Arial" w:hAnsi="Arial"/>
      <w:b/>
      <w:kern w:val="28"/>
      <w:sz w:val="28"/>
    </w:rPr>
  </w:style>
  <w:style w:type="character" w:customStyle="1" w:styleId="berschrift2Zchn">
    <w:name w:val="Überschrift 2 Zchn"/>
    <w:basedOn w:val="Absatz-Standardschriftart"/>
    <w:link w:val="berschrift2"/>
    <w:rPr>
      <w:rFonts w:ascii="Arial" w:hAnsi="Arial"/>
      <w:b/>
      <w:sz w:val="24"/>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qFormat/>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7894">
      <w:bodyDiv w:val="1"/>
      <w:marLeft w:val="0"/>
      <w:marRight w:val="0"/>
      <w:marTop w:val="0"/>
      <w:marBottom w:val="0"/>
      <w:divBdr>
        <w:top w:val="none" w:sz="0" w:space="0" w:color="auto"/>
        <w:left w:val="none" w:sz="0" w:space="0" w:color="auto"/>
        <w:bottom w:val="none" w:sz="0" w:space="0" w:color="auto"/>
        <w:right w:val="none" w:sz="0" w:space="0" w:color="auto"/>
      </w:divBdr>
      <w:divsChild>
        <w:div w:id="133714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038&amp;val=1038&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C14D-B68A-42FF-8D4F-44DB0186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3271</Words>
  <Characters>21787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Zulassung von Stellen für die Untersuchung von Abfällen</vt:lpstr>
    </vt:vector>
  </TitlesOfParts>
  <Company>LANUV NRW</Company>
  <LinksUpToDate>false</LinksUpToDate>
  <CharactersWithSpaces>25008</CharactersWithSpaces>
  <SharedDoc>false</SharedDoc>
  <HLinks>
    <vt:vector size="120" baseType="variant">
      <vt:variant>
        <vt:i4>1376312</vt:i4>
      </vt:variant>
      <vt:variant>
        <vt:i4>113</vt:i4>
      </vt:variant>
      <vt:variant>
        <vt:i4>0</vt:i4>
      </vt:variant>
      <vt:variant>
        <vt:i4>5</vt:i4>
      </vt:variant>
      <vt:variant>
        <vt:lpwstr/>
      </vt:variant>
      <vt:variant>
        <vt:lpwstr>_Toc100983188</vt:lpwstr>
      </vt:variant>
      <vt:variant>
        <vt:i4>1376312</vt:i4>
      </vt:variant>
      <vt:variant>
        <vt:i4>107</vt:i4>
      </vt:variant>
      <vt:variant>
        <vt:i4>0</vt:i4>
      </vt:variant>
      <vt:variant>
        <vt:i4>5</vt:i4>
      </vt:variant>
      <vt:variant>
        <vt:lpwstr/>
      </vt:variant>
      <vt:variant>
        <vt:lpwstr>_Toc100983187</vt:lpwstr>
      </vt:variant>
      <vt:variant>
        <vt:i4>1376312</vt:i4>
      </vt:variant>
      <vt:variant>
        <vt:i4>101</vt:i4>
      </vt:variant>
      <vt:variant>
        <vt:i4>0</vt:i4>
      </vt:variant>
      <vt:variant>
        <vt:i4>5</vt:i4>
      </vt:variant>
      <vt:variant>
        <vt:lpwstr/>
      </vt:variant>
      <vt:variant>
        <vt:lpwstr>_Toc100983186</vt:lpwstr>
      </vt:variant>
      <vt:variant>
        <vt:i4>1376312</vt:i4>
      </vt:variant>
      <vt:variant>
        <vt:i4>95</vt:i4>
      </vt:variant>
      <vt:variant>
        <vt:i4>0</vt:i4>
      </vt:variant>
      <vt:variant>
        <vt:i4>5</vt:i4>
      </vt:variant>
      <vt:variant>
        <vt:lpwstr/>
      </vt:variant>
      <vt:variant>
        <vt:lpwstr>_Toc100983185</vt:lpwstr>
      </vt:variant>
      <vt:variant>
        <vt:i4>1376312</vt:i4>
      </vt:variant>
      <vt:variant>
        <vt:i4>89</vt:i4>
      </vt:variant>
      <vt:variant>
        <vt:i4>0</vt:i4>
      </vt:variant>
      <vt:variant>
        <vt:i4>5</vt:i4>
      </vt:variant>
      <vt:variant>
        <vt:lpwstr/>
      </vt:variant>
      <vt:variant>
        <vt:lpwstr>_Toc100983184</vt:lpwstr>
      </vt:variant>
      <vt:variant>
        <vt:i4>1376312</vt:i4>
      </vt:variant>
      <vt:variant>
        <vt:i4>83</vt:i4>
      </vt:variant>
      <vt:variant>
        <vt:i4>0</vt:i4>
      </vt:variant>
      <vt:variant>
        <vt:i4>5</vt:i4>
      </vt:variant>
      <vt:variant>
        <vt:lpwstr/>
      </vt:variant>
      <vt:variant>
        <vt:lpwstr>_Toc100983183</vt:lpwstr>
      </vt:variant>
      <vt:variant>
        <vt:i4>1376312</vt:i4>
      </vt:variant>
      <vt:variant>
        <vt:i4>77</vt:i4>
      </vt:variant>
      <vt:variant>
        <vt:i4>0</vt:i4>
      </vt:variant>
      <vt:variant>
        <vt:i4>5</vt:i4>
      </vt:variant>
      <vt:variant>
        <vt:lpwstr/>
      </vt:variant>
      <vt:variant>
        <vt:lpwstr>_Toc100983182</vt:lpwstr>
      </vt:variant>
      <vt:variant>
        <vt:i4>1376312</vt:i4>
      </vt:variant>
      <vt:variant>
        <vt:i4>71</vt:i4>
      </vt:variant>
      <vt:variant>
        <vt:i4>0</vt:i4>
      </vt:variant>
      <vt:variant>
        <vt:i4>5</vt:i4>
      </vt:variant>
      <vt:variant>
        <vt:lpwstr/>
      </vt:variant>
      <vt:variant>
        <vt:lpwstr>_Toc100983181</vt:lpwstr>
      </vt:variant>
      <vt:variant>
        <vt:i4>1376312</vt:i4>
      </vt:variant>
      <vt:variant>
        <vt:i4>65</vt:i4>
      </vt:variant>
      <vt:variant>
        <vt:i4>0</vt:i4>
      </vt:variant>
      <vt:variant>
        <vt:i4>5</vt:i4>
      </vt:variant>
      <vt:variant>
        <vt:lpwstr/>
      </vt:variant>
      <vt:variant>
        <vt:lpwstr>_Toc100983180</vt:lpwstr>
      </vt:variant>
      <vt:variant>
        <vt:i4>1703992</vt:i4>
      </vt:variant>
      <vt:variant>
        <vt:i4>59</vt:i4>
      </vt:variant>
      <vt:variant>
        <vt:i4>0</vt:i4>
      </vt:variant>
      <vt:variant>
        <vt:i4>5</vt:i4>
      </vt:variant>
      <vt:variant>
        <vt:lpwstr/>
      </vt:variant>
      <vt:variant>
        <vt:lpwstr>_Toc100983179</vt:lpwstr>
      </vt:variant>
      <vt:variant>
        <vt:i4>1703992</vt:i4>
      </vt:variant>
      <vt:variant>
        <vt:i4>53</vt:i4>
      </vt:variant>
      <vt:variant>
        <vt:i4>0</vt:i4>
      </vt:variant>
      <vt:variant>
        <vt:i4>5</vt:i4>
      </vt:variant>
      <vt:variant>
        <vt:lpwstr/>
      </vt:variant>
      <vt:variant>
        <vt:lpwstr>_Toc100983178</vt:lpwstr>
      </vt:variant>
      <vt:variant>
        <vt:i4>1703992</vt:i4>
      </vt:variant>
      <vt:variant>
        <vt:i4>47</vt:i4>
      </vt:variant>
      <vt:variant>
        <vt:i4>0</vt:i4>
      </vt:variant>
      <vt:variant>
        <vt:i4>5</vt:i4>
      </vt:variant>
      <vt:variant>
        <vt:lpwstr/>
      </vt:variant>
      <vt:variant>
        <vt:lpwstr>_Toc100983177</vt:lpwstr>
      </vt:variant>
      <vt:variant>
        <vt:i4>1703992</vt:i4>
      </vt:variant>
      <vt:variant>
        <vt:i4>41</vt:i4>
      </vt:variant>
      <vt:variant>
        <vt:i4>0</vt:i4>
      </vt:variant>
      <vt:variant>
        <vt:i4>5</vt:i4>
      </vt:variant>
      <vt:variant>
        <vt:lpwstr/>
      </vt:variant>
      <vt:variant>
        <vt:lpwstr>_Toc100983176</vt:lpwstr>
      </vt:variant>
      <vt:variant>
        <vt:i4>1703992</vt:i4>
      </vt:variant>
      <vt:variant>
        <vt:i4>35</vt:i4>
      </vt:variant>
      <vt:variant>
        <vt:i4>0</vt:i4>
      </vt:variant>
      <vt:variant>
        <vt:i4>5</vt:i4>
      </vt:variant>
      <vt:variant>
        <vt:lpwstr/>
      </vt:variant>
      <vt:variant>
        <vt:lpwstr>_Toc100983175</vt:lpwstr>
      </vt:variant>
      <vt:variant>
        <vt:i4>1703992</vt:i4>
      </vt:variant>
      <vt:variant>
        <vt:i4>29</vt:i4>
      </vt:variant>
      <vt:variant>
        <vt:i4>0</vt:i4>
      </vt:variant>
      <vt:variant>
        <vt:i4>5</vt:i4>
      </vt:variant>
      <vt:variant>
        <vt:lpwstr/>
      </vt:variant>
      <vt:variant>
        <vt:lpwstr>_Toc100983174</vt:lpwstr>
      </vt:variant>
      <vt:variant>
        <vt:i4>1703992</vt:i4>
      </vt:variant>
      <vt:variant>
        <vt:i4>23</vt:i4>
      </vt:variant>
      <vt:variant>
        <vt:i4>0</vt:i4>
      </vt:variant>
      <vt:variant>
        <vt:i4>5</vt:i4>
      </vt:variant>
      <vt:variant>
        <vt:lpwstr/>
      </vt:variant>
      <vt:variant>
        <vt:lpwstr>_Toc100983173</vt:lpwstr>
      </vt:variant>
      <vt:variant>
        <vt:i4>1703992</vt:i4>
      </vt:variant>
      <vt:variant>
        <vt:i4>17</vt:i4>
      </vt:variant>
      <vt:variant>
        <vt:i4>0</vt:i4>
      </vt:variant>
      <vt:variant>
        <vt:i4>5</vt:i4>
      </vt:variant>
      <vt:variant>
        <vt:lpwstr/>
      </vt:variant>
      <vt:variant>
        <vt:lpwstr>_Toc100983172</vt:lpwstr>
      </vt:variant>
      <vt:variant>
        <vt:i4>1703992</vt:i4>
      </vt:variant>
      <vt:variant>
        <vt:i4>11</vt:i4>
      </vt:variant>
      <vt:variant>
        <vt:i4>0</vt:i4>
      </vt:variant>
      <vt:variant>
        <vt:i4>5</vt:i4>
      </vt:variant>
      <vt:variant>
        <vt:lpwstr/>
      </vt:variant>
      <vt:variant>
        <vt:lpwstr>_Toc100983171</vt:lpwstr>
      </vt:variant>
      <vt:variant>
        <vt:i4>1703992</vt:i4>
      </vt:variant>
      <vt:variant>
        <vt:i4>5</vt:i4>
      </vt:variant>
      <vt:variant>
        <vt:i4>0</vt:i4>
      </vt:variant>
      <vt:variant>
        <vt:i4>5</vt:i4>
      </vt:variant>
      <vt:variant>
        <vt:lpwstr/>
      </vt:variant>
      <vt:variant>
        <vt:lpwstr>_Toc100983170</vt:lpwstr>
      </vt:variant>
      <vt:variant>
        <vt:i4>1441879</vt:i4>
      </vt:variant>
      <vt:variant>
        <vt:i4>0</vt:i4>
      </vt:variant>
      <vt:variant>
        <vt:i4>0</vt:i4>
      </vt:variant>
      <vt:variant>
        <vt:i4>5</vt:i4>
      </vt:variant>
      <vt:variant>
        <vt:lpwstr>https://lv.recht.nrw.de/lmi/owa/br_bes_text?anw_nr=1&amp;gld_nr=7&amp;ugl_nr=74&amp;bes_id=1038&amp;val=1038&amp;ver=7&amp;sg=0&amp;aufgehoben=N&amp;menu=1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Zulassung von Stellen für die Untersuchung von Abfällen</dc:title>
  <dc:creator>Natrop</dc:creator>
  <cp:lastModifiedBy>Rüter, Dr., Ingo</cp:lastModifiedBy>
  <cp:revision>4</cp:revision>
  <cp:lastPrinted>1900-12-31T23:00:00Z</cp:lastPrinted>
  <dcterms:created xsi:type="dcterms:W3CDTF">2016-01-07T16:14:00Z</dcterms:created>
  <dcterms:modified xsi:type="dcterms:W3CDTF">2024-05-22T11:56:00Z</dcterms:modified>
</cp:coreProperties>
</file>