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7456258"/>
      <w:bookmarkStart w:id="1" w:name="_Toc448017879"/>
      <w:bookmarkStart w:id="2" w:name="_Toc200423881"/>
      <w:r>
        <w:t>Richtlinie 91/68</w:t>
      </w:r>
      <w:bookmarkStart w:id="3" w:name="_GoBack"/>
      <w:bookmarkEnd w:id="3"/>
      <w:r>
        <w:t xml:space="preserve">9/EWG des Rates vom </w:t>
      </w:r>
      <w:smartTag w:uri="urn:schemas-microsoft-com:office:smarttags" w:element="date">
        <w:smartTagPr>
          <w:attr w:name="ls" w:val="trans"/>
          <w:attr w:name="Month" w:val="7"/>
          <w:attr w:name="Day" w:val="12"/>
          <w:attr w:name="Year" w:val="1991"/>
        </w:smartTagPr>
        <w:r>
          <w:t>12. Juli 1991</w:t>
        </w:r>
      </w:smartTag>
      <w:r>
        <w:br/>
        <w:t>über gefährliche Abfälle</w:t>
      </w:r>
      <w:bookmarkEnd w:id="0"/>
      <w:bookmarkEnd w:id="1"/>
      <w:bookmarkEnd w:id="2"/>
    </w:p>
    <w:p>
      <w:pPr>
        <w:pStyle w:val="GesAbsatz"/>
      </w:pPr>
      <w:r>
        <w:rPr>
          <w:b/>
        </w:rPr>
        <w:t>Änderungen:</w:t>
      </w:r>
      <w:r>
        <w:t xml:space="preserve"> </w:t>
      </w:r>
      <w:hyperlink r:id="rId6" w:history="1">
        <w:r>
          <w:rPr>
            <w:rStyle w:val="Hyperlink"/>
          </w:rPr>
          <w:t>94/31/EG</w:t>
        </w:r>
      </w:hyperlink>
      <w:r>
        <w:t xml:space="preserve"> ABl. L 168 v. 02.07.1994 S. 28; </w:t>
      </w:r>
      <w:hyperlink r:id="rId7" w:history="1">
        <w:r>
          <w:rPr>
            <w:rStyle w:val="Hyperlink"/>
          </w:rPr>
          <w:t>166/2006/EG</w:t>
        </w:r>
      </w:hyperlink>
      <w:r>
        <w:t xml:space="preserve"> ABl. L 33 v. 04.02.2006 S. 1; </w:t>
      </w:r>
      <w:hyperlink r:id="rId8" w:history="1">
        <w:r>
          <w:rPr>
            <w:rStyle w:val="Hyperlink"/>
          </w:rPr>
          <w:t>2008/98/EG</w:t>
        </w:r>
      </w:hyperlink>
      <w:r>
        <w:t xml:space="preserve"> ABl. L 312 v. 22.11.2008 S. 3;</w:t>
      </w:r>
    </w:p>
    <w:p>
      <w:pPr>
        <w:pStyle w:val="GesAbsatz"/>
        <w:rPr>
          <w:b/>
          <w:i/>
          <w:color w:val="FF0000"/>
          <w:sz w:val="22"/>
          <w:szCs w:val="22"/>
        </w:rPr>
      </w:pPr>
      <w:r>
        <w:rPr>
          <w:b/>
          <w:i/>
          <w:color w:val="FF0000"/>
          <w:sz w:val="22"/>
          <w:szCs w:val="22"/>
        </w:rPr>
        <w:t>Aufgehoben mit Wirkung zum 12.12.2010 durch Richtlinie 2008/98/EG</w:t>
      </w:r>
    </w:p>
    <w:p>
      <w:pPr>
        <w:pStyle w:val="GesAbsatz"/>
        <w:jc w:val="center"/>
        <w:rPr>
          <w:b/>
          <w:sz w:val="22"/>
        </w:rPr>
      </w:pPr>
      <w:bookmarkStart w:id="4" w:name="_Toc417456259"/>
      <w:bookmarkStart w:id="5" w:name="_Toc448017880"/>
      <w:r>
        <w:rPr>
          <w:b/>
          <w:sz w:val="22"/>
        </w:rPr>
        <w:t>Inhalt</w:t>
      </w:r>
      <w:bookmarkEnd w:id="4"/>
      <w:r>
        <w:rPr>
          <w:b/>
          <w:sz w:val="22"/>
        </w:rPr>
        <w:t>:</w:t>
      </w:r>
      <w:bookmarkEnd w:id="5"/>
    </w:p>
    <w:p>
      <w:pPr>
        <w:pStyle w:val="Verzeichnis1"/>
        <w:tabs>
          <w:tab w:val="clear" w:pos="9638"/>
          <w:tab w:val="right" w:leader="dot" w:pos="9627"/>
        </w:tabs>
        <w:rPr>
          <w:b w:val="0"/>
          <w:bCs/>
          <w:caps w:val="0"/>
          <w:noProof/>
          <w:sz w:val="24"/>
          <w:szCs w:val="24"/>
        </w:rPr>
      </w:pPr>
      <w:r>
        <w:rPr>
          <w:bCs/>
        </w:rPr>
        <w:fldChar w:fldCharType="begin"/>
      </w:r>
      <w:r>
        <w:rPr>
          <w:bCs/>
        </w:rPr>
        <w:instrText xml:space="preserve"> TOC \o "1-3" </w:instrText>
      </w:r>
      <w:r>
        <w:rPr>
          <w:bCs/>
        </w:rPr>
        <w:fldChar w:fldCharType="separate"/>
      </w:r>
      <w:r>
        <w:rPr>
          <w:noProof/>
        </w:rPr>
        <w:t>Richtlinie 91/689/EWG des Rates vom 12. Juli 1991 über gefährliche Abfälle</w:t>
      </w:r>
      <w:r>
        <w:rPr>
          <w:noProof/>
        </w:rPr>
        <w:tab/>
      </w:r>
      <w:r>
        <w:rPr>
          <w:noProof/>
        </w:rPr>
        <w:fldChar w:fldCharType="begin"/>
      </w:r>
      <w:r>
        <w:rPr>
          <w:noProof/>
        </w:rPr>
        <w:instrText xml:space="preserve"> PAGEREF _Toc200423881 \h </w:instrText>
      </w:r>
      <w:r>
        <w:rPr>
          <w:noProof/>
        </w:rPr>
      </w:r>
      <w:r>
        <w:rPr>
          <w:noProof/>
        </w:rPr>
        <w:fldChar w:fldCharType="separate"/>
      </w:r>
      <w:r>
        <w:rPr>
          <w:noProof/>
        </w:rPr>
        <w:t>1</w:t>
      </w:r>
      <w:r>
        <w:rPr>
          <w:noProof/>
        </w:rPr>
        <w:fldChar w:fldCharType="end"/>
      </w:r>
    </w:p>
    <w:p>
      <w:pPr>
        <w:pStyle w:val="Verzeichnis2"/>
        <w:tabs>
          <w:tab w:val="clear" w:pos="9638"/>
          <w:tab w:val="right" w:leader="dot" w:pos="9627"/>
        </w:tabs>
        <w:rPr>
          <w:smallCaps w:val="0"/>
          <w:noProof/>
          <w:sz w:val="24"/>
          <w:szCs w:val="24"/>
        </w:rPr>
      </w:pPr>
      <w:r>
        <w:rPr>
          <w:noProof/>
        </w:rPr>
        <w:t>Artikel 1</w:t>
      </w:r>
      <w:r>
        <w:rPr>
          <w:noProof/>
        </w:rPr>
        <w:tab/>
      </w:r>
      <w:r>
        <w:rPr>
          <w:noProof/>
        </w:rPr>
        <w:fldChar w:fldCharType="begin"/>
      </w:r>
      <w:r>
        <w:rPr>
          <w:noProof/>
        </w:rPr>
        <w:instrText xml:space="preserve"> PAGEREF _Toc200423882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Artikel 2</w:t>
      </w:r>
      <w:r>
        <w:rPr>
          <w:noProof/>
        </w:rPr>
        <w:tab/>
      </w:r>
      <w:r>
        <w:rPr>
          <w:noProof/>
        </w:rPr>
        <w:fldChar w:fldCharType="begin"/>
      </w:r>
      <w:r>
        <w:rPr>
          <w:noProof/>
        </w:rPr>
        <w:instrText xml:space="preserve"> PAGEREF _Toc200423883 \h </w:instrText>
      </w:r>
      <w:r>
        <w:rPr>
          <w:noProof/>
        </w:rPr>
      </w:r>
      <w:r>
        <w:rPr>
          <w:noProof/>
        </w:rPr>
        <w:fldChar w:fldCharType="separate"/>
      </w:r>
      <w:r>
        <w:rPr>
          <w:noProof/>
        </w:rPr>
        <w:t>2</w:t>
      </w:r>
      <w:r>
        <w:rPr>
          <w:noProof/>
        </w:rPr>
        <w:fldChar w:fldCharType="end"/>
      </w:r>
    </w:p>
    <w:p>
      <w:pPr>
        <w:pStyle w:val="Verzeichnis2"/>
        <w:tabs>
          <w:tab w:val="clear" w:pos="9638"/>
          <w:tab w:val="right" w:leader="dot" w:pos="9627"/>
        </w:tabs>
        <w:rPr>
          <w:smallCaps w:val="0"/>
          <w:noProof/>
          <w:sz w:val="24"/>
          <w:szCs w:val="24"/>
        </w:rPr>
      </w:pPr>
      <w:r>
        <w:rPr>
          <w:noProof/>
        </w:rPr>
        <w:t>Artikel 3</w:t>
      </w:r>
      <w:r>
        <w:rPr>
          <w:noProof/>
        </w:rPr>
        <w:tab/>
      </w:r>
      <w:r>
        <w:rPr>
          <w:noProof/>
        </w:rPr>
        <w:fldChar w:fldCharType="begin"/>
      </w:r>
      <w:r>
        <w:rPr>
          <w:noProof/>
        </w:rPr>
        <w:instrText xml:space="preserve"> PAGEREF _Toc200423884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4</w:t>
      </w:r>
      <w:r>
        <w:rPr>
          <w:noProof/>
        </w:rPr>
        <w:tab/>
      </w:r>
      <w:r>
        <w:rPr>
          <w:noProof/>
        </w:rPr>
        <w:fldChar w:fldCharType="begin"/>
      </w:r>
      <w:r>
        <w:rPr>
          <w:noProof/>
        </w:rPr>
        <w:instrText xml:space="preserve"> PAGEREF _Toc200423885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5</w:t>
      </w:r>
      <w:r>
        <w:rPr>
          <w:noProof/>
        </w:rPr>
        <w:tab/>
      </w:r>
      <w:r>
        <w:rPr>
          <w:noProof/>
        </w:rPr>
        <w:fldChar w:fldCharType="begin"/>
      </w:r>
      <w:r>
        <w:rPr>
          <w:noProof/>
        </w:rPr>
        <w:instrText xml:space="preserve"> PAGEREF _Toc200423886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6</w:t>
      </w:r>
      <w:r>
        <w:rPr>
          <w:noProof/>
        </w:rPr>
        <w:tab/>
      </w:r>
      <w:r>
        <w:rPr>
          <w:noProof/>
        </w:rPr>
        <w:fldChar w:fldCharType="begin"/>
      </w:r>
      <w:r>
        <w:rPr>
          <w:noProof/>
        </w:rPr>
        <w:instrText xml:space="preserve"> PAGEREF _Toc200423887 \h </w:instrText>
      </w:r>
      <w:r>
        <w:rPr>
          <w:noProof/>
        </w:rPr>
      </w:r>
      <w:r>
        <w:rPr>
          <w:noProof/>
        </w:rPr>
        <w:fldChar w:fldCharType="separate"/>
      </w:r>
      <w:r>
        <w:rPr>
          <w:noProof/>
        </w:rPr>
        <w:t>3</w:t>
      </w:r>
      <w:r>
        <w:rPr>
          <w:noProof/>
        </w:rPr>
        <w:fldChar w:fldCharType="end"/>
      </w:r>
    </w:p>
    <w:p>
      <w:pPr>
        <w:pStyle w:val="Verzeichnis2"/>
        <w:tabs>
          <w:tab w:val="clear" w:pos="9638"/>
          <w:tab w:val="right" w:leader="dot" w:pos="9627"/>
        </w:tabs>
        <w:rPr>
          <w:smallCaps w:val="0"/>
          <w:noProof/>
          <w:sz w:val="24"/>
          <w:szCs w:val="24"/>
        </w:rPr>
      </w:pPr>
      <w:r>
        <w:rPr>
          <w:noProof/>
        </w:rPr>
        <w:t>Artikel 7</w:t>
      </w:r>
      <w:r>
        <w:rPr>
          <w:noProof/>
        </w:rPr>
        <w:tab/>
      </w:r>
      <w:r>
        <w:rPr>
          <w:noProof/>
        </w:rPr>
        <w:fldChar w:fldCharType="begin"/>
      </w:r>
      <w:r>
        <w:rPr>
          <w:noProof/>
        </w:rPr>
        <w:instrText xml:space="preserve"> PAGEREF _Toc200423888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8</w:t>
      </w:r>
      <w:r>
        <w:rPr>
          <w:noProof/>
        </w:rPr>
        <w:tab/>
      </w:r>
      <w:r>
        <w:rPr>
          <w:noProof/>
        </w:rPr>
        <w:fldChar w:fldCharType="begin"/>
      </w:r>
      <w:r>
        <w:rPr>
          <w:noProof/>
        </w:rPr>
        <w:instrText xml:space="preserve"> PAGEREF _Toc200423889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9</w:t>
      </w:r>
      <w:r>
        <w:rPr>
          <w:noProof/>
        </w:rPr>
        <w:tab/>
      </w:r>
      <w:r>
        <w:rPr>
          <w:noProof/>
        </w:rPr>
        <w:fldChar w:fldCharType="begin"/>
      </w:r>
      <w:r>
        <w:rPr>
          <w:noProof/>
        </w:rPr>
        <w:instrText xml:space="preserve"> PAGEREF _Toc200423890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10</w:t>
      </w:r>
      <w:r>
        <w:rPr>
          <w:noProof/>
        </w:rPr>
        <w:tab/>
      </w:r>
      <w:r>
        <w:rPr>
          <w:noProof/>
        </w:rPr>
        <w:fldChar w:fldCharType="begin"/>
      </w:r>
      <w:r>
        <w:rPr>
          <w:noProof/>
        </w:rPr>
        <w:instrText xml:space="preserve"> PAGEREF _Toc200423891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11</w:t>
      </w:r>
      <w:r>
        <w:rPr>
          <w:noProof/>
        </w:rPr>
        <w:tab/>
      </w:r>
      <w:r>
        <w:rPr>
          <w:noProof/>
        </w:rPr>
        <w:fldChar w:fldCharType="begin"/>
      </w:r>
      <w:r>
        <w:rPr>
          <w:noProof/>
        </w:rPr>
        <w:instrText xml:space="preserve"> PAGEREF _Toc200423892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Artikel 12</w:t>
      </w:r>
      <w:r>
        <w:rPr>
          <w:noProof/>
        </w:rPr>
        <w:tab/>
      </w:r>
      <w:r>
        <w:rPr>
          <w:noProof/>
        </w:rPr>
        <w:fldChar w:fldCharType="begin"/>
      </w:r>
      <w:r>
        <w:rPr>
          <w:noProof/>
        </w:rPr>
        <w:instrText xml:space="preserve"> PAGEREF _Toc200423893 \h </w:instrText>
      </w:r>
      <w:r>
        <w:rPr>
          <w:noProof/>
        </w:rPr>
      </w:r>
      <w:r>
        <w:rPr>
          <w:noProof/>
        </w:rPr>
        <w:fldChar w:fldCharType="separate"/>
      </w:r>
      <w:r>
        <w:rPr>
          <w:noProof/>
        </w:rPr>
        <w:t>4</w:t>
      </w:r>
      <w:r>
        <w:rPr>
          <w:noProof/>
        </w:rPr>
        <w:fldChar w:fldCharType="end"/>
      </w:r>
    </w:p>
    <w:p>
      <w:pPr>
        <w:pStyle w:val="Verzeichnis2"/>
        <w:tabs>
          <w:tab w:val="clear" w:pos="9638"/>
          <w:tab w:val="right" w:leader="dot" w:pos="9627"/>
        </w:tabs>
        <w:rPr>
          <w:smallCaps w:val="0"/>
          <w:noProof/>
          <w:sz w:val="24"/>
          <w:szCs w:val="24"/>
        </w:rPr>
      </w:pPr>
      <w:r>
        <w:rPr>
          <w:noProof/>
        </w:rPr>
        <w:t>Anhang I: Durch ihre Beschaffenheit oder den Entstehungsvorgang charakterisierte Gruppen oder Arten gefährlicher Abfälle (in flüssiger Form, in fester Form oder in Form von Schlamm)</w:t>
      </w:r>
      <w:r>
        <w:rPr>
          <w:noProof/>
        </w:rPr>
        <w:tab/>
      </w:r>
      <w:r>
        <w:rPr>
          <w:noProof/>
        </w:rPr>
        <w:fldChar w:fldCharType="begin"/>
      </w:r>
      <w:r>
        <w:rPr>
          <w:noProof/>
        </w:rPr>
        <w:instrText xml:space="preserve"> PAGEREF _Toc200423894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Anhang I A</w:t>
      </w:r>
      <w:r>
        <w:rPr>
          <w:noProof/>
        </w:rPr>
        <w:tab/>
      </w:r>
      <w:r>
        <w:rPr>
          <w:noProof/>
        </w:rPr>
        <w:fldChar w:fldCharType="begin"/>
      </w:r>
      <w:r>
        <w:rPr>
          <w:noProof/>
        </w:rPr>
        <w:instrText xml:space="preserve"> PAGEREF _Toc200423895 \h </w:instrText>
      </w:r>
      <w:r>
        <w:rPr>
          <w:noProof/>
        </w:rPr>
      </w:r>
      <w:r>
        <w:rPr>
          <w:noProof/>
        </w:rPr>
        <w:fldChar w:fldCharType="separate"/>
      </w:r>
      <w:r>
        <w:rPr>
          <w:noProof/>
        </w:rPr>
        <w:t>5</w:t>
      </w:r>
      <w:r>
        <w:rPr>
          <w:noProof/>
        </w:rPr>
        <w:fldChar w:fldCharType="end"/>
      </w:r>
    </w:p>
    <w:p>
      <w:pPr>
        <w:pStyle w:val="Verzeichnis3"/>
        <w:tabs>
          <w:tab w:val="clear" w:pos="9638"/>
          <w:tab w:val="right" w:leader="dot" w:pos="9627"/>
        </w:tabs>
        <w:rPr>
          <w:i w:val="0"/>
          <w:iCs/>
          <w:noProof/>
          <w:sz w:val="24"/>
          <w:szCs w:val="24"/>
        </w:rPr>
      </w:pPr>
      <w:r>
        <w:rPr>
          <w:noProof/>
        </w:rPr>
        <w:t>Anhang I B</w:t>
      </w:r>
      <w:r>
        <w:rPr>
          <w:noProof/>
        </w:rPr>
        <w:tab/>
      </w:r>
      <w:r>
        <w:rPr>
          <w:noProof/>
        </w:rPr>
        <w:fldChar w:fldCharType="begin"/>
      </w:r>
      <w:r>
        <w:rPr>
          <w:noProof/>
        </w:rPr>
        <w:instrText xml:space="preserve"> PAGEREF _Toc200423896 \h </w:instrText>
      </w:r>
      <w:r>
        <w:rPr>
          <w:noProof/>
        </w:rPr>
      </w:r>
      <w:r>
        <w:rPr>
          <w:noProof/>
        </w:rPr>
        <w:fldChar w:fldCharType="separate"/>
      </w:r>
      <w:r>
        <w:rPr>
          <w:noProof/>
        </w:rPr>
        <w:t>5</w:t>
      </w:r>
      <w:r>
        <w:rPr>
          <w:noProof/>
        </w:rPr>
        <w:fldChar w:fldCharType="end"/>
      </w:r>
    </w:p>
    <w:p>
      <w:pPr>
        <w:pStyle w:val="Verzeichnis2"/>
        <w:tabs>
          <w:tab w:val="clear" w:pos="9638"/>
          <w:tab w:val="right" w:leader="dot" w:pos="9627"/>
        </w:tabs>
        <w:rPr>
          <w:smallCaps w:val="0"/>
          <w:noProof/>
          <w:sz w:val="24"/>
          <w:szCs w:val="24"/>
        </w:rPr>
      </w:pPr>
      <w:r>
        <w:rPr>
          <w:noProof/>
        </w:rPr>
        <w:t>Anhang II: Bestandteile, die die Abfälle des Anhangs I.B zu gefährlichen Abfällen machen, sofern diese Abfälle die in Anhang III genannten Eigenschaften aufweisen</w:t>
      </w:r>
      <w:r>
        <w:rPr>
          <w:noProof/>
        </w:rPr>
        <w:tab/>
      </w:r>
      <w:r>
        <w:rPr>
          <w:noProof/>
        </w:rPr>
        <w:fldChar w:fldCharType="begin"/>
      </w:r>
      <w:r>
        <w:rPr>
          <w:noProof/>
        </w:rPr>
        <w:instrText xml:space="preserve"> PAGEREF _Toc200423897 \h </w:instrText>
      </w:r>
      <w:r>
        <w:rPr>
          <w:noProof/>
        </w:rPr>
      </w:r>
      <w:r>
        <w:rPr>
          <w:noProof/>
        </w:rPr>
        <w:fldChar w:fldCharType="separate"/>
      </w:r>
      <w:r>
        <w:rPr>
          <w:noProof/>
        </w:rPr>
        <w:t>6</w:t>
      </w:r>
      <w:r>
        <w:rPr>
          <w:noProof/>
        </w:rPr>
        <w:fldChar w:fldCharType="end"/>
      </w:r>
    </w:p>
    <w:p>
      <w:pPr>
        <w:pStyle w:val="Verzeichnis2"/>
        <w:tabs>
          <w:tab w:val="clear" w:pos="9638"/>
          <w:tab w:val="right" w:leader="dot" w:pos="9627"/>
        </w:tabs>
        <w:rPr>
          <w:smallCaps w:val="0"/>
          <w:noProof/>
          <w:sz w:val="24"/>
          <w:szCs w:val="24"/>
        </w:rPr>
      </w:pPr>
      <w:r>
        <w:rPr>
          <w:noProof/>
        </w:rPr>
        <w:t>Anhang III: Gefahrenrelevante Eigenschaften der Abfälle</w:t>
      </w:r>
      <w:r>
        <w:rPr>
          <w:noProof/>
        </w:rPr>
        <w:tab/>
      </w:r>
      <w:r>
        <w:rPr>
          <w:noProof/>
        </w:rPr>
        <w:fldChar w:fldCharType="begin"/>
      </w:r>
      <w:r>
        <w:rPr>
          <w:noProof/>
        </w:rPr>
        <w:instrText xml:space="preserve"> PAGEREF _Toc200423898 \h </w:instrText>
      </w:r>
      <w:r>
        <w:rPr>
          <w:noProof/>
        </w:rPr>
      </w:r>
      <w:r>
        <w:rPr>
          <w:noProof/>
        </w:rPr>
        <w:fldChar w:fldCharType="separate"/>
      </w:r>
      <w:r>
        <w:rPr>
          <w:noProof/>
        </w:rPr>
        <w:t>7</w:t>
      </w:r>
      <w:r>
        <w:rPr>
          <w:noProof/>
        </w:rPr>
        <w:fldChar w:fldCharType="end"/>
      </w:r>
    </w:p>
    <w:p>
      <w:pPr>
        <w:pStyle w:val="GesAbsatz"/>
      </w:pPr>
      <w:r>
        <w:fldChar w:fldCharType="end"/>
      </w:r>
    </w:p>
    <w:p>
      <w:pPr>
        <w:pStyle w:val="GesAbsatz"/>
      </w:pPr>
      <w:r>
        <w:t>Der Rat der Europäischen Gemeinschaften -</w:t>
      </w:r>
    </w:p>
    <w:p>
      <w:pPr>
        <w:pStyle w:val="GesAbsatz"/>
      </w:pPr>
      <w:r>
        <w:t>gestützt auf den Vertrag zur Gründung der Europäischen Wirtschaftsgemeinschaft, insbesondere auf Artikel 130s,</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 xml:space="preserve">In der Richtlinie 78/319/EWG des Rates vom </w:t>
      </w:r>
      <w:smartTag w:uri="urn:schemas-microsoft-com:office:smarttags" w:element="date">
        <w:smartTagPr>
          <w:attr w:name="ls" w:val="trans"/>
          <w:attr w:name="Month" w:val="3"/>
          <w:attr w:name="Day" w:val="20"/>
          <w:attr w:name="Year" w:val="1978"/>
        </w:smartTagPr>
        <w:r>
          <w:t>20. März 1978</w:t>
        </w:r>
      </w:smartTag>
      <w:r>
        <w:t xml:space="preserve"> über giftige und gefährliche Abfälle</w:t>
      </w:r>
      <w:r>
        <w:rPr>
          <w:rStyle w:val="Funotenzeichen"/>
        </w:rPr>
        <w:footnoteReference w:id="4"/>
      </w:r>
      <w:r>
        <w:t xml:space="preserve"> sind gemeinsame Regeln zur Beseitigung gefährlicher Abfälle erlassen worden. Um den bei der Durchführung dieser Richtlinie in den Mitgliedstaaten gesammelten Erfahrungen Rechnung zu tragen, sollten diese Regeln geändert und die Richtlinie 78/319/EWG durch die vorliegende Richtlinie ersetzt werden.</w:t>
      </w:r>
    </w:p>
    <w:p>
      <w:pPr>
        <w:pStyle w:val="GesAbsatz"/>
      </w:pPr>
      <w:r>
        <w:t xml:space="preserve">Die Entschließung des Rates vom </w:t>
      </w:r>
      <w:smartTag w:uri="urn:schemas-microsoft-com:office:smarttags" w:element="date">
        <w:smartTagPr>
          <w:attr w:name="ls" w:val="trans"/>
          <w:attr w:name="Month" w:val="5"/>
          <w:attr w:name="Day" w:val="7"/>
          <w:attr w:name="Year" w:val="1990"/>
        </w:smartTagPr>
        <w:r>
          <w:t>7. Mai 1990</w:t>
        </w:r>
      </w:smartTag>
      <w:r>
        <w:t xml:space="preserve"> über die Abfallpolitik</w:t>
      </w:r>
      <w:r>
        <w:rPr>
          <w:rStyle w:val="Funotenzeichen"/>
        </w:rPr>
        <w:footnoteReference w:id="5"/>
      </w:r>
      <w:r>
        <w:t xml:space="preserve"> sowie das Aktionsprogramm der Europäischen Gemeinschaften für den Umweltschutz, das Gegenstand der Entschließung des Rates der Europäischen Gemeinschaften und der im Rat vereinigten Vertreter der Regierungen der Mitgliedstaaten vom 19. Oktober 1987 über die Fortschreibung und Durchführung einer Umweltpolitik und eines Aktionsprogramms der Europäischen Gemeinschaften für den Umweltschutz (1987 - 1992</w:t>
      </w:r>
      <w:r>
        <w:rPr>
          <w:rStyle w:val="Funotenzeichen"/>
        </w:rPr>
        <w:footnoteReference w:id="6"/>
      </w:r>
      <w:r>
        <w:t>) ist, sehen gemeinschaftliche Maßnahmen zur Verbesserung der Bedingungen für die Entsorgung und Bewirtschaftung gefährlicher Abfälle vor.</w:t>
      </w:r>
    </w:p>
    <w:p>
      <w:pPr>
        <w:pStyle w:val="GesAbsatz"/>
      </w:pPr>
      <w:r>
        <w:lastRenderedPageBreak/>
        <w:t>Die allgemeinen Regeln für die Abfallbewirtschaftung nach der Richtlinie 75/442/EWG des Rates vom 15. Juli 1975 über Abfälle</w:t>
      </w:r>
      <w:r>
        <w:rPr>
          <w:rStyle w:val="FuzeileZchn"/>
        </w:rPr>
        <w:footnoteReference w:id="7"/>
      </w:r>
      <w:r>
        <w:t>, geändert durch die Richtlinie 91/156/EWG</w:t>
      </w:r>
      <w:r>
        <w:rPr>
          <w:rStyle w:val="Funotenzeichen"/>
        </w:rPr>
        <w:footnoteReference w:id="8"/>
      </w:r>
      <w:r>
        <w:t>, gelten auch für die Bewirtschaftung gefährlicher Abfälle.</w:t>
      </w:r>
    </w:p>
    <w:p>
      <w:pPr>
        <w:pStyle w:val="GesAbsatz"/>
      </w:pPr>
      <w:r>
        <w:t>Die ordnungsgemäße Bewirtschaftung gefährlicher Abfälle erfordert zusätzliche, strengere Regeln, die den Besonderheiten dieser Art von Abfällen Rechnung tragen.</w:t>
      </w:r>
    </w:p>
    <w:p>
      <w:pPr>
        <w:pStyle w:val="GesAbsatz"/>
      </w:pPr>
      <w:r>
        <w:t>Für eine wirksamere Bewirtschaftung gefährlicher Abfälle in der Gemeinschaft bedarf es einer präzisen und einheitlichen Definition der gefährlichen Abfälle unter Berücksichtigung der bisherigen Erfahrungen.</w:t>
      </w:r>
    </w:p>
    <w:p>
      <w:pPr>
        <w:pStyle w:val="GesAbsatz"/>
      </w:pPr>
      <w:r>
        <w:t>Es muß sichergestellt werden, daß die Beseitigung und Verwertung gefährlicher Abfälle möglichst vollständig überwacht werden.</w:t>
      </w:r>
    </w:p>
    <w:p>
      <w:pPr>
        <w:pStyle w:val="GesAbsatz"/>
      </w:pPr>
      <w:r>
        <w:t>Die Anpassung der Vorschriften der vorliegenden Richtlinie an den wissenschaftlichen und technischen Fortschritt muß rasch erfolgen können; der in der Richtlinie 75/442/EWG eingesetzte Ausschuß sollte daher zur Anpassung der Vorschriften der vorliegenden Richtlinie an den wissenschaftlichen und technischen Fortschritt ermächtigt werden.</w:t>
      </w:r>
    </w:p>
    <w:p>
      <w:pPr>
        <w:pStyle w:val="GesAbsatz"/>
        <w:rPr>
          <w:b/>
        </w:rPr>
      </w:pPr>
      <w:r>
        <w:rPr>
          <w:b/>
        </w:rPr>
        <w:t>hat folgende Richtlinie erlassen:</w:t>
      </w:r>
    </w:p>
    <w:p>
      <w:pPr>
        <w:pStyle w:val="berschrift2"/>
      </w:pPr>
      <w:bookmarkStart w:id="6" w:name="_Toc417456260"/>
      <w:bookmarkStart w:id="7" w:name="_Toc448017881"/>
      <w:bookmarkStart w:id="8" w:name="_Toc200423882"/>
      <w:r>
        <w:t>Artikel 1</w:t>
      </w:r>
      <w:bookmarkEnd w:id="6"/>
      <w:bookmarkEnd w:id="7"/>
      <w:bookmarkEnd w:id="8"/>
    </w:p>
    <w:p>
      <w:pPr>
        <w:pStyle w:val="GesAbsatz"/>
      </w:pPr>
      <w:r>
        <w:t>(1) Diese Richtlinie, die in Ausführung von Artikel 2 Absatz 2 der Richtlinie 75/442/EWG erlassen wird, dient der Angleichung der Rechtsvorschriften der Mitgliedstaaten über die kontrollierte Bewirtschaftung gefährlicher Abfälle.</w:t>
      </w:r>
    </w:p>
    <w:p>
      <w:pPr>
        <w:pStyle w:val="GesAbsatz"/>
      </w:pPr>
      <w:r>
        <w:t>(2) Vorbehaltlich dieser Richtlinie gilt für gefährliche Abfälle die Richtlinie 75/442/EWG.</w:t>
      </w:r>
    </w:p>
    <w:p>
      <w:pPr>
        <w:pStyle w:val="GesAbsatz"/>
      </w:pPr>
      <w:r>
        <w:t>(3) Für die Bestimmung des Begriffs „Abfälle“ sowie der übrigen Begriffe dieser Richtlinie gelten die Definitionen der Richtlinie 75/442/EWG.</w:t>
      </w:r>
    </w:p>
    <w:p>
      <w:pPr>
        <w:pStyle w:val="GesAbsatz"/>
      </w:pPr>
      <w:r>
        <w:t>(4) Für die Zwecke dieser Richtlinie sind ‚gefährlicher Abfall‘</w:t>
      </w:r>
    </w:p>
    <w:p>
      <w:pPr>
        <w:pStyle w:val="GesAbsatz"/>
        <w:ind w:left="426" w:hanging="426"/>
      </w:pPr>
      <w:r>
        <w:t>-</w:t>
      </w:r>
      <w:r>
        <w:tab/>
        <w:t>Als gefährlich eingestufter Abfall, der in dem aufgrund der Entscheidung 2000/532/EG der Kommission</w:t>
      </w:r>
      <w:r>
        <w:rPr>
          <w:rStyle w:val="Funotenzeichen"/>
        </w:rPr>
        <w:footnoteReference w:customMarkFollows="1" w:id="9"/>
        <w:t>*)</w:t>
      </w:r>
      <w:r>
        <w:t xml:space="preserve"> anhand der Anhänge I und II dieser Richtlinie aufgestellten Verzeichnis aufgeführt ist. Dieser Abfall muss eine oder mehrere der in Anhang III aufgeführten Eigenschaften aufweisen. In diesem Verzeichnis sind die Herkunft und die Zusammensetzung des Abfalls und, soweit notwendig, Konzentrationsgrenzwerte zu berücksichtigen. Das Verzeichnis wird in regelmäßigen Abständen überprüft und nötigenfalls überarbeitet. Die genannten Maßnahmen zur Änderung nicht wesentlicher Bestimmungen dieser Richtlinie durch Ergänzung werden nach dem in Artikel 18 Absatz 4 der Richtlinie 2006/12/EG des Europäischen Parlaments und des Rates vom 5. April 2006 über Abfälle</w:t>
      </w:r>
      <w:r>
        <w:rPr>
          <w:rStyle w:val="Funotenzeichen"/>
        </w:rPr>
        <w:footnoteReference w:customMarkFollows="1" w:id="10"/>
        <w:t>**)</w:t>
      </w:r>
      <w:r>
        <w:t xml:space="preserve"> genannten Regelungsverfahren mit Kontrolle erlassen.</w:t>
      </w:r>
    </w:p>
    <w:p>
      <w:pPr>
        <w:pStyle w:val="GesAbsatz"/>
        <w:ind w:left="426" w:hanging="426"/>
      </w:pPr>
      <w:r>
        <w:t>-</w:t>
      </w:r>
      <w:r>
        <w:tab/>
        <w:t xml:space="preserve">sonstiger Abfall, der nach Auffassung eines Mitgliedstaats in Anhang III aufgeführte Eigenschaften aufweisen. Solche Fälle sind der Kommission mitzuteilen und im Hinblick auf die Anpassung des Verzeichnisses zu überprüfen. Die genannten Maßnahmen zur Änderung nicht wesentlicher Bestimmungen dieser Richtlinie durch Ergänzung werden nach dem in Artikel 18 Absatz 4 der Richtlinie 2006/12/EG genannten Regelungsverfahren mit Kontrolle erlassen. </w:t>
      </w:r>
    </w:p>
    <w:p>
      <w:pPr>
        <w:pStyle w:val="GesAbsatz"/>
      </w:pPr>
      <w:r>
        <w:t>(5) Diese Richtlinie gilt nicht für Hausmüll. Der Rat legt auf Vorschlag der Kommission spätestens Ende 1992 spezifische Vorschriften fest, die die Besonderheiten von Hausmüll berücksichtigen.</w:t>
      </w:r>
    </w:p>
    <w:p>
      <w:pPr>
        <w:pStyle w:val="berschrift2"/>
      </w:pPr>
      <w:bookmarkStart w:id="9" w:name="_Toc417456261"/>
      <w:bookmarkStart w:id="10" w:name="_Toc448017882"/>
      <w:bookmarkStart w:id="11" w:name="_Toc200423883"/>
      <w:r>
        <w:t>Artikel 2</w:t>
      </w:r>
      <w:bookmarkEnd w:id="9"/>
      <w:bookmarkEnd w:id="10"/>
      <w:bookmarkEnd w:id="11"/>
    </w:p>
    <w:p>
      <w:pPr>
        <w:pStyle w:val="GesAbsatz"/>
      </w:pPr>
      <w:r>
        <w:t>(1) Die Mitgliedstaaten ergreifen die erforderlichen Maßnahmen, um sicherzustellen, daß gefährliche Abfälle überall dort, wo sie abgelagert (verkippt) werden, registriert und identifiziert werden.</w:t>
      </w:r>
    </w:p>
    <w:p>
      <w:pPr>
        <w:pStyle w:val="GesAbsatz"/>
      </w:pPr>
      <w:r>
        <w:t>(2) Die Mitgliedstaaten ergreifen die erforderlichen Maßnahmen, um zu verhindern, daß Anlagen oder Unternehmen, die gefährliche Abfälle beseitigen, verwerten, einsammeln oder befördern, verschiedene Kategorien gefährlicher Abfälle miteinander mischen oder gefährliche Abfälle mit nichtgefährlichen Abfällen vermischen.</w:t>
      </w:r>
    </w:p>
    <w:p>
      <w:pPr>
        <w:pStyle w:val="GesAbsatz"/>
      </w:pPr>
      <w:r>
        <w:t xml:space="preserve">(3) Abweichend von Absatz 2 kann das Mischen gefährlicher Abfälle mit anderen gefährlichen Abfällen oder mit anderen Abfällen oder Stoffen nur zugelassen werden, wenn die Bedingungen des Artikels 4 der Richtlinie 75/442/EWG eingehalten werden und es insbesondere mit dem Ziel geschieht, die Sicherheit der Beseitigung </w:t>
      </w:r>
      <w:r>
        <w:lastRenderedPageBreak/>
        <w:t>oder Verwertung zu verbessern. Ein solches Vorgehen ist nach den Artikeln 9, 10 und 11 der Richtlinie 75/442/EWG genehmigungspflichtig.</w:t>
      </w:r>
    </w:p>
    <w:p>
      <w:pPr>
        <w:pStyle w:val="GesAbsatz"/>
      </w:pPr>
      <w:r>
        <w:t>(4) Sind Abfälle bereits mit anderen Abfällen oder Stoffen vermischt, so ist eine entsprechende Trennung vorzunehmen, wenn dies technisch und wirtschaftlich möglich sowie notwendig ist, um Artikel 4 der Richtlinie 75/442/EWG nachzukommen.</w:t>
      </w:r>
    </w:p>
    <w:p>
      <w:pPr>
        <w:pStyle w:val="berschrift2"/>
      </w:pPr>
      <w:bookmarkStart w:id="12" w:name="_Toc417456262"/>
      <w:bookmarkStart w:id="13" w:name="_Toc448017883"/>
      <w:bookmarkStart w:id="14" w:name="_Toc200423884"/>
      <w:r>
        <w:t>Artikel 3</w:t>
      </w:r>
      <w:bookmarkEnd w:id="12"/>
      <w:bookmarkEnd w:id="13"/>
      <w:bookmarkEnd w:id="14"/>
    </w:p>
    <w:p>
      <w:pPr>
        <w:pStyle w:val="GesAbsatz"/>
      </w:pPr>
      <w:r>
        <w:t>(1) Die Abweichung gemäß Artikel 11 Absatz 1 Buchstabe a) der Richtlinie 75/442/EWG von der Genehmigungspflicht bei Anlagen oder Unternehmen, die ihre Abfälle selbst beseitigen, gilt nicht für gefährliche Abfälle im Sinne der vorliegenden Richtlinie.</w:t>
      </w:r>
    </w:p>
    <w:p>
      <w:pPr>
        <w:pStyle w:val="GesAbsatz"/>
      </w:pPr>
      <w:r>
        <w:t>(2) Gemäß Artikel 11 Absatz 1 Buchstabe b) der Richtlinie 75/442/EWG kann ein Mitgliedstaat für Anlagen oder Unternehmen, die die von der vorliegenden Richtlinie erfaßten Abfälle verwerten, eine Ausnahme von den Bestimmungen des Artikels 10 jener Richtlinie vorsehen,</w:t>
      </w:r>
    </w:p>
    <w:p>
      <w:pPr>
        <w:pStyle w:val="GesAbsatz"/>
        <w:tabs>
          <w:tab w:val="clear" w:pos="425"/>
          <w:tab w:val="left" w:pos="426"/>
        </w:tabs>
        <w:ind w:left="426" w:hanging="426"/>
      </w:pPr>
      <w:r>
        <w:t>-</w:t>
      </w:r>
      <w:r>
        <w:tab/>
        <w:t>wenn dieser Mitgliedstaat allgemein Vorschriften erläßt, in denen Art und Menge der Abfälle aufgeführt und spezifische Auflagen (Grenzwerte für die in den Abfällen enthaltenen gefährlichen Stoffe, Emissionsgrenzwerte, Art der Tätigkeit) und die sonstigen für verschiedene Verwertungsverfahren geltenden Vorschriften festgelegt sind, und</w:t>
      </w:r>
    </w:p>
    <w:p>
      <w:pPr>
        <w:pStyle w:val="GesAbsatz"/>
        <w:tabs>
          <w:tab w:val="clear" w:pos="425"/>
          <w:tab w:val="left" w:pos="426"/>
        </w:tabs>
        <w:ind w:left="426" w:hanging="426"/>
      </w:pPr>
      <w:r>
        <w:t>-</w:t>
      </w:r>
      <w:r>
        <w:tab/>
        <w:t>wenn die Art oder Menge der Abfälle und die Verfahren zu ihrer Verwertung so beschaffen sind, daß die Bedingungen des Artikels 4 der Richtlinie 75/442/EWG eingehalten werden.</w:t>
      </w:r>
    </w:p>
    <w:p>
      <w:pPr>
        <w:pStyle w:val="GesAbsatz"/>
      </w:pPr>
      <w:r>
        <w:t>(3) Die in Absatz 2 genannten Anlagen oder Unternehmen müssen bei den zuständigen Behörden registriert sein.</w:t>
      </w:r>
    </w:p>
    <w:p>
      <w:pPr>
        <w:pStyle w:val="GesAbsatz"/>
      </w:pPr>
      <w:r>
        <w:t>(4) Falls ein Mitgliedstaat die Bestimmungen des Absatzes 2 in Anspruch nehmen will, sind die Regelungen gemäß Absatz 2 spätestens drei Monate vor ihrem Inkrafttreten der Kommission mitzuteilen. Die Kommission hört die Mitgliedstaaten dazu an. Aufgrund dieser Anhörung schlägt die Kommission vor, daß diese Regelungen nach dem Verfahren des Artikels 18 der Richtlinie 75/442/EWG endgültig festgelegt werden.</w:t>
      </w:r>
    </w:p>
    <w:p>
      <w:pPr>
        <w:pStyle w:val="berschrift2"/>
      </w:pPr>
      <w:bookmarkStart w:id="15" w:name="_Toc417456263"/>
      <w:bookmarkStart w:id="16" w:name="_Toc448017884"/>
      <w:bookmarkStart w:id="17" w:name="_Toc200423885"/>
      <w:r>
        <w:t>Artikel 4</w:t>
      </w:r>
      <w:bookmarkEnd w:id="15"/>
      <w:bookmarkEnd w:id="16"/>
      <w:bookmarkEnd w:id="17"/>
    </w:p>
    <w:p>
      <w:pPr>
        <w:pStyle w:val="GesAbsatz"/>
      </w:pPr>
      <w:r>
        <w:t>(1) Artikel 13 der Richtlinie 75/442/EWG gilt auch für die Erzeuger gefährlicher Abfälle.</w:t>
      </w:r>
    </w:p>
    <w:p>
      <w:pPr>
        <w:pStyle w:val="GesAbsatz"/>
      </w:pPr>
      <w:r>
        <w:t>(2) Artikel 14 der Richtlinie 75/442/EWG gilt auch für die Erzeuger gefährlicher Abfälle sowie für alle Anlagen oder Unternehmen, die gefährliche Abfälle befördern.</w:t>
      </w:r>
    </w:p>
    <w:p>
      <w:pPr>
        <w:pStyle w:val="GesAbsatz"/>
      </w:pPr>
      <w:r>
        <w:t>(3) Die Register nach Artikel 14 der Richtlinie 75/442/EWG sind mindestens drei Jahre lang aufzubewahren; im Falle von Anlagen und Unternehmen, die gefährliche Abfälle befördern, müssen die Register jedoch nur mindestens zwölf Monate lang aufbewahrt werden. Die Belege über die Durchführung der Bewirtschaftungsvorgänge sind auf Verlangen der zuständigen Behörden oder eines Vorbesitzers vorzulegen.</w:t>
      </w:r>
    </w:p>
    <w:p>
      <w:pPr>
        <w:pStyle w:val="berschrift2"/>
      </w:pPr>
      <w:bookmarkStart w:id="18" w:name="_Toc417456264"/>
      <w:bookmarkStart w:id="19" w:name="_Toc448017885"/>
      <w:bookmarkStart w:id="20" w:name="_Toc200423886"/>
      <w:r>
        <w:t>Artikel 5</w:t>
      </w:r>
      <w:bookmarkEnd w:id="18"/>
      <w:bookmarkEnd w:id="19"/>
      <w:bookmarkEnd w:id="20"/>
    </w:p>
    <w:p>
      <w:pPr>
        <w:pStyle w:val="GesAbsatz"/>
      </w:pPr>
      <w:r>
        <w:t>(1) Die Mitgliedstaaten ergreifen die erforderlichen Maßnahmen, um sicherzustellen, daß die Abfälle bei der Einsammlung, Beförderung und vorübergehenden Lagerung den geltenden internationalen und gemeinschaftlichen Normen entsprechend ordnungsgemäß verpackt und gekennzeichnet sind.</w:t>
      </w:r>
    </w:p>
    <w:p>
      <w:pPr>
        <w:pStyle w:val="GesAbsatz"/>
      </w:pPr>
      <w:r>
        <w:t>(2) Bei gefährlichen Abfällen erstrecken sich die in Artikel 13 der Richtlinie 75/442/EWG vorgesehenen Kontrollen betreffend das Einsammeln und die Beförderung insbesondere auf die Herkunft und die Bestimmung der gefährlichen Abfälle.</w:t>
      </w:r>
    </w:p>
    <w:p>
      <w:pPr>
        <w:pStyle w:val="GesAbsatz"/>
      </w:pPr>
      <w:r>
        <w:t xml:space="preserve">(3) Bei der Verbringung von gefährlichen Abfällen ist ein Begleitschein beizufügen; dieser enthält die Angaben nach Anhang I Abschnitt A der Richtlinie 84/631/EWG des Rates vom </w:t>
      </w:r>
      <w:smartTag w:uri="urn:schemas-microsoft-com:office:smarttags" w:element="date">
        <w:smartTagPr>
          <w:attr w:name="ls" w:val="trans"/>
          <w:attr w:name="Month" w:val="12"/>
          <w:attr w:name="Day" w:val="6"/>
          <w:attr w:name="Year" w:val="1984"/>
        </w:smartTagPr>
        <w:r>
          <w:t>6. Dezember 1984</w:t>
        </w:r>
      </w:smartTag>
      <w:r>
        <w:t xml:space="preserve"> über die Überwachung und Kontrolle - in der Gemeinschaft - der grenzüberschreitenden Verbringung gefährlicher Abfälle</w:t>
      </w:r>
      <w:r>
        <w:rPr>
          <w:rStyle w:val="Funotenzeichen"/>
        </w:rPr>
        <w:footnoteReference w:id="11"/>
      </w:r>
      <w:r>
        <w:t>, zuletzt geändert durch die Richtlinie 86/279/EWG</w:t>
      </w:r>
      <w:r>
        <w:rPr>
          <w:rStyle w:val="Funotenzeichen"/>
        </w:rPr>
        <w:footnoteReference w:id="12"/>
      </w:r>
      <w:r>
        <w:t>.</w:t>
      </w:r>
    </w:p>
    <w:p>
      <w:pPr>
        <w:pStyle w:val="berschrift2"/>
      </w:pPr>
      <w:bookmarkStart w:id="21" w:name="_Toc417456265"/>
      <w:bookmarkStart w:id="22" w:name="_Toc448017886"/>
      <w:bookmarkStart w:id="23" w:name="_Toc200423887"/>
      <w:r>
        <w:t>Artikel 6</w:t>
      </w:r>
      <w:bookmarkEnd w:id="21"/>
      <w:bookmarkEnd w:id="22"/>
      <w:bookmarkEnd w:id="23"/>
    </w:p>
    <w:p>
      <w:pPr>
        <w:pStyle w:val="GesAbsatz"/>
      </w:pPr>
      <w:r>
        <w:t>(1) Die zuständigen Behörden erstellen gemäß Artikel 7 der Richtlinie 75/442/EWG - entweder gesondert oder im Rahmen ihrer allgemeinen Abfallwirtschaftspläne - Pläne für die Bewirtschaftung der gefährlichen Abfälle und veröffentlichen diese.</w:t>
      </w:r>
    </w:p>
    <w:p>
      <w:pPr>
        <w:pStyle w:val="GesAbsatz"/>
      </w:pPr>
      <w:r>
        <w:lastRenderedPageBreak/>
        <w:t>(2) Die Kommission nimmt eine vergleichende Beurteilung dieser Pläne vor, insbesondere hinsichtlich der Beseitigungs- und Verwertungsmethoden. Die Kommission stellt diese Informationen den zuständigen Behörden der Mitgliedstaaten, die sie zu erhalten wünschen, zur Verfügung.</w:t>
      </w:r>
    </w:p>
    <w:p>
      <w:pPr>
        <w:pStyle w:val="berschrift2"/>
      </w:pPr>
      <w:bookmarkStart w:id="24" w:name="_Toc417456266"/>
      <w:bookmarkStart w:id="25" w:name="_Toc448017887"/>
      <w:bookmarkStart w:id="26" w:name="_Toc200423888"/>
      <w:r>
        <w:t>Artikel 7</w:t>
      </w:r>
      <w:bookmarkEnd w:id="24"/>
      <w:bookmarkEnd w:id="25"/>
      <w:bookmarkEnd w:id="26"/>
    </w:p>
    <w:p>
      <w:pPr>
        <w:pStyle w:val="GesAbsatz"/>
      </w:pPr>
      <w:r>
        <w:t>In Notfällen oder bei drohender Gefahr ergreifen die Mitgliedstaaten die erforderlichen Maßnahmen, gegebenenfalls in zeitweiliger Abweichung von dieser Richtlinie, um zu verhindern, daß gefährliche Abfälle die Bevölkerung oder Umwelt bedrohen. Die Mitgliedstaaten teilen diese Abweichungen der Kommission mit.</w:t>
      </w:r>
    </w:p>
    <w:p>
      <w:pPr>
        <w:pStyle w:val="berschrift2"/>
      </w:pPr>
      <w:bookmarkStart w:id="27" w:name="_Toc417456267"/>
      <w:bookmarkStart w:id="28" w:name="_Toc448017888"/>
      <w:bookmarkStart w:id="29" w:name="_Toc200423889"/>
      <w:r>
        <w:t>Artikel 8</w:t>
      </w:r>
      <w:bookmarkEnd w:id="27"/>
      <w:bookmarkEnd w:id="28"/>
      <w:bookmarkEnd w:id="29"/>
    </w:p>
    <w:p>
      <w:pPr>
        <w:pStyle w:val="GesAbsatz"/>
      </w:pPr>
      <w:r>
        <w:t>(1) Die Mitgliedstaaten übermitteln der Kommission im Rahmen des Berichts gemäß Artikel 16 Absatz 1 der Richtlinie 75/442/EWG und auf der Grundlage eines gemäß jenem Artikel erteilten Fragebogens einen Bericht über die Durchführung der vorliegenden Richtlinie.</w:t>
      </w:r>
    </w:p>
    <w:p>
      <w:pPr>
        <w:pStyle w:val="GesAbsatz"/>
      </w:pPr>
      <w:r>
        <w:t>(2) Zusätzlich zu dem Gesamtbericht gemäß Artikel 16 Absatz 2 der Richtlinie 75/442/EWG erstattet die Kommission dem Europäischen Parlament und dem Rat alle drei Jahre Bericht über die Durchführung der vorliegenden Richtlinie.</w:t>
      </w:r>
    </w:p>
    <w:p>
      <w:pPr>
        <w:pStyle w:val="GesAbsatz"/>
      </w:pPr>
      <w:r>
        <w:t>(3) (gestrichen)</w:t>
      </w:r>
    </w:p>
    <w:p>
      <w:pPr>
        <w:pStyle w:val="berschrift2"/>
      </w:pPr>
      <w:bookmarkStart w:id="30" w:name="_Toc417456268"/>
      <w:bookmarkStart w:id="31" w:name="_Toc448017889"/>
      <w:bookmarkStart w:id="32" w:name="_Toc200423890"/>
      <w:r>
        <w:t>Artikel 9</w:t>
      </w:r>
      <w:bookmarkEnd w:id="30"/>
      <w:bookmarkEnd w:id="31"/>
      <w:bookmarkEnd w:id="32"/>
    </w:p>
    <w:p>
      <w:pPr>
        <w:pStyle w:val="GesAbsatz"/>
      </w:pPr>
      <w:r>
        <w:t>Die Maßnahmen zur Änderung nicht wesentlicher Bestimmungen dieser Richtlinie auch durch Ergänzung, die zur Anpassung der Anhänge dieser Richtlinie an den wissenschaftlichen und technischen Fortschritt und zur Überarbeitung des in Artikel 1 Absatz 4 genannten Abfallverzeichnisses erforderlich sind, werden nach dem in Artikel 18 Absatz 4 der Richtlinie 2006/12/EG genannten Regelungsverfahren mit Kontrolle erlassen.</w:t>
      </w:r>
    </w:p>
    <w:p>
      <w:pPr>
        <w:pStyle w:val="berschrift2"/>
      </w:pPr>
      <w:bookmarkStart w:id="33" w:name="_Toc417456269"/>
      <w:bookmarkStart w:id="34" w:name="_Toc448017890"/>
      <w:bookmarkStart w:id="35" w:name="_Toc200423891"/>
      <w:r>
        <w:t>Artikel 10</w:t>
      </w:r>
      <w:bookmarkEnd w:id="33"/>
      <w:bookmarkEnd w:id="34"/>
      <w:bookmarkEnd w:id="35"/>
    </w:p>
    <w:p>
      <w:pPr>
        <w:pStyle w:val="GesAbsatz"/>
      </w:pPr>
      <w:r>
        <w:t xml:space="preserve">(1) Die Mitgliedstaaten erlassen die erforderlichen Rechts- und Verwaltungsvorschriften, um dieser Richtlinie bis zum </w:t>
      </w:r>
      <w:smartTag w:uri="urn:schemas-microsoft-com:office:smarttags" w:element="date">
        <w:smartTagPr>
          <w:attr w:name="ls" w:val="trans"/>
          <w:attr w:name="Month" w:val="6"/>
          <w:attr w:name="Day" w:val="27"/>
          <w:attr w:name="Year" w:val="1995"/>
        </w:smartTagPr>
        <w:r>
          <w:t>27. Juni 1995</w:t>
        </w:r>
      </w:smartTag>
      <w:r>
        <w:t xml:space="preserve"> nachzukommen. Sie setzen die Kommission unverzüglich davon in Kenntnis.</w:t>
      </w:r>
    </w:p>
    <w:p>
      <w:pPr>
        <w:pStyle w:val="GesAbsatz"/>
      </w:pPr>
      <w:r>
        <w:t>(2) 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(3) Die Mitgliedstaaten teilen der Kommission den Wortlaut der wichtigsten innerstaatlichen Rechtsvorschriften mit, die sie auf dem unter dieser Richtlinie fallenden Gebiet erlassen.</w:t>
      </w:r>
    </w:p>
    <w:p>
      <w:pPr>
        <w:pStyle w:val="berschrift2"/>
      </w:pPr>
      <w:bookmarkStart w:id="36" w:name="_Toc417456270"/>
      <w:bookmarkStart w:id="37" w:name="_Toc448017891"/>
      <w:bookmarkStart w:id="38" w:name="_Toc200423892"/>
      <w:r>
        <w:t>Artikel 11</w:t>
      </w:r>
      <w:bookmarkEnd w:id="36"/>
      <w:bookmarkEnd w:id="37"/>
      <w:bookmarkEnd w:id="38"/>
    </w:p>
    <w:p>
      <w:pPr>
        <w:pStyle w:val="GesAbsatz"/>
      </w:pPr>
      <w:r>
        <w:t xml:space="preserve">Die Richtlinie 78/319/EWG wird zum </w:t>
      </w:r>
      <w:smartTag w:uri="urn:schemas-microsoft-com:office:smarttags" w:element="date">
        <w:smartTagPr>
          <w:attr w:name="ls" w:val="trans"/>
          <w:attr w:name="Month" w:val="6"/>
          <w:attr w:name="Day" w:val="27"/>
          <w:attr w:name="Year" w:val="1995"/>
        </w:smartTagPr>
        <w:r>
          <w:t>27. Juni 1995</w:t>
        </w:r>
      </w:smartTag>
      <w:r>
        <w:t xml:space="preserve"> aufgehoben.</w:t>
      </w:r>
    </w:p>
    <w:p>
      <w:pPr>
        <w:pStyle w:val="berschrift2"/>
      </w:pPr>
      <w:bookmarkStart w:id="39" w:name="_Toc417456271"/>
      <w:bookmarkStart w:id="40" w:name="_Toc448017892"/>
      <w:bookmarkStart w:id="41" w:name="_Toc200423893"/>
      <w:r>
        <w:t>Artikel 12</w:t>
      </w:r>
      <w:bookmarkEnd w:id="39"/>
      <w:bookmarkEnd w:id="40"/>
      <w:bookmarkEnd w:id="41"/>
    </w:p>
    <w:p>
      <w:pPr>
        <w:pStyle w:val="GesAbsatz"/>
      </w:pPr>
      <w:r>
        <w:t>Diese Richtlinie ist an die Mitgliedstaaten gerichtet.</w:t>
      </w:r>
    </w:p>
    <w:p>
      <w:pPr>
        <w:pStyle w:val="berschrift2"/>
        <w:jc w:val="left"/>
      </w:pPr>
      <w:bookmarkStart w:id="42" w:name="_Toc417456272"/>
      <w:bookmarkStart w:id="43" w:name="_Toc448017893"/>
      <w:r>
        <w:br w:type="page"/>
      </w:r>
      <w:bookmarkStart w:id="44" w:name="_Toc200423894"/>
      <w:r>
        <w:lastRenderedPageBreak/>
        <w:t>Anhang I:</w:t>
      </w:r>
      <w:r>
        <w:br/>
        <w:t>Durch ihre Beschaffenheit oder den Entstehungsvorgang charakterisierte Gruppen oder Arten gefährlicher Abfälle</w:t>
      </w:r>
      <w:r>
        <w:rPr>
          <w:rStyle w:val="Funotenzeichen"/>
        </w:rPr>
        <w:footnoteReference w:id="13"/>
      </w:r>
      <w:r>
        <w:t xml:space="preserve"> (in flüssiger Form, in fester Form oder in Form von Schlamm)</w:t>
      </w:r>
      <w:bookmarkEnd w:id="42"/>
      <w:bookmarkEnd w:id="43"/>
      <w:bookmarkEnd w:id="44"/>
    </w:p>
    <w:p>
      <w:pPr>
        <w:pStyle w:val="berschrift3"/>
        <w:jc w:val="left"/>
      </w:pPr>
      <w:bookmarkStart w:id="45" w:name="_Toc417456273"/>
      <w:bookmarkStart w:id="46" w:name="_Toc448017894"/>
      <w:bookmarkStart w:id="47" w:name="_Toc200423895"/>
      <w:r>
        <w:t>Anhang I A</w:t>
      </w:r>
      <w:bookmarkEnd w:id="45"/>
      <w:bookmarkEnd w:id="46"/>
      <w:bookmarkEnd w:id="47"/>
    </w:p>
    <w:p>
      <w:pPr>
        <w:pStyle w:val="GesAbsatz"/>
        <w:ind w:left="426" w:hanging="426"/>
      </w:pPr>
      <w:r>
        <w:t>Abfälle, die eine der in Anhang III aufgeführten Eigenschaften aufweisen und aus folgendem bestehen:</w:t>
      </w:r>
    </w:p>
    <w:p>
      <w:pPr>
        <w:pStyle w:val="GesAbsatz"/>
        <w:ind w:left="426" w:hanging="426"/>
      </w:pPr>
      <w:r>
        <w:t>1.</w:t>
      </w:r>
      <w:r>
        <w:tab/>
        <w:t>anatomischen Stoffen; Abfällen aus Krankenhäusern oder anderen ärztlichen Einrichtungen</w:t>
      </w:r>
    </w:p>
    <w:p>
      <w:pPr>
        <w:pStyle w:val="GesAbsatz"/>
        <w:ind w:left="426" w:hanging="426"/>
      </w:pPr>
      <w:r>
        <w:t>2.</w:t>
      </w:r>
      <w:r>
        <w:tab/>
        <w:t>Arzneimitteln, Medikamenten, Tierarzneimitteln</w:t>
      </w:r>
    </w:p>
    <w:p>
      <w:pPr>
        <w:pStyle w:val="GesAbsatz"/>
        <w:ind w:left="426" w:hanging="426"/>
      </w:pPr>
      <w:r>
        <w:t>3.</w:t>
      </w:r>
      <w:r>
        <w:tab/>
        <w:t>Holzschutzmitteln</w:t>
      </w:r>
    </w:p>
    <w:p>
      <w:pPr>
        <w:pStyle w:val="GesAbsatz"/>
        <w:ind w:left="426" w:hanging="426"/>
      </w:pPr>
      <w:r>
        <w:t>4.</w:t>
      </w:r>
      <w:r>
        <w:tab/>
        <w:t>Bioziden und Pflanzenschutzmitteln</w:t>
      </w:r>
    </w:p>
    <w:p>
      <w:pPr>
        <w:pStyle w:val="GesAbsatz"/>
        <w:ind w:left="426" w:hanging="426"/>
      </w:pPr>
      <w:r>
        <w:t>5.</w:t>
      </w:r>
      <w:r>
        <w:tab/>
        <w:t>Lösungsmittelrückständen</w:t>
      </w:r>
    </w:p>
    <w:p>
      <w:pPr>
        <w:pStyle w:val="GesAbsatz"/>
        <w:ind w:left="426" w:hanging="426"/>
      </w:pPr>
      <w:r>
        <w:t>6.</w:t>
      </w:r>
      <w:r>
        <w:tab/>
        <w:t>halogenierten organischen Stoffen, die nicht als Lösungsmittel dienen, ausgenommen inerte polymerisierte Stoffe</w:t>
      </w:r>
    </w:p>
    <w:p>
      <w:pPr>
        <w:pStyle w:val="GesAbsatz"/>
        <w:ind w:left="426" w:hanging="426"/>
      </w:pPr>
      <w:r>
        <w:t>7.</w:t>
      </w:r>
      <w:r>
        <w:tab/>
        <w:t>cyanidhaltigen Härtesalzen</w:t>
      </w:r>
    </w:p>
    <w:p>
      <w:pPr>
        <w:pStyle w:val="GesAbsatz"/>
        <w:ind w:left="426" w:hanging="426"/>
      </w:pPr>
      <w:r>
        <w:t>8.</w:t>
      </w:r>
      <w:r>
        <w:tab/>
        <w:t>Mineralölen und öligen Stoffen (z. B. Bohr-, Schneid- und Schleiföle)</w:t>
      </w:r>
    </w:p>
    <w:p>
      <w:pPr>
        <w:pStyle w:val="GesAbsatz"/>
        <w:ind w:left="426" w:hanging="426"/>
      </w:pPr>
      <w:r>
        <w:t>9.</w:t>
      </w:r>
      <w:r>
        <w:tab/>
        <w:t>Öl/Wasser- oder Kohlenwasserstoff/Wasser-Gemischen, Emulsionen</w:t>
      </w:r>
    </w:p>
    <w:p>
      <w:pPr>
        <w:pStyle w:val="GesAbsatz"/>
        <w:ind w:left="426" w:hanging="426"/>
      </w:pPr>
      <w:r>
        <w:t>10.</w:t>
      </w:r>
      <w:r>
        <w:tab/>
        <w:t>PCB- und /oder PCT-haltigen Stoffen (z. B. Dielektrika)</w:t>
      </w:r>
    </w:p>
    <w:p>
      <w:pPr>
        <w:pStyle w:val="GesAbsatz"/>
        <w:ind w:left="426" w:hanging="426"/>
      </w:pPr>
      <w:r>
        <w:t>11.</w:t>
      </w:r>
      <w:r>
        <w:tab/>
        <w:t>Teerrückständen aus Raffinations-, Destillations- oder Pyrolysevorgängen (z. B. Bodensätze in Destillationskolben)</w:t>
      </w:r>
    </w:p>
    <w:p>
      <w:pPr>
        <w:pStyle w:val="GesAbsatz"/>
        <w:ind w:left="426" w:hanging="426"/>
      </w:pPr>
      <w:r>
        <w:t>12.</w:t>
      </w:r>
      <w:r>
        <w:tab/>
        <w:t>Druckfarben, Farbstoffen, Pigmenten, Farben, Lacken, Klarlacken</w:t>
      </w:r>
    </w:p>
    <w:p>
      <w:pPr>
        <w:pStyle w:val="GesAbsatz"/>
        <w:ind w:left="426" w:hanging="426"/>
      </w:pPr>
      <w:r>
        <w:t>13.</w:t>
      </w:r>
      <w:r>
        <w:tab/>
        <w:t>Harzen, Latex, Weichmachern, Klebstoffen</w:t>
      </w:r>
    </w:p>
    <w:p>
      <w:pPr>
        <w:pStyle w:val="GesAbsatz"/>
        <w:ind w:left="426" w:hanging="426"/>
      </w:pPr>
      <w:r>
        <w:t>14.</w:t>
      </w:r>
      <w:r>
        <w:tab/>
        <w:t>nichtidentifizierten und/oder neuen chemischen Stoffen aus Forschungs-, Entwicklungs- und Ausbildungstätigkeiten, deren Auswirkungen auf den Menschen und/oder die Umwelt nicht bekannt sind (z. B. Laborabfälle)</w:t>
      </w:r>
    </w:p>
    <w:p>
      <w:pPr>
        <w:pStyle w:val="GesAbsatz"/>
        <w:ind w:left="426" w:hanging="426"/>
      </w:pPr>
      <w:r>
        <w:t>15.</w:t>
      </w:r>
      <w:r>
        <w:tab/>
        <w:t>pyrotechnischen Erzeugnissen und sonstigen explosiven Stoffen</w:t>
      </w:r>
    </w:p>
    <w:p>
      <w:pPr>
        <w:pStyle w:val="GesAbsatz"/>
        <w:ind w:left="426" w:hanging="426"/>
      </w:pPr>
      <w:r>
        <w:t>16.</w:t>
      </w:r>
      <w:r>
        <w:tab/>
        <w:t>Foto- und Entwicklerchemikalien</w:t>
      </w:r>
    </w:p>
    <w:p>
      <w:pPr>
        <w:pStyle w:val="GesAbsatz"/>
        <w:ind w:left="426" w:hanging="426"/>
      </w:pPr>
      <w:r>
        <w:t>17.</w:t>
      </w:r>
      <w:r>
        <w:tab/>
        <w:t>Material, das durch Kongenere der polychlorierten Dibenzofurane kontaminiert ist</w:t>
      </w:r>
    </w:p>
    <w:p>
      <w:pPr>
        <w:pStyle w:val="GesAbsatz"/>
        <w:ind w:left="426" w:hanging="426"/>
      </w:pPr>
      <w:r>
        <w:t>18.</w:t>
      </w:r>
      <w:r>
        <w:tab/>
        <w:t>Material, das durch Kongenere der polychlorierten Dibenzoparadioxine kontaminiert ist.</w:t>
      </w:r>
    </w:p>
    <w:p>
      <w:pPr>
        <w:pStyle w:val="berschrift3"/>
        <w:jc w:val="left"/>
      </w:pPr>
      <w:bookmarkStart w:id="48" w:name="_Toc417456274"/>
      <w:bookmarkStart w:id="49" w:name="_Toc448017895"/>
      <w:bookmarkStart w:id="50" w:name="_Toc200423896"/>
      <w:r>
        <w:t>Anhang I B</w:t>
      </w:r>
      <w:bookmarkEnd w:id="48"/>
      <w:bookmarkEnd w:id="49"/>
      <w:bookmarkEnd w:id="50"/>
    </w:p>
    <w:p>
      <w:pPr>
        <w:pStyle w:val="GesAbsatz"/>
        <w:tabs>
          <w:tab w:val="clear" w:pos="425"/>
          <w:tab w:val="left" w:pos="426"/>
        </w:tabs>
      </w:pPr>
      <w:r>
        <w:t>Abfälle, die einen der in Anhang II genannten Bestandteile enthalten und eine der in Anhang III genannten Eigenschaften aufweisen sowie aus folgendem bestehen:</w:t>
      </w:r>
    </w:p>
    <w:p>
      <w:pPr>
        <w:pStyle w:val="GesAbsatz"/>
        <w:ind w:left="426" w:hanging="426"/>
      </w:pPr>
      <w:r>
        <w:t>19.</w:t>
      </w:r>
      <w:r>
        <w:tab/>
        <w:t>tierischen oder pflanzlichen Seifen, Fetten, Wachsen</w:t>
      </w:r>
    </w:p>
    <w:p>
      <w:pPr>
        <w:pStyle w:val="GesAbsatz"/>
        <w:ind w:left="426" w:hanging="426"/>
      </w:pPr>
      <w:r>
        <w:t>20.</w:t>
      </w:r>
      <w:r>
        <w:tab/>
        <w:t>nichthalogenierten organischen Stoffen, die nicht als Lösungsmittel dienen</w:t>
      </w:r>
    </w:p>
    <w:p>
      <w:pPr>
        <w:pStyle w:val="GesAbsatz"/>
        <w:ind w:left="426" w:hanging="426"/>
      </w:pPr>
      <w:r>
        <w:t>21.</w:t>
      </w:r>
      <w:r>
        <w:tab/>
        <w:t>anorganischen Stoffen ohne Metalle oder Metallverbindungen</w:t>
      </w:r>
    </w:p>
    <w:p>
      <w:pPr>
        <w:pStyle w:val="GesAbsatz"/>
        <w:ind w:left="426" w:hanging="426"/>
      </w:pPr>
      <w:r>
        <w:t>22.</w:t>
      </w:r>
      <w:r>
        <w:tab/>
        <w:t>Aschen und/oder Schlacken</w:t>
      </w:r>
    </w:p>
    <w:p>
      <w:pPr>
        <w:pStyle w:val="GesAbsatz"/>
        <w:ind w:left="426" w:hanging="426"/>
      </w:pPr>
      <w:r>
        <w:t>23.</w:t>
      </w:r>
      <w:r>
        <w:tab/>
        <w:t>Erde, Sand oder Ton einschließlich Baggerschlamm</w:t>
      </w:r>
    </w:p>
    <w:p>
      <w:pPr>
        <w:pStyle w:val="GesAbsatz"/>
        <w:ind w:left="426" w:hanging="426"/>
      </w:pPr>
      <w:r>
        <w:t>24.</w:t>
      </w:r>
      <w:r>
        <w:tab/>
        <w:t>nicht cyanidhaltigen Härtesalzen</w:t>
      </w:r>
    </w:p>
    <w:p>
      <w:pPr>
        <w:pStyle w:val="GesAbsatz"/>
        <w:ind w:left="426" w:hanging="426"/>
      </w:pPr>
      <w:r>
        <w:t>25.</w:t>
      </w:r>
      <w:r>
        <w:tab/>
        <w:t>Metallstaub und -pulver</w:t>
      </w:r>
    </w:p>
    <w:p>
      <w:pPr>
        <w:pStyle w:val="GesAbsatz"/>
        <w:ind w:left="426" w:hanging="426"/>
      </w:pPr>
      <w:r>
        <w:t>26.</w:t>
      </w:r>
      <w:r>
        <w:tab/>
        <w:t>verbrauchten Katalysatoren</w:t>
      </w:r>
    </w:p>
    <w:p>
      <w:pPr>
        <w:pStyle w:val="GesAbsatz"/>
        <w:ind w:left="426" w:hanging="426"/>
      </w:pPr>
      <w:r>
        <w:t>27.</w:t>
      </w:r>
      <w:r>
        <w:tab/>
        <w:t>Flüssigkeiten oder Schlamm, die Metalle oder Metallverbindungen enthalten</w:t>
      </w:r>
    </w:p>
    <w:p>
      <w:pPr>
        <w:pStyle w:val="GesAbsatz"/>
        <w:ind w:left="426" w:hanging="426"/>
      </w:pPr>
      <w:r>
        <w:t>28.</w:t>
      </w:r>
      <w:r>
        <w:tab/>
        <w:t>bei Umweltschutzmaßnahmen anfallenden Abfällen (z. B. Filterstäube) mit Ausnahme der Nummern 29, 30 und 33</w:t>
      </w:r>
    </w:p>
    <w:p>
      <w:pPr>
        <w:pStyle w:val="GesAbsatz"/>
        <w:ind w:left="426" w:hanging="426"/>
      </w:pPr>
      <w:r>
        <w:lastRenderedPageBreak/>
        <w:t>29.</w:t>
      </w:r>
      <w:r>
        <w:tab/>
        <w:t>Schlämmen aus der Gasreinigung</w:t>
      </w:r>
    </w:p>
    <w:p>
      <w:pPr>
        <w:pStyle w:val="GesAbsatz"/>
        <w:ind w:left="426" w:hanging="426"/>
      </w:pPr>
      <w:r>
        <w:t>30.</w:t>
      </w:r>
      <w:r>
        <w:tab/>
        <w:t>Schlämmen aus Wasserreinigungsanlagen</w:t>
      </w:r>
    </w:p>
    <w:p>
      <w:pPr>
        <w:pStyle w:val="GesAbsatz"/>
        <w:ind w:left="426" w:hanging="426"/>
      </w:pPr>
      <w:r>
        <w:t>31.</w:t>
      </w:r>
      <w:r>
        <w:tab/>
      </w:r>
      <w:proofErr w:type="spellStart"/>
      <w:r>
        <w:t>Dekarbonationsrückständen</w:t>
      </w:r>
      <w:proofErr w:type="spellEnd"/>
    </w:p>
    <w:p>
      <w:pPr>
        <w:pStyle w:val="GesAbsatz"/>
        <w:ind w:left="426" w:hanging="426"/>
      </w:pPr>
      <w:r>
        <w:t>32.</w:t>
      </w:r>
      <w:r>
        <w:tab/>
        <w:t>Rückständen aus Ionenaustauschern</w:t>
      </w:r>
    </w:p>
    <w:p>
      <w:pPr>
        <w:pStyle w:val="GesAbsatz"/>
        <w:ind w:left="426" w:hanging="426"/>
      </w:pPr>
      <w:r>
        <w:t>33.</w:t>
      </w:r>
      <w:r>
        <w:tab/>
        <w:t>unbehandelten oder in der Landwirtschaft nicht verwendbaren Klärschlämmen</w:t>
      </w:r>
    </w:p>
    <w:p>
      <w:pPr>
        <w:pStyle w:val="GesAbsatz"/>
        <w:ind w:left="426" w:hanging="426"/>
      </w:pPr>
      <w:r>
        <w:t>34.</w:t>
      </w:r>
      <w:r>
        <w:tab/>
        <w:t>bei der Reinigung von Tanks und/oder Geräten anfallenden Rückständen</w:t>
      </w:r>
    </w:p>
    <w:p>
      <w:pPr>
        <w:pStyle w:val="GesAbsatz"/>
        <w:ind w:left="426" w:hanging="426"/>
      </w:pPr>
      <w:r>
        <w:t>35.</w:t>
      </w:r>
      <w:r>
        <w:tab/>
        <w:t>kontaminierten Geräten</w:t>
      </w:r>
    </w:p>
    <w:p>
      <w:pPr>
        <w:pStyle w:val="GesAbsatz"/>
        <w:ind w:left="426" w:hanging="426"/>
      </w:pPr>
      <w:r>
        <w:t>36.</w:t>
      </w:r>
      <w:r>
        <w:tab/>
        <w:t>kontaminierten Behältern (z. B. Verpackungsmaterial, Gasflaschen usw.), die einen oder mehrere in Anhang II genannte Bestandteile enthalten</w:t>
      </w:r>
    </w:p>
    <w:p>
      <w:pPr>
        <w:pStyle w:val="GesAbsatz"/>
        <w:ind w:left="426" w:hanging="426"/>
      </w:pPr>
      <w:r>
        <w:t>37.</w:t>
      </w:r>
      <w:r>
        <w:tab/>
        <w:t>Batterien und anderen elektrischen Zellen</w:t>
      </w:r>
    </w:p>
    <w:p>
      <w:pPr>
        <w:pStyle w:val="GesAbsatz"/>
        <w:ind w:left="426" w:hanging="426"/>
      </w:pPr>
      <w:r>
        <w:t>38.</w:t>
      </w:r>
      <w:r>
        <w:tab/>
        <w:t>pflanzlichen Ölen</w:t>
      </w:r>
    </w:p>
    <w:p>
      <w:pPr>
        <w:pStyle w:val="GesAbsatz"/>
        <w:ind w:left="426" w:hanging="426"/>
      </w:pPr>
      <w:r>
        <w:t>39.</w:t>
      </w:r>
      <w:r>
        <w:tab/>
        <w:t>bei Getrennt-Sammlungen in Haushalten anfallenden Gegenständen, die eine der in Anhang III genannten Eigenschaften aufweisen</w:t>
      </w:r>
    </w:p>
    <w:p>
      <w:pPr>
        <w:pStyle w:val="GesAbsatz"/>
        <w:ind w:left="426" w:hanging="426"/>
      </w:pPr>
      <w:r>
        <w:t>40.</w:t>
      </w:r>
      <w:r>
        <w:tab/>
        <w:t>jedem sonstigen Abfall, der einen in Anhang II genannten Bestandteil enthält und eine der in Anhang III genannten Eigenschaften aufweist.</w:t>
      </w:r>
    </w:p>
    <w:p>
      <w:pPr>
        <w:pStyle w:val="berschrift2"/>
        <w:jc w:val="left"/>
      </w:pPr>
      <w:bookmarkStart w:id="51" w:name="_Toc417456275"/>
      <w:bookmarkStart w:id="52" w:name="_Toc448017896"/>
      <w:bookmarkStart w:id="53" w:name="_Toc200423897"/>
      <w:r>
        <w:t>Anhang II:</w:t>
      </w:r>
      <w:r>
        <w:br/>
        <w:t>Bestandteile, die die Abfälle des Anhangs I.B zu gefährlichen Abfällen machen, sofern diese Abfälle die in Anhang III genannten Eigenschaften aufweisen</w:t>
      </w:r>
      <w:r>
        <w:rPr>
          <w:rStyle w:val="Funotenzeichen"/>
        </w:rPr>
        <w:footnoteReference w:id="14"/>
      </w:r>
      <w:bookmarkEnd w:id="51"/>
      <w:bookmarkEnd w:id="52"/>
      <w:bookmarkEnd w:id="53"/>
    </w:p>
    <w:p>
      <w:pPr>
        <w:pStyle w:val="GesAbsatz"/>
        <w:tabs>
          <w:tab w:val="clear" w:pos="425"/>
        </w:tabs>
        <w:ind w:left="567" w:hanging="567"/>
      </w:pPr>
      <w:r>
        <w:t>Abfälle mit folgenden Bestandteilen:</w:t>
      </w:r>
    </w:p>
    <w:p>
      <w:pPr>
        <w:pStyle w:val="GesAbsatz"/>
        <w:tabs>
          <w:tab w:val="clear" w:pos="425"/>
        </w:tabs>
        <w:ind w:left="567" w:hanging="567"/>
      </w:pPr>
      <w:r>
        <w:t>C1</w:t>
      </w:r>
      <w:r>
        <w:tab/>
        <w:t>Beryllium, Berylliumverbindungen</w:t>
      </w:r>
    </w:p>
    <w:p>
      <w:pPr>
        <w:pStyle w:val="GesAbsatz"/>
        <w:tabs>
          <w:tab w:val="clear" w:pos="425"/>
        </w:tabs>
        <w:ind w:left="567" w:hanging="567"/>
      </w:pPr>
      <w:r>
        <w:t>C2</w:t>
      </w:r>
      <w:r>
        <w:tab/>
        <w:t>Vanadiumverbindungen</w:t>
      </w:r>
    </w:p>
    <w:p>
      <w:pPr>
        <w:pStyle w:val="GesAbsatz"/>
        <w:tabs>
          <w:tab w:val="clear" w:pos="425"/>
        </w:tabs>
        <w:ind w:left="567" w:hanging="567"/>
      </w:pPr>
      <w:r>
        <w:t>C3</w:t>
      </w:r>
      <w:r>
        <w:tab/>
        <w:t>Chrom-6-Verbindungen</w:t>
      </w:r>
    </w:p>
    <w:p>
      <w:pPr>
        <w:pStyle w:val="GesAbsatz"/>
        <w:tabs>
          <w:tab w:val="clear" w:pos="425"/>
        </w:tabs>
        <w:ind w:left="567" w:hanging="567"/>
      </w:pPr>
      <w:r>
        <w:t>C4</w:t>
      </w:r>
      <w:r>
        <w:tab/>
        <w:t>Kobaltverbindungen</w:t>
      </w:r>
    </w:p>
    <w:p>
      <w:pPr>
        <w:pStyle w:val="GesAbsatz"/>
        <w:tabs>
          <w:tab w:val="clear" w:pos="425"/>
        </w:tabs>
        <w:ind w:left="567" w:hanging="567"/>
      </w:pPr>
      <w:r>
        <w:t>C5</w:t>
      </w:r>
      <w:r>
        <w:tab/>
        <w:t>Nickelverbindungen</w:t>
      </w:r>
    </w:p>
    <w:p>
      <w:pPr>
        <w:pStyle w:val="GesAbsatz"/>
        <w:tabs>
          <w:tab w:val="clear" w:pos="425"/>
        </w:tabs>
        <w:ind w:left="567" w:hanging="567"/>
      </w:pPr>
      <w:r>
        <w:t>C6</w:t>
      </w:r>
      <w:r>
        <w:tab/>
        <w:t>Kupferverbindungen</w:t>
      </w:r>
    </w:p>
    <w:p>
      <w:pPr>
        <w:pStyle w:val="GesAbsatz"/>
        <w:tabs>
          <w:tab w:val="clear" w:pos="425"/>
        </w:tabs>
        <w:ind w:left="567" w:hanging="567"/>
      </w:pPr>
      <w:r>
        <w:t>C7</w:t>
      </w:r>
      <w:r>
        <w:tab/>
        <w:t>Zinkverbindungen</w:t>
      </w:r>
    </w:p>
    <w:p>
      <w:pPr>
        <w:pStyle w:val="GesAbsatz"/>
        <w:tabs>
          <w:tab w:val="clear" w:pos="425"/>
        </w:tabs>
        <w:ind w:left="567" w:hanging="567"/>
      </w:pPr>
      <w:r>
        <w:t>C8</w:t>
      </w:r>
      <w:r>
        <w:tab/>
        <w:t>Arsen, Arsenverbindungen</w:t>
      </w:r>
    </w:p>
    <w:p>
      <w:pPr>
        <w:pStyle w:val="GesAbsatz"/>
        <w:tabs>
          <w:tab w:val="clear" w:pos="425"/>
        </w:tabs>
        <w:ind w:left="567" w:hanging="567"/>
      </w:pPr>
      <w:r>
        <w:t>C9</w:t>
      </w:r>
      <w:r>
        <w:tab/>
        <w:t>Selen, Selenverbindungen</w:t>
      </w:r>
    </w:p>
    <w:p>
      <w:pPr>
        <w:pStyle w:val="GesAbsatz"/>
        <w:tabs>
          <w:tab w:val="clear" w:pos="425"/>
        </w:tabs>
        <w:ind w:left="567" w:hanging="567"/>
      </w:pPr>
      <w:r>
        <w:t>C10</w:t>
      </w:r>
      <w:r>
        <w:tab/>
        <w:t>Silberverbindungen</w:t>
      </w:r>
    </w:p>
    <w:p>
      <w:pPr>
        <w:pStyle w:val="GesAbsatz"/>
        <w:tabs>
          <w:tab w:val="clear" w:pos="425"/>
        </w:tabs>
        <w:ind w:left="567" w:hanging="567"/>
      </w:pPr>
      <w:r>
        <w:t>C11</w:t>
      </w:r>
      <w:r>
        <w:tab/>
        <w:t>Cadmium, Cadmiumverbindungen</w:t>
      </w:r>
    </w:p>
    <w:p>
      <w:pPr>
        <w:pStyle w:val="GesAbsatz"/>
        <w:tabs>
          <w:tab w:val="clear" w:pos="425"/>
        </w:tabs>
        <w:ind w:left="567" w:hanging="567"/>
      </w:pPr>
      <w:r>
        <w:t>C12</w:t>
      </w:r>
      <w:r>
        <w:tab/>
        <w:t>Zinnverbindungen</w:t>
      </w:r>
    </w:p>
    <w:p>
      <w:pPr>
        <w:pStyle w:val="GesAbsatz"/>
        <w:tabs>
          <w:tab w:val="clear" w:pos="425"/>
        </w:tabs>
        <w:ind w:left="567" w:hanging="567"/>
      </w:pPr>
      <w:r>
        <w:t>C13</w:t>
      </w:r>
      <w:r>
        <w:tab/>
        <w:t>Antimon, Antimonverbindungen</w:t>
      </w:r>
    </w:p>
    <w:p>
      <w:pPr>
        <w:pStyle w:val="GesAbsatz"/>
        <w:tabs>
          <w:tab w:val="clear" w:pos="425"/>
        </w:tabs>
        <w:ind w:left="567" w:hanging="567"/>
      </w:pPr>
      <w:r>
        <w:t>C14</w:t>
      </w:r>
      <w:r>
        <w:tab/>
        <w:t>Tellur, Tellurverbindungen</w:t>
      </w:r>
    </w:p>
    <w:p>
      <w:pPr>
        <w:pStyle w:val="GesAbsatz"/>
        <w:tabs>
          <w:tab w:val="clear" w:pos="425"/>
        </w:tabs>
        <w:ind w:left="567" w:hanging="567"/>
      </w:pPr>
      <w:r>
        <w:t>C15</w:t>
      </w:r>
      <w:r>
        <w:tab/>
        <w:t>Bariumverbindungen mit Ausnahme von Bariumsulfat</w:t>
      </w:r>
    </w:p>
    <w:p>
      <w:pPr>
        <w:pStyle w:val="GesAbsatz"/>
        <w:tabs>
          <w:tab w:val="clear" w:pos="425"/>
        </w:tabs>
        <w:ind w:left="567" w:hanging="567"/>
      </w:pPr>
      <w:r>
        <w:t>C16</w:t>
      </w:r>
      <w:r>
        <w:tab/>
        <w:t>Quecksilber, Quecksilberverbindungen</w:t>
      </w:r>
    </w:p>
    <w:p>
      <w:pPr>
        <w:pStyle w:val="GesAbsatz"/>
        <w:tabs>
          <w:tab w:val="clear" w:pos="425"/>
        </w:tabs>
        <w:ind w:left="567" w:hanging="567"/>
      </w:pPr>
      <w:r>
        <w:t>C17</w:t>
      </w:r>
      <w:r>
        <w:tab/>
        <w:t>Thallium, Thalliumverbindungen</w:t>
      </w:r>
    </w:p>
    <w:p>
      <w:pPr>
        <w:pStyle w:val="GesAbsatz"/>
        <w:tabs>
          <w:tab w:val="clear" w:pos="425"/>
        </w:tabs>
        <w:ind w:left="567" w:hanging="567"/>
      </w:pPr>
      <w:r>
        <w:t>C18</w:t>
      </w:r>
      <w:r>
        <w:tab/>
        <w:t>Blei, Bleiverbindungen</w:t>
      </w:r>
    </w:p>
    <w:p>
      <w:pPr>
        <w:pStyle w:val="GesAbsatz"/>
        <w:tabs>
          <w:tab w:val="clear" w:pos="425"/>
        </w:tabs>
        <w:ind w:left="567" w:hanging="567"/>
      </w:pPr>
      <w:r>
        <w:t>C19</w:t>
      </w:r>
      <w:r>
        <w:tab/>
        <w:t>anorganische Sulfide</w:t>
      </w:r>
    </w:p>
    <w:p>
      <w:pPr>
        <w:pStyle w:val="GesAbsatz"/>
        <w:tabs>
          <w:tab w:val="clear" w:pos="425"/>
        </w:tabs>
        <w:ind w:left="567" w:hanging="567"/>
      </w:pPr>
      <w:r>
        <w:t>C20</w:t>
      </w:r>
      <w:r>
        <w:tab/>
        <w:t>anorganische Verbindungen von Fluor mit Ausnahme von Kalziumfluorid</w:t>
      </w:r>
    </w:p>
    <w:p>
      <w:pPr>
        <w:pStyle w:val="GesAbsatz"/>
        <w:tabs>
          <w:tab w:val="clear" w:pos="425"/>
        </w:tabs>
        <w:ind w:left="567" w:hanging="567"/>
      </w:pPr>
      <w:r>
        <w:t>C21</w:t>
      </w:r>
      <w:r>
        <w:tab/>
        <w:t>anorganische Cyanide</w:t>
      </w:r>
    </w:p>
    <w:p>
      <w:pPr>
        <w:pStyle w:val="GesAbsatz"/>
        <w:tabs>
          <w:tab w:val="clear" w:pos="425"/>
        </w:tabs>
        <w:ind w:left="567" w:hanging="567"/>
      </w:pPr>
      <w:r>
        <w:t>C22</w:t>
      </w:r>
      <w:r>
        <w:tab/>
        <w:t>folgende Alkali- oder Erdalkalimetalle in elementarer Form: Lithium, Natrium, Kalium, Kalzium, Magnesium</w:t>
      </w:r>
    </w:p>
    <w:p>
      <w:pPr>
        <w:pStyle w:val="GesAbsatz"/>
        <w:tabs>
          <w:tab w:val="clear" w:pos="425"/>
        </w:tabs>
        <w:ind w:left="567" w:hanging="567"/>
      </w:pPr>
      <w:r>
        <w:t>C23</w:t>
      </w:r>
      <w:r>
        <w:tab/>
        <w:t>saure Lösungen oder Säuren in fester Form</w:t>
      </w:r>
    </w:p>
    <w:p>
      <w:pPr>
        <w:pStyle w:val="GesAbsatz"/>
        <w:tabs>
          <w:tab w:val="clear" w:pos="425"/>
        </w:tabs>
        <w:ind w:left="567" w:hanging="567"/>
      </w:pPr>
      <w:r>
        <w:lastRenderedPageBreak/>
        <w:t>C24</w:t>
      </w:r>
      <w:r>
        <w:tab/>
        <w:t>basische Lösungen oder Basen in fester Form</w:t>
      </w:r>
    </w:p>
    <w:p>
      <w:pPr>
        <w:pStyle w:val="GesAbsatz"/>
        <w:tabs>
          <w:tab w:val="clear" w:pos="425"/>
        </w:tabs>
        <w:ind w:left="567" w:hanging="567"/>
      </w:pPr>
      <w:r>
        <w:t>C25</w:t>
      </w:r>
      <w:r>
        <w:tab/>
        <w:t>Asbest (Staub und Fasern)</w:t>
      </w:r>
    </w:p>
    <w:p>
      <w:pPr>
        <w:pStyle w:val="GesAbsatz"/>
        <w:tabs>
          <w:tab w:val="clear" w:pos="425"/>
        </w:tabs>
        <w:ind w:left="567" w:hanging="567"/>
      </w:pPr>
      <w:r>
        <w:t>C26</w:t>
      </w:r>
      <w:r>
        <w:tab/>
        <w:t>Phosphor; Phosphorverbindungen mit Ausnahme von phosphatischen Mineralien</w:t>
      </w:r>
    </w:p>
    <w:p>
      <w:pPr>
        <w:pStyle w:val="GesAbsatz"/>
        <w:tabs>
          <w:tab w:val="clear" w:pos="425"/>
        </w:tabs>
        <w:ind w:left="567" w:hanging="567"/>
        <w:rPr>
          <w:lang w:val="it-IT"/>
        </w:rPr>
      </w:pPr>
      <w:r>
        <w:rPr>
          <w:lang w:val="it-IT"/>
        </w:rPr>
        <w:t>C27</w:t>
      </w:r>
      <w:r>
        <w:rPr>
          <w:lang w:val="it-IT"/>
        </w:rPr>
        <w:tab/>
        <w:t>Metallcarbonyle</w:t>
      </w:r>
    </w:p>
    <w:p>
      <w:pPr>
        <w:pStyle w:val="GesAbsatz"/>
        <w:tabs>
          <w:tab w:val="clear" w:pos="425"/>
        </w:tabs>
        <w:ind w:left="567" w:hanging="567"/>
        <w:rPr>
          <w:lang w:val="it-IT"/>
        </w:rPr>
      </w:pPr>
      <w:r>
        <w:rPr>
          <w:lang w:val="it-IT"/>
        </w:rPr>
        <w:t>C28</w:t>
      </w:r>
      <w:r>
        <w:rPr>
          <w:lang w:val="it-IT"/>
        </w:rPr>
        <w:tab/>
        <w:t>Peroxide</w:t>
      </w:r>
    </w:p>
    <w:p>
      <w:pPr>
        <w:pStyle w:val="GesAbsatz"/>
        <w:tabs>
          <w:tab w:val="clear" w:pos="425"/>
        </w:tabs>
        <w:ind w:left="567" w:hanging="567"/>
        <w:rPr>
          <w:lang w:val="it-IT"/>
        </w:rPr>
      </w:pPr>
      <w:r>
        <w:rPr>
          <w:lang w:val="it-IT"/>
        </w:rPr>
        <w:t>C29</w:t>
      </w:r>
      <w:r>
        <w:rPr>
          <w:lang w:val="it-IT"/>
        </w:rPr>
        <w:tab/>
        <w:t>Chlorate</w:t>
      </w:r>
    </w:p>
    <w:p>
      <w:pPr>
        <w:pStyle w:val="GesAbsatz"/>
        <w:tabs>
          <w:tab w:val="clear" w:pos="425"/>
        </w:tabs>
        <w:ind w:left="567" w:hanging="567"/>
        <w:rPr>
          <w:lang w:val="it-IT"/>
        </w:rPr>
      </w:pPr>
      <w:r>
        <w:rPr>
          <w:lang w:val="it-IT"/>
        </w:rPr>
        <w:t>C30</w:t>
      </w:r>
      <w:r>
        <w:rPr>
          <w:lang w:val="it-IT"/>
        </w:rPr>
        <w:tab/>
        <w:t>Perchlorate</w:t>
      </w:r>
    </w:p>
    <w:p>
      <w:pPr>
        <w:pStyle w:val="GesAbsatz"/>
        <w:tabs>
          <w:tab w:val="clear" w:pos="425"/>
        </w:tabs>
        <w:ind w:left="567" w:hanging="567"/>
        <w:rPr>
          <w:lang w:val="it-IT"/>
        </w:rPr>
      </w:pPr>
      <w:r>
        <w:rPr>
          <w:lang w:val="it-IT"/>
        </w:rPr>
        <w:t>C31</w:t>
      </w:r>
      <w:r>
        <w:rPr>
          <w:lang w:val="it-IT"/>
        </w:rPr>
        <w:tab/>
        <w:t>Azide</w:t>
      </w:r>
    </w:p>
    <w:p>
      <w:pPr>
        <w:pStyle w:val="GesAbsatz"/>
        <w:tabs>
          <w:tab w:val="clear" w:pos="425"/>
        </w:tabs>
        <w:ind w:left="567" w:hanging="567"/>
      </w:pPr>
      <w:r>
        <w:t>C32</w:t>
      </w:r>
      <w:r>
        <w:tab/>
        <w:t>PCB und/oder PCT</w:t>
      </w:r>
    </w:p>
    <w:p>
      <w:pPr>
        <w:pStyle w:val="GesAbsatz"/>
        <w:tabs>
          <w:tab w:val="clear" w:pos="425"/>
        </w:tabs>
        <w:ind w:left="567" w:hanging="567"/>
      </w:pPr>
      <w:r>
        <w:t>C33</w:t>
      </w:r>
      <w:r>
        <w:tab/>
        <w:t>Arznei- oder Tierarzneimittel</w:t>
      </w:r>
    </w:p>
    <w:p>
      <w:pPr>
        <w:pStyle w:val="GesAbsatz"/>
        <w:tabs>
          <w:tab w:val="clear" w:pos="425"/>
        </w:tabs>
        <w:ind w:left="567" w:hanging="567"/>
      </w:pPr>
      <w:r>
        <w:t>C34</w:t>
      </w:r>
      <w:r>
        <w:tab/>
        <w:t>Biozide und Pflanzenschutzmittel (z. B. Pestizide)</w:t>
      </w:r>
    </w:p>
    <w:p>
      <w:pPr>
        <w:pStyle w:val="GesAbsatz"/>
        <w:tabs>
          <w:tab w:val="clear" w:pos="425"/>
        </w:tabs>
        <w:ind w:left="567" w:hanging="567"/>
      </w:pPr>
      <w:r>
        <w:t>C35</w:t>
      </w:r>
      <w:r>
        <w:tab/>
        <w:t>infektiöse Substanzen</w:t>
      </w:r>
    </w:p>
    <w:p>
      <w:pPr>
        <w:pStyle w:val="GesAbsatz"/>
        <w:tabs>
          <w:tab w:val="clear" w:pos="425"/>
        </w:tabs>
        <w:ind w:left="567" w:hanging="567"/>
      </w:pPr>
      <w:r>
        <w:t>C36</w:t>
      </w:r>
      <w:r>
        <w:tab/>
        <w:t>Kreosote</w:t>
      </w:r>
    </w:p>
    <w:p>
      <w:pPr>
        <w:pStyle w:val="GesAbsatz"/>
        <w:tabs>
          <w:tab w:val="clear" w:pos="425"/>
        </w:tabs>
        <w:ind w:left="567" w:hanging="567"/>
        <w:rPr>
          <w:lang w:val="it-IT"/>
        </w:rPr>
      </w:pPr>
      <w:r>
        <w:rPr>
          <w:lang w:val="it-IT"/>
        </w:rPr>
        <w:t>C37</w:t>
      </w:r>
      <w:r>
        <w:rPr>
          <w:lang w:val="it-IT"/>
        </w:rPr>
        <w:tab/>
        <w:t>Isocyanate, Thiocyanate</w:t>
      </w:r>
    </w:p>
    <w:p>
      <w:pPr>
        <w:pStyle w:val="GesAbsatz"/>
        <w:tabs>
          <w:tab w:val="clear" w:pos="425"/>
        </w:tabs>
        <w:ind w:left="567" w:hanging="567"/>
        <w:rPr>
          <w:lang w:val="it-IT"/>
        </w:rPr>
      </w:pPr>
      <w:r>
        <w:rPr>
          <w:lang w:val="it-IT"/>
        </w:rPr>
        <w:t>C38</w:t>
      </w:r>
      <w:r>
        <w:rPr>
          <w:lang w:val="it-IT"/>
        </w:rPr>
        <w:tab/>
        <w:t>organische Cyanide (z. B. Nitrile)</w:t>
      </w:r>
    </w:p>
    <w:p>
      <w:pPr>
        <w:pStyle w:val="GesAbsatz"/>
        <w:tabs>
          <w:tab w:val="clear" w:pos="425"/>
        </w:tabs>
        <w:ind w:left="567" w:hanging="567"/>
      </w:pPr>
      <w:r>
        <w:t>C39</w:t>
      </w:r>
      <w:r>
        <w:tab/>
        <w:t>Phenole, Phenolverbindungen</w:t>
      </w:r>
    </w:p>
    <w:p>
      <w:pPr>
        <w:pStyle w:val="GesAbsatz"/>
        <w:tabs>
          <w:tab w:val="clear" w:pos="425"/>
        </w:tabs>
        <w:ind w:left="567" w:hanging="567"/>
      </w:pPr>
      <w:r>
        <w:t>C40</w:t>
      </w:r>
      <w:r>
        <w:tab/>
        <w:t>halogenierte Lösungsmittel</w:t>
      </w:r>
    </w:p>
    <w:p>
      <w:pPr>
        <w:pStyle w:val="GesAbsatz"/>
        <w:tabs>
          <w:tab w:val="clear" w:pos="425"/>
        </w:tabs>
        <w:ind w:left="567" w:hanging="567"/>
      </w:pPr>
      <w:r>
        <w:t>C41</w:t>
      </w:r>
      <w:r>
        <w:tab/>
        <w:t>organische Lösungsmittel, ausgenommen halogenierte Lösungsmittel</w:t>
      </w:r>
    </w:p>
    <w:p>
      <w:pPr>
        <w:pStyle w:val="GesAbsatz"/>
        <w:tabs>
          <w:tab w:val="clear" w:pos="425"/>
        </w:tabs>
        <w:ind w:left="567" w:hanging="567"/>
      </w:pPr>
      <w:r>
        <w:t>C42</w:t>
      </w:r>
      <w:r>
        <w:tab/>
        <w:t>halogenorganische Verbindungen, ausgenommen inerte polymerisierte Stoffe und sonstige in diesem Anhang aufgeführte Stoffe</w:t>
      </w:r>
    </w:p>
    <w:p>
      <w:pPr>
        <w:pStyle w:val="GesAbsatz"/>
        <w:tabs>
          <w:tab w:val="clear" w:pos="425"/>
        </w:tabs>
        <w:ind w:left="567" w:hanging="567"/>
      </w:pPr>
      <w:r>
        <w:t>C43</w:t>
      </w:r>
      <w:r>
        <w:tab/>
        <w:t>aromatische Verbindungen; polyzyklische und heterozyklische organische Verbindungen</w:t>
      </w:r>
    </w:p>
    <w:p>
      <w:pPr>
        <w:pStyle w:val="GesAbsatz"/>
        <w:tabs>
          <w:tab w:val="clear" w:pos="425"/>
        </w:tabs>
        <w:ind w:left="567" w:hanging="567"/>
      </w:pPr>
      <w:r>
        <w:t>C44</w:t>
      </w:r>
      <w:r>
        <w:tab/>
        <w:t>aliphatische Amine</w:t>
      </w:r>
    </w:p>
    <w:p>
      <w:pPr>
        <w:pStyle w:val="GesAbsatz"/>
        <w:tabs>
          <w:tab w:val="clear" w:pos="425"/>
        </w:tabs>
        <w:ind w:left="567" w:hanging="567"/>
      </w:pPr>
      <w:r>
        <w:t>C45</w:t>
      </w:r>
      <w:r>
        <w:tab/>
        <w:t>aromatische Amine</w:t>
      </w:r>
    </w:p>
    <w:p>
      <w:pPr>
        <w:pStyle w:val="GesAbsatz"/>
        <w:tabs>
          <w:tab w:val="clear" w:pos="425"/>
        </w:tabs>
        <w:ind w:left="567" w:hanging="567"/>
      </w:pPr>
      <w:r>
        <w:t>C46</w:t>
      </w:r>
      <w:r>
        <w:tab/>
        <w:t>Ether</w:t>
      </w:r>
    </w:p>
    <w:p>
      <w:pPr>
        <w:pStyle w:val="GesAbsatz"/>
        <w:tabs>
          <w:tab w:val="clear" w:pos="425"/>
        </w:tabs>
        <w:ind w:left="567" w:hanging="567"/>
      </w:pPr>
      <w:r>
        <w:t>C47</w:t>
      </w:r>
      <w:r>
        <w:tab/>
        <w:t>explosive Stoffe mit Ausnahme der an anderer Stelle dieses Anhangs aufgeführten Stoffe</w:t>
      </w:r>
    </w:p>
    <w:p>
      <w:pPr>
        <w:pStyle w:val="GesAbsatz"/>
        <w:tabs>
          <w:tab w:val="clear" w:pos="425"/>
        </w:tabs>
        <w:ind w:left="567" w:hanging="567"/>
      </w:pPr>
      <w:r>
        <w:t>C48</w:t>
      </w:r>
      <w:r>
        <w:tab/>
        <w:t>schwefelorganische Verbindungen</w:t>
      </w:r>
    </w:p>
    <w:p>
      <w:pPr>
        <w:pStyle w:val="GesAbsatz"/>
        <w:tabs>
          <w:tab w:val="clear" w:pos="425"/>
        </w:tabs>
        <w:ind w:left="567" w:hanging="567"/>
      </w:pPr>
      <w:r>
        <w:t>C49</w:t>
      </w:r>
      <w:r>
        <w:tab/>
        <w:t>alle Kongenere der polychlorierten Dibenzofurane</w:t>
      </w:r>
    </w:p>
    <w:p>
      <w:pPr>
        <w:pStyle w:val="GesAbsatz"/>
        <w:tabs>
          <w:tab w:val="clear" w:pos="425"/>
        </w:tabs>
        <w:ind w:left="567" w:hanging="567"/>
      </w:pPr>
      <w:r>
        <w:t>C50</w:t>
      </w:r>
      <w:r>
        <w:tab/>
        <w:t>alle Kongenere der polychlorierten Dibenzoparadioxine</w:t>
      </w:r>
    </w:p>
    <w:p>
      <w:pPr>
        <w:pStyle w:val="GesAbsatz"/>
        <w:tabs>
          <w:tab w:val="clear" w:pos="425"/>
        </w:tabs>
        <w:ind w:left="567" w:hanging="567"/>
      </w:pPr>
      <w:r>
        <w:t>C51</w:t>
      </w:r>
      <w:r>
        <w:tab/>
        <w:t>Kohlenwasserstoffe und ihre Sauerstoff-, Stickstoff- und/oder Schwefelverbindungen, die in diesem Anhang nicht eigens genannt sind.</w:t>
      </w:r>
    </w:p>
    <w:p>
      <w:pPr>
        <w:pStyle w:val="berschrift2"/>
        <w:jc w:val="left"/>
      </w:pPr>
      <w:bookmarkStart w:id="54" w:name="_Toc417456276"/>
      <w:bookmarkStart w:id="55" w:name="_Toc448017897"/>
      <w:bookmarkStart w:id="56" w:name="_Toc200423898"/>
      <w:r>
        <w:t>Anhang III:</w:t>
      </w:r>
      <w:r>
        <w:br/>
        <w:t>Gefahrenrelevante Eigenschaften der Abfälle</w:t>
      </w:r>
      <w:bookmarkEnd w:id="54"/>
      <w:bookmarkEnd w:id="55"/>
      <w:bookmarkEnd w:id="56"/>
    </w:p>
    <w:p>
      <w:pPr>
        <w:pStyle w:val="GesAbsatz"/>
        <w:tabs>
          <w:tab w:val="clear" w:pos="425"/>
        </w:tabs>
        <w:ind w:left="709" w:hanging="709"/>
      </w:pPr>
      <w:r>
        <w:t>H1</w:t>
      </w:r>
      <w:r>
        <w:tab/>
        <w:t>„explosiv“: Stoffe und Zubereitungen, die unter Einwirkung einer Flamme explodieren können oder empfindlicher auf Stöße oder Reibung reagieren als Dinitrobenzol;</w:t>
      </w:r>
    </w:p>
    <w:p>
      <w:pPr>
        <w:pStyle w:val="GesAbsatz"/>
        <w:tabs>
          <w:tab w:val="clear" w:pos="425"/>
        </w:tabs>
        <w:ind w:left="709" w:hanging="709"/>
      </w:pPr>
      <w:r>
        <w:t>H2</w:t>
      </w:r>
      <w:r>
        <w:tab/>
        <w:t>„brandfördernd“: Stoffe und Zubereitungen, die bei Berührung mit anderen, insbesondere brennbaren Stoffen eine stark exotherme Reaktion auslösen;</w:t>
      </w:r>
    </w:p>
    <w:p>
      <w:pPr>
        <w:pStyle w:val="GesAbsatz"/>
        <w:tabs>
          <w:tab w:val="clear" w:pos="425"/>
        </w:tabs>
        <w:ind w:left="709" w:hanging="709"/>
      </w:pPr>
      <w:r>
        <w:t>H3-A</w:t>
      </w:r>
      <w:r>
        <w:tab/>
        <w:t>„leicht entzündbar“:</w:t>
      </w:r>
    </w:p>
    <w:p>
      <w:pPr>
        <w:pStyle w:val="GesAbsatz"/>
        <w:ind w:left="1134" w:hanging="425"/>
      </w:pPr>
      <w:r>
        <w:t>-</w:t>
      </w:r>
      <w:r>
        <w:tab/>
        <w:t>Stoffe und Zubereitungen in flüssiger Form mit einem Flammpunkt von weniger als 21 °C (einschließlich hochentzündbarer Flüssigkeiten) oder</w:t>
      </w:r>
    </w:p>
    <w:p>
      <w:pPr>
        <w:pStyle w:val="GesAbsatz"/>
        <w:ind w:left="1134" w:hanging="425"/>
      </w:pPr>
      <w:r>
        <w:t>-</w:t>
      </w:r>
      <w:r>
        <w:tab/>
        <w:t>Stoffe und Zubereitungen, die sich an der Luft bei normaler Temperatur und ohne Energiezufuhr erwärmen und schließlich entzünden oder</w:t>
      </w:r>
    </w:p>
    <w:p>
      <w:pPr>
        <w:pStyle w:val="GesAbsatz"/>
        <w:ind w:left="1134" w:hanging="425"/>
      </w:pPr>
      <w:r>
        <w:t>-</w:t>
      </w:r>
      <w:r>
        <w:tab/>
        <w:t>feste Stoffe und Zubereitungen, die sich unter Einwirkung einer Zündquelle leicht entzünden und nach Entfernung der Zündquelle weiterbrennen oder</w:t>
      </w:r>
    </w:p>
    <w:p>
      <w:pPr>
        <w:pStyle w:val="GesAbsatz"/>
        <w:ind w:left="1134" w:hanging="425"/>
      </w:pPr>
      <w:r>
        <w:t>-</w:t>
      </w:r>
      <w:r>
        <w:tab/>
        <w:t>unter Normaldruck an der Luft entzündbare gasförmige Stoffe und Zubereitungen oder</w:t>
      </w:r>
    </w:p>
    <w:p>
      <w:pPr>
        <w:pStyle w:val="GesAbsatz"/>
        <w:ind w:left="1134" w:hanging="425"/>
      </w:pPr>
      <w:r>
        <w:t>-</w:t>
      </w:r>
      <w:r>
        <w:tab/>
        <w:t>Stoffe und Zubereitungen, die bei Berührung mit Wasser oder feuchter Luft gefährliche Mengen leicht brennbarer Gase abscheiden;</w:t>
      </w:r>
    </w:p>
    <w:p>
      <w:pPr>
        <w:pStyle w:val="GesAbsatz"/>
        <w:tabs>
          <w:tab w:val="clear" w:pos="425"/>
        </w:tabs>
        <w:ind w:left="709" w:hanging="709"/>
      </w:pPr>
      <w:r>
        <w:lastRenderedPageBreak/>
        <w:t>H3-B</w:t>
      </w:r>
      <w:r>
        <w:tab/>
        <w:t>„entzündbar“: flüssige Stoffe und Zubereitungen mit einem Flammpunkt von mindestens 21 °C und höchstens 55 °C;</w:t>
      </w:r>
    </w:p>
    <w:p>
      <w:pPr>
        <w:pStyle w:val="GesAbsatz"/>
        <w:tabs>
          <w:tab w:val="clear" w:pos="425"/>
        </w:tabs>
        <w:ind w:left="709" w:hanging="709"/>
      </w:pPr>
      <w:r>
        <w:t>H4</w:t>
      </w:r>
      <w:r>
        <w:tab/>
        <w:t>„reizend“: nicht ätzende Stoffe und Zubereitungen, die bei unmittelbarer, länger dauernder oder wiederholter Berührung mit der Haut oder den Schleimhäuten eine Entzündungsreaktion hervorrufen können;</w:t>
      </w:r>
    </w:p>
    <w:p>
      <w:pPr>
        <w:pStyle w:val="GesAbsatz"/>
        <w:tabs>
          <w:tab w:val="clear" w:pos="425"/>
        </w:tabs>
        <w:ind w:left="709" w:hanging="709"/>
      </w:pPr>
      <w:r>
        <w:t>H5</w:t>
      </w:r>
      <w:r>
        <w:tab/>
        <w:t>„gesundheitsschädlich“: Stoffe und Zubereitungen, die bei Einatmung, Einnahme oder Hautdurchdringung Gefahren von beschränkter Tragweite hervorrufen können;</w:t>
      </w:r>
    </w:p>
    <w:p>
      <w:pPr>
        <w:pStyle w:val="GesAbsatz"/>
        <w:tabs>
          <w:tab w:val="clear" w:pos="425"/>
        </w:tabs>
        <w:ind w:left="709" w:hanging="709"/>
      </w:pPr>
      <w:r>
        <w:t>H6</w:t>
      </w:r>
      <w:r>
        <w:tab/>
        <w:t>„giftig“: Stoffe und Zubereitungen (einschließlich der hochgiftigen Stoffe und Zubereitungen), die bei Einatmung, Einnahme oder Hautdurchdringung schwere, akute oder chronische Gefahren oder sogar den Tod verursachen können;</w:t>
      </w:r>
    </w:p>
    <w:p>
      <w:pPr>
        <w:pStyle w:val="GesAbsatz"/>
        <w:tabs>
          <w:tab w:val="clear" w:pos="425"/>
        </w:tabs>
        <w:ind w:left="709" w:hanging="709"/>
      </w:pPr>
      <w:r>
        <w:t>H7</w:t>
      </w:r>
      <w:r>
        <w:tab/>
        <w:t>„krebserzeugend“: Stoffe und Zubereitungen, die bei Einatmung, Einnahme oder Hautdurchdringung Krebs erzeugen oder dessen Häufigkeit erhöhen können;</w:t>
      </w:r>
    </w:p>
    <w:p>
      <w:pPr>
        <w:pStyle w:val="GesAbsatz"/>
        <w:tabs>
          <w:tab w:val="clear" w:pos="425"/>
        </w:tabs>
        <w:ind w:left="709" w:hanging="709"/>
      </w:pPr>
      <w:r>
        <w:t>H8</w:t>
      </w:r>
      <w:r>
        <w:tab/>
        <w:t>„ätzend“: Stoffe und Zubereitungen, die bei Berührung mit lebenden Geweben zerstörend auf diese einwirken können;</w:t>
      </w:r>
    </w:p>
    <w:p>
      <w:pPr>
        <w:pStyle w:val="GesAbsatz"/>
        <w:tabs>
          <w:tab w:val="clear" w:pos="425"/>
        </w:tabs>
        <w:ind w:left="709" w:hanging="709"/>
      </w:pPr>
      <w:r>
        <w:t>H9</w:t>
      </w:r>
      <w:r>
        <w:tab/>
        <w:t>„infektiös“: Stoffe, die lebensfähige Mikroorganismen oder ihre Toxine enthalten und die im Menschen oder sonstigen Lebewesen erwiesenermaßen oder vermutlich eine Krankheit hervorrufen;</w:t>
      </w:r>
    </w:p>
    <w:p>
      <w:pPr>
        <w:pStyle w:val="GesAbsatz"/>
        <w:tabs>
          <w:tab w:val="clear" w:pos="425"/>
        </w:tabs>
        <w:ind w:left="709" w:hanging="709"/>
      </w:pPr>
      <w:r>
        <w:t>H10</w:t>
      </w:r>
      <w:r>
        <w:tab/>
        <w:t>„teratogen“: Stoffe und Zubereitungen, die bei Einatmung, Einnahme oder Hautdurchdringung nichterbliche angeborene Mißbildungen hervorrufen oder deren Häufigkeit erhöhen können;</w:t>
      </w:r>
    </w:p>
    <w:p>
      <w:pPr>
        <w:pStyle w:val="GesAbsatz"/>
        <w:tabs>
          <w:tab w:val="clear" w:pos="425"/>
        </w:tabs>
        <w:ind w:left="709" w:hanging="709"/>
      </w:pPr>
      <w:r>
        <w:t>H11</w:t>
      </w:r>
      <w:r>
        <w:tab/>
        <w:t>„mutagen“: Stoffe und Zubereitungen, die bei Einatmung, Einnahme oder Hautdurchdringung Erbschäden hervorrufen oder ihre Häufigkeit erhöhen können;</w:t>
      </w:r>
    </w:p>
    <w:p>
      <w:pPr>
        <w:pStyle w:val="GesAbsatz"/>
        <w:tabs>
          <w:tab w:val="clear" w:pos="425"/>
        </w:tabs>
        <w:ind w:left="709" w:hanging="709"/>
      </w:pPr>
      <w:r>
        <w:t>H12</w:t>
      </w:r>
      <w:r>
        <w:tab/>
        <w:t>Stoffe und Zubereitungen, die bei der Berührung mit Wasser, Luft oder einer Säure ein giftiges oder sehr giftiges Gas abscheiden;</w:t>
      </w:r>
    </w:p>
    <w:p>
      <w:pPr>
        <w:pStyle w:val="GesAbsatz"/>
        <w:tabs>
          <w:tab w:val="clear" w:pos="425"/>
        </w:tabs>
        <w:ind w:left="709" w:hanging="709"/>
      </w:pPr>
      <w:r>
        <w:t>H13</w:t>
      </w:r>
      <w:r>
        <w:tab/>
        <w:t>Stoffe und Zubereitungen, die nach Beseitigung auf irgendeine Art die Entstehung eines anderen Stoffes bewirken können, z. B. ein Auslaugungsprodukt, das eine der oben genannten Eigenschaften aufweist;</w:t>
      </w:r>
    </w:p>
    <w:p>
      <w:pPr>
        <w:pStyle w:val="GesAbsatz"/>
        <w:tabs>
          <w:tab w:val="clear" w:pos="425"/>
        </w:tabs>
        <w:ind w:left="709" w:hanging="709"/>
      </w:pPr>
      <w:r>
        <w:t>H14</w:t>
      </w:r>
      <w:r>
        <w:tab/>
        <w:t>„ökotoxisch“: Stoffe und Zubereitungen, die unmittelbare oder mittelbare Gefahren für einen oder mehrere Umweltbereiche darstellen können.</w:t>
      </w:r>
    </w:p>
    <w:p>
      <w:pPr>
        <w:pStyle w:val="GesAbsatz"/>
        <w:rPr>
          <w:b/>
        </w:rPr>
      </w:pPr>
      <w:r>
        <w:rPr>
          <w:b/>
        </w:rPr>
        <w:t>Anmerkungen</w:t>
      </w:r>
    </w:p>
    <w:p>
      <w:pPr>
        <w:pStyle w:val="GesAbsatz"/>
        <w:tabs>
          <w:tab w:val="clear" w:pos="425"/>
          <w:tab w:val="left" w:pos="426"/>
        </w:tabs>
        <w:ind w:left="426" w:hanging="426"/>
      </w:pPr>
      <w:r>
        <w:t>1.</w:t>
      </w:r>
      <w:r>
        <w:tab/>
        <w:t>Die Bezeichnung als „giftig“ (und „sehr giftig“), „gesundheitsschädlich“, „ätzend“ und „reizend“ erfolgt nach den Kriterien in Anhang VI Teil I.A und Teil II.B der Richtlinie 67/548/EWG des Rates vom 27. Juni 1967 zur Angleichung der Rechts- und Verwaltungsvorschriften für die Einstufung, Verpackung und Kennzeichnung gefährlicher Stoffe</w:t>
      </w:r>
      <w:r>
        <w:rPr>
          <w:rStyle w:val="Funotenzeichen"/>
        </w:rPr>
        <w:footnoteReference w:id="15"/>
      </w:r>
      <w:r>
        <w:t>, geändert durch die Richtlinie 79/831/EWG des Rates</w:t>
      </w:r>
      <w:r>
        <w:rPr>
          <w:rStyle w:val="Funotenzeichen"/>
        </w:rPr>
        <w:footnoteReference w:id="16"/>
      </w:r>
      <w:r>
        <w:t>.</w:t>
      </w:r>
    </w:p>
    <w:p>
      <w:pPr>
        <w:pStyle w:val="GesAbsatz"/>
        <w:tabs>
          <w:tab w:val="clear" w:pos="425"/>
          <w:tab w:val="left" w:pos="426"/>
        </w:tabs>
        <w:ind w:left="426" w:hanging="426"/>
      </w:pPr>
      <w:r>
        <w:t>2.</w:t>
      </w:r>
      <w:r>
        <w:tab/>
        <w:t>Zusätzliche Angaben zu den Bezeichnungen „krebserzeugend“, „teratogen“ und „mutagen“ unter Berücksichtigung des derzeitigen Kenntnisstandes sind im Leitfaden für die Einstufung und Kennzeichnung gefährlicher Stoffe und Zubereitungen in Anhang VI (Teil II.D) der Richtlinie 67/548/EWG, geändert durch die Richtlinie 83/467/EWG der Kommission</w:t>
      </w:r>
      <w:r>
        <w:rPr>
          <w:rStyle w:val="Funotenzeichen"/>
        </w:rPr>
        <w:footnoteReference w:id="17"/>
      </w:r>
      <w:r>
        <w:t>, enthalten.</w:t>
      </w:r>
    </w:p>
    <w:p>
      <w:pPr>
        <w:tabs>
          <w:tab w:val="clear" w:pos="425"/>
        </w:tabs>
      </w:pPr>
    </w:p>
    <w:p>
      <w:pPr>
        <w:tabs>
          <w:tab w:val="clear" w:pos="425"/>
        </w:tabs>
      </w:pPr>
      <w:r>
        <w:t>Prüfmethoden</w:t>
      </w:r>
    </w:p>
    <w:p>
      <w:pPr>
        <w:pStyle w:val="GesAbsatz"/>
      </w:pPr>
      <w:r>
        <w:t>Die Prüfmethoden sollen den Definitionen in Anhang III spezifische Bedeutung verleihen.</w:t>
      </w:r>
    </w:p>
    <w:p>
      <w:pPr>
        <w:pStyle w:val="GesAbsatz"/>
      </w:pPr>
      <w:r>
        <w:t>Die anzuwendenden Methoden sind in Anhang V der Richtlinie 67/548/EWG, geändert durch die Richtlinie 84/449/EWG der Kommission</w:t>
      </w:r>
      <w:r>
        <w:rPr>
          <w:rStyle w:val="Funotenzeichen"/>
        </w:rPr>
        <w:footnoteReference w:id="18"/>
      </w:r>
      <w:r>
        <w:t>, oder den späteren Richtlinien der Kommission zur Anpassung der Richtlinie 67/548/EWG an den technischen Fortschritt festgelegt. Diese Methoden beruhen ihrerseits auf den Arbeiten und Empfehlungen der zuständigen internationalen Stellen, insbesondere der OECD</w:t>
      </w:r>
    </w:p>
    <w:p>
      <w:pPr>
        <w:tabs>
          <w:tab w:val="clear" w:pos="425"/>
        </w:tabs>
      </w:pPr>
    </w:p>
    <w:sectPr>
      <w:headerReference w:type="default" r:id="rId9"/>
      <w:footerReference w:type="even" r:id="rId10"/>
      <w:footerReference w:type="default" r:id="rId11"/>
      <w:pgSz w:w="11906" w:h="16838"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smartTag w:uri="urn:schemas-microsoft-com:office:smarttags" w:element="date">
      <w:smartTagPr>
        <w:attr w:name="ls" w:val="trans"/>
        <w:attr w:name="Month" w:val="12"/>
        <w:attr w:name="Day" w:val="12"/>
        <w:attr w:name="Year" w:val="1991"/>
      </w:smartTagPr>
      <w:r>
        <w:t>12.12.1991</w:t>
      </w:r>
    </w:smartTag>
    <w:r>
      <w:t xml:space="preserve"> (ABl. L 377 v. </w:t>
    </w:r>
    <w:smartTag w:uri="urn:schemas-microsoft-com:office:smarttags" w:element="date">
      <w:smartTagPr>
        <w:attr w:name="ls" w:val="trans"/>
        <w:attr w:name="Month" w:val="12"/>
        <w:attr w:name="Day" w:val="31"/>
        <w:attr w:name="Year" w:val="1991"/>
      </w:smartTagPr>
      <w:r>
        <w:t>31.12.1991</w:t>
      </w:r>
    </w:smartTag>
    <w:r>
      <w:t xml:space="preserve"> S. 20)</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US"/>
      </w:rPr>
      <w:t>Stand 19.11.2008 (ABl. L 312</w:t>
    </w:r>
    <w:r>
      <w:rPr>
        <w:lang w:val="en-GB"/>
      </w:rPr>
      <w:t xml:space="preserve"> v. 22.11.2008 S.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295 vom </w:t>
      </w:r>
      <w:smartTag w:uri="urn:schemas-microsoft-com:office:smarttags" w:element="date">
        <w:smartTagPr>
          <w:attr w:name="ls" w:val="trans"/>
          <w:attr w:name="Month" w:val="11"/>
          <w:attr w:name="Day" w:val="19"/>
          <w:attr w:name="Year" w:val="1988"/>
        </w:smartTagPr>
        <w:r>
          <w:t>19.11.1988</w:t>
        </w:r>
      </w:smartTag>
      <w:r>
        <w:t xml:space="preserve">, S. 8, und ABl. Nr. C 42 vom </w:t>
      </w:r>
      <w:smartTag w:uri="urn:schemas-microsoft-com:office:smarttags" w:element="date">
        <w:smartTagPr>
          <w:attr w:name="ls" w:val="trans"/>
          <w:attr w:name="Month" w:val="2"/>
          <w:attr w:name="Day" w:val="22"/>
          <w:attr w:name="Year" w:val="1990"/>
        </w:smartTagPr>
        <w:r>
          <w:t>22.2.1990</w:t>
        </w:r>
      </w:smartTag>
      <w:r>
        <w:t>, S. 19.</w:t>
      </w:r>
    </w:p>
  </w:footnote>
  <w:footnote w:id="2">
    <w:p>
      <w:pPr>
        <w:pStyle w:val="Funotentext"/>
      </w:pPr>
      <w:r>
        <w:rPr>
          <w:rStyle w:val="Funotenzeichen"/>
        </w:rPr>
        <w:footnoteRef/>
      </w:r>
      <w:r>
        <w:t xml:space="preserve"> ABl. Nr. C 158 vom </w:t>
      </w:r>
      <w:smartTag w:uri="urn:schemas-microsoft-com:office:smarttags" w:element="date">
        <w:smartTagPr>
          <w:attr w:name="ls" w:val="trans"/>
          <w:attr w:name="Month" w:val="6"/>
          <w:attr w:name="Day" w:val="26"/>
          <w:attr w:name="Year" w:val="1989"/>
        </w:smartTagPr>
        <w:r>
          <w:t>26.6.1989</w:t>
        </w:r>
      </w:smartTag>
      <w:r>
        <w:t>, S. 238.</w:t>
      </w:r>
    </w:p>
  </w:footnote>
  <w:footnote w:id="3">
    <w:p>
      <w:pPr>
        <w:pStyle w:val="Funotentext"/>
      </w:pPr>
      <w:r>
        <w:rPr>
          <w:rStyle w:val="Funotenzeichen"/>
        </w:rPr>
        <w:footnoteRef/>
      </w:r>
      <w:r>
        <w:t xml:space="preserve"> ABl. Nr. C 56 vom </w:t>
      </w:r>
      <w:smartTag w:uri="urn:schemas-microsoft-com:office:smarttags" w:element="date">
        <w:smartTagPr>
          <w:attr w:name="ls" w:val="trans"/>
          <w:attr w:name="Month" w:val="3"/>
          <w:attr w:name="Day" w:val="6"/>
          <w:attr w:name="Year" w:val="1989"/>
        </w:smartTagPr>
        <w:r>
          <w:t>6.3.1989</w:t>
        </w:r>
      </w:smartTag>
      <w:r>
        <w:t>, S. 2.</w:t>
      </w:r>
    </w:p>
  </w:footnote>
  <w:footnote w:id="4">
    <w:p>
      <w:pPr>
        <w:pStyle w:val="Funotentext"/>
      </w:pPr>
      <w:r>
        <w:rPr>
          <w:rStyle w:val="Funotenzeichen"/>
        </w:rPr>
        <w:footnoteRef/>
      </w:r>
      <w:r>
        <w:t xml:space="preserve"> ABl. Nr. L 84 vom </w:t>
      </w:r>
      <w:smartTag w:uri="urn:schemas-microsoft-com:office:smarttags" w:element="date">
        <w:smartTagPr>
          <w:attr w:name="ls" w:val="trans"/>
          <w:attr w:name="Month" w:val="3"/>
          <w:attr w:name="Day" w:val="31"/>
          <w:attr w:name="Year" w:val="1978"/>
        </w:smartTagPr>
        <w:r>
          <w:t>31.3.1978</w:t>
        </w:r>
      </w:smartTag>
      <w:r>
        <w:t>, S. 43.</w:t>
      </w:r>
    </w:p>
  </w:footnote>
  <w:footnote w:id="5">
    <w:p>
      <w:pPr>
        <w:pStyle w:val="Funotentext"/>
      </w:pPr>
      <w:r>
        <w:rPr>
          <w:rStyle w:val="Funotenzeichen"/>
        </w:rPr>
        <w:footnoteRef/>
      </w:r>
      <w:r>
        <w:t xml:space="preserve"> ABl. Nr. C 122 vom </w:t>
      </w:r>
      <w:smartTag w:uri="urn:schemas-microsoft-com:office:smarttags" w:element="date">
        <w:smartTagPr>
          <w:attr w:name="ls" w:val="trans"/>
          <w:attr w:name="Month" w:val="5"/>
          <w:attr w:name="Day" w:val="18"/>
          <w:attr w:name="Year" w:val="1990"/>
        </w:smartTagPr>
        <w:r>
          <w:t>18.5.1990</w:t>
        </w:r>
      </w:smartTag>
      <w:r>
        <w:t>, S. 2.</w:t>
      </w:r>
    </w:p>
  </w:footnote>
  <w:footnote w:id="6">
    <w:p>
      <w:pPr>
        <w:pStyle w:val="Funotentext"/>
      </w:pPr>
      <w:r>
        <w:rPr>
          <w:rStyle w:val="Funotenzeichen"/>
        </w:rPr>
        <w:footnoteRef/>
      </w:r>
      <w:r>
        <w:t xml:space="preserve"> ABl. Nr. C 328 vom </w:t>
      </w:r>
      <w:smartTag w:uri="urn:schemas-microsoft-com:office:smarttags" w:element="date">
        <w:smartTagPr>
          <w:attr w:name="ls" w:val="trans"/>
          <w:attr w:name="Month" w:val="12"/>
          <w:attr w:name="Day" w:val="7"/>
          <w:attr w:name="Year" w:val="1987"/>
        </w:smartTagPr>
        <w:r>
          <w:t>7.12.1987</w:t>
        </w:r>
      </w:smartTag>
      <w:r>
        <w:t>, S. 1.</w:t>
      </w:r>
    </w:p>
  </w:footnote>
  <w:footnote w:id="7">
    <w:p>
      <w:pPr>
        <w:pStyle w:val="Funotentext"/>
      </w:pPr>
      <w:r>
        <w:rPr>
          <w:rStyle w:val="Funotenzeichen"/>
        </w:rPr>
        <w:footnoteRef/>
      </w:r>
      <w:r>
        <w:t xml:space="preserve"> ABl. Nr. L 194 vom </w:t>
      </w:r>
      <w:smartTag w:uri="urn:schemas-microsoft-com:office:smarttags" w:element="date">
        <w:smartTagPr>
          <w:attr w:name="ls" w:val="trans"/>
          <w:attr w:name="Month" w:val="7"/>
          <w:attr w:name="Day" w:val="25"/>
          <w:attr w:name="Year" w:val="1975"/>
        </w:smartTagPr>
        <w:r>
          <w:t>25.7.1975</w:t>
        </w:r>
      </w:smartTag>
      <w:r>
        <w:t>, S. 47.</w:t>
      </w:r>
    </w:p>
  </w:footnote>
  <w:footnote w:id="8">
    <w:p>
      <w:pPr>
        <w:pStyle w:val="Funotentext"/>
      </w:pPr>
      <w:r>
        <w:rPr>
          <w:rStyle w:val="Funotenzeichen"/>
        </w:rPr>
        <w:footnoteRef/>
      </w:r>
      <w:r>
        <w:t xml:space="preserve"> ABl. Nr. L 78 vom </w:t>
      </w:r>
      <w:smartTag w:uri="urn:schemas-microsoft-com:office:smarttags" w:element="date">
        <w:smartTagPr>
          <w:attr w:name="ls" w:val="trans"/>
          <w:attr w:name="Month" w:val="3"/>
          <w:attr w:name="Day" w:val="26"/>
          <w:attr w:name="Year" w:val="1991"/>
        </w:smartTagPr>
        <w:r>
          <w:t>26.3.1991</w:t>
        </w:r>
      </w:smartTag>
      <w:r>
        <w:t>, S. 32.</w:t>
      </w:r>
    </w:p>
  </w:footnote>
  <w:footnote w:id="9">
    <w:p>
      <w:pPr>
        <w:pStyle w:val="Funotentext"/>
      </w:pPr>
      <w:r>
        <w:rPr>
          <w:rStyle w:val="Funotenzeichen"/>
        </w:rPr>
        <w:t>*)</w:t>
      </w:r>
      <w:r>
        <w:t xml:space="preserve"> ABl. L 226 vom 6.9.2000, S. 3.</w:t>
      </w:r>
    </w:p>
  </w:footnote>
  <w:footnote w:id="10">
    <w:p>
      <w:pPr>
        <w:pStyle w:val="Funotentext"/>
      </w:pPr>
      <w:r>
        <w:rPr>
          <w:rStyle w:val="Funotenzeichen"/>
        </w:rPr>
        <w:t>**)</w:t>
      </w:r>
      <w:r>
        <w:t xml:space="preserve"> ABl. L 114 vom 27.4.2006, S. 9.</w:t>
      </w:r>
    </w:p>
  </w:footnote>
  <w:footnote w:id="11">
    <w:p>
      <w:pPr>
        <w:pStyle w:val="Funotentext"/>
      </w:pPr>
      <w:r>
        <w:rPr>
          <w:rStyle w:val="Funotenzeichen"/>
        </w:rPr>
        <w:footnoteRef/>
      </w:r>
      <w:r>
        <w:t xml:space="preserve">ABl. Nr. L 326 vom </w:t>
      </w:r>
      <w:smartTag w:uri="urn:schemas-microsoft-com:office:smarttags" w:element="date">
        <w:smartTagPr>
          <w:attr w:name="ls" w:val="trans"/>
          <w:attr w:name="Month" w:val="12"/>
          <w:attr w:name="Day" w:val="13"/>
          <w:attr w:name="Year" w:val="1984"/>
        </w:smartTagPr>
        <w:r>
          <w:t>13.12.1984</w:t>
        </w:r>
      </w:smartTag>
      <w:r>
        <w:t>, S. 31.</w:t>
      </w:r>
    </w:p>
  </w:footnote>
  <w:footnote w:id="12">
    <w:p>
      <w:pPr>
        <w:pStyle w:val="Funotentext"/>
      </w:pPr>
      <w:r>
        <w:rPr>
          <w:rStyle w:val="Funotenzeichen"/>
        </w:rPr>
        <w:footnoteRef/>
      </w:r>
      <w:r>
        <w:t xml:space="preserve"> ABl. Nr. L 181 vom </w:t>
      </w:r>
      <w:smartTag w:uri="urn:schemas-microsoft-com:office:smarttags" w:element="date">
        <w:smartTagPr>
          <w:attr w:name="ls" w:val="trans"/>
          <w:attr w:name="Month" w:val="7"/>
          <w:attr w:name="Day" w:val="4"/>
          <w:attr w:name="Year" w:val="1986"/>
        </w:smartTagPr>
        <w:r>
          <w:t>4.7.1986</w:t>
        </w:r>
      </w:smartTag>
      <w:r>
        <w:t>, S. 13.</w:t>
      </w:r>
    </w:p>
  </w:footnote>
  <w:footnote w:id="13">
    <w:p>
      <w:pPr>
        <w:pStyle w:val="Funotentext"/>
      </w:pPr>
      <w:r>
        <w:rPr>
          <w:rStyle w:val="Funotenzeichen"/>
        </w:rPr>
        <w:footnoteRef/>
      </w:r>
      <w:r>
        <w:t xml:space="preserve"> Bestimmte Wiederholungen gegenüber den Aufzählungen in Anhang II sind beabsichtigt.</w:t>
      </w:r>
    </w:p>
  </w:footnote>
  <w:footnote w:id="14">
    <w:p>
      <w:pPr>
        <w:pStyle w:val="Funotentext"/>
      </w:pPr>
      <w:r>
        <w:rPr>
          <w:rStyle w:val="Funotenzeichen"/>
        </w:rPr>
        <w:footnoteRef/>
      </w:r>
      <w:r>
        <w:t xml:space="preserve"> Bestimmte Wiederholungen gegenüber </w:t>
      </w:r>
      <w:proofErr w:type="gramStart"/>
      <w:r>
        <w:t>der Arten</w:t>
      </w:r>
      <w:proofErr w:type="gramEnd"/>
      <w:r>
        <w:t xml:space="preserve"> von gefährlichen Abfällen, die in Anhang I aufgezählt werden, sind beabsichtigt.</w:t>
      </w:r>
    </w:p>
  </w:footnote>
  <w:footnote w:id="15">
    <w:p>
      <w:pPr>
        <w:pStyle w:val="Fuzeile"/>
      </w:pPr>
      <w:r>
        <w:rPr>
          <w:rStyle w:val="Funotenzeichen"/>
        </w:rPr>
        <w:footnoteRef/>
      </w:r>
      <w:r>
        <w:t xml:space="preserve"> ABl. Nr. L 196 vom 16.8.1967, S. 1</w:t>
      </w:r>
    </w:p>
  </w:footnote>
  <w:footnote w:id="16">
    <w:p>
      <w:pPr>
        <w:pStyle w:val="Fuzeile"/>
      </w:pPr>
      <w:r>
        <w:rPr>
          <w:rStyle w:val="Funotenzeichen"/>
        </w:rPr>
        <w:footnoteRef/>
      </w:r>
      <w:r>
        <w:t xml:space="preserve"> ABl. Nr. L 259 vom </w:t>
      </w:r>
      <w:smartTag w:uri="urn:schemas-microsoft-com:office:smarttags" w:element="date">
        <w:smartTagPr>
          <w:attr w:name="ls" w:val="trans"/>
          <w:attr w:name="Month" w:val="10"/>
          <w:attr w:name="Day" w:val="15"/>
          <w:attr w:name="Year" w:val="1979"/>
        </w:smartTagPr>
        <w:r>
          <w:t>15.10.1979</w:t>
        </w:r>
      </w:smartTag>
      <w:r>
        <w:t>, S. 10</w:t>
      </w:r>
    </w:p>
  </w:footnote>
  <w:footnote w:id="17">
    <w:p>
      <w:pPr>
        <w:pStyle w:val="Fuzeile"/>
      </w:pPr>
      <w:r>
        <w:rPr>
          <w:rStyle w:val="Funotenzeichen"/>
        </w:rPr>
        <w:footnoteRef/>
      </w:r>
      <w:r>
        <w:t xml:space="preserve"> ABl. Nr. L 257 vom </w:t>
      </w:r>
      <w:smartTag w:uri="urn:schemas-microsoft-com:office:smarttags" w:element="date">
        <w:smartTagPr>
          <w:attr w:name="ls" w:val="trans"/>
          <w:attr w:name="Month" w:val="9"/>
          <w:attr w:name="Day" w:val="16"/>
          <w:attr w:name="Year" w:val="1983"/>
        </w:smartTagPr>
        <w:r>
          <w:t>16.9.1983</w:t>
        </w:r>
      </w:smartTag>
      <w:r>
        <w:t>, S. 1</w:t>
      </w:r>
    </w:p>
  </w:footnote>
  <w:footnote w:id="18">
    <w:p>
      <w:pPr>
        <w:pStyle w:val="Fuzeile"/>
      </w:pPr>
      <w:r>
        <w:rPr>
          <w:rStyle w:val="Funotenzeichen"/>
        </w:rPr>
        <w:footnoteRef/>
      </w:r>
      <w:r>
        <w:t xml:space="preserve"> ABl. Nr. L 251 vom </w:t>
      </w:r>
      <w:smartTag w:uri="urn:schemas-microsoft-com:office:smarttags" w:element="date">
        <w:smartTagPr>
          <w:attr w:name="ls" w:val="trans"/>
          <w:attr w:name="Month" w:val="9"/>
          <w:attr w:name="Day" w:val="19"/>
          <w:attr w:name="Year" w:val="1984"/>
        </w:smartTagPr>
        <w:r>
          <w:t>19.9.1984</w:t>
        </w:r>
      </w:smartTag>
      <w:r>
        <w:t>,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Archiv4.41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C2497E0C-0653-44C1-9D78-8ACA11AE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character" w:customStyle="1" w:styleId="FuzeileZchn">
    <w:name w:val="Fußzeile Zchn"/>
    <w:basedOn w:val="Absatz-Standardschriftart"/>
    <w:link w:val="Fuzeile"/>
    <w:rPr>
      <w:rFonts w:ascii="Arial" w:hAnsi="Arial"/>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8/98/o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ta.europa.eu/eli/reg/2006/166/o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1994/31/oj"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2831</Words>
  <Characters>19797</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Richtlinie des Rates vom 12. Juli 1991 über gefährliche Abfälle (91/689/EWG)</vt:lpstr>
    </vt:vector>
  </TitlesOfParts>
  <Company>LANUV NRW</Company>
  <LinksUpToDate>false</LinksUpToDate>
  <CharactersWithSpaces>22583</CharactersWithSpaces>
  <SharedDoc>false</SharedDoc>
  <HLinks>
    <vt:vector size="12" baseType="variant">
      <vt:variant>
        <vt:i4>5439517</vt:i4>
      </vt:variant>
      <vt:variant>
        <vt:i4>3</vt:i4>
      </vt:variant>
      <vt:variant>
        <vt:i4>0</vt:i4>
      </vt:variant>
      <vt:variant>
        <vt:i4>5</vt:i4>
      </vt:variant>
      <vt:variant>
        <vt:lpwstr>http://igsvtu.lanuv.nrw.de/VTUP=13/dokus/2008_98_eg.pdf</vt:lpwstr>
      </vt:variant>
      <vt:variant>
        <vt:lpwstr/>
      </vt:variant>
      <vt:variant>
        <vt:i4>6029386</vt:i4>
      </vt:variant>
      <vt:variant>
        <vt:i4>0</vt:i4>
      </vt:variant>
      <vt:variant>
        <vt:i4>0</vt:i4>
      </vt:variant>
      <vt:variant>
        <vt:i4>5</vt:i4>
      </vt:variant>
      <vt:variant>
        <vt:lpwstr>http://igsvtu.lanuv.nrw.de/VTUP=13/dokus/2006_166_eg.pdf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12. Juli 1991 über gefährliche Abfälle (91/689/EWG)</dc:title>
  <dc:creator>LANUV NRW</dc:creator>
  <dc:description>aufgehoben 12.12.2010 durchgesehen 04.2005</dc:description>
  <cp:lastModifiedBy>Rüter, Dr., Ingo</cp:lastModifiedBy>
  <cp:revision>7</cp:revision>
  <cp:lastPrinted>1900-12-31T22:00:00Z</cp:lastPrinted>
  <dcterms:created xsi:type="dcterms:W3CDTF">2014-07-24T08:34:00Z</dcterms:created>
  <dcterms:modified xsi:type="dcterms:W3CDTF">2024-07-09T12:42:00Z</dcterms:modified>
</cp:coreProperties>
</file>