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5105897"/>
      <w:r>
        <w:t xml:space="preserve">RICHTLINIE </w:t>
      </w:r>
      <w:hyperlink r:id="rId6" w:history="1">
        <w:r>
          <w:rPr>
            <w:rStyle w:val="Hyperlink"/>
          </w:rPr>
          <w:t>75/442/EWG</w:t>
        </w:r>
      </w:hyperlink>
      <w:r>
        <w:t xml:space="preserve"> DES RATES vom </w:t>
      </w:r>
      <w:smartTag w:uri="urn:schemas-microsoft-com:office:smarttags" w:element="date">
        <w:smartTagPr>
          <w:attr w:name="ls" w:val="trans"/>
          <w:attr w:name="Month" w:val="7"/>
          <w:attr w:name="Day" w:val="15"/>
          <w:attr w:name="Year" w:val="1975"/>
        </w:smartTagPr>
        <w:r>
          <w:t>15. Juli 1975</w:t>
        </w:r>
      </w:smartTag>
      <w:r>
        <w:t xml:space="preserve"> über Abfälle</w:t>
      </w:r>
      <w:bookmarkEnd w:id="0"/>
    </w:p>
    <w:p>
      <w:pPr>
        <w:pStyle w:val="GesAbsatz"/>
        <w:jc w:val="left"/>
        <w:rPr>
          <w:snapToGrid w:val="0"/>
        </w:rPr>
      </w:pPr>
      <w:r>
        <w:rPr>
          <w:b/>
          <w:snapToGrid w:val="0"/>
        </w:rPr>
        <w:t>Änderungen:</w:t>
      </w:r>
      <w:r>
        <w:rPr>
          <w:snapToGrid w:val="0"/>
        </w:rPr>
        <w:t xml:space="preserve"> </w:t>
      </w:r>
      <w:hyperlink r:id="rId7" w:history="1">
        <w:r>
          <w:rPr>
            <w:rStyle w:val="Hyperlink"/>
            <w:snapToGrid w:val="0"/>
          </w:rPr>
          <w:t>90/481/EWG</w:t>
        </w:r>
      </w:hyperlink>
      <w:r>
        <w:rPr>
          <w:snapToGrid w:val="0"/>
        </w:rPr>
        <w:t xml:space="preserve"> ABl. L 267 v. 29.09.1990 S. 37; </w:t>
      </w:r>
      <w:hyperlink r:id="rId8" w:history="1">
        <w:r>
          <w:rPr>
            <w:rStyle w:val="Hyperlink"/>
            <w:snapToGrid w:val="0"/>
          </w:rPr>
          <w:t>90/656/EWG</w:t>
        </w:r>
      </w:hyperlink>
      <w:r>
        <w:rPr>
          <w:snapToGrid w:val="0"/>
        </w:rPr>
        <w:t xml:space="preserve"> ABl. L 353 v. </w:t>
      </w:r>
      <w:smartTag w:uri="urn:schemas-microsoft-com:office:smarttags" w:element="date">
        <w:smartTagPr>
          <w:attr w:name="ls" w:val="trans"/>
          <w:attr w:name="Month" w:val="12"/>
          <w:attr w:name="Day" w:val="17"/>
          <w:attr w:name="Year" w:val="1990"/>
        </w:smartTagPr>
        <w:r>
          <w:rPr>
            <w:snapToGrid w:val="0"/>
          </w:rPr>
          <w:t>17.12.1990</w:t>
        </w:r>
      </w:smartTag>
      <w:r>
        <w:rPr>
          <w:snapToGrid w:val="0"/>
        </w:rPr>
        <w:t xml:space="preserve"> S. 59; </w:t>
      </w:r>
      <w:hyperlink r:id="rId9" w:history="1">
        <w:r>
          <w:rPr>
            <w:rStyle w:val="Hyperlink"/>
            <w:snapToGrid w:val="0"/>
          </w:rPr>
          <w:t>91/156/EWG</w:t>
        </w:r>
      </w:hyperlink>
      <w:r>
        <w:rPr>
          <w:snapToGrid w:val="0"/>
        </w:rPr>
        <w:t xml:space="preserve"> ABl. L 78 v. 26.03.1991 S. 32; </w:t>
      </w:r>
      <w:hyperlink r:id="rId10" w:history="1">
        <w:r>
          <w:rPr>
            <w:rStyle w:val="Hyperlink"/>
            <w:snapToGrid w:val="0"/>
          </w:rPr>
          <w:t>91/692/EWG</w:t>
        </w:r>
      </w:hyperlink>
      <w:r>
        <w:rPr>
          <w:snapToGrid w:val="0"/>
        </w:rPr>
        <w:t xml:space="preserve"> ABl. L 377 v. </w:t>
      </w:r>
      <w:smartTag w:uri="urn:schemas-microsoft-com:office:smarttags" w:element="date">
        <w:smartTagPr>
          <w:attr w:name="ls" w:val="trans"/>
          <w:attr w:name="Month" w:val="12"/>
          <w:attr w:name="Day" w:val="31"/>
          <w:attr w:name="Year" w:val="1991"/>
        </w:smartTagPr>
        <w:r>
          <w:rPr>
            <w:snapToGrid w:val="0"/>
          </w:rPr>
          <w:t>31.12.1991</w:t>
        </w:r>
      </w:smartTag>
      <w:r>
        <w:rPr>
          <w:snapToGrid w:val="0"/>
        </w:rPr>
        <w:t xml:space="preserve"> S. 48; </w:t>
      </w:r>
      <w:hyperlink r:id="rId11" w:history="1">
        <w:r>
          <w:rPr>
            <w:rStyle w:val="Hyperlink"/>
            <w:snapToGrid w:val="0"/>
          </w:rPr>
          <w:t>96/350/EG</w:t>
        </w:r>
      </w:hyperlink>
      <w:r>
        <w:rPr>
          <w:snapToGrid w:val="0"/>
        </w:rPr>
        <w:t xml:space="preserve"> ABl. L 135 v. 06.06.1996</w:t>
      </w:r>
      <w:bookmarkStart w:id="1" w:name="_GoBack"/>
      <w:bookmarkEnd w:id="1"/>
      <w:r>
        <w:rPr>
          <w:snapToGrid w:val="0"/>
        </w:rPr>
        <w:t xml:space="preserve"> S. 32; </w:t>
      </w:r>
      <w:hyperlink r:id="rId12" w:history="1">
        <w:r>
          <w:rPr>
            <w:rStyle w:val="Hyperlink"/>
            <w:snapToGrid w:val="0"/>
          </w:rPr>
          <w:t>1882/2003</w:t>
        </w:r>
      </w:hyperlink>
      <w:r>
        <w:rPr>
          <w:snapToGrid w:val="0"/>
        </w:rPr>
        <w:t xml:space="preserve"> ABl. L 284 v. </w:t>
      </w:r>
      <w:smartTag w:uri="urn:schemas-microsoft-com:office:smarttags" w:element="date">
        <w:smartTagPr>
          <w:attr w:name="ls" w:val="trans"/>
          <w:attr w:name="Month" w:val="10"/>
          <w:attr w:name="Day" w:val="31"/>
          <w:attr w:name="Year" w:val="2003"/>
        </w:smartTagPr>
        <w:r>
          <w:rPr>
            <w:snapToGrid w:val="0"/>
          </w:rPr>
          <w:t>31.10.2003</w:t>
        </w:r>
      </w:smartTag>
      <w:r>
        <w:rPr>
          <w:snapToGrid w:val="0"/>
        </w:rPr>
        <w:t xml:space="preserve"> S. 1;</w:t>
      </w:r>
    </w:p>
    <w:p>
      <w:pPr>
        <w:pStyle w:val="GesAbsatz"/>
        <w:rPr>
          <w:b/>
          <w:i/>
          <w:snapToGrid w:val="0"/>
          <w:color w:val="FF0000"/>
          <w:sz w:val="22"/>
        </w:rPr>
      </w:pPr>
      <w:r>
        <w:rPr>
          <w:b/>
          <w:i/>
          <w:snapToGrid w:val="0"/>
          <w:color w:val="FF0000"/>
          <w:sz w:val="22"/>
        </w:rPr>
        <w:t xml:space="preserve">Gültig bis 16.05.2006 - aufgehoben durch </w:t>
      </w:r>
      <w:hyperlink r:id="rId13" w:history="1">
        <w:r>
          <w:rPr>
            <w:rStyle w:val="Hyperlink"/>
            <w:b/>
            <w:i/>
            <w:color w:val="FF0000"/>
            <w:sz w:val="22"/>
            <w:u w:val="none"/>
          </w:rPr>
          <w:t>RL 2006/12/EG</w:t>
        </w:r>
      </w:hyperlink>
      <w:r>
        <w:rPr>
          <w:b/>
          <w:i/>
          <w:color w:val="FF0000"/>
          <w:sz w:val="22"/>
        </w:rPr>
        <w:t xml:space="preserve"> vom 5. April 2006 über Abfälle.</w:t>
      </w:r>
    </w:p>
    <w:p>
      <w:pPr>
        <w:pStyle w:val="GesAbsatz"/>
      </w:pPr>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rPr>
          <w:b w:val="0"/>
          <w:bCs/>
          <w:caps w:val="0"/>
          <w:snapToGrid w:val="0"/>
        </w:rPr>
        <w:fldChar w:fldCharType="begin"/>
      </w:r>
      <w:r>
        <w:rPr>
          <w:b w:val="0"/>
          <w:bCs/>
          <w:caps w:val="0"/>
          <w:snapToGrid w:val="0"/>
        </w:rPr>
        <w:instrText xml:space="preserve"> TOC \o "1-3" </w:instrText>
      </w:r>
      <w:r>
        <w:rPr>
          <w:b w:val="0"/>
          <w:bCs/>
          <w:caps w:val="0"/>
          <w:snapToGrid w:val="0"/>
        </w:rPr>
        <w:fldChar w:fldCharType="separate"/>
      </w:r>
      <w:r>
        <w:rPr>
          <w:noProof/>
          <w:snapToGrid w:val="0"/>
        </w:rPr>
        <w:t>RICHTLINIE DES RATES vom 15. Juli 1975 über Abfälle (75/442/EWG)</w:t>
      </w:r>
      <w:r>
        <w:rPr>
          <w:noProof/>
        </w:rPr>
        <w:tab/>
      </w:r>
      <w:r>
        <w:rPr>
          <w:noProof/>
        </w:rPr>
        <w:fldChar w:fldCharType="begin"/>
      </w:r>
      <w:r>
        <w:rPr>
          <w:noProof/>
        </w:rPr>
        <w:instrText xml:space="preserve"> PAGEREF _Toc95105897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snapToGrid w:val="0"/>
        </w:rPr>
        <w:t>Artikel 1</w:t>
      </w:r>
      <w:r>
        <w:rPr>
          <w:noProof/>
        </w:rPr>
        <w:tab/>
      </w:r>
      <w:r>
        <w:rPr>
          <w:noProof/>
        </w:rPr>
        <w:fldChar w:fldCharType="begin"/>
      </w:r>
      <w:r>
        <w:rPr>
          <w:noProof/>
        </w:rPr>
        <w:instrText xml:space="preserve"> PAGEREF _Toc95105898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snapToGrid w:val="0"/>
        </w:rPr>
        <w:t>Artikel 2</w:t>
      </w:r>
      <w:r>
        <w:rPr>
          <w:noProof/>
        </w:rPr>
        <w:tab/>
      </w:r>
      <w:r>
        <w:rPr>
          <w:noProof/>
        </w:rPr>
        <w:fldChar w:fldCharType="begin"/>
      </w:r>
      <w:r>
        <w:rPr>
          <w:noProof/>
        </w:rPr>
        <w:instrText xml:space="preserve"> PAGEREF _Toc95105899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snapToGrid w:val="0"/>
        </w:rPr>
        <w:t>Artikel 3</w:t>
      </w:r>
      <w:r>
        <w:rPr>
          <w:noProof/>
        </w:rPr>
        <w:tab/>
      </w:r>
      <w:r>
        <w:rPr>
          <w:noProof/>
        </w:rPr>
        <w:fldChar w:fldCharType="begin"/>
      </w:r>
      <w:r>
        <w:rPr>
          <w:noProof/>
        </w:rPr>
        <w:instrText xml:space="preserve"> PAGEREF _Toc95105900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snapToGrid w:val="0"/>
        </w:rPr>
        <w:t>Artikel 4</w:t>
      </w:r>
      <w:r>
        <w:rPr>
          <w:noProof/>
        </w:rPr>
        <w:tab/>
      </w:r>
      <w:r>
        <w:rPr>
          <w:noProof/>
        </w:rPr>
        <w:fldChar w:fldCharType="begin"/>
      </w:r>
      <w:r>
        <w:rPr>
          <w:noProof/>
        </w:rPr>
        <w:instrText xml:space="preserve"> PAGEREF _Toc95105901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snapToGrid w:val="0"/>
        </w:rPr>
        <w:t>Artikel 5</w:t>
      </w:r>
      <w:r>
        <w:rPr>
          <w:noProof/>
        </w:rPr>
        <w:tab/>
      </w:r>
      <w:r>
        <w:rPr>
          <w:noProof/>
        </w:rPr>
        <w:fldChar w:fldCharType="begin"/>
      </w:r>
      <w:r>
        <w:rPr>
          <w:noProof/>
        </w:rPr>
        <w:instrText xml:space="preserve"> PAGEREF _Toc95105902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snapToGrid w:val="0"/>
        </w:rPr>
        <w:t>Artikel 6</w:t>
      </w:r>
      <w:r>
        <w:rPr>
          <w:noProof/>
        </w:rPr>
        <w:tab/>
      </w:r>
      <w:r>
        <w:rPr>
          <w:noProof/>
        </w:rPr>
        <w:fldChar w:fldCharType="begin"/>
      </w:r>
      <w:r>
        <w:rPr>
          <w:noProof/>
        </w:rPr>
        <w:instrText xml:space="preserve"> PAGEREF _Toc95105903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snapToGrid w:val="0"/>
        </w:rPr>
        <w:t>Artikel 7</w:t>
      </w:r>
      <w:r>
        <w:rPr>
          <w:noProof/>
        </w:rPr>
        <w:tab/>
      </w:r>
      <w:r>
        <w:rPr>
          <w:noProof/>
        </w:rPr>
        <w:fldChar w:fldCharType="begin"/>
      </w:r>
      <w:r>
        <w:rPr>
          <w:noProof/>
        </w:rPr>
        <w:instrText xml:space="preserve"> PAGEREF _Toc95105904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snapToGrid w:val="0"/>
        </w:rPr>
        <w:t>Artikel 8</w:t>
      </w:r>
      <w:r>
        <w:rPr>
          <w:noProof/>
        </w:rPr>
        <w:tab/>
      </w:r>
      <w:r>
        <w:rPr>
          <w:noProof/>
        </w:rPr>
        <w:fldChar w:fldCharType="begin"/>
      </w:r>
      <w:r>
        <w:rPr>
          <w:noProof/>
        </w:rPr>
        <w:instrText xml:space="preserve"> PAGEREF _Toc95105905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snapToGrid w:val="0"/>
        </w:rPr>
        <w:t>Artikel 9</w:t>
      </w:r>
      <w:r>
        <w:rPr>
          <w:noProof/>
        </w:rPr>
        <w:tab/>
      </w:r>
      <w:r>
        <w:rPr>
          <w:noProof/>
        </w:rPr>
        <w:fldChar w:fldCharType="begin"/>
      </w:r>
      <w:r>
        <w:rPr>
          <w:noProof/>
        </w:rPr>
        <w:instrText xml:space="preserve"> PAGEREF _Toc95105906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snapToGrid w:val="0"/>
        </w:rPr>
        <w:t>Artikel 10</w:t>
      </w:r>
      <w:r>
        <w:rPr>
          <w:noProof/>
        </w:rPr>
        <w:tab/>
      </w:r>
      <w:r>
        <w:rPr>
          <w:noProof/>
        </w:rPr>
        <w:fldChar w:fldCharType="begin"/>
      </w:r>
      <w:r>
        <w:rPr>
          <w:noProof/>
        </w:rPr>
        <w:instrText xml:space="preserve"> PAGEREF _Toc95105907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snapToGrid w:val="0"/>
        </w:rPr>
        <w:t>Artikel 11</w:t>
      </w:r>
      <w:r>
        <w:rPr>
          <w:noProof/>
        </w:rPr>
        <w:tab/>
      </w:r>
      <w:r>
        <w:rPr>
          <w:noProof/>
        </w:rPr>
        <w:fldChar w:fldCharType="begin"/>
      </w:r>
      <w:r>
        <w:rPr>
          <w:noProof/>
        </w:rPr>
        <w:instrText xml:space="preserve"> PAGEREF _Toc95105908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Artikel 12</w:t>
      </w:r>
      <w:r>
        <w:rPr>
          <w:noProof/>
        </w:rPr>
        <w:tab/>
      </w:r>
      <w:r>
        <w:rPr>
          <w:noProof/>
        </w:rPr>
        <w:fldChar w:fldCharType="begin"/>
      </w:r>
      <w:r>
        <w:rPr>
          <w:noProof/>
        </w:rPr>
        <w:instrText xml:space="preserve"> PAGEREF _Toc95105909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Artikel 13</w:t>
      </w:r>
      <w:r>
        <w:rPr>
          <w:noProof/>
        </w:rPr>
        <w:tab/>
      </w:r>
      <w:r>
        <w:rPr>
          <w:noProof/>
        </w:rPr>
        <w:fldChar w:fldCharType="begin"/>
      </w:r>
      <w:r>
        <w:rPr>
          <w:noProof/>
        </w:rPr>
        <w:instrText xml:space="preserve"> PAGEREF _Toc95105910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Artikel 14</w:t>
      </w:r>
      <w:r>
        <w:rPr>
          <w:noProof/>
        </w:rPr>
        <w:tab/>
      </w:r>
      <w:r>
        <w:rPr>
          <w:noProof/>
        </w:rPr>
        <w:fldChar w:fldCharType="begin"/>
      </w:r>
      <w:r>
        <w:rPr>
          <w:noProof/>
        </w:rPr>
        <w:instrText xml:space="preserve"> PAGEREF _Toc95105911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Artikel 15</w:t>
      </w:r>
      <w:r>
        <w:rPr>
          <w:noProof/>
        </w:rPr>
        <w:tab/>
      </w:r>
      <w:r>
        <w:rPr>
          <w:noProof/>
        </w:rPr>
        <w:fldChar w:fldCharType="begin"/>
      </w:r>
      <w:r>
        <w:rPr>
          <w:noProof/>
        </w:rPr>
        <w:instrText xml:space="preserve"> PAGEREF _Toc95105912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Artikel 16</w:t>
      </w:r>
      <w:r>
        <w:rPr>
          <w:noProof/>
        </w:rPr>
        <w:tab/>
      </w:r>
      <w:r>
        <w:rPr>
          <w:noProof/>
        </w:rPr>
        <w:fldChar w:fldCharType="begin"/>
      </w:r>
      <w:r>
        <w:rPr>
          <w:noProof/>
        </w:rPr>
        <w:instrText xml:space="preserve"> PAGEREF _Toc95105913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Artikel 17</w:t>
      </w:r>
      <w:r>
        <w:rPr>
          <w:noProof/>
        </w:rPr>
        <w:tab/>
      </w:r>
      <w:r>
        <w:rPr>
          <w:noProof/>
        </w:rPr>
        <w:fldChar w:fldCharType="begin"/>
      </w:r>
      <w:r>
        <w:rPr>
          <w:noProof/>
        </w:rPr>
        <w:instrText xml:space="preserve"> PAGEREF _Toc95105914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snapToGrid w:val="0"/>
        </w:rPr>
        <w:t>Artikel 18</w:t>
      </w:r>
      <w:r>
        <w:rPr>
          <w:noProof/>
        </w:rPr>
        <w:tab/>
      </w:r>
      <w:r>
        <w:rPr>
          <w:noProof/>
        </w:rPr>
        <w:fldChar w:fldCharType="begin"/>
      </w:r>
      <w:r>
        <w:rPr>
          <w:noProof/>
        </w:rPr>
        <w:instrText xml:space="preserve"> PAGEREF _Toc95105915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snapToGrid w:val="0"/>
        </w:rPr>
        <w:t>Artikel 19</w:t>
      </w:r>
      <w:r>
        <w:rPr>
          <w:noProof/>
        </w:rPr>
        <w:tab/>
      </w:r>
      <w:r>
        <w:rPr>
          <w:noProof/>
        </w:rPr>
        <w:fldChar w:fldCharType="begin"/>
      </w:r>
      <w:r>
        <w:rPr>
          <w:noProof/>
        </w:rPr>
        <w:instrText xml:space="preserve"> PAGEREF _Toc95105916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snapToGrid w:val="0"/>
        </w:rPr>
        <w:t>Artikel 20</w:t>
      </w:r>
      <w:r>
        <w:rPr>
          <w:noProof/>
        </w:rPr>
        <w:tab/>
      </w:r>
      <w:r>
        <w:rPr>
          <w:noProof/>
        </w:rPr>
        <w:fldChar w:fldCharType="begin"/>
      </w:r>
      <w:r>
        <w:rPr>
          <w:noProof/>
        </w:rPr>
        <w:instrText xml:space="preserve"> PAGEREF _Toc95105917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snapToGrid w:val="0"/>
        </w:rPr>
        <w:t>Artikel 21</w:t>
      </w:r>
      <w:r>
        <w:rPr>
          <w:noProof/>
        </w:rPr>
        <w:tab/>
      </w:r>
      <w:r>
        <w:rPr>
          <w:noProof/>
        </w:rPr>
        <w:fldChar w:fldCharType="begin"/>
      </w:r>
      <w:r>
        <w:rPr>
          <w:noProof/>
        </w:rPr>
        <w:instrText xml:space="preserve"> PAGEREF _Toc95105918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snapToGrid w:val="0"/>
        </w:rPr>
        <w:t>ANHANG I ABFALLGRUPPEN</w:t>
      </w:r>
      <w:r>
        <w:rPr>
          <w:noProof/>
        </w:rPr>
        <w:tab/>
      </w:r>
      <w:r>
        <w:rPr>
          <w:noProof/>
        </w:rPr>
        <w:fldChar w:fldCharType="begin"/>
      </w:r>
      <w:r>
        <w:rPr>
          <w:noProof/>
        </w:rPr>
        <w:instrText xml:space="preserve"> PAGEREF _Toc95105919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snapToGrid w:val="0"/>
        </w:rPr>
        <w:t>ANHANG II A BESEITIGUNGSVERFAHREN</w:t>
      </w:r>
      <w:r>
        <w:rPr>
          <w:noProof/>
        </w:rPr>
        <w:tab/>
      </w:r>
      <w:r>
        <w:rPr>
          <w:noProof/>
        </w:rPr>
        <w:fldChar w:fldCharType="begin"/>
      </w:r>
      <w:r>
        <w:rPr>
          <w:noProof/>
        </w:rPr>
        <w:instrText xml:space="preserve"> PAGEREF _Toc95105920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snapToGrid w:val="0"/>
        </w:rPr>
        <w:t>ANHANG II B VERWERTUNGSVERFAHREN</w:t>
      </w:r>
      <w:r>
        <w:rPr>
          <w:noProof/>
        </w:rPr>
        <w:tab/>
      </w:r>
      <w:r>
        <w:rPr>
          <w:noProof/>
        </w:rPr>
        <w:fldChar w:fldCharType="begin"/>
      </w:r>
      <w:r>
        <w:rPr>
          <w:noProof/>
        </w:rPr>
        <w:instrText xml:space="preserve"> PAGEREF _Toc95105921 \h </w:instrText>
      </w:r>
      <w:r>
        <w:rPr>
          <w:noProof/>
        </w:rPr>
      </w:r>
      <w:r>
        <w:rPr>
          <w:noProof/>
        </w:rPr>
        <w:fldChar w:fldCharType="separate"/>
      </w:r>
      <w:r>
        <w:rPr>
          <w:noProof/>
        </w:rPr>
        <w:t>8</w:t>
      </w:r>
      <w:r>
        <w:rPr>
          <w:noProof/>
        </w:rPr>
        <w:fldChar w:fldCharType="end"/>
      </w:r>
    </w:p>
    <w:p>
      <w:pPr>
        <w:pStyle w:val="GesAbsatz"/>
        <w:rPr>
          <w:snapToGrid w:val="0"/>
        </w:rPr>
      </w:pPr>
      <w:r>
        <w:rPr>
          <w:rFonts w:ascii="Times New Roman" w:hAnsi="Times New Roman"/>
          <w:b/>
          <w:bCs/>
          <w:caps/>
          <w:snapToGrid w:val="0"/>
          <w:color w:val="auto"/>
        </w:rPr>
        <w:fldChar w:fldCharType="end"/>
      </w:r>
    </w:p>
    <w:p>
      <w:pPr>
        <w:pStyle w:val="GesAbsatz"/>
        <w:rPr>
          <w:snapToGrid w:val="0"/>
        </w:rPr>
      </w:pPr>
      <w:r>
        <w:rPr>
          <w:snapToGrid w:val="0"/>
        </w:rPr>
        <w:t>DER RAT DER EUROPÄISCHEN GEMEINSCHAFTEN —</w:t>
      </w:r>
    </w:p>
    <w:p>
      <w:pPr>
        <w:pStyle w:val="GesAbsatz"/>
        <w:rPr>
          <w:snapToGrid w:val="0"/>
        </w:rPr>
      </w:pPr>
      <w:r>
        <w:rPr>
          <w:snapToGrid w:val="0"/>
        </w:rPr>
        <w:t>gestützt auf den Vertrag zur Gründung der Europäischen Wirtschaftsgemeinschaft, insbesondere auf die Artikel 100 und 235,</w:t>
      </w:r>
    </w:p>
    <w:p>
      <w:pPr>
        <w:pStyle w:val="GesAbsatz"/>
        <w:rPr>
          <w:snapToGrid w:val="0"/>
        </w:rPr>
      </w:pPr>
      <w:r>
        <w:rPr>
          <w:snapToGrid w:val="0"/>
        </w:rPr>
        <w:t>auf Vorschlag der Kommission,</w:t>
      </w:r>
    </w:p>
    <w:p>
      <w:pPr>
        <w:pStyle w:val="GesAbsatz"/>
        <w:rPr>
          <w:snapToGrid w:val="0"/>
        </w:rPr>
      </w:pPr>
      <w:r>
        <w:rPr>
          <w:snapToGrid w:val="0"/>
        </w:rPr>
        <w:t>nach Stellungnahme des Europäischen Parlaments</w:t>
      </w:r>
      <w:r>
        <w:rPr>
          <w:rStyle w:val="Funotenzeichen"/>
          <w:snapToGrid w:val="0"/>
        </w:rPr>
        <w:footnoteReference w:id="1"/>
      </w:r>
      <w:r>
        <w:rPr>
          <w:snapToGrid w:val="0"/>
        </w:rPr>
        <w:t>,</w:t>
      </w:r>
    </w:p>
    <w:p>
      <w:pPr>
        <w:pStyle w:val="GesAbsatz"/>
        <w:rPr>
          <w:snapToGrid w:val="0"/>
        </w:rPr>
      </w:pPr>
      <w:r>
        <w:rPr>
          <w:snapToGrid w:val="0"/>
        </w:rPr>
        <w:t>nach Stellungnahme des Wirtschafts- und Sozialausschusses</w:t>
      </w:r>
      <w:r>
        <w:rPr>
          <w:rStyle w:val="Funotenzeichen"/>
          <w:snapToGrid w:val="0"/>
        </w:rPr>
        <w:footnoteReference w:id="2"/>
      </w:r>
      <w:r>
        <w:rPr>
          <w:snapToGrid w:val="0"/>
        </w:rPr>
        <w:t>,</w:t>
      </w:r>
    </w:p>
    <w:p>
      <w:pPr>
        <w:pStyle w:val="GesAbsatz"/>
        <w:rPr>
          <w:snapToGrid w:val="0"/>
        </w:rPr>
      </w:pPr>
      <w:r>
        <w:rPr>
          <w:snapToGrid w:val="0"/>
        </w:rPr>
        <w:t>in Erwägung nachstehender Gründe:</w:t>
      </w:r>
    </w:p>
    <w:p>
      <w:pPr>
        <w:pStyle w:val="GesAbsatz"/>
        <w:rPr>
          <w:snapToGrid w:val="0"/>
        </w:rPr>
      </w:pPr>
      <w:r>
        <w:rPr>
          <w:snapToGrid w:val="0"/>
        </w:rPr>
        <w:t>Unterschiede zwischen den Rechtsvorschriften über die Abfallbeseitigung, die in den verschiedenen Mitgliedstaaten bereits anwendbar oder in Vorbereitung sind, können zu ungleichen Wettbewerbsbedingungen führen und somit unmittelbare Auswirkungen auf das Funktionieren des Gemeinsamen Marktes haben. Deshalb ist für dieses Gebiet eine Angleichung der Rechtsvorschriften gemäß Artikel 100 des Vertrags vorzunehmen.</w:t>
      </w:r>
    </w:p>
    <w:p>
      <w:pPr>
        <w:pStyle w:val="GesAbsatz"/>
        <w:rPr>
          <w:snapToGrid w:val="0"/>
        </w:rPr>
      </w:pPr>
      <w:r>
        <w:rPr>
          <w:snapToGrid w:val="0"/>
        </w:rPr>
        <w:t>Es erscheint notwendig, diese Rechtsangleichung durch ein Tätigwerden der Gemeinschaft zu ergänzen, um durch eine umfassendere Regelung eines der Ziele der Gemeinschaft im Bereich des Umweltschutzes und der Verbesserung der Lebensqualität zu verwirklichen. Deshalb sind dafür einige besondere Bestimmungen vorzusehen. Da die hierfür erforderlichen Befugnisse im Vertrag nicht vorgesehen sind, ist auf Artikel 235 des Vertrags zurückzugreifen.</w:t>
      </w:r>
    </w:p>
    <w:p>
      <w:pPr>
        <w:pStyle w:val="GesAbsatz"/>
        <w:rPr>
          <w:snapToGrid w:val="0"/>
        </w:rPr>
      </w:pPr>
      <w:r>
        <w:rPr>
          <w:snapToGrid w:val="0"/>
        </w:rPr>
        <w:lastRenderedPageBreak/>
        <w:t>Jede Regelung der Abfallbeseitigung muß als wesentliche Zielsetzung den Schutz der menschlichen Gesundheit sowie der Umwelt gegen nachteilige Auswirkungen der Sammlung, Beförderung, Behandlung, Lagerung und Ablagerung von Abfällen haben.</w:t>
      </w:r>
    </w:p>
    <w:p>
      <w:pPr>
        <w:pStyle w:val="GesAbsatz"/>
        <w:rPr>
          <w:snapToGrid w:val="0"/>
        </w:rPr>
      </w:pPr>
      <w:r>
        <w:rPr>
          <w:snapToGrid w:val="0"/>
        </w:rPr>
        <w:t>Die Aufbereitung von Abfällen sowie die Verwendung wiedergewonnener Materialien ist im Interesse der Erhaltung der natürlichen Rohstoffquellen zu fördern.</w:t>
      </w:r>
    </w:p>
    <w:p>
      <w:pPr>
        <w:pStyle w:val="GesAbsatz"/>
        <w:rPr>
          <w:snapToGrid w:val="0"/>
        </w:rPr>
      </w:pPr>
      <w:r>
        <w:rPr>
          <w:snapToGrid w:val="0"/>
        </w:rPr>
        <w:t>In dem Aktionsprogramm der Europäischen Gemeinschaften für den Umweltschutz</w:t>
      </w:r>
      <w:r>
        <w:rPr>
          <w:rStyle w:val="Funotenzeichen"/>
          <w:snapToGrid w:val="0"/>
        </w:rPr>
        <w:footnoteReference w:id="3"/>
      </w:r>
      <w:r>
        <w:rPr>
          <w:snapToGrid w:val="0"/>
        </w:rPr>
        <w:t>, wird die Notwendigkeit gemeinschaftlicher Aktionen einschließlich der Rechtsangleichung hervorgehoben.</w:t>
      </w:r>
    </w:p>
    <w:p>
      <w:pPr>
        <w:pStyle w:val="GesAbsatz"/>
        <w:rPr>
          <w:snapToGrid w:val="0"/>
        </w:rPr>
      </w:pPr>
      <w:r>
        <w:rPr>
          <w:snapToGrid w:val="0"/>
        </w:rPr>
        <w:t>Ein wirksames und zusammenhängendes System der Abfallbeseitigung, welches den innergemeinschaftlichen Warenverkehr nicht hemmt und die Wettbewerbsbedingungen nicht beeinträchtigt, muß auf alle beweglichen Sachen Anwendung finden, deren sich der Besitzer entledigt oder gemäß den geltenden einzelstaatlichen Vorschriften zu entledigen hat, ausgenommen radioaktive Abfälle, Abfälle aus dem Bergbau und landwirtschaftliche Abfälle, Tierkörper, Abwässer, gasförmige Ableitungen sowie Abfälle, die einer besonderen Gemeinschaftsregelung unterliegen.</w:t>
      </w:r>
    </w:p>
    <w:p>
      <w:pPr>
        <w:pStyle w:val="GesAbsatz"/>
        <w:rPr>
          <w:snapToGrid w:val="0"/>
        </w:rPr>
      </w:pPr>
      <w:r>
        <w:rPr>
          <w:snapToGrid w:val="0"/>
        </w:rPr>
        <w:t>Zur Gewährleistung des Umweltschutzes muß ein Genehmigungsverfahren für diejenigen Unternehmen vorgesehen werden, die Abfälle für andere aufbereiten, lagern oder ablagern, ferner eine Überwachung der Firmen, die ihre Abfälle selbst beseitigen oder die fremde Abfälle sammeln sowie schließlich ein Plan für die wesentlichen Daten, die in den verschiedenen Phasen der Abfallbeseitigung zu berücksichtigen sind.</w:t>
      </w:r>
    </w:p>
    <w:p>
      <w:pPr>
        <w:pStyle w:val="GesAbsatz"/>
        <w:rPr>
          <w:snapToGrid w:val="0"/>
        </w:rPr>
      </w:pPr>
      <w:r>
        <w:rPr>
          <w:snapToGrid w:val="0"/>
        </w:rPr>
        <w:t>Der Teil der Kosten, der nicht durch die Verwertung der Abfälle gedeckt wird, muß entsprechend dem Verursacherprinzip getragen werden.</w:t>
      </w:r>
    </w:p>
    <w:p>
      <w:pPr>
        <w:pStyle w:val="GesAbsatz"/>
        <w:rPr>
          <w:snapToGrid w:val="0"/>
        </w:rPr>
      </w:pPr>
      <w:r>
        <w:rPr>
          <w:snapToGrid w:val="0"/>
        </w:rPr>
        <w:t>HAT FOLGENDE RICHTLINIE ERLASSEN:</w:t>
      </w:r>
    </w:p>
    <w:p>
      <w:pPr>
        <w:pStyle w:val="berschrift2"/>
        <w:rPr>
          <w:snapToGrid w:val="0"/>
        </w:rPr>
      </w:pPr>
      <w:bookmarkStart w:id="2" w:name="_Toc95105898"/>
      <w:r>
        <w:rPr>
          <w:snapToGrid w:val="0"/>
        </w:rPr>
        <w:t>Artikel 1</w:t>
      </w:r>
      <w:bookmarkEnd w:id="2"/>
    </w:p>
    <w:p>
      <w:pPr>
        <w:pStyle w:val="GesAbsatz"/>
        <w:rPr>
          <w:snapToGrid w:val="0"/>
        </w:rPr>
      </w:pPr>
      <w:r>
        <w:rPr>
          <w:snapToGrid w:val="0"/>
        </w:rPr>
        <w:t>Im Sinne dieser Richtlinie bedeutet:</w:t>
      </w:r>
    </w:p>
    <w:p>
      <w:pPr>
        <w:pStyle w:val="GesAbsatz"/>
        <w:ind w:left="426" w:hanging="426"/>
        <w:rPr>
          <w:snapToGrid w:val="0"/>
        </w:rPr>
      </w:pPr>
      <w:r>
        <w:rPr>
          <w:snapToGrid w:val="0"/>
        </w:rPr>
        <w:t>a)</w:t>
      </w:r>
      <w:r>
        <w:rPr>
          <w:snapToGrid w:val="0"/>
        </w:rPr>
        <w:tab/>
        <w:t>„Abfall“: alle Stoffe oder Gegenstände, die unter die in Anhang I aufgeführten Gruppen fallen und deren sich ihr Besitzer entledigt, entledigen will oder entledigen muß.</w:t>
      </w:r>
    </w:p>
    <w:p>
      <w:pPr>
        <w:pStyle w:val="GesAbsatz"/>
        <w:ind w:left="426" w:hanging="426"/>
        <w:rPr>
          <w:snapToGrid w:val="0"/>
        </w:rPr>
      </w:pPr>
      <w:r>
        <w:rPr>
          <w:snapToGrid w:val="0"/>
        </w:rPr>
        <w:tab/>
        <w:t xml:space="preserve">Die Kommission erstellt nachdem Verfahren des Artikels 18 spätestens zum </w:t>
      </w:r>
      <w:smartTag w:uri="urn:schemas-microsoft-com:office:smarttags" w:element="date">
        <w:smartTagPr>
          <w:attr w:name="ls" w:val="trans"/>
          <w:attr w:name="Month" w:val="4"/>
          <w:attr w:name="Day" w:val="1"/>
          <w:attr w:name="Year" w:val="1993"/>
        </w:smartTagPr>
        <w:r>
          <w:rPr>
            <w:snapToGrid w:val="0"/>
          </w:rPr>
          <w:t>1.April 1993</w:t>
        </w:r>
      </w:smartTag>
      <w:r>
        <w:rPr>
          <w:snapToGrid w:val="0"/>
        </w:rPr>
        <w:t xml:space="preserve"> ein Verzeichnis der unter die Abfallgruppen in Anhang I fallenden Abfälle. Dieses Verzeichnis wird regelmäßig überprüft und erforderlichenfalls nach demselben Verfahren überarbeitet;</w:t>
      </w:r>
    </w:p>
    <w:p>
      <w:pPr>
        <w:pStyle w:val="GesAbsatz"/>
        <w:ind w:left="426" w:hanging="426"/>
        <w:rPr>
          <w:snapToGrid w:val="0"/>
        </w:rPr>
      </w:pPr>
      <w:r>
        <w:rPr>
          <w:snapToGrid w:val="0"/>
        </w:rPr>
        <w:t>b)</w:t>
      </w:r>
      <w:r>
        <w:rPr>
          <w:snapToGrid w:val="0"/>
        </w:rPr>
        <w:tab/>
        <w:t>„Erzeuger“: jede Person, durch deren Tätigkeit Abfälle angefallen sind („Ersterzeuger“), und/oder jede Person, die Vorbehandlungen, Mischungen oder sonstige Behandlungen vorgenommen hat, die eine Veränderung der Natur oder der Zusammensetzung dieser Abfälle bewirken;</w:t>
      </w:r>
    </w:p>
    <w:p>
      <w:pPr>
        <w:pStyle w:val="GesAbsatz"/>
        <w:ind w:left="426" w:hanging="426"/>
        <w:rPr>
          <w:snapToGrid w:val="0"/>
        </w:rPr>
      </w:pPr>
      <w:r>
        <w:rPr>
          <w:snapToGrid w:val="0"/>
        </w:rPr>
        <w:t>c)</w:t>
      </w:r>
      <w:r>
        <w:rPr>
          <w:snapToGrid w:val="0"/>
        </w:rPr>
        <w:tab/>
        <w:t>„Besitzer“: der Erzeuger der Abfälle oder die natürliche oder juristische Person, in deren Besitz sich die Abfälle befinden;</w:t>
      </w:r>
    </w:p>
    <w:p>
      <w:pPr>
        <w:pStyle w:val="GesAbsatz"/>
        <w:ind w:left="426" w:hanging="426"/>
        <w:rPr>
          <w:snapToGrid w:val="0"/>
        </w:rPr>
      </w:pPr>
      <w:r>
        <w:rPr>
          <w:snapToGrid w:val="0"/>
        </w:rPr>
        <w:t>d)</w:t>
      </w:r>
      <w:r>
        <w:rPr>
          <w:snapToGrid w:val="0"/>
        </w:rPr>
        <w:tab/>
        <w:t>„Bewirtschaftung“: das Einsammeln, die Beförderung, die Verwertung und die Beseitigung der Abfälle, einschließlich der Überwachung dieser Vorgänge sowie der Überwachung der Deponien nach deren Schließung;</w:t>
      </w:r>
    </w:p>
    <w:p>
      <w:pPr>
        <w:pStyle w:val="GesAbsatz"/>
        <w:ind w:left="426" w:hanging="426"/>
        <w:rPr>
          <w:snapToGrid w:val="0"/>
        </w:rPr>
      </w:pPr>
      <w:r>
        <w:rPr>
          <w:snapToGrid w:val="0"/>
        </w:rPr>
        <w:t>e)</w:t>
      </w:r>
      <w:r>
        <w:rPr>
          <w:snapToGrid w:val="0"/>
        </w:rPr>
        <w:tab/>
        <w:t>„Beseitigung“: alle in Anhang II A aufgeführten Verfahren;</w:t>
      </w:r>
    </w:p>
    <w:p>
      <w:pPr>
        <w:pStyle w:val="GesAbsatz"/>
        <w:ind w:left="426" w:hanging="426"/>
        <w:rPr>
          <w:snapToGrid w:val="0"/>
        </w:rPr>
      </w:pPr>
      <w:r>
        <w:rPr>
          <w:snapToGrid w:val="0"/>
        </w:rPr>
        <w:t>f)</w:t>
      </w:r>
      <w:r>
        <w:rPr>
          <w:snapToGrid w:val="0"/>
        </w:rPr>
        <w:tab/>
        <w:t>„Verwertung“: alle in Anhang II B aufgeführten Verfahren;</w:t>
      </w:r>
    </w:p>
    <w:p>
      <w:pPr>
        <w:pStyle w:val="GesAbsatz"/>
        <w:ind w:left="426" w:hanging="426"/>
        <w:rPr>
          <w:snapToGrid w:val="0"/>
        </w:rPr>
      </w:pPr>
      <w:r>
        <w:rPr>
          <w:snapToGrid w:val="0"/>
        </w:rPr>
        <w:t>g)</w:t>
      </w:r>
      <w:r>
        <w:rPr>
          <w:snapToGrid w:val="0"/>
        </w:rPr>
        <w:tab/>
        <w:t>„Einsammeln“: das Einsammeln, Sortieren und/oder Zusammenstellen der Abfälle im Hinblick auf ihre Beförderung.</w:t>
      </w:r>
    </w:p>
    <w:p>
      <w:pPr>
        <w:pStyle w:val="berschrift2"/>
        <w:rPr>
          <w:snapToGrid w:val="0"/>
        </w:rPr>
      </w:pPr>
      <w:bookmarkStart w:id="3" w:name="_Toc95105899"/>
      <w:r>
        <w:rPr>
          <w:snapToGrid w:val="0"/>
        </w:rPr>
        <w:t>Artikel 2</w:t>
      </w:r>
      <w:bookmarkEnd w:id="3"/>
    </w:p>
    <w:p>
      <w:pPr>
        <w:pStyle w:val="GesAbsatz"/>
        <w:rPr>
          <w:snapToGrid w:val="0"/>
        </w:rPr>
      </w:pPr>
      <w:r>
        <w:rPr>
          <w:snapToGrid w:val="0"/>
        </w:rPr>
        <w:t>(1) Diese Richtlinie gilt nicht für</w:t>
      </w:r>
    </w:p>
    <w:p>
      <w:pPr>
        <w:pStyle w:val="GesAbsatz"/>
        <w:rPr>
          <w:snapToGrid w:val="0"/>
        </w:rPr>
      </w:pPr>
      <w:r>
        <w:rPr>
          <w:snapToGrid w:val="0"/>
        </w:rPr>
        <w:t>a)</w:t>
      </w:r>
      <w:r>
        <w:rPr>
          <w:snapToGrid w:val="0"/>
        </w:rPr>
        <w:tab/>
        <w:t>gasförmige Ableitungen in die Atmosphäre;</w:t>
      </w:r>
    </w:p>
    <w:p>
      <w:pPr>
        <w:pStyle w:val="GesAbsatz"/>
        <w:rPr>
          <w:snapToGrid w:val="0"/>
        </w:rPr>
      </w:pPr>
      <w:r>
        <w:rPr>
          <w:snapToGrid w:val="0"/>
        </w:rPr>
        <w:t>b)</w:t>
      </w:r>
      <w:r>
        <w:rPr>
          <w:snapToGrid w:val="0"/>
        </w:rPr>
        <w:tab/>
        <w:t>folgende Abfälle, soweit für diese bereits andere Rechtsvorschriften gelten:</w:t>
      </w:r>
    </w:p>
    <w:p>
      <w:pPr>
        <w:pStyle w:val="GesAbsatz"/>
        <w:ind w:left="1134" w:hanging="1134"/>
        <w:rPr>
          <w:snapToGrid w:val="0"/>
        </w:rPr>
      </w:pPr>
      <w:r>
        <w:rPr>
          <w:snapToGrid w:val="0"/>
        </w:rPr>
        <w:tab/>
        <w:t>i)</w:t>
      </w:r>
      <w:r>
        <w:rPr>
          <w:snapToGrid w:val="0"/>
        </w:rPr>
        <w:tab/>
        <w:t>radioaktive Abfälle;</w:t>
      </w:r>
    </w:p>
    <w:p>
      <w:pPr>
        <w:pStyle w:val="GesAbsatz"/>
        <w:ind w:left="1134" w:hanging="1134"/>
        <w:rPr>
          <w:snapToGrid w:val="0"/>
        </w:rPr>
      </w:pPr>
      <w:r>
        <w:rPr>
          <w:snapToGrid w:val="0"/>
        </w:rPr>
        <w:tab/>
        <w:t>ii)</w:t>
      </w:r>
      <w:r>
        <w:rPr>
          <w:snapToGrid w:val="0"/>
        </w:rPr>
        <w:tab/>
        <w:t>Abfälle, die beim Aufsuchen, Gewinnen, Aufbereiten und Lagern von Bodenschätzen sowie beim Betrieb von Steinbrüchen entstehen;</w:t>
      </w:r>
    </w:p>
    <w:p>
      <w:pPr>
        <w:pStyle w:val="GesAbsatz"/>
        <w:ind w:left="1134" w:hanging="1134"/>
        <w:rPr>
          <w:snapToGrid w:val="0"/>
        </w:rPr>
      </w:pPr>
      <w:r>
        <w:rPr>
          <w:snapToGrid w:val="0"/>
        </w:rPr>
        <w:tab/>
        <w:t>iii)</w:t>
      </w:r>
      <w:r>
        <w:rPr>
          <w:snapToGrid w:val="0"/>
        </w:rPr>
        <w:tab/>
        <w:t>Tierkörper und folgende Abfälle aus der Landwirtschaft: Fäkalien und sonstige natürliche, ungefährliche Stoffe, die innerhalb der Landwirtschaft verwendet werden;</w:t>
      </w:r>
    </w:p>
    <w:p>
      <w:pPr>
        <w:pStyle w:val="GesAbsatz"/>
        <w:ind w:left="1134" w:hanging="1134"/>
        <w:rPr>
          <w:snapToGrid w:val="0"/>
        </w:rPr>
      </w:pPr>
      <w:r>
        <w:rPr>
          <w:snapToGrid w:val="0"/>
        </w:rPr>
        <w:lastRenderedPageBreak/>
        <w:tab/>
        <w:t>iv)</w:t>
      </w:r>
      <w:r>
        <w:rPr>
          <w:snapToGrid w:val="0"/>
        </w:rPr>
        <w:tab/>
        <w:t>Abwässer mit Ausnahme flüssiger Abfälle;</w:t>
      </w:r>
    </w:p>
    <w:p>
      <w:pPr>
        <w:pStyle w:val="GesAbsatz"/>
        <w:ind w:left="1134" w:hanging="1134"/>
        <w:rPr>
          <w:snapToGrid w:val="0"/>
        </w:rPr>
      </w:pPr>
      <w:r>
        <w:rPr>
          <w:snapToGrid w:val="0"/>
        </w:rPr>
        <w:tab/>
        <w:t>v)</w:t>
      </w:r>
      <w:r>
        <w:rPr>
          <w:snapToGrid w:val="0"/>
        </w:rPr>
        <w:tab/>
        <w:t>ausgesonderte Sprengstoffe.</w:t>
      </w:r>
    </w:p>
    <w:p>
      <w:pPr>
        <w:pStyle w:val="GesAbsatz"/>
        <w:rPr>
          <w:snapToGrid w:val="0"/>
        </w:rPr>
      </w:pPr>
      <w:r>
        <w:rPr>
          <w:snapToGrid w:val="0"/>
        </w:rPr>
        <w:t>(2) Zur Regelung der Bewirtschaftung bestimmter Abfallgruppen können in Einzelrichtlinien besondere oder ergänzende Vorschriften erlassen werden.</w:t>
      </w:r>
    </w:p>
    <w:p>
      <w:pPr>
        <w:pStyle w:val="berschrift2"/>
        <w:rPr>
          <w:snapToGrid w:val="0"/>
        </w:rPr>
      </w:pPr>
      <w:bookmarkStart w:id="4" w:name="_Toc95105900"/>
      <w:r>
        <w:rPr>
          <w:snapToGrid w:val="0"/>
        </w:rPr>
        <w:t>Artikel 3</w:t>
      </w:r>
      <w:bookmarkEnd w:id="4"/>
    </w:p>
    <w:p>
      <w:pPr>
        <w:pStyle w:val="GesAbsatz"/>
        <w:rPr>
          <w:snapToGrid w:val="0"/>
        </w:rPr>
      </w:pPr>
      <w:r>
        <w:rPr>
          <w:snapToGrid w:val="0"/>
        </w:rPr>
        <w:t>(1) Die Mitgliedstaaten treffen Maßnahmen, um folgendes zu fördern:</w:t>
      </w:r>
    </w:p>
    <w:p>
      <w:pPr>
        <w:pStyle w:val="GesAbsatz"/>
        <w:ind w:left="426" w:hanging="426"/>
        <w:rPr>
          <w:snapToGrid w:val="0"/>
        </w:rPr>
      </w:pPr>
      <w:r>
        <w:rPr>
          <w:snapToGrid w:val="0"/>
        </w:rPr>
        <w:t>a)</w:t>
      </w:r>
      <w:r>
        <w:rPr>
          <w:snapToGrid w:val="0"/>
        </w:rPr>
        <w:tab/>
        <w:t>in erster Linie die Verhütung oder Verringerung der Erzeugung von Abfällen und ihrer Gefährlichkeit, insbesondere durch</w:t>
      </w:r>
    </w:p>
    <w:p>
      <w:pPr>
        <w:pStyle w:val="GesAbsatz"/>
        <w:ind w:left="851" w:hanging="851"/>
        <w:rPr>
          <w:snapToGrid w:val="0"/>
        </w:rPr>
      </w:pPr>
      <w:r>
        <w:rPr>
          <w:snapToGrid w:val="0"/>
        </w:rPr>
        <w:tab/>
        <w:t>—</w:t>
      </w:r>
      <w:r>
        <w:rPr>
          <w:snapToGrid w:val="0"/>
        </w:rPr>
        <w:tab/>
        <w:t>die Entwicklung sauberer Technologien, die eine sparsamere Nutzung der natürlichen Ressourcen ermöglichen;</w:t>
      </w:r>
    </w:p>
    <w:p>
      <w:pPr>
        <w:pStyle w:val="GesAbsatz"/>
        <w:ind w:left="851" w:hanging="851"/>
        <w:rPr>
          <w:snapToGrid w:val="0"/>
        </w:rPr>
      </w:pPr>
      <w:r>
        <w:rPr>
          <w:snapToGrid w:val="0"/>
        </w:rPr>
        <w:tab/>
        <w:t>—</w:t>
      </w:r>
      <w:r>
        <w:rPr>
          <w:snapToGrid w:val="0"/>
        </w:rPr>
        <w:tab/>
        <w:t>die technische Entwicklung und das Inverkehrbringen von Produkten, die so ausgelegt sind, daß sie aufgrund ihrer Herstellungseigenschaften, ihrer Verwendung oder Beseitigung nicht oder in möglichst geringem Ausmaß zu einer Vermehrung oder einem erhöhten Risikopotential der Abfälle und Umweltbelastungen beitragen;</w:t>
      </w:r>
    </w:p>
    <w:p>
      <w:pPr>
        <w:pStyle w:val="GesAbsatz"/>
        <w:ind w:left="851" w:hanging="851"/>
        <w:rPr>
          <w:snapToGrid w:val="0"/>
        </w:rPr>
      </w:pPr>
      <w:r>
        <w:rPr>
          <w:snapToGrid w:val="0"/>
        </w:rPr>
        <w:tab/>
        <w:t>—</w:t>
      </w:r>
      <w:r>
        <w:rPr>
          <w:snapToGrid w:val="0"/>
        </w:rPr>
        <w:tab/>
        <w:t>die Entwicklung geeigneter Techniken zur Beseitigung gefährlicher Stoffe in Abfällen, die für die Verwertung bestimmt sind;</w:t>
      </w:r>
    </w:p>
    <w:p>
      <w:pPr>
        <w:pStyle w:val="GesAbsatz"/>
        <w:rPr>
          <w:snapToGrid w:val="0"/>
        </w:rPr>
      </w:pPr>
      <w:r>
        <w:rPr>
          <w:snapToGrid w:val="0"/>
        </w:rPr>
        <w:t>b)</w:t>
      </w:r>
      <w:r>
        <w:rPr>
          <w:snapToGrid w:val="0"/>
        </w:rPr>
        <w:tab/>
        <w:t>in zweiter Linie</w:t>
      </w:r>
    </w:p>
    <w:p>
      <w:pPr>
        <w:pStyle w:val="GesAbsatz"/>
        <w:ind w:left="426" w:hanging="426"/>
        <w:rPr>
          <w:snapToGrid w:val="0"/>
        </w:rPr>
      </w:pPr>
      <w:r>
        <w:rPr>
          <w:snapToGrid w:val="0"/>
        </w:rPr>
        <w:t>i)</w:t>
      </w:r>
      <w:r>
        <w:rPr>
          <w:snapToGrid w:val="0"/>
        </w:rPr>
        <w:tab/>
        <w:t>die Verwertung der Abfälle im Wege der Rückführung, der Wiederverwendung, des Wiedereinsatzes oder anderer Verwertungsvorgänge im Hinblick auf die Gewinnung von sekundären Rohstoffen oder</w:t>
      </w:r>
    </w:p>
    <w:p>
      <w:pPr>
        <w:pStyle w:val="GesAbsatz"/>
        <w:ind w:left="851" w:hanging="851"/>
        <w:rPr>
          <w:snapToGrid w:val="0"/>
        </w:rPr>
      </w:pPr>
      <w:r>
        <w:rPr>
          <w:snapToGrid w:val="0"/>
        </w:rPr>
        <w:t>ii)</w:t>
      </w:r>
      <w:r>
        <w:rPr>
          <w:snapToGrid w:val="0"/>
        </w:rPr>
        <w:tab/>
        <w:t>die Nutzung von Abfällen zur Gewinnung von Energie.</w:t>
      </w:r>
    </w:p>
    <w:p>
      <w:pPr>
        <w:pStyle w:val="GesAbsatz"/>
        <w:rPr>
          <w:snapToGrid w:val="0"/>
        </w:rPr>
      </w:pPr>
      <w:r>
        <w:rPr>
          <w:snapToGrid w:val="0"/>
        </w:rPr>
        <w:t xml:space="preserve">(2) Außer in den Fällen, in denen die Richtlinie 83/189/EWG des Rates vom </w:t>
      </w:r>
      <w:smartTag w:uri="urn:schemas-microsoft-com:office:smarttags" w:element="date">
        <w:smartTagPr>
          <w:attr w:name="ls" w:val="trans"/>
          <w:attr w:name="Month" w:val="3"/>
          <w:attr w:name="Day" w:val="28"/>
          <w:attr w:name="Year" w:val="1983"/>
        </w:smartTagPr>
        <w:r>
          <w:rPr>
            <w:snapToGrid w:val="0"/>
          </w:rPr>
          <w:t>28.März 1983</w:t>
        </w:r>
      </w:smartTag>
      <w:r>
        <w:rPr>
          <w:snapToGrid w:val="0"/>
        </w:rPr>
        <w:t xml:space="preserve"> über ein Informationsverfahren auf dem Gebiet der Normen und technischen Vorschriften</w:t>
      </w:r>
      <w:r>
        <w:rPr>
          <w:rStyle w:val="Funotenzeichen"/>
          <w:snapToGrid w:val="0"/>
        </w:rPr>
        <w:footnoteReference w:id="4"/>
      </w:r>
      <w:r>
        <w:rPr>
          <w:snapToGrid w:val="0"/>
        </w:rPr>
        <w:t xml:space="preserve"> Anwendung findet, unterrichten die Mitgliedstaaten die Kommission über die von ihnen zur Erreichung der Ziele des Absatzes 1 in Aussicht genommenen Maßnahmen. Die Kommission unterrichtet die anderen Mitgliedstaaten und den in Artikel 18 genannten Ausschuß über diese Maßnahmen.</w:t>
      </w:r>
    </w:p>
    <w:p>
      <w:pPr>
        <w:pStyle w:val="berschrift2"/>
        <w:rPr>
          <w:snapToGrid w:val="0"/>
        </w:rPr>
      </w:pPr>
      <w:bookmarkStart w:id="5" w:name="_Toc95105901"/>
      <w:r>
        <w:rPr>
          <w:snapToGrid w:val="0"/>
        </w:rPr>
        <w:t>Artikel 4</w:t>
      </w:r>
      <w:bookmarkEnd w:id="5"/>
    </w:p>
    <w:p>
      <w:pPr>
        <w:pStyle w:val="GesAbsatz"/>
        <w:rPr>
          <w:snapToGrid w:val="0"/>
        </w:rPr>
      </w:pPr>
      <w:r>
        <w:rPr>
          <w:snapToGrid w:val="0"/>
        </w:rPr>
        <w:t>Die Mitgliedstaaten treffen die erforderlichen Maßnahmen, um sicherzustellen, daß die Abfälle verwertet oder beseitigt werden, ohne daß die menschliche Gesundheit gefährdet wird und ohne daß Verfahren oder Methoden verwendet werden, welche die Umwelt schädigen können, insbesondere ohne daß</w:t>
      </w:r>
    </w:p>
    <w:p>
      <w:pPr>
        <w:pStyle w:val="GesAbsatz"/>
        <w:rPr>
          <w:snapToGrid w:val="0"/>
        </w:rPr>
      </w:pPr>
      <w:r>
        <w:rPr>
          <w:snapToGrid w:val="0"/>
        </w:rPr>
        <w:t>—</w:t>
      </w:r>
      <w:r>
        <w:rPr>
          <w:snapToGrid w:val="0"/>
        </w:rPr>
        <w:tab/>
        <w:t>Wasser, Luft, Boden und die Tier- und Pflanzenwelt gefährdet werden;</w:t>
      </w:r>
    </w:p>
    <w:p>
      <w:pPr>
        <w:pStyle w:val="GesAbsatz"/>
        <w:rPr>
          <w:snapToGrid w:val="0"/>
        </w:rPr>
      </w:pPr>
      <w:r>
        <w:rPr>
          <w:snapToGrid w:val="0"/>
        </w:rPr>
        <w:t>—</w:t>
      </w:r>
      <w:r>
        <w:rPr>
          <w:snapToGrid w:val="0"/>
        </w:rPr>
        <w:tab/>
        <w:t>Geräusch- oder Geruchsbelästigungen verursacht werden;</w:t>
      </w:r>
    </w:p>
    <w:p>
      <w:pPr>
        <w:pStyle w:val="GesAbsatz"/>
        <w:rPr>
          <w:snapToGrid w:val="0"/>
        </w:rPr>
      </w:pPr>
      <w:r>
        <w:rPr>
          <w:snapToGrid w:val="0"/>
        </w:rPr>
        <w:t>—</w:t>
      </w:r>
      <w:r>
        <w:rPr>
          <w:snapToGrid w:val="0"/>
        </w:rPr>
        <w:tab/>
        <w:t>die Umgebung und das Landschaftsbild beeinträchtigt werden.</w:t>
      </w:r>
    </w:p>
    <w:p>
      <w:pPr>
        <w:pStyle w:val="GesAbsatz"/>
        <w:rPr>
          <w:snapToGrid w:val="0"/>
        </w:rPr>
      </w:pPr>
      <w:r>
        <w:rPr>
          <w:snapToGrid w:val="0"/>
        </w:rPr>
        <w:t>Die Mitgliedstaaten ergreifen ferner die erforderlichen Maßnahmen, um eine unkontrollierte Ablagerung oder Ableitung von Abfällen und deren unkontrollierte Beseitigung zu verbieten.</w:t>
      </w:r>
    </w:p>
    <w:p>
      <w:pPr>
        <w:pStyle w:val="berschrift2"/>
        <w:rPr>
          <w:snapToGrid w:val="0"/>
        </w:rPr>
      </w:pPr>
      <w:bookmarkStart w:id="6" w:name="_Toc95105902"/>
      <w:r>
        <w:rPr>
          <w:snapToGrid w:val="0"/>
        </w:rPr>
        <w:t>Artikel 5</w:t>
      </w:r>
      <w:bookmarkEnd w:id="6"/>
    </w:p>
    <w:p>
      <w:pPr>
        <w:pStyle w:val="GesAbsatz"/>
        <w:rPr>
          <w:snapToGrid w:val="0"/>
        </w:rPr>
      </w:pPr>
      <w:r>
        <w:rPr>
          <w:snapToGrid w:val="0"/>
        </w:rPr>
        <w:t>(1) Die Mitgliedstaaten treffen — in Zusammenarbeit mit anderen Mitgliedstaaten, wenn sich dies als notwendig oder zweckmäßig erweist — Maßnahmen, um ein integriertes und angemessenes Netz von Beseitigungsanlagen zu errichten, die den derzeit modernsten, keine übermäßig hohen Kosten verursachenden Technologien Rechnung tragen. Dieses Netz muß es der Gemeinschaft insgesamt erlauben, die Entsorgungsautarkie zu erreichen, und es jedem einzelnen Mitgliedstaat ermöglichen, diese Autarkie anzustreben, wobei die geographischen Gegebenheiten oder der Bedarf an besonderen Anlagen für bestimmte Abfallarten berücksichtigt werden.</w:t>
      </w:r>
    </w:p>
    <w:p>
      <w:pPr>
        <w:pStyle w:val="GesAbsatz"/>
        <w:rPr>
          <w:snapToGrid w:val="0"/>
        </w:rPr>
      </w:pPr>
      <w:r>
        <w:rPr>
          <w:snapToGrid w:val="0"/>
        </w:rPr>
        <w:t>(2) Dieses Netz muß es darüber hinaus gestatten, daß die Abfälle in einer der am nächsten gelegenen geeigneten Entsorgungsanlagen unter Einsatz von Methoden und Technologien beseitigt werden, die am geeignetsten sind, um ein hohes Niveau des Gesundheits- und Umweltschutzes zu gewährleisten.</w:t>
      </w:r>
    </w:p>
    <w:p>
      <w:pPr>
        <w:pStyle w:val="berschrift2"/>
        <w:rPr>
          <w:snapToGrid w:val="0"/>
        </w:rPr>
      </w:pPr>
      <w:bookmarkStart w:id="7" w:name="_Toc95105903"/>
      <w:r>
        <w:rPr>
          <w:snapToGrid w:val="0"/>
        </w:rPr>
        <w:lastRenderedPageBreak/>
        <w:t>Artikel 6</w:t>
      </w:r>
      <w:bookmarkEnd w:id="7"/>
    </w:p>
    <w:p>
      <w:pPr>
        <w:pStyle w:val="GesAbsatz"/>
        <w:rPr>
          <w:snapToGrid w:val="0"/>
        </w:rPr>
      </w:pPr>
      <w:r>
        <w:rPr>
          <w:snapToGrid w:val="0"/>
        </w:rPr>
        <w:t>Die Mitgliedstaaten schaffen oder benennen die zuständige(n) Behörde(n), deren Auftrag es ist, die Bestimmungen dieser Richtlinie durchzuführen.</w:t>
      </w:r>
    </w:p>
    <w:p>
      <w:pPr>
        <w:pStyle w:val="berschrift2"/>
        <w:rPr>
          <w:snapToGrid w:val="0"/>
        </w:rPr>
      </w:pPr>
      <w:bookmarkStart w:id="8" w:name="_Toc95105904"/>
      <w:r>
        <w:rPr>
          <w:snapToGrid w:val="0"/>
        </w:rPr>
        <w:t>Artikel 7</w:t>
      </w:r>
      <w:bookmarkEnd w:id="8"/>
    </w:p>
    <w:p>
      <w:pPr>
        <w:pStyle w:val="GesAbsatz"/>
        <w:rPr>
          <w:snapToGrid w:val="0"/>
        </w:rPr>
      </w:pPr>
      <w:r>
        <w:rPr>
          <w:snapToGrid w:val="0"/>
        </w:rPr>
        <w:t>(1) Zur Verwirklichung der Ziele der Artikel 3, 4 und 5 erstellt (erstellen)die in Artikel 6 genannte(n) zuständige(n) Behörde(n) so bald wie möglich einen oder mehrere Abfallbewirtschaftungspläne. Diese Pläne umfassen insbesondere folgendes:</w:t>
      </w:r>
    </w:p>
    <w:p>
      <w:pPr>
        <w:pStyle w:val="GesAbsatz"/>
        <w:rPr>
          <w:snapToGrid w:val="0"/>
        </w:rPr>
      </w:pPr>
      <w:r>
        <w:rPr>
          <w:snapToGrid w:val="0"/>
        </w:rPr>
        <w:t>—</w:t>
      </w:r>
      <w:r>
        <w:rPr>
          <w:snapToGrid w:val="0"/>
        </w:rPr>
        <w:tab/>
        <w:t>Art, Menge und Ursprung der zu verwertenden oder zu beseitigenden Abfälle;</w:t>
      </w:r>
    </w:p>
    <w:p>
      <w:pPr>
        <w:pStyle w:val="GesAbsatz"/>
        <w:rPr>
          <w:snapToGrid w:val="0"/>
        </w:rPr>
      </w:pPr>
      <w:r>
        <w:rPr>
          <w:snapToGrid w:val="0"/>
        </w:rPr>
        <w:t>—</w:t>
      </w:r>
      <w:r>
        <w:rPr>
          <w:snapToGrid w:val="0"/>
        </w:rPr>
        <w:tab/>
        <w:t>allgemeine technische Vorschriften;</w:t>
      </w:r>
    </w:p>
    <w:p>
      <w:pPr>
        <w:pStyle w:val="GesAbsatz"/>
        <w:rPr>
          <w:snapToGrid w:val="0"/>
        </w:rPr>
      </w:pPr>
      <w:r>
        <w:rPr>
          <w:snapToGrid w:val="0"/>
        </w:rPr>
        <w:t>—</w:t>
      </w:r>
      <w:r>
        <w:rPr>
          <w:snapToGrid w:val="0"/>
        </w:rPr>
        <w:tab/>
        <w:t>besondere Vorkehrungen für bestimmte Abfälle;</w:t>
      </w:r>
    </w:p>
    <w:p>
      <w:pPr>
        <w:pStyle w:val="GesAbsatz"/>
        <w:rPr>
          <w:snapToGrid w:val="0"/>
        </w:rPr>
      </w:pPr>
      <w:r>
        <w:rPr>
          <w:snapToGrid w:val="0"/>
        </w:rPr>
        <w:t>—</w:t>
      </w:r>
      <w:r>
        <w:rPr>
          <w:snapToGrid w:val="0"/>
        </w:rPr>
        <w:tab/>
        <w:t>geeignete Flächen für Deponien und sonstige Beseitigungsanlagen.</w:t>
      </w:r>
    </w:p>
    <w:p>
      <w:pPr>
        <w:pStyle w:val="GesAbsatz"/>
        <w:rPr>
          <w:snapToGrid w:val="0"/>
        </w:rPr>
      </w:pPr>
      <w:r>
        <w:rPr>
          <w:snapToGrid w:val="0"/>
        </w:rPr>
        <w:t>In diesen Plänen können beispielsweise angegeben sein:</w:t>
      </w:r>
    </w:p>
    <w:p>
      <w:pPr>
        <w:pStyle w:val="GesAbsatz"/>
        <w:rPr>
          <w:snapToGrid w:val="0"/>
        </w:rPr>
      </w:pPr>
      <w:r>
        <w:rPr>
          <w:snapToGrid w:val="0"/>
        </w:rPr>
        <w:t>—</w:t>
      </w:r>
      <w:r>
        <w:rPr>
          <w:snapToGrid w:val="0"/>
        </w:rPr>
        <w:tab/>
        <w:t>die zur Abfallbewirtschaftung berechtigten natürlichen oder juristischen Personen;</w:t>
      </w:r>
    </w:p>
    <w:p>
      <w:pPr>
        <w:pStyle w:val="GesAbsatz"/>
        <w:rPr>
          <w:snapToGrid w:val="0"/>
        </w:rPr>
      </w:pPr>
      <w:r>
        <w:rPr>
          <w:snapToGrid w:val="0"/>
        </w:rPr>
        <w:t>—</w:t>
      </w:r>
      <w:r>
        <w:rPr>
          <w:snapToGrid w:val="0"/>
        </w:rPr>
        <w:tab/>
        <w:t>die geschätzten Kosten der Verwertung und der Beseitigung;</w:t>
      </w:r>
    </w:p>
    <w:p>
      <w:pPr>
        <w:pStyle w:val="GesAbsatz"/>
        <w:ind w:left="426" w:hanging="426"/>
        <w:rPr>
          <w:snapToGrid w:val="0"/>
        </w:rPr>
      </w:pPr>
      <w:r>
        <w:rPr>
          <w:snapToGrid w:val="0"/>
        </w:rPr>
        <w:t>—</w:t>
      </w:r>
      <w:r>
        <w:rPr>
          <w:snapToGrid w:val="0"/>
        </w:rPr>
        <w:tab/>
        <w:t>Maßnahmen zur Förderung der Rationalisierung des Einsammelns, Sortierens und Behandelns von Abfällen.</w:t>
      </w:r>
    </w:p>
    <w:p>
      <w:pPr>
        <w:pStyle w:val="GesAbsatz"/>
        <w:rPr>
          <w:snapToGrid w:val="0"/>
        </w:rPr>
      </w:pPr>
      <w:r>
        <w:rPr>
          <w:snapToGrid w:val="0"/>
        </w:rPr>
        <w:t>(2) Die Mitgliedstaaten arbeiten bei der Erstellung dieser Pläne gegebenenfalls mit den anderen Mitgliedstaaten und der Kommission zusammen. Sie übermitteln diese Pläne der Kommission.</w:t>
      </w:r>
    </w:p>
    <w:p>
      <w:pPr>
        <w:pStyle w:val="GesAbsatz"/>
        <w:rPr>
          <w:snapToGrid w:val="0"/>
        </w:rPr>
      </w:pPr>
      <w:r>
        <w:rPr>
          <w:snapToGrid w:val="0"/>
        </w:rPr>
        <w:t>(3) Die Mitgliedstaaten können die erforderlichen Maßnahmen ergreifen, um das Verbringen von Abfällen, das ihren Abfallbewirtschaftungsplänen nicht entspricht, zu unterbinden. Sie teilen der Kommission und den Mitgliedstaaten derartige Maßnahmen mit.</w:t>
      </w:r>
    </w:p>
    <w:p>
      <w:pPr>
        <w:pStyle w:val="berschrift2"/>
        <w:rPr>
          <w:snapToGrid w:val="0"/>
        </w:rPr>
      </w:pPr>
      <w:bookmarkStart w:id="9" w:name="_Toc95105905"/>
      <w:r>
        <w:rPr>
          <w:snapToGrid w:val="0"/>
        </w:rPr>
        <w:t>Artikel 8</w:t>
      </w:r>
      <w:bookmarkEnd w:id="9"/>
    </w:p>
    <w:p>
      <w:pPr>
        <w:pStyle w:val="GesAbsatz"/>
        <w:rPr>
          <w:snapToGrid w:val="0"/>
        </w:rPr>
      </w:pPr>
      <w:r>
        <w:rPr>
          <w:snapToGrid w:val="0"/>
        </w:rPr>
        <w:t>Die Mitgliedstaaten treffen die erforderlichen Vorkehrungen, damit jeder Besitzer von Abfällen</w:t>
      </w:r>
    </w:p>
    <w:p>
      <w:pPr>
        <w:pStyle w:val="GesAbsatz"/>
        <w:ind w:left="426" w:hanging="426"/>
        <w:rPr>
          <w:snapToGrid w:val="0"/>
        </w:rPr>
      </w:pPr>
      <w:r>
        <w:rPr>
          <w:snapToGrid w:val="0"/>
        </w:rPr>
        <w:t>—</w:t>
      </w:r>
      <w:r>
        <w:rPr>
          <w:snapToGrid w:val="0"/>
        </w:rPr>
        <w:tab/>
        <w:t>diese einem privaten oder öffentlichen Sammelunternehmen oder einem Unternehmen übergibt, das die in Anhang II A oder II B genannten Maßnahmen durchführt, oder</w:t>
      </w:r>
    </w:p>
    <w:p>
      <w:pPr>
        <w:pStyle w:val="GesAbsatz"/>
        <w:ind w:left="426" w:hanging="426"/>
        <w:rPr>
          <w:snapToGrid w:val="0"/>
        </w:rPr>
      </w:pPr>
      <w:r>
        <w:rPr>
          <w:snapToGrid w:val="0"/>
        </w:rPr>
        <w:t>—</w:t>
      </w:r>
      <w:r>
        <w:rPr>
          <w:snapToGrid w:val="0"/>
        </w:rPr>
        <w:tab/>
        <w:t>selbst die Verwertung oder Beseitigung unter Einhaltung der Bestimmungen dieser Richtlinie sicherstellt.</w:t>
      </w:r>
    </w:p>
    <w:p>
      <w:pPr>
        <w:pStyle w:val="berschrift2"/>
        <w:rPr>
          <w:snapToGrid w:val="0"/>
        </w:rPr>
      </w:pPr>
      <w:bookmarkStart w:id="10" w:name="_Toc95105906"/>
      <w:r>
        <w:rPr>
          <w:snapToGrid w:val="0"/>
        </w:rPr>
        <w:t>Artikel 9</w:t>
      </w:r>
      <w:bookmarkEnd w:id="10"/>
    </w:p>
    <w:p>
      <w:pPr>
        <w:pStyle w:val="GesAbsatz"/>
        <w:rPr>
          <w:snapToGrid w:val="0"/>
        </w:rPr>
      </w:pPr>
      <w:r>
        <w:rPr>
          <w:snapToGrid w:val="0"/>
        </w:rPr>
        <w:t>(1) Für die Zwecke der Artikel 4, 5 und 7 bedürfen alle Anlagen oder Unternehmen, die die in Anhang II A genannten Maßnahmen durchführen, einer Genehmigung durch die in Artikel 6 genannte zuständige Behörde. Diese Genehmigung erstreckt sich insbesondere auf</w:t>
      </w:r>
    </w:p>
    <w:p>
      <w:pPr>
        <w:pStyle w:val="GesAbsatz"/>
        <w:rPr>
          <w:snapToGrid w:val="0"/>
        </w:rPr>
      </w:pPr>
      <w:r>
        <w:rPr>
          <w:snapToGrid w:val="0"/>
        </w:rPr>
        <w:t>—</w:t>
      </w:r>
      <w:r>
        <w:rPr>
          <w:snapToGrid w:val="0"/>
        </w:rPr>
        <w:tab/>
        <w:t>Art und Menge der Abfälle,</w:t>
      </w:r>
    </w:p>
    <w:p>
      <w:pPr>
        <w:pStyle w:val="GesAbsatz"/>
        <w:rPr>
          <w:snapToGrid w:val="0"/>
        </w:rPr>
      </w:pPr>
      <w:r>
        <w:rPr>
          <w:snapToGrid w:val="0"/>
        </w:rPr>
        <w:t>—</w:t>
      </w:r>
      <w:r>
        <w:rPr>
          <w:snapToGrid w:val="0"/>
        </w:rPr>
        <w:tab/>
        <w:t>die technischen Vorschriften,</w:t>
      </w:r>
    </w:p>
    <w:p>
      <w:pPr>
        <w:pStyle w:val="GesAbsatz"/>
        <w:rPr>
          <w:snapToGrid w:val="0"/>
        </w:rPr>
      </w:pPr>
      <w:r>
        <w:rPr>
          <w:snapToGrid w:val="0"/>
        </w:rPr>
        <w:t>—</w:t>
      </w:r>
      <w:r>
        <w:rPr>
          <w:snapToGrid w:val="0"/>
        </w:rPr>
        <w:tab/>
        <w:t>die Sicherheitsvorkehrungen,</w:t>
      </w:r>
    </w:p>
    <w:p>
      <w:pPr>
        <w:pStyle w:val="GesAbsatz"/>
        <w:rPr>
          <w:snapToGrid w:val="0"/>
        </w:rPr>
      </w:pPr>
      <w:r>
        <w:rPr>
          <w:snapToGrid w:val="0"/>
        </w:rPr>
        <w:t>—</w:t>
      </w:r>
      <w:r>
        <w:rPr>
          <w:snapToGrid w:val="0"/>
        </w:rPr>
        <w:tab/>
        <w:t>den Ort der Beseitigung,</w:t>
      </w:r>
    </w:p>
    <w:p>
      <w:pPr>
        <w:pStyle w:val="GesAbsatz"/>
        <w:rPr>
          <w:snapToGrid w:val="0"/>
        </w:rPr>
      </w:pPr>
      <w:r>
        <w:rPr>
          <w:snapToGrid w:val="0"/>
        </w:rPr>
        <w:t>—</w:t>
      </w:r>
      <w:r>
        <w:rPr>
          <w:snapToGrid w:val="0"/>
        </w:rPr>
        <w:tab/>
        <w:t>die Beseitigungsmethode.</w:t>
      </w:r>
    </w:p>
    <w:p>
      <w:pPr>
        <w:pStyle w:val="GesAbsatz"/>
        <w:rPr>
          <w:snapToGrid w:val="0"/>
        </w:rPr>
      </w:pPr>
      <w:r>
        <w:rPr>
          <w:snapToGrid w:val="0"/>
        </w:rPr>
        <w:t>(2) Diese Genehmigungen können befristet, erneuert, mit Bedingungen und Auflagen verbunden oder, insbesondere wenn die vorgesehene Beseitigungsmethode aus Umweltgründen nicht akzeptiert werden kann, verweigert werden.</w:t>
      </w:r>
    </w:p>
    <w:p>
      <w:pPr>
        <w:pStyle w:val="berschrift2"/>
        <w:rPr>
          <w:snapToGrid w:val="0"/>
        </w:rPr>
      </w:pPr>
      <w:bookmarkStart w:id="11" w:name="_Toc95105907"/>
      <w:r>
        <w:rPr>
          <w:snapToGrid w:val="0"/>
        </w:rPr>
        <w:t>Artikel 10</w:t>
      </w:r>
      <w:bookmarkEnd w:id="11"/>
    </w:p>
    <w:p>
      <w:pPr>
        <w:pStyle w:val="GesAbsatz"/>
        <w:rPr>
          <w:snapToGrid w:val="0"/>
        </w:rPr>
      </w:pPr>
      <w:r>
        <w:rPr>
          <w:snapToGrid w:val="0"/>
        </w:rPr>
        <w:t>Für die Zwecke des Artikels 4 bedürfen alle Anlagen oder Unternehmen, die die in Anhang II B genannten Maßnahmen durchführen, einer Genehmigung.</w:t>
      </w:r>
    </w:p>
    <w:p>
      <w:pPr>
        <w:pStyle w:val="berschrift2"/>
        <w:rPr>
          <w:snapToGrid w:val="0"/>
        </w:rPr>
      </w:pPr>
      <w:bookmarkStart w:id="12" w:name="_Toc95105908"/>
      <w:r>
        <w:rPr>
          <w:snapToGrid w:val="0"/>
        </w:rPr>
        <w:lastRenderedPageBreak/>
        <w:t>Artikel 11</w:t>
      </w:r>
      <w:bookmarkEnd w:id="12"/>
    </w:p>
    <w:p>
      <w:pPr>
        <w:pStyle w:val="GesAbsatz"/>
        <w:rPr>
          <w:snapToGrid w:val="0"/>
        </w:rPr>
      </w:pPr>
      <w:r>
        <w:rPr>
          <w:snapToGrid w:val="0"/>
        </w:rPr>
        <w:t xml:space="preserve">(1) Unbeschadet der Richtlinie 78/319/EWG des Rates vom </w:t>
      </w:r>
      <w:smartTag w:uri="urn:schemas-microsoft-com:office:smarttags" w:element="date">
        <w:smartTagPr>
          <w:attr w:name="ls" w:val="trans"/>
          <w:attr w:name="Month" w:val="3"/>
          <w:attr w:name="Day" w:val="20"/>
          <w:attr w:name="Year" w:val="1978"/>
        </w:smartTagPr>
        <w:r>
          <w:rPr>
            <w:snapToGrid w:val="0"/>
          </w:rPr>
          <w:t>20. März 1978</w:t>
        </w:r>
      </w:smartTag>
      <w:r>
        <w:rPr>
          <w:snapToGrid w:val="0"/>
        </w:rPr>
        <w:t xml:space="preserve"> über giftige und gefährliche Abfälle</w:t>
      </w:r>
      <w:r>
        <w:rPr>
          <w:rStyle w:val="Funotenzeichen"/>
          <w:snapToGrid w:val="0"/>
        </w:rPr>
        <w:footnoteReference w:id="5"/>
      </w:r>
      <w:r>
        <w:rPr>
          <w:snapToGrid w:val="0"/>
        </w:rPr>
        <w:t>, zuletzt geändert durch die Akte über den Beitritt Spaniens und Portugals, können von der Genehmigungspflicht des Artikels 9 bzw. Artikels 10 befreit werden:</w:t>
      </w:r>
    </w:p>
    <w:p>
      <w:pPr>
        <w:pStyle w:val="GesAbsatz"/>
        <w:ind w:left="426" w:hanging="426"/>
        <w:rPr>
          <w:snapToGrid w:val="0"/>
        </w:rPr>
      </w:pPr>
      <w:r>
        <w:rPr>
          <w:snapToGrid w:val="0"/>
        </w:rPr>
        <w:t>a)</w:t>
      </w:r>
      <w:r>
        <w:rPr>
          <w:snapToGrid w:val="0"/>
        </w:rPr>
        <w:tab/>
        <w:t>die Anlagen oder Unternehmen, die die Beseitigung ihrer eigenen Abfälle am Entstehungsort sicherstellen, und</w:t>
      </w:r>
    </w:p>
    <w:p>
      <w:pPr>
        <w:pStyle w:val="GesAbsatz"/>
        <w:rPr>
          <w:snapToGrid w:val="0"/>
        </w:rPr>
      </w:pPr>
      <w:r>
        <w:rPr>
          <w:snapToGrid w:val="0"/>
        </w:rPr>
        <w:t>b)</w:t>
      </w:r>
      <w:r>
        <w:rPr>
          <w:snapToGrid w:val="0"/>
        </w:rPr>
        <w:tab/>
        <w:t>die Anlagen oder Unternehmen, die Abfälle verwerten.</w:t>
      </w:r>
    </w:p>
    <w:p>
      <w:pPr>
        <w:pStyle w:val="GesAbsatz"/>
        <w:rPr>
          <w:snapToGrid w:val="0"/>
        </w:rPr>
      </w:pPr>
      <w:r>
        <w:rPr>
          <w:snapToGrid w:val="0"/>
        </w:rPr>
        <w:t>Diese Befreiung gilt nur,</w:t>
      </w:r>
    </w:p>
    <w:p>
      <w:pPr>
        <w:pStyle w:val="GesAbsatz"/>
        <w:ind w:left="426" w:hanging="426"/>
        <w:rPr>
          <w:snapToGrid w:val="0"/>
        </w:rPr>
      </w:pPr>
      <w:r>
        <w:rPr>
          <w:snapToGrid w:val="0"/>
        </w:rPr>
        <w:t>—</w:t>
      </w:r>
      <w:r>
        <w:rPr>
          <w:snapToGrid w:val="0"/>
        </w:rPr>
        <w:tab/>
        <w:t>wenn die zuständigen Behörden für die verschiedenen Arten von Tätigkeiten jeweils allgemeine Vorschriften zur Festlegung der Abfallarten und -mengen sowie der Bedingungen erlassen haben, unter denen die Tätigkeit von der Genehmigungspflicht befreit werden kann, und</w:t>
      </w:r>
    </w:p>
    <w:p>
      <w:pPr>
        <w:pStyle w:val="GesAbsatz"/>
        <w:ind w:left="426" w:hanging="426"/>
        <w:rPr>
          <w:snapToGrid w:val="0"/>
        </w:rPr>
      </w:pPr>
      <w:r>
        <w:rPr>
          <w:snapToGrid w:val="0"/>
        </w:rPr>
        <w:t>—</w:t>
      </w:r>
      <w:r>
        <w:rPr>
          <w:snapToGrid w:val="0"/>
        </w:rPr>
        <w:tab/>
        <w:t>wenn die Art oder Menge der Abfälle und die Verfahren zu ihrer Beseitigung oder Verwertung so beschaffen sind, daß die Bedingungen des Artikels 4 eingehalten werden.</w:t>
      </w:r>
    </w:p>
    <w:p>
      <w:pPr>
        <w:pStyle w:val="GesAbsatz"/>
        <w:rPr>
          <w:snapToGrid w:val="0"/>
        </w:rPr>
      </w:pPr>
      <w:r>
        <w:rPr>
          <w:snapToGrid w:val="0"/>
        </w:rPr>
        <w:t>(2) Die in Absatz 1 genannten Anlagen oder Unternehmen müssen bei den zuständigen Behörden gemeldet sein.</w:t>
      </w:r>
    </w:p>
    <w:p>
      <w:pPr>
        <w:pStyle w:val="GesAbsatz"/>
        <w:rPr>
          <w:snapToGrid w:val="0"/>
        </w:rPr>
      </w:pPr>
      <w:r>
        <w:rPr>
          <w:snapToGrid w:val="0"/>
        </w:rPr>
        <w:t>(3) Die Mitgliedstaaten unterrichten die Kommission über die gemäß Absatz 1 erlassenen allgemeinen Vorschriften.</w:t>
      </w:r>
    </w:p>
    <w:p>
      <w:pPr>
        <w:pStyle w:val="berschrift2"/>
        <w:rPr>
          <w:snapToGrid w:val="0"/>
        </w:rPr>
      </w:pPr>
      <w:bookmarkStart w:id="13" w:name="_Toc95105909"/>
      <w:r>
        <w:rPr>
          <w:snapToGrid w:val="0"/>
        </w:rPr>
        <w:t>Artikel 12</w:t>
      </w:r>
      <w:bookmarkEnd w:id="13"/>
    </w:p>
    <w:p>
      <w:pPr>
        <w:pStyle w:val="GesAbsatz"/>
        <w:rPr>
          <w:snapToGrid w:val="0"/>
        </w:rPr>
      </w:pPr>
      <w:r>
        <w:rPr>
          <w:snapToGrid w:val="0"/>
        </w:rPr>
        <w:t>Die Anlagen oder Unternehmen, die gewerbsmäßig Abfälle einsammeln oder befördern oder die für die Beseitigung oder Verwertung von Abfällen für andere sorgen (Händler oder Makler), müssen bei den zuständigen Behörden gemeldet sein, sofern sie keine Genehmigung benötigen.</w:t>
      </w:r>
    </w:p>
    <w:p>
      <w:pPr>
        <w:pStyle w:val="berschrift2"/>
        <w:rPr>
          <w:snapToGrid w:val="0"/>
        </w:rPr>
      </w:pPr>
      <w:bookmarkStart w:id="14" w:name="_Toc95105910"/>
      <w:r>
        <w:rPr>
          <w:snapToGrid w:val="0"/>
        </w:rPr>
        <w:t>Artikel 13</w:t>
      </w:r>
      <w:bookmarkEnd w:id="14"/>
    </w:p>
    <w:p>
      <w:pPr>
        <w:pStyle w:val="GesAbsatz"/>
        <w:rPr>
          <w:snapToGrid w:val="0"/>
        </w:rPr>
      </w:pPr>
      <w:r>
        <w:rPr>
          <w:snapToGrid w:val="0"/>
        </w:rPr>
        <w:t>Die Anlagen oder Unternehmen, die die in den Artikeln 9 bis 12 genannten Maßnahmen durchführen, werden von den zuständigen Behörden regelmäßig angemessen überprüft.</w:t>
      </w:r>
    </w:p>
    <w:p>
      <w:pPr>
        <w:pStyle w:val="berschrift2"/>
        <w:rPr>
          <w:snapToGrid w:val="0"/>
        </w:rPr>
      </w:pPr>
      <w:bookmarkStart w:id="15" w:name="_Toc95105911"/>
      <w:r>
        <w:rPr>
          <w:snapToGrid w:val="0"/>
        </w:rPr>
        <w:t>Artikel 14</w:t>
      </w:r>
      <w:bookmarkEnd w:id="15"/>
    </w:p>
    <w:p>
      <w:pPr>
        <w:pStyle w:val="GesAbsatz"/>
        <w:rPr>
          <w:snapToGrid w:val="0"/>
        </w:rPr>
      </w:pPr>
      <w:r>
        <w:rPr>
          <w:snapToGrid w:val="0"/>
        </w:rPr>
        <w:t>Die in den Artikeln 9 und 10 genannten Anlagen oder Unternehmen</w:t>
      </w:r>
    </w:p>
    <w:p>
      <w:pPr>
        <w:pStyle w:val="GesAbsatz"/>
        <w:ind w:left="426" w:hanging="426"/>
        <w:rPr>
          <w:snapToGrid w:val="0"/>
        </w:rPr>
      </w:pPr>
      <w:r>
        <w:rPr>
          <w:snapToGrid w:val="0"/>
        </w:rPr>
        <w:t>—</w:t>
      </w:r>
      <w:r>
        <w:rPr>
          <w:snapToGrid w:val="0"/>
        </w:rPr>
        <w:tab/>
        <w:t>führen ein Register, in dem hinsichtlich der Abfälle nach Anhang I sowie der Vorgänge nach Anhang II A oder II B die Menge, die Art, der Ursprung und — gegebenenfalls — die Bestimmung, die Häufigkeit des Einsammelns und das Beförderungsmittel der Abfälle sowie die Art ihrer Behandlung verzeichnet werden;</w:t>
      </w:r>
    </w:p>
    <w:p>
      <w:pPr>
        <w:pStyle w:val="GesAbsatz"/>
        <w:ind w:left="426" w:hanging="426"/>
        <w:rPr>
          <w:snapToGrid w:val="0"/>
        </w:rPr>
      </w:pPr>
      <w:r>
        <w:rPr>
          <w:snapToGrid w:val="0"/>
        </w:rPr>
        <w:t>—</w:t>
      </w:r>
      <w:r>
        <w:rPr>
          <w:snapToGrid w:val="0"/>
        </w:rPr>
        <w:tab/>
        <w:t>teilen diese Angaben den in Artikel 6 genannten zuständigen Behörden auf Anfrage mit.</w:t>
      </w:r>
    </w:p>
    <w:p>
      <w:pPr>
        <w:pStyle w:val="GesAbsatz"/>
        <w:rPr>
          <w:snapToGrid w:val="0"/>
        </w:rPr>
      </w:pPr>
      <w:r>
        <w:rPr>
          <w:snapToGrid w:val="0"/>
        </w:rPr>
        <w:t>Die Mitgliedstaaten können auch von den Erzeugern verlangen, den Bestimmungen dieses Artikels nachzukommen.</w:t>
      </w:r>
    </w:p>
    <w:p>
      <w:pPr>
        <w:pStyle w:val="berschrift2"/>
        <w:rPr>
          <w:snapToGrid w:val="0"/>
        </w:rPr>
      </w:pPr>
      <w:bookmarkStart w:id="16" w:name="_Toc95105912"/>
      <w:r>
        <w:rPr>
          <w:snapToGrid w:val="0"/>
        </w:rPr>
        <w:t>Artikel 15</w:t>
      </w:r>
      <w:bookmarkEnd w:id="16"/>
    </w:p>
    <w:p>
      <w:pPr>
        <w:pStyle w:val="GesAbsatz"/>
        <w:rPr>
          <w:snapToGrid w:val="0"/>
        </w:rPr>
      </w:pPr>
      <w:r>
        <w:rPr>
          <w:snapToGrid w:val="0"/>
        </w:rPr>
        <w:t>Gemäß dem Verursacherprinzip sind die Kosten für die Beseitigung der Abfälle zu tragen von</w:t>
      </w:r>
    </w:p>
    <w:p>
      <w:pPr>
        <w:pStyle w:val="GesAbsatz"/>
        <w:ind w:left="426" w:hanging="426"/>
        <w:rPr>
          <w:snapToGrid w:val="0"/>
        </w:rPr>
      </w:pPr>
      <w:r>
        <w:rPr>
          <w:snapToGrid w:val="0"/>
        </w:rPr>
        <w:t>—</w:t>
      </w:r>
      <w:r>
        <w:rPr>
          <w:snapToGrid w:val="0"/>
        </w:rPr>
        <w:tab/>
        <w:t>dem Abfallbesitzer, der seine Abfälle einem Sammelunternehmen oder einem Unternehmen im Sinne des Artikels 9 übergibt, und/oder</w:t>
      </w:r>
    </w:p>
    <w:p>
      <w:pPr>
        <w:pStyle w:val="GesAbsatz"/>
        <w:ind w:left="426" w:hanging="426"/>
        <w:rPr>
          <w:snapToGrid w:val="0"/>
        </w:rPr>
      </w:pPr>
      <w:r>
        <w:rPr>
          <w:snapToGrid w:val="0"/>
        </w:rPr>
        <w:t>—</w:t>
      </w:r>
      <w:r>
        <w:rPr>
          <w:snapToGrid w:val="0"/>
        </w:rPr>
        <w:tab/>
        <w:t>den früheren Besitzern oder dem Hersteller des Erzeugnisses, von dem die Abfälle herrühren.</w:t>
      </w:r>
    </w:p>
    <w:p>
      <w:pPr>
        <w:pStyle w:val="berschrift2"/>
        <w:rPr>
          <w:snapToGrid w:val="0"/>
        </w:rPr>
      </w:pPr>
      <w:bookmarkStart w:id="17" w:name="_Toc95105913"/>
      <w:r>
        <w:rPr>
          <w:snapToGrid w:val="0"/>
        </w:rPr>
        <w:t>Artikel 16</w:t>
      </w:r>
      <w:bookmarkEnd w:id="17"/>
    </w:p>
    <w:p>
      <w:pPr>
        <w:pStyle w:val="GesAbsatz"/>
      </w:pPr>
      <w:r>
        <w:t>Die Mitgliedstaaten übermitteln der Kommission alle drei Jahre Angaben über die Durchführung dieser Richtlinie im Rahmen eines sektoralen Berichts, der auch die anderen einschlägigen Gemeinschaftsrichtlinien erfaßt. Der Bericht ist anhand eines von der Kommission nach dem Verfahren des Artikels 6 der Richtlinie 91/692/EWG</w:t>
      </w:r>
      <w:r>
        <w:rPr>
          <w:rStyle w:val="Funotenzeichen"/>
        </w:rPr>
        <w:footnoteReference w:id="6"/>
      </w:r>
      <w:r>
        <w:t xml:space="preserve"> ausgearbeiteten Fragebogens oder Schemas zu erstellen. Der Fragebogen bzw. das Schema wird den Mitgliedstaaten sechs Monate vor Beginn des Berichtszeitraums übersandt. Der Bericht ist bei der </w:t>
      </w:r>
      <w:r>
        <w:lastRenderedPageBreak/>
        <w:t>Kommission innerhalb von neun Monaten nach Ablauf des von ihm erfaßten Dreijahreszeitraums einzureichen.</w:t>
      </w:r>
    </w:p>
    <w:p>
      <w:pPr>
        <w:pStyle w:val="GesAbsatz"/>
      </w:pPr>
      <w:r>
        <w:t>Der erste Bericht erfaßt den Zeitraum 1995 bis 1997.</w:t>
      </w:r>
    </w:p>
    <w:p>
      <w:pPr>
        <w:pStyle w:val="GesAbsatz"/>
      </w:pPr>
      <w:r>
        <w:t>Die Kommission veröffentlicht innerhalb von neun Monaten nach Erhalt der einzelstaatlichen Berichte einen Gemeinschaftsbericht über die Durchführung dieser Richtlinie.</w:t>
      </w:r>
    </w:p>
    <w:p>
      <w:pPr>
        <w:pStyle w:val="berschrift2"/>
        <w:rPr>
          <w:snapToGrid w:val="0"/>
        </w:rPr>
      </w:pPr>
      <w:bookmarkStart w:id="18" w:name="_Toc95105914"/>
      <w:r>
        <w:rPr>
          <w:snapToGrid w:val="0"/>
        </w:rPr>
        <w:t>Artikel 17</w:t>
      </w:r>
      <w:bookmarkEnd w:id="18"/>
    </w:p>
    <w:p>
      <w:pPr>
        <w:pStyle w:val="GesAbsatz"/>
        <w:rPr>
          <w:snapToGrid w:val="0"/>
        </w:rPr>
      </w:pPr>
      <w:r>
        <w:rPr>
          <w:snapToGrid w:val="0"/>
        </w:rPr>
        <w:t>Die zur Anpassung der Anhänge an den wissenschaftlichen und technischen Fortschritt notwendigen Änderungen werden nach dem Verfahren des Artikels 18 erlassen.</w:t>
      </w:r>
    </w:p>
    <w:p>
      <w:pPr>
        <w:pStyle w:val="berschrift2"/>
        <w:rPr>
          <w:snapToGrid w:val="0"/>
        </w:rPr>
      </w:pPr>
      <w:bookmarkStart w:id="19" w:name="_Toc95105915"/>
      <w:r>
        <w:rPr>
          <w:snapToGrid w:val="0"/>
        </w:rPr>
        <w:t>Artikel 18</w:t>
      </w:r>
      <w:bookmarkEnd w:id="19"/>
    </w:p>
    <w:p>
      <w:pPr>
        <w:pStyle w:val="GesAbsatz"/>
        <w:rPr>
          <w:snapToGrid w:val="0"/>
        </w:rPr>
      </w:pPr>
      <w:r>
        <w:rPr>
          <w:snapToGrid w:val="0"/>
        </w:rPr>
        <w:t>(1) Die Kommission wird von einem Ausschuß unterstützt.</w:t>
      </w:r>
    </w:p>
    <w:p>
      <w:pPr>
        <w:pStyle w:val="GesAbsatz"/>
        <w:rPr>
          <w:snapToGrid w:val="0"/>
        </w:rPr>
      </w:pPr>
      <w:r>
        <w:rPr>
          <w:snapToGrid w:val="0"/>
        </w:rPr>
        <w:t>(2) Wird auf diesen Artikel Bezug genommen, so gelten die Artikel 5 und 7 des Beschlusses 1999/468/EG</w:t>
      </w:r>
      <w:r>
        <w:rPr>
          <w:rStyle w:val="Funotenzeichen"/>
          <w:snapToGrid w:val="0"/>
        </w:rPr>
        <w:footnoteReference w:id="7"/>
      </w:r>
      <w:r>
        <w:rPr>
          <w:snapToGrid w:val="0"/>
        </w:rPr>
        <w:t xml:space="preserve"> unter Beachtung von dessen Artikel 8. Der Zeitraum nach Artikel 5 Absatz 6 des Beschlusses 1999/468/EG wird auf drei Monate festgelegt.</w:t>
      </w:r>
    </w:p>
    <w:p>
      <w:pPr>
        <w:pStyle w:val="GesAbsatz"/>
        <w:rPr>
          <w:snapToGrid w:val="0"/>
        </w:rPr>
      </w:pPr>
      <w:r>
        <w:rPr>
          <w:snapToGrid w:val="0"/>
        </w:rPr>
        <w:t>(3) Der Ausschuss gibt sich eine Geschäftsordnung.</w:t>
      </w:r>
    </w:p>
    <w:p>
      <w:pPr>
        <w:pStyle w:val="berschrift2"/>
        <w:rPr>
          <w:snapToGrid w:val="0"/>
        </w:rPr>
      </w:pPr>
      <w:bookmarkStart w:id="20" w:name="_Toc95105916"/>
      <w:r>
        <w:rPr>
          <w:snapToGrid w:val="0"/>
        </w:rPr>
        <w:t>Artikel 19</w:t>
      </w:r>
      <w:bookmarkEnd w:id="20"/>
    </w:p>
    <w:p>
      <w:pPr>
        <w:pStyle w:val="GesAbsatz"/>
        <w:rPr>
          <w:snapToGrid w:val="0"/>
        </w:rPr>
      </w:pPr>
      <w:r>
        <w:rPr>
          <w:snapToGrid w:val="0"/>
        </w:rPr>
        <w:t>Die Mitgliedstaaten setzen die erforderlichen Maßnahmen in Kraft, um dieser Richtlinie binnen 24 Monaten nach ihrer Bekanntgabe nachzukommen, und setzen die Kommission unverzüglich davon in Kenntnis.</w:t>
      </w:r>
    </w:p>
    <w:p>
      <w:pPr>
        <w:pStyle w:val="berschrift2"/>
        <w:rPr>
          <w:snapToGrid w:val="0"/>
        </w:rPr>
      </w:pPr>
      <w:bookmarkStart w:id="21" w:name="_Toc95105917"/>
      <w:r>
        <w:rPr>
          <w:snapToGrid w:val="0"/>
        </w:rPr>
        <w:t>Artikel 20</w:t>
      </w:r>
      <w:bookmarkEnd w:id="21"/>
    </w:p>
    <w:p>
      <w:pPr>
        <w:pStyle w:val="GesAbsatz"/>
        <w:rPr>
          <w:snapToGrid w:val="0"/>
        </w:rPr>
      </w:pPr>
      <w:r>
        <w:rPr>
          <w:snapToGrid w:val="0"/>
        </w:rPr>
        <w:t>Die Mitgliedstaaten teilen der Kommission den Wortlaut der wichtigsten innerstaatlichen Rechtsvorschriften mit, die sie auf dem unter diese Richtlinie fallenden Gebiet erlassen.</w:t>
      </w:r>
    </w:p>
    <w:p>
      <w:pPr>
        <w:pStyle w:val="berschrift2"/>
        <w:rPr>
          <w:snapToGrid w:val="0"/>
        </w:rPr>
      </w:pPr>
      <w:bookmarkStart w:id="22" w:name="_Toc95105918"/>
      <w:r>
        <w:rPr>
          <w:snapToGrid w:val="0"/>
        </w:rPr>
        <w:t>Artikel 21</w:t>
      </w:r>
      <w:bookmarkEnd w:id="22"/>
    </w:p>
    <w:p>
      <w:pPr>
        <w:pStyle w:val="GesAbsatz"/>
        <w:rPr>
          <w:snapToGrid w:val="0"/>
        </w:rPr>
      </w:pPr>
      <w:r>
        <w:rPr>
          <w:snapToGrid w:val="0"/>
        </w:rPr>
        <w:t>Diese Richtlinie ist an die Mitgliedstaaten gerichtet.</w:t>
      </w:r>
    </w:p>
    <w:p>
      <w:pPr>
        <w:pStyle w:val="GesAbsatz"/>
        <w:rPr>
          <w:snapToGrid w:val="0"/>
        </w:rPr>
      </w:pPr>
    </w:p>
    <w:p>
      <w:pPr>
        <w:pStyle w:val="berschrift2"/>
        <w:rPr>
          <w:snapToGrid w:val="0"/>
        </w:rPr>
      </w:pPr>
      <w:r>
        <w:br w:type="page"/>
      </w:r>
      <w:bookmarkStart w:id="23" w:name="_Toc95105919"/>
      <w:r>
        <w:rPr>
          <w:snapToGrid w:val="0"/>
        </w:rPr>
        <w:lastRenderedPageBreak/>
        <w:t>ANHANG I</w:t>
      </w:r>
      <w:r>
        <w:rPr>
          <w:snapToGrid w:val="0"/>
        </w:rPr>
        <w:br/>
        <w:t>ABFALLGRUPPEN</w:t>
      </w:r>
      <w:bookmarkEnd w:id="23"/>
    </w:p>
    <w:p>
      <w:pPr>
        <w:pStyle w:val="GesAbsatz"/>
        <w:ind w:left="426" w:hanging="426"/>
        <w:rPr>
          <w:snapToGrid w:val="0"/>
        </w:rPr>
      </w:pPr>
      <w:r>
        <w:rPr>
          <w:snapToGrid w:val="0"/>
        </w:rPr>
        <w:t>Q1</w:t>
      </w:r>
      <w:r>
        <w:rPr>
          <w:snapToGrid w:val="0"/>
        </w:rPr>
        <w:tab/>
        <w:t>Nachstehend nicht näher beschriebene Produktions- oder Verbrauchsrückstände</w:t>
      </w:r>
    </w:p>
    <w:p>
      <w:pPr>
        <w:pStyle w:val="GesAbsatz"/>
        <w:ind w:left="426" w:hanging="426"/>
        <w:rPr>
          <w:snapToGrid w:val="0"/>
        </w:rPr>
      </w:pPr>
      <w:r>
        <w:rPr>
          <w:snapToGrid w:val="0"/>
        </w:rPr>
        <w:t>Q2</w:t>
      </w:r>
      <w:r>
        <w:rPr>
          <w:snapToGrid w:val="0"/>
        </w:rPr>
        <w:tab/>
        <w:t>Nicht den Normen entsprechende Produkte</w:t>
      </w:r>
    </w:p>
    <w:p>
      <w:pPr>
        <w:pStyle w:val="GesAbsatz"/>
        <w:ind w:left="426" w:hanging="426"/>
        <w:rPr>
          <w:snapToGrid w:val="0"/>
        </w:rPr>
      </w:pPr>
      <w:r>
        <w:rPr>
          <w:snapToGrid w:val="0"/>
        </w:rPr>
        <w:t>Q3</w:t>
      </w:r>
      <w:r>
        <w:rPr>
          <w:snapToGrid w:val="0"/>
        </w:rPr>
        <w:tab/>
        <w:t>Produkte, bei denen das Verfalldatum überschritten ist</w:t>
      </w:r>
    </w:p>
    <w:p>
      <w:pPr>
        <w:pStyle w:val="GesAbsatz"/>
        <w:ind w:left="426" w:hanging="426"/>
        <w:rPr>
          <w:snapToGrid w:val="0"/>
        </w:rPr>
      </w:pPr>
      <w:r>
        <w:rPr>
          <w:snapToGrid w:val="0"/>
        </w:rPr>
        <w:t>Q4</w:t>
      </w:r>
      <w:r>
        <w:rPr>
          <w:snapToGrid w:val="0"/>
        </w:rPr>
        <w:tab/>
        <w:t>Unabsichtlich ausgebrachte oder verlorene oder von einem sonstigen Zwischenfall betroffene Produkte einschließlich sämtlicher Stoffe, Anlageteile usw., die bei einem solchen Zwischenfall kontaminiert worden sind</w:t>
      </w:r>
    </w:p>
    <w:p>
      <w:pPr>
        <w:pStyle w:val="GesAbsatz"/>
        <w:ind w:left="426" w:hanging="426"/>
        <w:rPr>
          <w:snapToGrid w:val="0"/>
        </w:rPr>
      </w:pPr>
      <w:r>
        <w:rPr>
          <w:snapToGrid w:val="0"/>
        </w:rPr>
        <w:t>Q5</w:t>
      </w:r>
      <w:r>
        <w:rPr>
          <w:snapToGrid w:val="0"/>
        </w:rPr>
        <w:tab/>
        <w:t>Infolge absichtlicher Tätigkeiten kontaminierte oder verschmutzte Stoffe (z.B. Reinigungsrückstände, Verpackungsmaterial, Behälter usw.)</w:t>
      </w:r>
    </w:p>
    <w:p>
      <w:pPr>
        <w:pStyle w:val="GesAbsatz"/>
        <w:ind w:left="426" w:hanging="426"/>
        <w:rPr>
          <w:snapToGrid w:val="0"/>
        </w:rPr>
      </w:pPr>
      <w:r>
        <w:rPr>
          <w:snapToGrid w:val="0"/>
        </w:rPr>
        <w:t>Q6</w:t>
      </w:r>
      <w:r>
        <w:rPr>
          <w:snapToGrid w:val="0"/>
        </w:rPr>
        <w:tab/>
        <w:t>Nichtverwendbare Elemente (z.B. verbrauchte Batterien, Katalysatoren usw.)</w:t>
      </w:r>
    </w:p>
    <w:p>
      <w:pPr>
        <w:pStyle w:val="GesAbsatz"/>
        <w:ind w:left="426" w:hanging="426"/>
        <w:rPr>
          <w:snapToGrid w:val="0"/>
        </w:rPr>
      </w:pPr>
      <w:r>
        <w:rPr>
          <w:snapToGrid w:val="0"/>
        </w:rPr>
        <w:t>Q7</w:t>
      </w:r>
      <w:r>
        <w:rPr>
          <w:snapToGrid w:val="0"/>
        </w:rPr>
        <w:tab/>
        <w:t>Unverwendbar gewordene Stoffe (z.B. kontaminierte Säuren, Lösungsmittel, Härtesalze usw.)</w:t>
      </w:r>
    </w:p>
    <w:p>
      <w:pPr>
        <w:pStyle w:val="GesAbsatz"/>
        <w:ind w:left="426" w:hanging="426"/>
        <w:rPr>
          <w:snapToGrid w:val="0"/>
        </w:rPr>
      </w:pPr>
      <w:r>
        <w:rPr>
          <w:snapToGrid w:val="0"/>
        </w:rPr>
        <w:t>Q8</w:t>
      </w:r>
      <w:r>
        <w:rPr>
          <w:snapToGrid w:val="0"/>
        </w:rPr>
        <w:tab/>
        <w:t>Rückstände aus industriellen Verfahren (z.B. Schlacken, Destillationsrückstände usw.)</w:t>
      </w:r>
    </w:p>
    <w:p>
      <w:pPr>
        <w:pStyle w:val="GesAbsatz"/>
        <w:ind w:left="426" w:hanging="426"/>
        <w:rPr>
          <w:snapToGrid w:val="0"/>
        </w:rPr>
      </w:pPr>
      <w:r>
        <w:rPr>
          <w:snapToGrid w:val="0"/>
        </w:rPr>
        <w:t>Q9</w:t>
      </w:r>
      <w:r>
        <w:rPr>
          <w:snapToGrid w:val="0"/>
        </w:rPr>
        <w:tab/>
        <w:t>Rückstände von Verfahren zur Bekämpfung der Verunreinigung (z.B. Gaswaschschlamm, Luftfilterrückstand, verbrauchte Filter usw.)</w:t>
      </w:r>
    </w:p>
    <w:p>
      <w:pPr>
        <w:pStyle w:val="GesAbsatz"/>
        <w:ind w:left="426" w:hanging="426"/>
        <w:rPr>
          <w:snapToGrid w:val="0"/>
        </w:rPr>
      </w:pPr>
      <w:r>
        <w:rPr>
          <w:snapToGrid w:val="0"/>
        </w:rPr>
        <w:t>Q10</w:t>
      </w:r>
      <w:r>
        <w:rPr>
          <w:snapToGrid w:val="0"/>
        </w:rPr>
        <w:tab/>
        <w:t>Bei maschineller und spanender Formgebung anfallende Rückstände (z. B. Dreh- und Fräsespäne usw.)</w:t>
      </w:r>
    </w:p>
    <w:p>
      <w:pPr>
        <w:pStyle w:val="GesAbsatz"/>
        <w:ind w:left="426" w:hanging="426"/>
        <w:rPr>
          <w:snapToGrid w:val="0"/>
        </w:rPr>
      </w:pPr>
      <w:r>
        <w:rPr>
          <w:snapToGrid w:val="0"/>
        </w:rPr>
        <w:t>Q11</w:t>
      </w:r>
      <w:r>
        <w:rPr>
          <w:snapToGrid w:val="0"/>
        </w:rPr>
        <w:tab/>
        <w:t>Bei der Förderung und der Aufbereitung von Rohstoffen anfallende Rückstände (z.B. im Bergbau, bei der Erdölförderung usw.)</w:t>
      </w:r>
    </w:p>
    <w:p>
      <w:pPr>
        <w:pStyle w:val="GesAbsatz"/>
        <w:ind w:left="426" w:hanging="426"/>
        <w:rPr>
          <w:snapToGrid w:val="0"/>
        </w:rPr>
      </w:pPr>
      <w:r>
        <w:rPr>
          <w:snapToGrid w:val="0"/>
        </w:rPr>
        <w:t>Q12</w:t>
      </w:r>
      <w:r>
        <w:rPr>
          <w:snapToGrid w:val="0"/>
        </w:rPr>
        <w:tab/>
        <w:t>Kontaminierte Stoffe (z.B. mit PCB verschmutztes Öl usw.)</w:t>
      </w:r>
    </w:p>
    <w:p>
      <w:pPr>
        <w:pStyle w:val="GesAbsatz"/>
        <w:ind w:left="426" w:hanging="426"/>
        <w:rPr>
          <w:snapToGrid w:val="0"/>
        </w:rPr>
      </w:pPr>
      <w:r>
        <w:rPr>
          <w:snapToGrid w:val="0"/>
        </w:rPr>
        <w:t>Q13</w:t>
      </w:r>
      <w:r>
        <w:rPr>
          <w:snapToGrid w:val="0"/>
        </w:rPr>
        <w:tab/>
        <w:t>Stoffe oder Produkte aller Art, deren Verwendung gesetzlichverboten ist</w:t>
      </w:r>
    </w:p>
    <w:p>
      <w:pPr>
        <w:pStyle w:val="GesAbsatz"/>
        <w:ind w:left="426" w:hanging="426"/>
        <w:rPr>
          <w:snapToGrid w:val="0"/>
        </w:rPr>
      </w:pPr>
      <w:r>
        <w:rPr>
          <w:snapToGrid w:val="0"/>
        </w:rPr>
        <w:t>Q14</w:t>
      </w:r>
      <w:r>
        <w:rPr>
          <w:snapToGrid w:val="0"/>
        </w:rPr>
        <w:tab/>
        <w:t>Produkte, die vom Besitzer nicht oder nicht mehr verwendet werden (z.B. in der Landwirtschaft, den Haushaltungen, Büros, Verkaufsstellen, Werkstätten usw.)</w:t>
      </w:r>
    </w:p>
    <w:p>
      <w:pPr>
        <w:pStyle w:val="GesAbsatz"/>
        <w:ind w:left="426" w:hanging="426"/>
        <w:rPr>
          <w:snapToGrid w:val="0"/>
        </w:rPr>
      </w:pPr>
      <w:r>
        <w:rPr>
          <w:snapToGrid w:val="0"/>
        </w:rPr>
        <w:t>Q15</w:t>
      </w:r>
      <w:r>
        <w:rPr>
          <w:snapToGrid w:val="0"/>
        </w:rPr>
        <w:tab/>
        <w:t>Kontaminierte Stoffe oder Produkte, die bei der Sanierung von Böden anfallen</w:t>
      </w:r>
    </w:p>
    <w:p>
      <w:pPr>
        <w:pStyle w:val="GesAbsatz"/>
        <w:ind w:left="426" w:hanging="426"/>
        <w:rPr>
          <w:snapToGrid w:val="0"/>
        </w:rPr>
      </w:pPr>
      <w:r>
        <w:rPr>
          <w:snapToGrid w:val="0"/>
        </w:rPr>
        <w:t>Q16</w:t>
      </w:r>
      <w:r>
        <w:rPr>
          <w:snapToGrid w:val="0"/>
        </w:rPr>
        <w:tab/>
        <w:t>Stoffe oder Produkte aller Art, die nicht einer der obenerwähnten Gruppen angehören.</w:t>
      </w:r>
    </w:p>
    <w:p>
      <w:pPr>
        <w:pStyle w:val="GesAbsatz"/>
        <w:ind w:left="426" w:hanging="426"/>
        <w:rPr>
          <w:snapToGrid w:val="0"/>
        </w:rPr>
      </w:pPr>
    </w:p>
    <w:p>
      <w:pPr>
        <w:pStyle w:val="GesAbsatz"/>
        <w:ind w:left="426" w:hanging="426"/>
        <w:rPr>
          <w:snapToGrid w:val="0"/>
        </w:rPr>
      </w:pPr>
    </w:p>
    <w:p>
      <w:pPr>
        <w:pStyle w:val="berschrift2"/>
        <w:rPr>
          <w:snapToGrid w:val="0"/>
        </w:rPr>
      </w:pPr>
      <w:bookmarkStart w:id="24" w:name="_Toc95105920"/>
      <w:r>
        <w:rPr>
          <w:snapToGrid w:val="0"/>
        </w:rPr>
        <w:t>ANHANG II A</w:t>
      </w:r>
      <w:r>
        <w:rPr>
          <w:snapToGrid w:val="0"/>
        </w:rPr>
        <w:br/>
        <w:t>BESEITIGUNGSVERFAHREN</w:t>
      </w:r>
      <w:bookmarkEnd w:id="24"/>
    </w:p>
    <w:p>
      <w:pPr>
        <w:pStyle w:val="GesAbsatz"/>
        <w:ind w:left="426" w:hanging="426"/>
        <w:rPr>
          <w:snapToGrid w:val="0"/>
        </w:rPr>
      </w:pPr>
      <w:r>
        <w:rPr>
          <w:i/>
          <w:snapToGrid w:val="0"/>
        </w:rPr>
        <w:t>NB:</w:t>
      </w:r>
      <w:r>
        <w:rPr>
          <w:i/>
          <w:snapToGrid w:val="0"/>
        </w:rPr>
        <w:tab/>
      </w:r>
      <w:r>
        <w:rPr>
          <w:snapToGrid w:val="0"/>
        </w:rPr>
        <w:t>Dieser Anhang führt Beseitigungsverfahren auf, die in der Praxis angewandt werden. Nach Artikel 4 müssen die Abfälle beseitigt werden, ohne daß die menschliche Gesundheit gefährdet wird und ohne daß Verfahren oder Methoden verwendet werden, welche die Umwelt schädigen können.</w:t>
      </w:r>
    </w:p>
    <w:p>
      <w:pPr>
        <w:pStyle w:val="GesAbsatz"/>
        <w:ind w:left="426" w:hanging="426"/>
        <w:rPr>
          <w:snapToGrid w:val="0"/>
        </w:rPr>
      </w:pPr>
      <w:r>
        <w:rPr>
          <w:snapToGrid w:val="0"/>
        </w:rPr>
        <w:t>D1</w:t>
      </w:r>
      <w:r>
        <w:rPr>
          <w:snapToGrid w:val="0"/>
        </w:rPr>
        <w:tab/>
        <w:t>Ablagerungen in oder auf dem Boden (z.B. Deponien usw.)</w:t>
      </w:r>
    </w:p>
    <w:p>
      <w:pPr>
        <w:pStyle w:val="GesAbsatz"/>
        <w:ind w:left="426" w:hanging="426"/>
        <w:rPr>
          <w:snapToGrid w:val="0"/>
        </w:rPr>
      </w:pPr>
      <w:r>
        <w:rPr>
          <w:snapToGrid w:val="0"/>
        </w:rPr>
        <w:t>D2</w:t>
      </w:r>
      <w:r>
        <w:rPr>
          <w:snapToGrid w:val="0"/>
        </w:rPr>
        <w:tab/>
        <w:t>Behandlung im Boden (z.B. biologischer Abbau von flüssigen oder schlammigen Abfällen im Erdreich usw.)</w:t>
      </w:r>
    </w:p>
    <w:p>
      <w:pPr>
        <w:pStyle w:val="GesAbsatz"/>
        <w:ind w:left="426" w:hanging="426"/>
        <w:rPr>
          <w:snapToGrid w:val="0"/>
        </w:rPr>
      </w:pPr>
      <w:r>
        <w:rPr>
          <w:snapToGrid w:val="0"/>
        </w:rPr>
        <w:t>D3</w:t>
      </w:r>
      <w:r>
        <w:rPr>
          <w:snapToGrid w:val="0"/>
        </w:rPr>
        <w:tab/>
        <w:t>Verpressung (z.B. Verpressung pumpfähiger Abfälle in Bohrlöcher, Salzdome oder natürliche Hohlräume usw.)</w:t>
      </w:r>
    </w:p>
    <w:p>
      <w:pPr>
        <w:pStyle w:val="GesAbsatz"/>
        <w:ind w:left="426" w:hanging="426"/>
        <w:rPr>
          <w:snapToGrid w:val="0"/>
        </w:rPr>
      </w:pPr>
      <w:r>
        <w:rPr>
          <w:snapToGrid w:val="0"/>
        </w:rPr>
        <w:t>D4</w:t>
      </w:r>
      <w:r>
        <w:rPr>
          <w:snapToGrid w:val="0"/>
        </w:rPr>
        <w:tab/>
        <w:t>Oberflächenaufbringung (z.B. Ableitung flüssiger oder schlammiger Abfälle in Gruben, Teichen oder Lagunen usw.)</w:t>
      </w:r>
    </w:p>
    <w:p>
      <w:pPr>
        <w:pStyle w:val="GesAbsatz"/>
        <w:ind w:left="426" w:hanging="426"/>
        <w:rPr>
          <w:snapToGrid w:val="0"/>
        </w:rPr>
      </w:pPr>
      <w:r>
        <w:rPr>
          <w:snapToGrid w:val="0"/>
        </w:rPr>
        <w:t>D5</w:t>
      </w:r>
      <w:r>
        <w:rPr>
          <w:snapToGrid w:val="0"/>
        </w:rPr>
        <w:tab/>
        <w:t>Speziell angelegte Deponien (z.B. Ablagerung in abgedichteten, getrennten Räumen, die gegeneinander und gegen die Umwelt verschlossen und isoliert werden, usw.)</w:t>
      </w:r>
    </w:p>
    <w:p>
      <w:pPr>
        <w:pStyle w:val="GesAbsatz"/>
        <w:ind w:left="426" w:hanging="426"/>
        <w:rPr>
          <w:snapToGrid w:val="0"/>
        </w:rPr>
      </w:pPr>
      <w:r>
        <w:rPr>
          <w:snapToGrid w:val="0"/>
        </w:rPr>
        <w:t>D6</w:t>
      </w:r>
      <w:r>
        <w:rPr>
          <w:snapToGrid w:val="0"/>
        </w:rPr>
        <w:tab/>
        <w:t>Einleitung in ein Gewässer mit Ausnahme von Meeren/Ozeanen</w:t>
      </w:r>
    </w:p>
    <w:p>
      <w:pPr>
        <w:pStyle w:val="GesAbsatz"/>
        <w:ind w:left="426" w:hanging="426"/>
        <w:rPr>
          <w:snapToGrid w:val="0"/>
        </w:rPr>
      </w:pPr>
      <w:r>
        <w:rPr>
          <w:snapToGrid w:val="0"/>
        </w:rPr>
        <w:t>D7</w:t>
      </w:r>
      <w:r>
        <w:rPr>
          <w:snapToGrid w:val="0"/>
        </w:rPr>
        <w:tab/>
        <w:t>Einleitung in Meere/Ozeane einschließlich Einbringung in den Meeresboden</w:t>
      </w:r>
    </w:p>
    <w:p>
      <w:pPr>
        <w:pStyle w:val="GesAbsatz"/>
        <w:ind w:left="426" w:hanging="426"/>
        <w:rPr>
          <w:snapToGrid w:val="0"/>
        </w:rPr>
      </w:pPr>
      <w:r>
        <w:rPr>
          <w:snapToGrid w:val="0"/>
        </w:rPr>
        <w:t>D8</w:t>
      </w:r>
      <w:r>
        <w:rPr>
          <w:snapToGrid w:val="0"/>
        </w:rPr>
        <w:tab/>
        <w:t>Biologische Behandlung, die nicht an anderer Stelle in diesem Anhang beschrieben ist und durch die Endverbindungen oder Gemische entstehen, die mit einem der in D1 bis D12 aufgeführten Verfahren entsorgt werden</w:t>
      </w:r>
    </w:p>
    <w:p>
      <w:pPr>
        <w:pStyle w:val="GesAbsatz"/>
        <w:ind w:left="426" w:hanging="426"/>
        <w:rPr>
          <w:snapToGrid w:val="0"/>
        </w:rPr>
      </w:pPr>
      <w:r>
        <w:rPr>
          <w:snapToGrid w:val="0"/>
        </w:rPr>
        <w:t>D9</w:t>
      </w:r>
      <w:r>
        <w:rPr>
          <w:snapToGrid w:val="0"/>
        </w:rPr>
        <w:tab/>
        <w:t>Chemisch/physikalische Behandlung, die nicht an anderer Stelle in diesem Anhang beschrieben ist und durch die Endverbindungen oder -gemische entstehen, die mit einem der in D1 bis D12 aufgeführten Verfahren entsorgt werden (z.B. Verdampfen, Trocknen, Kalzinieren usw.)</w:t>
      </w:r>
    </w:p>
    <w:p>
      <w:pPr>
        <w:pStyle w:val="GesAbsatz"/>
        <w:ind w:left="426" w:hanging="426"/>
        <w:rPr>
          <w:snapToGrid w:val="0"/>
        </w:rPr>
      </w:pPr>
      <w:r>
        <w:rPr>
          <w:snapToGrid w:val="0"/>
        </w:rPr>
        <w:lastRenderedPageBreak/>
        <w:t>D10</w:t>
      </w:r>
      <w:r>
        <w:rPr>
          <w:snapToGrid w:val="0"/>
        </w:rPr>
        <w:tab/>
        <w:t>Verbrennung an Land</w:t>
      </w:r>
    </w:p>
    <w:p>
      <w:pPr>
        <w:pStyle w:val="GesAbsatz"/>
        <w:ind w:left="426" w:hanging="426"/>
        <w:rPr>
          <w:snapToGrid w:val="0"/>
        </w:rPr>
      </w:pPr>
      <w:r>
        <w:rPr>
          <w:snapToGrid w:val="0"/>
        </w:rPr>
        <w:t>D11</w:t>
      </w:r>
      <w:r>
        <w:rPr>
          <w:snapToGrid w:val="0"/>
        </w:rPr>
        <w:tab/>
        <w:t>Verbrennung auf See</w:t>
      </w:r>
    </w:p>
    <w:p>
      <w:pPr>
        <w:pStyle w:val="GesAbsatz"/>
        <w:ind w:left="426" w:hanging="426"/>
        <w:rPr>
          <w:snapToGrid w:val="0"/>
        </w:rPr>
      </w:pPr>
      <w:r>
        <w:rPr>
          <w:snapToGrid w:val="0"/>
        </w:rPr>
        <w:t>D12</w:t>
      </w:r>
      <w:r>
        <w:rPr>
          <w:snapToGrid w:val="0"/>
        </w:rPr>
        <w:tab/>
        <w:t>Dauerlagerung (z.B. Lagerung von Behältern in einem Bergwerk usw.)</w:t>
      </w:r>
    </w:p>
    <w:p>
      <w:pPr>
        <w:pStyle w:val="GesAbsatz"/>
        <w:ind w:left="426" w:hanging="426"/>
        <w:rPr>
          <w:snapToGrid w:val="0"/>
        </w:rPr>
      </w:pPr>
      <w:r>
        <w:rPr>
          <w:snapToGrid w:val="0"/>
        </w:rPr>
        <w:t>D13</w:t>
      </w:r>
      <w:r>
        <w:rPr>
          <w:snapToGrid w:val="0"/>
        </w:rPr>
        <w:tab/>
        <w:t>Vermengung oder Vermischung vor Anwendung eines der in D1 bis D12 aufgeführten Verfahren</w:t>
      </w:r>
    </w:p>
    <w:p>
      <w:pPr>
        <w:pStyle w:val="GesAbsatz"/>
        <w:ind w:left="426" w:hanging="426"/>
        <w:rPr>
          <w:snapToGrid w:val="0"/>
        </w:rPr>
      </w:pPr>
      <w:r>
        <w:rPr>
          <w:snapToGrid w:val="0"/>
        </w:rPr>
        <w:t>D14</w:t>
      </w:r>
      <w:r>
        <w:rPr>
          <w:snapToGrid w:val="0"/>
        </w:rPr>
        <w:tab/>
        <w:t>Rekonditionierung vor Anwendung eines der in D1 bis D13 aufgeführten Verfahren</w:t>
      </w:r>
    </w:p>
    <w:p>
      <w:pPr>
        <w:pStyle w:val="GesAbsatz"/>
        <w:ind w:left="426" w:hanging="426"/>
        <w:rPr>
          <w:snapToGrid w:val="0"/>
        </w:rPr>
      </w:pPr>
      <w:r>
        <w:rPr>
          <w:snapToGrid w:val="0"/>
        </w:rPr>
        <w:t>D15</w:t>
      </w:r>
      <w:r>
        <w:rPr>
          <w:snapToGrid w:val="0"/>
        </w:rPr>
        <w:tab/>
        <w:t>Lagerung bis zur Anwendung eines der in D1 bis D14 aufgeführten Verfahren (ausgenommen zeitweilige Lagerung — bis zum Einsammeln — auf dem Gelände der Entstehung der Abfälle)</w:t>
      </w:r>
    </w:p>
    <w:p>
      <w:pPr>
        <w:pStyle w:val="GesAbsatz"/>
        <w:ind w:left="426" w:hanging="426"/>
        <w:rPr>
          <w:snapToGrid w:val="0"/>
        </w:rPr>
      </w:pPr>
    </w:p>
    <w:p>
      <w:pPr>
        <w:pStyle w:val="GesAbsatz"/>
        <w:rPr>
          <w:snapToGrid w:val="0"/>
        </w:rPr>
      </w:pPr>
    </w:p>
    <w:p>
      <w:pPr>
        <w:pStyle w:val="berschrift2"/>
        <w:rPr>
          <w:snapToGrid w:val="0"/>
        </w:rPr>
      </w:pPr>
      <w:bookmarkStart w:id="25" w:name="_Toc95105921"/>
      <w:r>
        <w:rPr>
          <w:snapToGrid w:val="0"/>
        </w:rPr>
        <w:t>ANHANG II B</w:t>
      </w:r>
      <w:r>
        <w:rPr>
          <w:snapToGrid w:val="0"/>
        </w:rPr>
        <w:br/>
        <w:t>VERWERTUNGSVERFAHREN</w:t>
      </w:r>
      <w:bookmarkEnd w:id="25"/>
    </w:p>
    <w:p>
      <w:pPr>
        <w:pStyle w:val="GesAbsatz"/>
        <w:ind w:left="426" w:hanging="426"/>
        <w:rPr>
          <w:snapToGrid w:val="0"/>
        </w:rPr>
      </w:pPr>
      <w:r>
        <w:rPr>
          <w:i/>
          <w:snapToGrid w:val="0"/>
        </w:rPr>
        <w:t>NB:</w:t>
      </w:r>
      <w:r>
        <w:rPr>
          <w:i/>
          <w:snapToGrid w:val="0"/>
        </w:rPr>
        <w:tab/>
      </w:r>
      <w:r>
        <w:rPr>
          <w:snapToGrid w:val="0"/>
        </w:rPr>
        <w:t>Dieser Anhang führt Verwertungsverfahren auf, die in der Praxis angewandt werden. Nach Artikel 4 müssen die Abfälle verwertet werden, ohne daß die menschliche Gesundheit gefährdet und ohne daß Verfahren oder Methoden verwendet werden, welche die Umwelt schädigen können.</w:t>
      </w:r>
    </w:p>
    <w:p>
      <w:pPr>
        <w:pStyle w:val="GesAbsatz"/>
        <w:ind w:left="426" w:hanging="426"/>
        <w:rPr>
          <w:snapToGrid w:val="0"/>
        </w:rPr>
      </w:pPr>
      <w:r>
        <w:rPr>
          <w:snapToGrid w:val="0"/>
        </w:rPr>
        <w:t>R1</w:t>
      </w:r>
      <w:r>
        <w:rPr>
          <w:snapToGrid w:val="0"/>
        </w:rPr>
        <w:tab/>
        <w:t>Hauptverwendung als Brennstoff oder andere Mittel der Energieerzeugung</w:t>
      </w:r>
    </w:p>
    <w:p>
      <w:pPr>
        <w:pStyle w:val="GesAbsatz"/>
        <w:ind w:left="426" w:hanging="426"/>
        <w:rPr>
          <w:snapToGrid w:val="0"/>
        </w:rPr>
      </w:pPr>
      <w:r>
        <w:rPr>
          <w:snapToGrid w:val="0"/>
        </w:rPr>
        <w:t>R2</w:t>
      </w:r>
      <w:r>
        <w:rPr>
          <w:snapToGrid w:val="0"/>
        </w:rPr>
        <w:tab/>
        <w:t>Rückgewinnung/Regenerierung von Lösemitteln</w:t>
      </w:r>
    </w:p>
    <w:p>
      <w:pPr>
        <w:pStyle w:val="GesAbsatz"/>
        <w:ind w:left="426" w:hanging="426"/>
        <w:rPr>
          <w:snapToGrid w:val="0"/>
        </w:rPr>
      </w:pPr>
      <w:r>
        <w:rPr>
          <w:snapToGrid w:val="0"/>
        </w:rPr>
        <w:t>R3</w:t>
      </w:r>
      <w:r>
        <w:rPr>
          <w:snapToGrid w:val="0"/>
        </w:rPr>
        <w:tab/>
        <w:t>Verwertung/Rückgewinnung organischer Stoffe, die nicht als Lösemittel verwendet werden (einschließlich der Kompostierung und sonstiger biologischer Umwandlungsverfahren)</w:t>
      </w:r>
    </w:p>
    <w:p>
      <w:pPr>
        <w:pStyle w:val="GesAbsatz"/>
        <w:ind w:left="426" w:hanging="426"/>
        <w:rPr>
          <w:snapToGrid w:val="0"/>
        </w:rPr>
      </w:pPr>
      <w:r>
        <w:rPr>
          <w:snapToGrid w:val="0"/>
        </w:rPr>
        <w:t>R4</w:t>
      </w:r>
      <w:r>
        <w:rPr>
          <w:snapToGrid w:val="0"/>
        </w:rPr>
        <w:tab/>
        <w:t>Verwertung/Rückgewinnung von Metallen und Metallverbindungen</w:t>
      </w:r>
    </w:p>
    <w:p>
      <w:pPr>
        <w:pStyle w:val="GesAbsatz"/>
        <w:ind w:left="426" w:hanging="426"/>
        <w:rPr>
          <w:snapToGrid w:val="0"/>
        </w:rPr>
      </w:pPr>
      <w:r>
        <w:rPr>
          <w:snapToGrid w:val="0"/>
        </w:rPr>
        <w:t>R5</w:t>
      </w:r>
      <w:r>
        <w:rPr>
          <w:snapToGrid w:val="0"/>
        </w:rPr>
        <w:tab/>
        <w:t>Verwertung/Rückgewinnung von anderen anorganischen Stoffen</w:t>
      </w:r>
    </w:p>
    <w:p>
      <w:pPr>
        <w:pStyle w:val="GesAbsatz"/>
        <w:ind w:left="426" w:hanging="426"/>
        <w:rPr>
          <w:snapToGrid w:val="0"/>
        </w:rPr>
      </w:pPr>
      <w:r>
        <w:rPr>
          <w:snapToGrid w:val="0"/>
        </w:rPr>
        <w:t>R6</w:t>
      </w:r>
      <w:r>
        <w:rPr>
          <w:snapToGrid w:val="0"/>
        </w:rPr>
        <w:tab/>
        <w:t>Regenerierung von Säuren und Basen</w:t>
      </w:r>
    </w:p>
    <w:p>
      <w:pPr>
        <w:pStyle w:val="GesAbsatz"/>
        <w:ind w:left="426" w:hanging="426"/>
        <w:rPr>
          <w:snapToGrid w:val="0"/>
        </w:rPr>
      </w:pPr>
      <w:r>
        <w:rPr>
          <w:snapToGrid w:val="0"/>
        </w:rPr>
        <w:t>R7</w:t>
      </w:r>
      <w:r>
        <w:rPr>
          <w:snapToGrid w:val="0"/>
        </w:rPr>
        <w:tab/>
        <w:t>Wiedergewinnung von Bestandteilen, die der Bekämpfung der Verunreinigungen dienen</w:t>
      </w:r>
    </w:p>
    <w:p>
      <w:pPr>
        <w:pStyle w:val="GesAbsatz"/>
        <w:ind w:left="426" w:hanging="426"/>
        <w:rPr>
          <w:snapToGrid w:val="0"/>
        </w:rPr>
      </w:pPr>
      <w:r>
        <w:rPr>
          <w:snapToGrid w:val="0"/>
        </w:rPr>
        <w:t>R8</w:t>
      </w:r>
      <w:r>
        <w:rPr>
          <w:snapToGrid w:val="0"/>
        </w:rPr>
        <w:tab/>
        <w:t>Wiedergewinnung von Katalysatorenbestandteilen</w:t>
      </w:r>
    </w:p>
    <w:p>
      <w:pPr>
        <w:pStyle w:val="GesAbsatz"/>
        <w:ind w:left="426" w:hanging="426"/>
        <w:rPr>
          <w:snapToGrid w:val="0"/>
        </w:rPr>
      </w:pPr>
      <w:r>
        <w:rPr>
          <w:snapToGrid w:val="0"/>
        </w:rPr>
        <w:t>R9</w:t>
      </w:r>
      <w:r>
        <w:rPr>
          <w:snapToGrid w:val="0"/>
        </w:rPr>
        <w:tab/>
        <w:t>Ölraffination oder andere Wiederverwendungsmöglichkeiten von Öl</w:t>
      </w:r>
    </w:p>
    <w:p>
      <w:pPr>
        <w:pStyle w:val="GesAbsatz"/>
        <w:ind w:left="426" w:hanging="426"/>
        <w:rPr>
          <w:snapToGrid w:val="0"/>
        </w:rPr>
      </w:pPr>
      <w:r>
        <w:rPr>
          <w:snapToGrid w:val="0"/>
        </w:rPr>
        <w:t>R10</w:t>
      </w:r>
      <w:r>
        <w:rPr>
          <w:snapToGrid w:val="0"/>
        </w:rPr>
        <w:tab/>
        <w:t>Aufbringung auf den Boden zum Nutzen der Landwirtschaft oder der Ökologie</w:t>
      </w:r>
    </w:p>
    <w:p>
      <w:pPr>
        <w:pStyle w:val="GesAbsatz"/>
        <w:ind w:left="426" w:hanging="426"/>
        <w:rPr>
          <w:snapToGrid w:val="0"/>
        </w:rPr>
      </w:pPr>
      <w:r>
        <w:rPr>
          <w:snapToGrid w:val="0"/>
        </w:rPr>
        <w:t>R11</w:t>
      </w:r>
      <w:r>
        <w:rPr>
          <w:snapToGrid w:val="0"/>
        </w:rPr>
        <w:tab/>
        <w:t>Verwendung von Abfällen, die bei einem der unter R1 bis R10 aufgeführten Verfahren gewonnen werden</w:t>
      </w:r>
    </w:p>
    <w:p>
      <w:pPr>
        <w:pStyle w:val="GesAbsatz"/>
        <w:ind w:left="426" w:hanging="426"/>
        <w:rPr>
          <w:snapToGrid w:val="0"/>
        </w:rPr>
      </w:pPr>
      <w:r>
        <w:rPr>
          <w:snapToGrid w:val="0"/>
        </w:rPr>
        <w:t>R12</w:t>
      </w:r>
      <w:r>
        <w:rPr>
          <w:snapToGrid w:val="0"/>
        </w:rPr>
        <w:tab/>
        <w:t>Austausch von Abfällen, um sie einem der unter R1 bis R11 aufgeführten Verfahren zu unterziehen</w:t>
      </w:r>
    </w:p>
    <w:p>
      <w:pPr>
        <w:pStyle w:val="GesAbsatz"/>
        <w:ind w:left="426" w:hanging="426"/>
        <w:rPr>
          <w:snapToGrid w:val="0"/>
        </w:rPr>
      </w:pPr>
      <w:r>
        <w:rPr>
          <w:snapToGrid w:val="0"/>
        </w:rPr>
        <w:t>R13</w:t>
      </w:r>
      <w:r>
        <w:rPr>
          <w:snapToGrid w:val="0"/>
        </w:rPr>
        <w:tab/>
        <w:t>Ansammlung von Abfällen, um sie einem der unter R1 bis R12 aufgeführten Verfahren zu unterziehen (ausgenommen zeitweilige Lagerung — bis zum Einsammeln — auf dem Gelände der Entstehung der Abfälle)</w:t>
      </w:r>
    </w:p>
    <w:p>
      <w:pPr>
        <w:pStyle w:val="GesAbsatz"/>
        <w:ind w:left="426" w:hanging="426"/>
      </w:pPr>
    </w:p>
    <w:p>
      <w:pPr>
        <w:pStyle w:val="GesAbsatz"/>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15.07.1975 </w:t>
    </w:r>
    <w:r>
      <w:rPr>
        <w:snapToGrid w:val="0"/>
      </w:rPr>
      <w:t>(ABl. L 194 v</w:t>
    </w:r>
    <w:r>
      <w:t>. 25.07.1975 S. 47)</w:t>
    </w:r>
    <w:r>
      <w:tab/>
      <w:t xml:space="preserve">Seite </w:t>
    </w:r>
    <w:r>
      <w:fldChar w:fldCharType="begin"/>
    </w:r>
    <w:r>
      <w:instrText xml:space="preserve"> PAGE  \* MERGEFORMAT </w:instrText>
    </w:r>
    <w:r>
      <w:fldChar w:fldCharType="separate"/>
    </w:r>
    <w:r>
      <w:rPr>
        <w:noProof/>
      </w:rPr>
      <w:t>8</w:t>
    </w:r>
    <w:r>
      <w:fldChar w:fldCharType="end"/>
    </w:r>
  </w:p>
  <w:p>
    <w:pPr>
      <w:pStyle w:val="Fuzeile"/>
      <w:rPr>
        <w:sz w:val="18"/>
        <w:lang w:val="en-US"/>
      </w:rPr>
    </w:pPr>
    <w:r>
      <w:tab/>
    </w:r>
    <w:r>
      <w:rPr>
        <w:lang w:val="en-US"/>
      </w:rPr>
      <w:t>Stand 29.09.2003 (ABl. L 284</w:t>
    </w:r>
    <w:r>
      <w:rPr>
        <w:snapToGrid w:val="0"/>
        <w:lang w:val="en-US"/>
      </w:rPr>
      <w:t xml:space="preserve"> v. </w:t>
    </w:r>
    <w:smartTag w:uri="urn:schemas-microsoft-com:office:smarttags" w:element="date">
      <w:smartTagPr>
        <w:attr w:name="Year" w:val="2003"/>
        <w:attr w:name="Day" w:val="31"/>
        <w:attr w:name="Month" w:val="10"/>
        <w:attr w:name="ls" w:val="trans"/>
      </w:smartTagPr>
      <w:r>
        <w:rPr>
          <w:snapToGrid w:val="0"/>
          <w:lang w:val="en-US"/>
        </w:rPr>
        <w:t>31.10.2003</w:t>
      </w:r>
    </w:smartTag>
    <w:r>
      <w:rPr>
        <w:snapToGrid w:val="0"/>
        <w:lang w:val="en-US"/>
      </w:rPr>
      <w:t xml:space="preserve">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snapToGrid w:val="0"/>
        </w:rPr>
        <w:t xml:space="preserve">ABl. Nr. C 32 vom </w:t>
      </w:r>
      <w:smartTag w:uri="urn:schemas-microsoft-com:office:smarttags" w:element="date">
        <w:smartTagPr>
          <w:attr w:name="Year" w:val="1975"/>
          <w:attr w:name="Day" w:val="11"/>
          <w:attr w:name="Month" w:val="2"/>
          <w:attr w:name="ls" w:val="trans"/>
        </w:smartTagPr>
        <w:r>
          <w:rPr>
            <w:snapToGrid w:val="0"/>
          </w:rPr>
          <w:t>11.2.1975</w:t>
        </w:r>
      </w:smartTag>
      <w:r>
        <w:rPr>
          <w:snapToGrid w:val="0"/>
        </w:rPr>
        <w:t>, S.36.</w:t>
      </w:r>
    </w:p>
  </w:footnote>
  <w:footnote w:id="2">
    <w:p>
      <w:pPr>
        <w:pStyle w:val="Funotentext"/>
      </w:pPr>
      <w:r>
        <w:rPr>
          <w:rStyle w:val="Funotenzeichen"/>
        </w:rPr>
        <w:footnoteRef/>
      </w:r>
      <w:r>
        <w:t xml:space="preserve"> </w:t>
      </w:r>
      <w:r>
        <w:rPr>
          <w:snapToGrid w:val="0"/>
        </w:rPr>
        <w:t xml:space="preserve">ABl. Nr. C 16 vom </w:t>
      </w:r>
      <w:smartTag w:uri="urn:schemas-microsoft-com:office:smarttags" w:element="date">
        <w:smartTagPr>
          <w:attr w:name="Year" w:val="1975"/>
          <w:attr w:name="Day" w:val="23"/>
          <w:attr w:name="Month" w:val="1"/>
          <w:attr w:name="ls" w:val="trans"/>
        </w:smartTagPr>
        <w:r>
          <w:rPr>
            <w:snapToGrid w:val="0"/>
          </w:rPr>
          <w:t>23.1.1975</w:t>
        </w:r>
      </w:smartTag>
      <w:r>
        <w:rPr>
          <w:snapToGrid w:val="0"/>
        </w:rPr>
        <w:t>, S.12.</w:t>
      </w:r>
    </w:p>
  </w:footnote>
  <w:footnote w:id="3">
    <w:p>
      <w:pPr>
        <w:pStyle w:val="Funotentext"/>
      </w:pPr>
      <w:r>
        <w:rPr>
          <w:rStyle w:val="Funotenzeichen"/>
        </w:rPr>
        <w:footnoteRef/>
      </w:r>
      <w:r>
        <w:t xml:space="preserve"> </w:t>
      </w:r>
      <w:r>
        <w:rPr>
          <w:snapToGrid w:val="0"/>
        </w:rPr>
        <w:t xml:space="preserve">ABl. Nr. C 112 vom </w:t>
      </w:r>
      <w:smartTag w:uri="urn:schemas-microsoft-com:office:smarttags" w:element="date">
        <w:smartTagPr>
          <w:attr w:name="Year" w:val="1973"/>
          <w:attr w:name="Day" w:val="20"/>
          <w:attr w:name="Month" w:val="12"/>
          <w:attr w:name="ls" w:val="trans"/>
        </w:smartTagPr>
        <w:r>
          <w:rPr>
            <w:snapToGrid w:val="0"/>
          </w:rPr>
          <w:t>20.12.1973</w:t>
        </w:r>
      </w:smartTag>
      <w:r>
        <w:rPr>
          <w:snapToGrid w:val="0"/>
        </w:rPr>
        <w:t>, S.3.</w:t>
      </w:r>
    </w:p>
  </w:footnote>
  <w:footnote w:id="4">
    <w:p>
      <w:pPr>
        <w:pStyle w:val="Funotentext"/>
      </w:pPr>
      <w:r>
        <w:rPr>
          <w:rStyle w:val="Funotenzeichen"/>
        </w:rPr>
        <w:footnoteRef/>
      </w:r>
      <w:r>
        <w:t xml:space="preserve"> </w:t>
      </w:r>
      <w:r>
        <w:rPr>
          <w:snapToGrid w:val="0"/>
        </w:rPr>
        <w:t xml:space="preserve">ABl. Nr. L 109 vom </w:t>
      </w:r>
      <w:smartTag w:uri="urn:schemas-microsoft-com:office:smarttags" w:element="date">
        <w:smartTagPr>
          <w:attr w:name="Year" w:val="1983"/>
          <w:attr w:name="Day" w:val="26"/>
          <w:attr w:name="Month" w:val="4"/>
          <w:attr w:name="ls" w:val="trans"/>
        </w:smartTagPr>
        <w:r>
          <w:rPr>
            <w:snapToGrid w:val="0"/>
          </w:rPr>
          <w:t>26.4.1983</w:t>
        </w:r>
      </w:smartTag>
      <w:r>
        <w:rPr>
          <w:snapToGrid w:val="0"/>
        </w:rPr>
        <w:t>, S. 8.</w:t>
      </w:r>
    </w:p>
  </w:footnote>
  <w:footnote w:id="5">
    <w:p>
      <w:pPr>
        <w:pStyle w:val="Funotentext"/>
      </w:pPr>
      <w:r>
        <w:rPr>
          <w:rStyle w:val="Funotenzeichen"/>
        </w:rPr>
        <w:footnoteRef/>
      </w:r>
      <w:r>
        <w:t xml:space="preserve"> </w:t>
      </w:r>
      <w:r>
        <w:rPr>
          <w:snapToGrid w:val="0"/>
        </w:rPr>
        <w:t xml:space="preserve">ABl. Nr. L 84 vom </w:t>
      </w:r>
      <w:smartTag w:uri="urn:schemas-microsoft-com:office:smarttags" w:element="date">
        <w:smartTagPr>
          <w:attr w:name="Year" w:val="1978"/>
          <w:attr w:name="Day" w:val="31"/>
          <w:attr w:name="Month" w:val="3"/>
          <w:attr w:name="ls" w:val="trans"/>
        </w:smartTagPr>
        <w:r>
          <w:rPr>
            <w:snapToGrid w:val="0"/>
          </w:rPr>
          <w:t>31.3.1978</w:t>
        </w:r>
      </w:smartTag>
      <w:r>
        <w:rPr>
          <w:snapToGrid w:val="0"/>
        </w:rPr>
        <w:t>, S. 43.</w:t>
      </w:r>
    </w:p>
  </w:footnote>
  <w:footnote w:id="6">
    <w:p>
      <w:pPr>
        <w:pStyle w:val="Funotentext"/>
        <w:rPr>
          <w:szCs w:val="16"/>
        </w:rPr>
      </w:pPr>
      <w:r>
        <w:rPr>
          <w:rStyle w:val="Funotenzeichen"/>
          <w:sz w:val="16"/>
          <w:szCs w:val="16"/>
        </w:rPr>
        <w:footnoteRef/>
      </w:r>
      <w:r>
        <w:rPr>
          <w:szCs w:val="16"/>
        </w:rPr>
        <w:t xml:space="preserve"> ABl. EG L 377 vom </w:t>
      </w:r>
      <w:smartTag w:uri="urn:schemas-microsoft-com:office:smarttags" w:element="date">
        <w:smartTagPr>
          <w:attr w:name="Year" w:val="1991"/>
          <w:attr w:name="Day" w:val="31"/>
          <w:attr w:name="Month" w:val="12"/>
          <w:attr w:name="ls" w:val="trans"/>
        </w:smartTagPr>
        <w:r>
          <w:rPr>
            <w:szCs w:val="16"/>
          </w:rPr>
          <w:t>31.12.1991</w:t>
        </w:r>
      </w:smartTag>
      <w:r>
        <w:rPr>
          <w:szCs w:val="16"/>
        </w:rPr>
        <w:t>, S. 48.</w:t>
      </w:r>
    </w:p>
  </w:footnote>
  <w:footnote w:id="7">
    <w:p>
      <w:pPr>
        <w:pStyle w:val="Funotentext"/>
        <w:rPr>
          <w:szCs w:val="16"/>
        </w:rPr>
      </w:pPr>
      <w:r>
        <w:rPr>
          <w:rStyle w:val="Funotenzeichen"/>
          <w:sz w:val="16"/>
          <w:szCs w:val="16"/>
        </w:rPr>
        <w:footnoteRef/>
      </w:r>
      <w:r>
        <w:rPr>
          <w:szCs w:val="16"/>
        </w:rPr>
        <w:t xml:space="preserve"> Beschluß 1999/468/EG des Rates vom </w:t>
      </w:r>
      <w:smartTag w:uri="urn:schemas-microsoft-com:office:smarttags" w:element="date">
        <w:smartTagPr>
          <w:attr w:name="Year" w:val="1999"/>
          <w:attr w:name="Day" w:val="28"/>
          <w:attr w:name="Month" w:val="6"/>
          <w:attr w:name="ls" w:val="trans"/>
        </w:smartTagPr>
        <w:r>
          <w:rPr>
            <w:szCs w:val="16"/>
          </w:rPr>
          <w:t>28. Juni 1999</w:t>
        </w:r>
      </w:smartTag>
      <w:r>
        <w:rPr>
          <w:szCs w:val="16"/>
        </w:rPr>
        <w:t xml:space="preserve"> zur Festlegung der Modalitäten für die Ausübung der der Kommission übertragenen Durchführungsbefugnisse (ABl. EG L 184 vom </w:t>
      </w:r>
      <w:smartTag w:uri="urn:schemas-microsoft-com:office:smarttags" w:element="date">
        <w:smartTagPr>
          <w:attr w:name="Year" w:val="1999"/>
          <w:attr w:name="Day" w:val="17"/>
          <w:attr w:name="Month" w:val="7"/>
          <w:attr w:name="ls" w:val="trans"/>
        </w:smartTagPr>
        <w:r>
          <w:rPr>
            <w:szCs w:val="16"/>
          </w:rPr>
          <w:t>17.7.1999</w:t>
        </w:r>
      </w:smartTag>
      <w:r>
        <w:rPr>
          <w:szCs w:val="16"/>
        </w:rPr>
        <w:t>, S.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Archiv4.10</w:t>
    </w:r>
  </w:p>
  <w:p>
    <w:pPr>
      <w:pStyle w:val="Kopfzeile"/>
    </w:pPr>
    <w:r>
      <w:t>75/442/EWG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85E5435E-80DA-4C04-AA1D-8D700E7F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90L0656&amp;from=DE" TargetMode="External"/><Relationship Id="rId13" Type="http://schemas.openxmlformats.org/officeDocument/2006/relationships/hyperlink" Target="http://europa.eu.int/eur-lex/lex/LexUriServ/site/de/oj/2006/l_114/l_11420060427de00090021.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ur-lex.europa.eu/legal-content/DE/TXT/PDF/?uri=CELEX:31990D0481&amp;from=DE" TargetMode="External"/><Relationship Id="rId12" Type="http://schemas.openxmlformats.org/officeDocument/2006/relationships/hyperlink" Target="http://data.europa.eu/eli/reg/2003/1882/o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data.europa.eu/eli/dir/1975/442/oj" TargetMode="External"/><Relationship Id="rId11" Type="http://schemas.openxmlformats.org/officeDocument/2006/relationships/hyperlink" Target="http://data.europa.eu/eli/dec/1996/350/oj"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data.europa.eu/eli/dir/1991/692/oj" TargetMode="External"/><Relationship Id="rId4" Type="http://schemas.openxmlformats.org/officeDocument/2006/relationships/footnotes" Target="footnotes.xml"/><Relationship Id="rId9" Type="http://schemas.openxmlformats.org/officeDocument/2006/relationships/hyperlink" Target="http://eur-lex.europa.eu/legal-content/DE/TXT/PDF/?uri=CELEX:31991L0156&amp;from=D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2768</Words>
  <Characters>19424</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RICHTLINIE DES RATES vom 15.Juli 1975 über Abfälle (75/442/EWG)</vt:lpstr>
    </vt:vector>
  </TitlesOfParts>
  <Company>LUA</Company>
  <LinksUpToDate>false</LinksUpToDate>
  <CharactersWithSpaces>22148</CharactersWithSpaces>
  <SharedDoc>false</SharedDoc>
  <HLinks>
    <vt:vector size="12" baseType="variant">
      <vt:variant>
        <vt:i4>5636185</vt:i4>
      </vt:variant>
      <vt:variant>
        <vt:i4>3</vt:i4>
      </vt:variant>
      <vt:variant>
        <vt:i4>0</vt:i4>
      </vt:variant>
      <vt:variant>
        <vt:i4>5</vt:i4>
      </vt:variant>
      <vt:variant>
        <vt:lpwstr>http://europa.eu.int/eur-lex/lex/LexUriServ/site/de/oj/2006/l_114/l_11420060427de00090021.pdf</vt:lpwstr>
      </vt:variant>
      <vt:variant>
        <vt:lpwstr/>
      </vt:variant>
      <vt:variant>
        <vt:i4>524362</vt:i4>
      </vt:variant>
      <vt:variant>
        <vt:i4>0</vt:i4>
      </vt:variant>
      <vt:variant>
        <vt:i4>0</vt:i4>
      </vt:variant>
      <vt:variant>
        <vt:i4>5</vt:i4>
      </vt:variant>
      <vt:variant>
        <vt:lpwstr>http://europa.eu.int/eur-lex/pri/de/oj/dat/2003/l_284/l_28420031031de00010053.pdf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15.Juli 1975 über Abfälle (75/442/EWG)</dc:title>
  <dc:creator>LUA</dc:creator>
  <dc:description>durchgesehen 04.2005</dc:description>
  <cp:lastModifiedBy>Rüter, Dr., Ingo</cp:lastModifiedBy>
  <cp:revision>16</cp:revision>
  <cp:lastPrinted>2005-02-02T09:17:00Z</cp:lastPrinted>
  <dcterms:created xsi:type="dcterms:W3CDTF">2015-03-11T10:03:00Z</dcterms:created>
  <dcterms:modified xsi:type="dcterms:W3CDTF">2024-06-26T07:19:00Z</dcterms:modified>
</cp:coreProperties>
</file>