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Festlegung der Rohbauwerte und des Stundensatzes gemäß</w:t>
      </w:r>
      <w:r>
        <w:br/>
        <w:t>Tarifstellen 2.1.2 und 2.1.4 des Allgemeinen Gebührentarifs</w:t>
      </w:r>
      <w:r>
        <w:br/>
        <w:t>der Allgemeinen Verwaltungsgebührenordnung</w:t>
      </w:r>
    </w:p>
    <w:p>
      <w:pPr>
        <w:pStyle w:val="GesAbsatz"/>
        <w:jc w:val="center"/>
      </w:pPr>
      <w:r>
        <w:t>Bekanntmachung</w:t>
      </w:r>
      <w:r>
        <w:br/>
        <w:t>des Ministeriums für Heimat, Kommunales, Bau und Gleichstellung</w:t>
      </w:r>
      <w:r>
        <w:br/>
        <w:t>– 612 – 66.2 –</w:t>
      </w:r>
    </w:p>
    <w:p>
      <w:pPr>
        <w:pStyle w:val="GesAbsatz"/>
        <w:jc w:val="center"/>
      </w:pPr>
      <w:r>
        <w:t>vom 10. August 2021</w:t>
      </w:r>
    </w:p>
    <w:p>
      <w:pPr>
        <w:pStyle w:val="GesAbsatz"/>
        <w:rPr>
          <w:b/>
          <w:i/>
          <w:color w:val="FF0000"/>
          <w:sz w:val="22"/>
          <w:szCs w:val="22"/>
        </w:rPr>
      </w:pPr>
      <w:r>
        <w:rPr>
          <w:b/>
          <w:i/>
          <w:color w:val="FF0000"/>
          <w:sz w:val="22"/>
          <w:szCs w:val="22"/>
        </w:rPr>
        <w:t>Gültig ab 01.01.2022 bis 31.12.2022</w:t>
      </w:r>
    </w:p>
    <w:p>
      <w:pPr>
        <w:pStyle w:val="GesAbsatz"/>
      </w:pPr>
      <w:hyperlink r:id="rId8" w:history="1">
        <w:r>
          <w:rPr>
            <w:rStyle w:val="Hyperlink"/>
          </w:rPr>
          <w:t>Link zur Vorschrift im MBl. NRW. S. 567</w:t>
        </w:r>
      </w:hyperlink>
      <w:r>
        <w:t>:</w:t>
      </w:r>
    </w:p>
    <w:p>
      <w:pPr>
        <w:pStyle w:val="GesAbsatz"/>
      </w:pPr>
    </w:p>
    <w:p>
      <w:pPr>
        <w:pStyle w:val="GesAbsatz"/>
      </w:pPr>
      <w:r>
        <w:t xml:space="preserve">Gemäß Tarifstellen 2.1.2 und 2.1.4 des Allgemeinen Gebührentarifs der Allgemeinen Verwaltungsgebührenordnung vom 3. Juli 2001 (GV. NRW. S. 262), die zuletzt durch Verordnung vom 23. Juni 2021 (GV. NRW. S. 842) geändert worden ist, wird bekannt gemacht: </w:t>
      </w:r>
      <w:bookmarkStart w:id="0" w:name="_GoBack"/>
      <w:bookmarkEnd w:id="0"/>
    </w:p>
    <w:p>
      <w:pPr>
        <w:pStyle w:val="GesAbsatz"/>
      </w:pPr>
      <w:r>
        <w:t>1</w:t>
      </w:r>
      <w:r>
        <w:br/>
        <w:t>Soweit bei der Berechnung von Gebühren in baurechtlichen Angelegenheiten von der Rohbausumme auszugehen ist, sind die in der Anlage aufgeführten landesdurchschnittlichen Rohbauwerte zugrunde zu legen.</w:t>
      </w:r>
    </w:p>
    <w:p>
      <w:pPr>
        <w:pStyle w:val="GesAbsatz"/>
      </w:pPr>
      <w:r>
        <w:t>2</w:t>
      </w:r>
      <w:r>
        <w:br/>
        <w:t>Der Stundensatz für das Jahr 2022 beträgt Euro 93,00.</w:t>
      </w:r>
    </w:p>
    <w:p>
      <w:pPr>
        <w:pStyle w:val="GesAbsatz"/>
      </w:pPr>
      <w:r>
        <w:t>3</w:t>
      </w:r>
      <w:r>
        <w:br/>
        <w:t>Diese Bekanntmachung gilt ab dem 1. Januar 2022.</w:t>
      </w:r>
    </w:p>
    <w:p>
      <w:pPr>
        <w:pStyle w:val="GesAbsatz"/>
      </w:pPr>
    </w:p>
    <w:p>
      <w:pPr>
        <w:pStyle w:val="GesAbsatz"/>
      </w:pPr>
    </w:p>
    <w:p>
      <w:pPr>
        <w:pStyle w:val="berschrift2"/>
        <w:jc w:val="left"/>
      </w:pPr>
      <w:r>
        <w:t>Anlage 1 zu Tarifstelle 2.1.2</w:t>
      </w:r>
    </w:p>
    <w:p>
      <w:pPr>
        <w:pStyle w:val="GesAbsatz"/>
      </w:pPr>
    </w:p>
    <w:p>
      <w:pPr>
        <w:pStyle w:val="GesAbsatz"/>
        <w:jc w:val="center"/>
        <w:rPr>
          <w:b/>
        </w:rPr>
      </w:pPr>
      <w:r>
        <w:rPr>
          <w:b/>
        </w:rPr>
        <w:t>Tabelle der Rohbauwerte je m³ umbauten Raumes</w:t>
      </w:r>
      <w:r>
        <w:rPr>
          <w:b/>
        </w:rPr>
        <w:br/>
        <w:t>(Brutto-Rauminhalt)</w:t>
      </w:r>
    </w:p>
    <w:p>
      <w:pPr>
        <w:pStyle w:val="GesAbsatz"/>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8"/>
        <w:gridCol w:w="1594"/>
      </w:tblGrid>
      <w:tr>
        <w:tc>
          <w:tcPr>
            <w:tcW w:w="7538" w:type="dxa"/>
          </w:tcPr>
          <w:p>
            <w:pPr>
              <w:pStyle w:val="GesAbsatz"/>
              <w:rPr>
                <w:b/>
              </w:rPr>
            </w:pPr>
            <w:r>
              <w:rPr>
                <w:b/>
              </w:rPr>
              <w:t>Gebäudeart</w:t>
            </w:r>
          </w:p>
        </w:tc>
        <w:tc>
          <w:tcPr>
            <w:tcW w:w="1594" w:type="dxa"/>
          </w:tcPr>
          <w:p>
            <w:pPr>
              <w:pStyle w:val="GesAbsatz"/>
              <w:jc w:val="center"/>
              <w:rPr>
                <w:b/>
              </w:rPr>
            </w:pPr>
            <w:r>
              <w:rPr>
                <w:b/>
              </w:rPr>
              <w:t>Rohbauwert in Euro/m³</w:t>
            </w:r>
          </w:p>
        </w:tc>
      </w:tr>
      <w:tr>
        <w:tc>
          <w:tcPr>
            <w:tcW w:w="7538" w:type="dxa"/>
          </w:tcPr>
          <w:p>
            <w:pPr>
              <w:pStyle w:val="GesAbsatz"/>
              <w:tabs>
                <w:tab w:val="clear" w:pos="425"/>
                <w:tab w:val="left" w:pos="433"/>
              </w:tabs>
              <w:ind w:left="454" w:hanging="454"/>
            </w:pPr>
            <w:r>
              <w:t>1.</w:t>
            </w:r>
            <w:r>
              <w:tab/>
              <w:t>Wohngebäude</w:t>
            </w:r>
          </w:p>
        </w:tc>
        <w:tc>
          <w:tcPr>
            <w:tcW w:w="1594" w:type="dxa"/>
          </w:tcPr>
          <w:p>
            <w:pPr>
              <w:pStyle w:val="GesAbsatz"/>
              <w:jc w:val="center"/>
            </w:pPr>
            <w:r>
              <w:t>146,00</w:t>
            </w:r>
          </w:p>
        </w:tc>
      </w:tr>
      <w:tr>
        <w:tc>
          <w:tcPr>
            <w:tcW w:w="7538" w:type="dxa"/>
          </w:tcPr>
          <w:p>
            <w:pPr>
              <w:pStyle w:val="GesAbsatz"/>
              <w:tabs>
                <w:tab w:val="clear" w:pos="425"/>
                <w:tab w:val="left" w:pos="433"/>
              </w:tabs>
              <w:ind w:left="454" w:hanging="454"/>
            </w:pPr>
            <w:r>
              <w:t>2.</w:t>
            </w:r>
            <w:r>
              <w:tab/>
              <w:t>Wochenendhäuser</w:t>
            </w:r>
          </w:p>
        </w:tc>
        <w:tc>
          <w:tcPr>
            <w:tcW w:w="1594" w:type="dxa"/>
          </w:tcPr>
          <w:p>
            <w:pPr>
              <w:pStyle w:val="GesAbsatz"/>
              <w:jc w:val="center"/>
            </w:pPr>
            <w:r>
              <w:t>120,00</w:t>
            </w:r>
          </w:p>
        </w:tc>
      </w:tr>
      <w:tr>
        <w:tc>
          <w:tcPr>
            <w:tcW w:w="7538" w:type="dxa"/>
          </w:tcPr>
          <w:p>
            <w:pPr>
              <w:pStyle w:val="GesAbsatz"/>
              <w:tabs>
                <w:tab w:val="clear" w:pos="425"/>
                <w:tab w:val="left" w:pos="433"/>
              </w:tabs>
              <w:ind w:left="454" w:hanging="454"/>
            </w:pPr>
            <w:r>
              <w:t>3.</w:t>
            </w:r>
            <w:r>
              <w:tab/>
              <w:t>Büro- und</w:t>
            </w:r>
            <w:r>
              <w:rPr>
                <w:spacing w:val="-4"/>
              </w:rPr>
              <w:t xml:space="preserve"> </w:t>
            </w:r>
            <w:r>
              <w:t>Verwaltungsgebäude</w:t>
            </w:r>
          </w:p>
        </w:tc>
        <w:tc>
          <w:tcPr>
            <w:tcW w:w="1594" w:type="dxa"/>
          </w:tcPr>
          <w:p>
            <w:pPr>
              <w:pStyle w:val="GesAbsatz"/>
              <w:jc w:val="center"/>
            </w:pPr>
            <w:r>
              <w:t>171,00</w:t>
            </w:r>
          </w:p>
        </w:tc>
      </w:tr>
      <w:tr>
        <w:tc>
          <w:tcPr>
            <w:tcW w:w="7538" w:type="dxa"/>
          </w:tcPr>
          <w:p>
            <w:pPr>
              <w:pStyle w:val="GesAbsatz"/>
              <w:tabs>
                <w:tab w:val="clear" w:pos="425"/>
                <w:tab w:val="left" w:pos="433"/>
              </w:tabs>
              <w:ind w:left="454" w:hanging="454"/>
            </w:pPr>
            <w:r>
              <w:t>4.</w:t>
            </w:r>
            <w:r>
              <w:tab/>
              <w:t>Schulen</w:t>
            </w:r>
          </w:p>
        </w:tc>
        <w:tc>
          <w:tcPr>
            <w:tcW w:w="1594" w:type="dxa"/>
          </w:tcPr>
          <w:p>
            <w:pPr>
              <w:pStyle w:val="GesAbsatz"/>
              <w:jc w:val="center"/>
            </w:pPr>
            <w:r>
              <w:t>170,00</w:t>
            </w:r>
          </w:p>
        </w:tc>
      </w:tr>
      <w:tr>
        <w:tc>
          <w:tcPr>
            <w:tcW w:w="7538" w:type="dxa"/>
          </w:tcPr>
          <w:p>
            <w:pPr>
              <w:pStyle w:val="GesAbsatz"/>
              <w:tabs>
                <w:tab w:val="clear" w:pos="425"/>
                <w:tab w:val="left" w:pos="433"/>
              </w:tabs>
              <w:ind w:left="454" w:hanging="454"/>
            </w:pPr>
            <w:r>
              <w:t>5.</w:t>
            </w:r>
            <w:r>
              <w:tab/>
              <w:t>Kindergärten</w:t>
            </w:r>
          </w:p>
        </w:tc>
        <w:tc>
          <w:tcPr>
            <w:tcW w:w="1594" w:type="dxa"/>
          </w:tcPr>
          <w:p>
            <w:pPr>
              <w:pStyle w:val="GesAbsatz"/>
              <w:jc w:val="center"/>
            </w:pPr>
            <w:r>
              <w:t>154,00</w:t>
            </w:r>
          </w:p>
        </w:tc>
      </w:tr>
      <w:tr>
        <w:tc>
          <w:tcPr>
            <w:tcW w:w="7538" w:type="dxa"/>
          </w:tcPr>
          <w:p>
            <w:pPr>
              <w:pStyle w:val="GesAbsatz"/>
              <w:tabs>
                <w:tab w:val="clear" w:pos="425"/>
                <w:tab w:val="left" w:pos="433"/>
              </w:tabs>
              <w:ind w:left="454" w:hanging="454"/>
            </w:pPr>
            <w:r>
              <w:t>6.</w:t>
            </w:r>
            <w:r>
              <w:tab/>
              <w:t>Hotels, Pensionen, Heime bis zu 60 Betten,</w:t>
            </w:r>
            <w:r>
              <w:rPr>
                <w:spacing w:val="-2"/>
              </w:rPr>
              <w:t xml:space="preserve"> </w:t>
            </w:r>
            <w:r>
              <w:t>Gaststätten</w:t>
            </w:r>
          </w:p>
        </w:tc>
        <w:tc>
          <w:tcPr>
            <w:tcW w:w="1594" w:type="dxa"/>
          </w:tcPr>
          <w:p>
            <w:pPr>
              <w:pStyle w:val="GesAbsatz"/>
              <w:jc w:val="center"/>
            </w:pPr>
            <w:r>
              <w:t>169,00</w:t>
            </w:r>
          </w:p>
        </w:tc>
      </w:tr>
      <w:tr>
        <w:tc>
          <w:tcPr>
            <w:tcW w:w="7538" w:type="dxa"/>
          </w:tcPr>
          <w:p>
            <w:pPr>
              <w:pStyle w:val="GesAbsatz"/>
              <w:tabs>
                <w:tab w:val="clear" w:pos="425"/>
                <w:tab w:val="left" w:pos="433"/>
              </w:tabs>
              <w:ind w:left="454" w:hanging="454"/>
            </w:pPr>
            <w:r>
              <w:t>7.</w:t>
            </w:r>
            <w:r>
              <w:tab/>
              <w:t>Hotels, Heime, Sanatorien mit mehr als 60</w:t>
            </w:r>
            <w:r>
              <w:rPr>
                <w:spacing w:val="-3"/>
              </w:rPr>
              <w:t xml:space="preserve"> </w:t>
            </w:r>
            <w:r>
              <w:t>Betten</w:t>
            </w:r>
          </w:p>
        </w:tc>
        <w:tc>
          <w:tcPr>
            <w:tcW w:w="1594" w:type="dxa"/>
          </w:tcPr>
          <w:p>
            <w:pPr>
              <w:pStyle w:val="GesAbsatz"/>
              <w:jc w:val="center"/>
            </w:pPr>
            <w:r>
              <w:t>174,00</w:t>
            </w:r>
          </w:p>
        </w:tc>
      </w:tr>
      <w:tr>
        <w:tc>
          <w:tcPr>
            <w:tcW w:w="7538" w:type="dxa"/>
          </w:tcPr>
          <w:p>
            <w:pPr>
              <w:pStyle w:val="GesAbsatz"/>
              <w:tabs>
                <w:tab w:val="clear" w:pos="425"/>
                <w:tab w:val="left" w:pos="433"/>
              </w:tabs>
              <w:ind w:left="454" w:hanging="454"/>
            </w:pPr>
            <w:r>
              <w:t>8.</w:t>
            </w:r>
            <w:r>
              <w:tab/>
              <w:t>Krankenhäuser</w:t>
            </w:r>
          </w:p>
        </w:tc>
        <w:tc>
          <w:tcPr>
            <w:tcW w:w="1594" w:type="dxa"/>
          </w:tcPr>
          <w:p>
            <w:pPr>
              <w:pStyle w:val="GesAbsatz"/>
              <w:jc w:val="center"/>
            </w:pPr>
            <w:r>
              <w:t>191,00</w:t>
            </w:r>
          </w:p>
        </w:tc>
      </w:tr>
      <w:tr>
        <w:tc>
          <w:tcPr>
            <w:tcW w:w="7538" w:type="dxa"/>
          </w:tcPr>
          <w:p>
            <w:pPr>
              <w:pStyle w:val="GesAbsatz"/>
              <w:tabs>
                <w:tab w:val="clear" w:pos="425"/>
                <w:tab w:val="left" w:pos="433"/>
              </w:tabs>
              <w:ind w:left="454" w:hanging="454"/>
            </w:pPr>
            <w:r>
              <w:t>9.</w:t>
            </w:r>
            <w:r>
              <w:tab/>
              <w:t>Versammlungsstätten wie Fest-, Mehrzweckhallen,</w:t>
            </w:r>
            <w:r>
              <w:rPr>
                <w:spacing w:val="-5"/>
              </w:rPr>
              <w:t xml:space="preserve"> </w:t>
            </w:r>
            <w:r>
              <w:t xml:space="preserve">Lichtspieltheater </w:t>
            </w:r>
            <w:r>
              <w:br/>
              <w:t>(soweit nicht unter Nrn. 7 und 12)</w:t>
            </w:r>
          </w:p>
        </w:tc>
        <w:tc>
          <w:tcPr>
            <w:tcW w:w="1594" w:type="dxa"/>
          </w:tcPr>
          <w:p>
            <w:pPr>
              <w:pStyle w:val="GesAbsatz"/>
              <w:jc w:val="center"/>
            </w:pPr>
            <w:r>
              <w:t>160,00</w:t>
            </w:r>
          </w:p>
        </w:tc>
      </w:tr>
      <w:tr>
        <w:tc>
          <w:tcPr>
            <w:tcW w:w="7538" w:type="dxa"/>
          </w:tcPr>
          <w:p>
            <w:pPr>
              <w:pStyle w:val="GesAbsatz"/>
              <w:tabs>
                <w:tab w:val="clear" w:pos="425"/>
                <w:tab w:val="left" w:pos="433"/>
              </w:tabs>
              <w:ind w:left="454" w:hanging="454"/>
            </w:pPr>
            <w:r>
              <w:t>10.</w:t>
            </w:r>
            <w:r>
              <w:tab/>
              <w:t>Kirchen</w:t>
            </w:r>
          </w:p>
        </w:tc>
        <w:tc>
          <w:tcPr>
            <w:tcW w:w="1594" w:type="dxa"/>
          </w:tcPr>
          <w:p>
            <w:pPr>
              <w:pStyle w:val="GesAbsatz"/>
              <w:jc w:val="center"/>
            </w:pPr>
            <w:r>
              <w:t>169,00</w:t>
            </w:r>
          </w:p>
        </w:tc>
      </w:tr>
      <w:tr>
        <w:tc>
          <w:tcPr>
            <w:tcW w:w="7538" w:type="dxa"/>
          </w:tcPr>
          <w:p>
            <w:pPr>
              <w:pStyle w:val="GesAbsatz"/>
              <w:tabs>
                <w:tab w:val="clear" w:pos="425"/>
                <w:tab w:val="left" w:pos="433"/>
              </w:tabs>
              <w:ind w:left="454" w:hanging="454"/>
            </w:pPr>
            <w:r>
              <w:t>11.</w:t>
            </w:r>
            <w:r>
              <w:tab/>
              <w:t>Leichenhallen,</w:t>
            </w:r>
            <w:r>
              <w:rPr>
                <w:spacing w:val="-1"/>
              </w:rPr>
              <w:t xml:space="preserve"> </w:t>
            </w:r>
            <w:r>
              <w:t>Friedhofskapellen</w:t>
            </w:r>
          </w:p>
        </w:tc>
        <w:tc>
          <w:tcPr>
            <w:tcW w:w="1594" w:type="dxa"/>
          </w:tcPr>
          <w:p>
            <w:pPr>
              <w:pStyle w:val="GesAbsatz"/>
              <w:jc w:val="center"/>
            </w:pPr>
            <w:r>
              <w:t>150,00</w:t>
            </w:r>
          </w:p>
        </w:tc>
      </w:tr>
      <w:tr>
        <w:tc>
          <w:tcPr>
            <w:tcW w:w="7538" w:type="dxa"/>
          </w:tcPr>
          <w:p>
            <w:pPr>
              <w:pStyle w:val="GesAbsatz"/>
              <w:tabs>
                <w:tab w:val="clear" w:pos="425"/>
                <w:tab w:val="left" w:pos="433"/>
              </w:tabs>
              <w:ind w:left="454" w:hanging="454"/>
            </w:pPr>
            <w:r>
              <w:t>12.</w:t>
            </w:r>
            <w:r>
              <w:tab/>
              <w:t>Turn- und Sporthallen, einfache Mehrzweckhallen (soweit nicht unter Nr.</w:t>
            </w:r>
            <w:r>
              <w:rPr>
                <w:spacing w:val="-17"/>
              </w:rPr>
              <w:t xml:space="preserve"> </w:t>
            </w:r>
            <w:r>
              <w:t>9)</w:t>
            </w:r>
          </w:p>
        </w:tc>
        <w:tc>
          <w:tcPr>
            <w:tcW w:w="1594" w:type="dxa"/>
          </w:tcPr>
          <w:p>
            <w:pPr>
              <w:pStyle w:val="GesAbsatz"/>
              <w:jc w:val="center"/>
            </w:pPr>
            <w:r>
              <w:t>102,00</w:t>
            </w:r>
          </w:p>
        </w:tc>
      </w:tr>
      <w:tr>
        <w:tc>
          <w:tcPr>
            <w:tcW w:w="7538" w:type="dxa"/>
          </w:tcPr>
          <w:p>
            <w:pPr>
              <w:pStyle w:val="GesAbsatz"/>
              <w:tabs>
                <w:tab w:val="clear" w:pos="425"/>
                <w:tab w:val="left" w:pos="433"/>
              </w:tabs>
              <w:ind w:left="454" w:hanging="454"/>
            </w:pPr>
            <w:r>
              <w:t>13.</w:t>
            </w:r>
            <w:r>
              <w:tab/>
              <w:t>Hallenbäder</w:t>
            </w:r>
          </w:p>
        </w:tc>
        <w:tc>
          <w:tcPr>
            <w:tcW w:w="1594" w:type="dxa"/>
          </w:tcPr>
          <w:p>
            <w:pPr>
              <w:pStyle w:val="GesAbsatz"/>
              <w:jc w:val="center"/>
            </w:pPr>
            <w:r>
              <w:t>169,00</w:t>
            </w:r>
          </w:p>
        </w:tc>
      </w:tr>
      <w:tr>
        <w:tc>
          <w:tcPr>
            <w:tcW w:w="7538" w:type="dxa"/>
          </w:tcPr>
          <w:p>
            <w:pPr>
              <w:pStyle w:val="GesAbsatz"/>
              <w:ind w:left="454" w:hanging="454"/>
            </w:pPr>
            <w:r>
              <w:lastRenderedPageBreak/>
              <w:t>14.</w:t>
            </w:r>
            <w:r>
              <w:tab/>
              <w:t>Sonstige nicht unter Nrn. 1 bis 13 aufgeführten eingeschossige Gebäude (z. B. Umkleidegebäude von Sporthallen und Schwimmbädern,</w:t>
            </w:r>
            <w:r>
              <w:rPr>
                <w:spacing w:val="-9"/>
              </w:rPr>
              <w:t xml:space="preserve"> </w:t>
            </w:r>
            <w:r>
              <w:t>Vereinsheime)</w:t>
            </w:r>
          </w:p>
        </w:tc>
        <w:tc>
          <w:tcPr>
            <w:tcW w:w="1594" w:type="dxa"/>
          </w:tcPr>
          <w:p>
            <w:pPr>
              <w:pStyle w:val="GesAbsatz"/>
              <w:jc w:val="center"/>
            </w:pPr>
            <w:r>
              <w:t>141,00</w:t>
            </w:r>
          </w:p>
        </w:tc>
      </w:tr>
      <w:tr>
        <w:tc>
          <w:tcPr>
            <w:tcW w:w="7538" w:type="dxa"/>
          </w:tcPr>
          <w:p>
            <w:pPr>
              <w:pStyle w:val="GesAbsatz"/>
              <w:tabs>
                <w:tab w:val="clear" w:pos="425"/>
              </w:tabs>
              <w:ind w:left="405" w:hanging="405"/>
            </w:pPr>
            <w:r>
              <w:t>15.</w:t>
            </w:r>
            <w:r>
              <w:tab/>
              <w:t>ein- und mehrgeschossige Läden (Verkaufsstätten) bis 2 000 m²</w:t>
            </w:r>
            <w:r>
              <w:rPr>
                <w:spacing w:val="-10"/>
              </w:rPr>
              <w:t xml:space="preserve"> </w:t>
            </w:r>
            <w:r>
              <w:t>Verkaufsfläche (soweit nicht unter Nr. 22)</w:t>
            </w:r>
          </w:p>
        </w:tc>
        <w:tc>
          <w:tcPr>
            <w:tcW w:w="1594" w:type="dxa"/>
          </w:tcPr>
          <w:p>
            <w:pPr>
              <w:pStyle w:val="GesAbsatz"/>
              <w:jc w:val="center"/>
            </w:pPr>
            <w:r>
              <w:t>144,00</w:t>
            </w:r>
          </w:p>
        </w:tc>
      </w:tr>
      <w:tr>
        <w:tc>
          <w:tcPr>
            <w:tcW w:w="7538" w:type="dxa"/>
          </w:tcPr>
          <w:p>
            <w:pPr>
              <w:pStyle w:val="GesAbsatz"/>
              <w:tabs>
                <w:tab w:val="clear" w:pos="425"/>
              </w:tabs>
              <w:ind w:left="405" w:hanging="405"/>
            </w:pPr>
            <w:r>
              <w:t>16.</w:t>
            </w:r>
            <w:r>
              <w:tab/>
              <w:t>eingeschossige Verkaufsstätten über 2 000 m² Verkaufsfläche, Einkaufszentren (soweit nicht unter Nr.</w:t>
            </w:r>
            <w:r>
              <w:rPr>
                <w:spacing w:val="-6"/>
              </w:rPr>
              <w:t xml:space="preserve"> </w:t>
            </w:r>
            <w:r>
              <w:t>22)</w:t>
            </w:r>
          </w:p>
        </w:tc>
        <w:tc>
          <w:tcPr>
            <w:tcW w:w="1594" w:type="dxa"/>
          </w:tcPr>
          <w:p>
            <w:pPr>
              <w:pStyle w:val="GesAbsatz"/>
              <w:jc w:val="center"/>
            </w:pPr>
            <w:r>
              <w:t>129,00</w:t>
            </w:r>
          </w:p>
        </w:tc>
      </w:tr>
      <w:tr>
        <w:tc>
          <w:tcPr>
            <w:tcW w:w="7538" w:type="dxa"/>
          </w:tcPr>
          <w:p>
            <w:pPr>
              <w:pStyle w:val="GesAbsatz"/>
              <w:tabs>
                <w:tab w:val="clear" w:pos="425"/>
              </w:tabs>
              <w:ind w:left="405" w:hanging="405"/>
            </w:pPr>
            <w:r>
              <w:t>17.</w:t>
            </w:r>
            <w:r>
              <w:tab/>
              <w:t>mehrgeschossige Verkaufsstätten über 2 000 m²</w:t>
            </w:r>
            <w:r>
              <w:rPr>
                <w:spacing w:val="-8"/>
              </w:rPr>
              <w:t xml:space="preserve"> </w:t>
            </w:r>
            <w:r>
              <w:t>Verkaufsfläche</w:t>
            </w:r>
          </w:p>
        </w:tc>
        <w:tc>
          <w:tcPr>
            <w:tcW w:w="1594" w:type="dxa"/>
          </w:tcPr>
          <w:p>
            <w:pPr>
              <w:pStyle w:val="GesAbsatz"/>
              <w:jc w:val="center"/>
            </w:pPr>
            <w:r>
              <w:t>159,00</w:t>
            </w:r>
          </w:p>
        </w:tc>
      </w:tr>
      <w:tr>
        <w:tc>
          <w:tcPr>
            <w:tcW w:w="7538" w:type="dxa"/>
          </w:tcPr>
          <w:p>
            <w:pPr>
              <w:pStyle w:val="GesAbsatz"/>
              <w:tabs>
                <w:tab w:val="clear" w:pos="425"/>
              </w:tabs>
              <w:ind w:left="405" w:hanging="405"/>
            </w:pPr>
            <w:r>
              <w:t>18.</w:t>
            </w:r>
            <w:r>
              <w:tab/>
              <w:t>Kleingaragen</w:t>
            </w:r>
          </w:p>
        </w:tc>
        <w:tc>
          <w:tcPr>
            <w:tcW w:w="1594" w:type="dxa"/>
          </w:tcPr>
          <w:p>
            <w:pPr>
              <w:pStyle w:val="GesAbsatz"/>
              <w:jc w:val="center"/>
            </w:pPr>
            <w:r>
              <w:t>102,00</w:t>
            </w:r>
          </w:p>
        </w:tc>
      </w:tr>
      <w:tr>
        <w:tc>
          <w:tcPr>
            <w:tcW w:w="7538" w:type="dxa"/>
          </w:tcPr>
          <w:p>
            <w:pPr>
              <w:pStyle w:val="GesAbsatz"/>
              <w:tabs>
                <w:tab w:val="clear" w:pos="425"/>
              </w:tabs>
              <w:ind w:left="405" w:hanging="405"/>
            </w:pPr>
            <w:r>
              <w:t>19.</w:t>
            </w:r>
            <w:r>
              <w:tab/>
              <w:t>eingeschossige Mittel- und</w:t>
            </w:r>
            <w:r>
              <w:rPr>
                <w:spacing w:val="-5"/>
              </w:rPr>
              <w:t xml:space="preserve"> </w:t>
            </w:r>
            <w:r>
              <w:t>Großgaragen</w:t>
            </w:r>
          </w:p>
        </w:tc>
        <w:tc>
          <w:tcPr>
            <w:tcW w:w="1594" w:type="dxa"/>
          </w:tcPr>
          <w:p>
            <w:pPr>
              <w:pStyle w:val="GesAbsatz"/>
              <w:jc w:val="center"/>
            </w:pPr>
            <w:r>
              <w:t>127,00</w:t>
            </w:r>
          </w:p>
        </w:tc>
      </w:tr>
      <w:tr>
        <w:tc>
          <w:tcPr>
            <w:tcW w:w="7538" w:type="dxa"/>
          </w:tcPr>
          <w:p>
            <w:pPr>
              <w:pStyle w:val="GesAbsatz"/>
              <w:tabs>
                <w:tab w:val="clear" w:pos="425"/>
              </w:tabs>
              <w:ind w:left="405" w:hanging="405"/>
            </w:pPr>
            <w:r>
              <w:t>20.</w:t>
            </w:r>
            <w:r>
              <w:tab/>
              <w:t>mehrgeschossige Mittel- und</w:t>
            </w:r>
            <w:r>
              <w:rPr>
                <w:spacing w:val="-5"/>
              </w:rPr>
              <w:t xml:space="preserve"> </w:t>
            </w:r>
            <w:r>
              <w:t>Großgaragen</w:t>
            </w:r>
          </w:p>
        </w:tc>
        <w:tc>
          <w:tcPr>
            <w:tcW w:w="1594" w:type="dxa"/>
          </w:tcPr>
          <w:p>
            <w:pPr>
              <w:pStyle w:val="GesAbsatz"/>
              <w:jc w:val="center"/>
            </w:pPr>
            <w:r>
              <w:t>149,00</w:t>
            </w:r>
          </w:p>
        </w:tc>
      </w:tr>
      <w:tr>
        <w:tc>
          <w:tcPr>
            <w:tcW w:w="7538" w:type="dxa"/>
          </w:tcPr>
          <w:p>
            <w:pPr>
              <w:pStyle w:val="GesAbsatz"/>
              <w:tabs>
                <w:tab w:val="clear" w:pos="425"/>
              </w:tabs>
              <w:ind w:left="405" w:hanging="405"/>
            </w:pPr>
            <w:r>
              <w:t>21.</w:t>
            </w:r>
            <w:r>
              <w:tab/>
              <w:t>Tiefgaragen</w:t>
            </w:r>
          </w:p>
        </w:tc>
        <w:tc>
          <w:tcPr>
            <w:tcW w:w="1594" w:type="dxa"/>
          </w:tcPr>
          <w:p>
            <w:pPr>
              <w:pStyle w:val="GesAbsatz"/>
              <w:jc w:val="center"/>
            </w:pPr>
            <w:r>
              <w:t>167,00</w:t>
            </w:r>
          </w:p>
        </w:tc>
      </w:tr>
      <w:tr>
        <w:tc>
          <w:tcPr>
            <w:tcW w:w="9132" w:type="dxa"/>
            <w:gridSpan w:val="2"/>
          </w:tcPr>
          <w:p>
            <w:pPr>
              <w:pStyle w:val="GesAbsatz"/>
              <w:ind w:left="425" w:hanging="425"/>
              <w:jc w:val="left"/>
            </w:pPr>
            <w:r>
              <w:t>22.</w:t>
            </w:r>
            <w:r>
              <w:tab/>
              <w:t>Hallenbauten wie Fabrik-, Werkstatt- und Lagerhallen, einfache Sport- und Tennishallen ohne oder mit geringen Einbauten</w:t>
            </w:r>
          </w:p>
        </w:tc>
      </w:tr>
      <w:tr>
        <w:tc>
          <w:tcPr>
            <w:tcW w:w="9132" w:type="dxa"/>
            <w:gridSpan w:val="2"/>
          </w:tcPr>
          <w:p>
            <w:pPr>
              <w:pStyle w:val="GesAbsatz"/>
              <w:tabs>
                <w:tab w:val="clear" w:pos="425"/>
              </w:tabs>
              <w:ind w:left="880" w:hanging="457"/>
              <w:jc w:val="left"/>
            </w:pPr>
            <w:r>
              <w:t>a)</w:t>
            </w:r>
            <w:r>
              <w:tab/>
              <w:t>bis 3 000 m³ umbauter Raum</w:t>
            </w:r>
          </w:p>
        </w:tc>
      </w:tr>
      <w:tr>
        <w:tc>
          <w:tcPr>
            <w:tcW w:w="7538" w:type="dxa"/>
          </w:tcPr>
          <w:p>
            <w:pPr>
              <w:pStyle w:val="GesAbsatz"/>
              <w:ind w:left="829"/>
              <w:jc w:val="left"/>
            </w:pPr>
            <w:r>
              <w:t xml:space="preserve">Bauart leicht </w:t>
            </w:r>
            <w:r>
              <w:rPr>
                <w:vertAlign w:val="superscript"/>
              </w:rPr>
              <w:t>1)</w:t>
            </w:r>
          </w:p>
        </w:tc>
        <w:tc>
          <w:tcPr>
            <w:tcW w:w="1594" w:type="dxa"/>
          </w:tcPr>
          <w:p>
            <w:pPr>
              <w:jc w:val="center"/>
            </w:pPr>
            <w:r>
              <w:t>50,00</w:t>
            </w:r>
          </w:p>
        </w:tc>
      </w:tr>
      <w:tr>
        <w:tc>
          <w:tcPr>
            <w:tcW w:w="7538" w:type="dxa"/>
          </w:tcPr>
          <w:p>
            <w:pPr>
              <w:pStyle w:val="GesAbsatz"/>
              <w:ind w:left="829"/>
              <w:jc w:val="left"/>
            </w:pPr>
            <w:r>
              <w:t xml:space="preserve">Bauart mittel </w:t>
            </w:r>
            <w:r>
              <w:rPr>
                <w:vertAlign w:val="superscript"/>
              </w:rPr>
              <w:t>2)</w:t>
            </w:r>
          </w:p>
        </w:tc>
        <w:tc>
          <w:tcPr>
            <w:tcW w:w="1594" w:type="dxa"/>
          </w:tcPr>
          <w:p>
            <w:pPr>
              <w:jc w:val="center"/>
            </w:pPr>
            <w:r>
              <w:t>57,00</w:t>
            </w:r>
          </w:p>
        </w:tc>
      </w:tr>
      <w:tr>
        <w:tc>
          <w:tcPr>
            <w:tcW w:w="7538" w:type="dxa"/>
          </w:tcPr>
          <w:p>
            <w:pPr>
              <w:pStyle w:val="GesAbsatz"/>
              <w:ind w:left="815"/>
              <w:jc w:val="left"/>
            </w:pPr>
            <w:r>
              <w:t xml:space="preserve">Bauart schwer </w:t>
            </w:r>
            <w:r>
              <w:rPr>
                <w:vertAlign w:val="superscript"/>
              </w:rPr>
              <w:t>3)</w:t>
            </w:r>
          </w:p>
        </w:tc>
        <w:tc>
          <w:tcPr>
            <w:tcW w:w="1594" w:type="dxa"/>
          </w:tcPr>
          <w:p>
            <w:pPr>
              <w:jc w:val="center"/>
            </w:pPr>
            <w:r>
              <w:t>74,00</w:t>
            </w:r>
          </w:p>
        </w:tc>
      </w:tr>
      <w:tr>
        <w:tc>
          <w:tcPr>
            <w:tcW w:w="9132" w:type="dxa"/>
            <w:gridSpan w:val="2"/>
          </w:tcPr>
          <w:p>
            <w:pPr>
              <w:pStyle w:val="GesAbsatz"/>
              <w:tabs>
                <w:tab w:val="clear" w:pos="425"/>
              </w:tabs>
              <w:ind w:left="880" w:hanging="457"/>
              <w:jc w:val="left"/>
            </w:pPr>
            <w:r>
              <w:t>b)</w:t>
            </w:r>
            <w:r>
              <w:tab/>
              <w:t>der 3 000 m³ übersteigende umbaute Raum bis 7 500 m³</w:t>
            </w:r>
          </w:p>
        </w:tc>
      </w:tr>
      <w:tr>
        <w:tc>
          <w:tcPr>
            <w:tcW w:w="7538" w:type="dxa"/>
          </w:tcPr>
          <w:p>
            <w:pPr>
              <w:pStyle w:val="GesAbsatz"/>
              <w:ind w:left="815"/>
              <w:jc w:val="left"/>
            </w:pPr>
            <w:r>
              <w:t xml:space="preserve">Bauart leicht </w:t>
            </w:r>
            <w:r>
              <w:rPr>
                <w:vertAlign w:val="superscript"/>
              </w:rPr>
              <w:t>1)</w:t>
            </w:r>
          </w:p>
        </w:tc>
        <w:tc>
          <w:tcPr>
            <w:tcW w:w="1594" w:type="dxa"/>
          </w:tcPr>
          <w:p>
            <w:pPr>
              <w:jc w:val="center"/>
            </w:pPr>
            <w:r>
              <w:t>40,00</w:t>
            </w:r>
          </w:p>
        </w:tc>
      </w:tr>
      <w:tr>
        <w:tc>
          <w:tcPr>
            <w:tcW w:w="7538" w:type="dxa"/>
          </w:tcPr>
          <w:p>
            <w:pPr>
              <w:pStyle w:val="GesAbsatz"/>
              <w:ind w:left="801"/>
              <w:jc w:val="left"/>
            </w:pPr>
            <w:r>
              <w:t xml:space="preserve">Bauart mittel </w:t>
            </w:r>
            <w:r>
              <w:rPr>
                <w:vertAlign w:val="superscript"/>
              </w:rPr>
              <w:t>2)</w:t>
            </w:r>
          </w:p>
        </w:tc>
        <w:tc>
          <w:tcPr>
            <w:tcW w:w="1594" w:type="dxa"/>
          </w:tcPr>
          <w:p>
            <w:pPr>
              <w:jc w:val="center"/>
            </w:pPr>
            <w:r>
              <w:t>49,00</w:t>
            </w:r>
          </w:p>
        </w:tc>
      </w:tr>
      <w:tr>
        <w:tc>
          <w:tcPr>
            <w:tcW w:w="7538" w:type="dxa"/>
          </w:tcPr>
          <w:p>
            <w:pPr>
              <w:pStyle w:val="GesAbsatz"/>
              <w:ind w:left="801"/>
              <w:jc w:val="left"/>
            </w:pPr>
            <w:r>
              <w:t xml:space="preserve">Bauart schwer </w:t>
            </w:r>
            <w:r>
              <w:rPr>
                <w:vertAlign w:val="superscript"/>
              </w:rPr>
              <w:t>3)</w:t>
            </w:r>
          </w:p>
        </w:tc>
        <w:tc>
          <w:tcPr>
            <w:tcW w:w="1594" w:type="dxa"/>
          </w:tcPr>
          <w:p>
            <w:pPr>
              <w:jc w:val="center"/>
            </w:pPr>
            <w:r>
              <w:t>54,00</w:t>
            </w:r>
          </w:p>
        </w:tc>
      </w:tr>
      <w:tr>
        <w:tc>
          <w:tcPr>
            <w:tcW w:w="9132" w:type="dxa"/>
            <w:gridSpan w:val="2"/>
          </w:tcPr>
          <w:p>
            <w:pPr>
              <w:pStyle w:val="GesAbsatz"/>
              <w:tabs>
                <w:tab w:val="clear" w:pos="425"/>
              </w:tabs>
              <w:ind w:left="880" w:hanging="457"/>
              <w:jc w:val="left"/>
            </w:pPr>
            <w:r>
              <w:t>c)</w:t>
            </w:r>
            <w:r>
              <w:tab/>
              <w:t>der 7 500 m³ übersteigende umbaute Raum bis 50 000 m³</w:t>
            </w:r>
          </w:p>
        </w:tc>
      </w:tr>
      <w:tr>
        <w:tc>
          <w:tcPr>
            <w:tcW w:w="7538" w:type="dxa"/>
          </w:tcPr>
          <w:p>
            <w:pPr>
              <w:pStyle w:val="GesAbsatz"/>
              <w:tabs>
                <w:tab w:val="clear" w:pos="425"/>
                <w:tab w:val="left" w:pos="1305"/>
              </w:tabs>
              <w:ind w:left="815"/>
              <w:jc w:val="left"/>
            </w:pPr>
            <w:r>
              <w:t xml:space="preserve">Bauart leicht </w:t>
            </w:r>
            <w:r>
              <w:rPr>
                <w:vertAlign w:val="superscript"/>
              </w:rPr>
              <w:t>1)</w:t>
            </w:r>
          </w:p>
        </w:tc>
        <w:tc>
          <w:tcPr>
            <w:tcW w:w="1594" w:type="dxa"/>
          </w:tcPr>
          <w:p>
            <w:pPr>
              <w:pStyle w:val="GesAbsatz"/>
              <w:tabs>
                <w:tab w:val="clear" w:pos="425"/>
                <w:tab w:val="decimal" w:pos="660"/>
              </w:tabs>
            </w:pPr>
            <w:r>
              <w:t>35,00</w:t>
            </w:r>
          </w:p>
        </w:tc>
      </w:tr>
      <w:tr>
        <w:tc>
          <w:tcPr>
            <w:tcW w:w="7538" w:type="dxa"/>
          </w:tcPr>
          <w:p>
            <w:pPr>
              <w:pStyle w:val="GesAbsatz"/>
              <w:ind w:left="815"/>
              <w:jc w:val="left"/>
            </w:pPr>
            <w:r>
              <w:t xml:space="preserve">Bauart mittel </w:t>
            </w:r>
            <w:r>
              <w:rPr>
                <w:vertAlign w:val="superscript"/>
              </w:rPr>
              <w:t>2)</w:t>
            </w:r>
          </w:p>
        </w:tc>
        <w:tc>
          <w:tcPr>
            <w:tcW w:w="1594" w:type="dxa"/>
          </w:tcPr>
          <w:p>
            <w:pPr>
              <w:pStyle w:val="GesAbsatz"/>
              <w:tabs>
                <w:tab w:val="clear" w:pos="425"/>
                <w:tab w:val="decimal" w:pos="660"/>
              </w:tabs>
            </w:pPr>
            <w:r>
              <w:t>43,00</w:t>
            </w:r>
          </w:p>
        </w:tc>
      </w:tr>
      <w:tr>
        <w:tc>
          <w:tcPr>
            <w:tcW w:w="7538" w:type="dxa"/>
          </w:tcPr>
          <w:p>
            <w:pPr>
              <w:pStyle w:val="GesAbsatz"/>
              <w:ind w:left="815"/>
              <w:jc w:val="left"/>
            </w:pPr>
            <w:r>
              <w:t xml:space="preserve">Bauart schwer </w:t>
            </w:r>
            <w:r>
              <w:rPr>
                <w:vertAlign w:val="superscript"/>
              </w:rPr>
              <w:t>3)</w:t>
            </w:r>
          </w:p>
        </w:tc>
        <w:tc>
          <w:tcPr>
            <w:tcW w:w="1594" w:type="dxa"/>
          </w:tcPr>
          <w:p>
            <w:pPr>
              <w:pStyle w:val="GesAbsatz"/>
              <w:tabs>
                <w:tab w:val="clear" w:pos="425"/>
                <w:tab w:val="decimal" w:pos="660"/>
              </w:tabs>
            </w:pPr>
            <w:r>
              <w:t>48,00</w:t>
            </w:r>
          </w:p>
        </w:tc>
      </w:tr>
      <w:tr>
        <w:tc>
          <w:tcPr>
            <w:tcW w:w="7538" w:type="dxa"/>
          </w:tcPr>
          <w:p>
            <w:pPr>
              <w:pStyle w:val="GesAbsatz"/>
              <w:tabs>
                <w:tab w:val="clear" w:pos="425"/>
              </w:tabs>
              <w:ind w:left="880" w:hanging="457"/>
              <w:jc w:val="left"/>
            </w:pPr>
            <w:r>
              <w:t>d)</w:t>
            </w:r>
            <w:r>
              <w:tab/>
              <w:t>der 50 000 m³ übersteigende umbaute Raum</w:t>
            </w:r>
          </w:p>
        </w:tc>
        <w:tc>
          <w:tcPr>
            <w:tcW w:w="1594" w:type="dxa"/>
          </w:tcPr>
          <w:p>
            <w:pPr>
              <w:pStyle w:val="GesAbsatz"/>
              <w:tabs>
                <w:tab w:val="clear" w:pos="425"/>
              </w:tabs>
              <w:ind w:left="880" w:hanging="457"/>
              <w:jc w:val="left"/>
            </w:pPr>
          </w:p>
        </w:tc>
      </w:tr>
      <w:tr>
        <w:tc>
          <w:tcPr>
            <w:tcW w:w="7538" w:type="dxa"/>
          </w:tcPr>
          <w:p>
            <w:pPr>
              <w:pStyle w:val="GesAbsatz"/>
              <w:ind w:left="815"/>
              <w:jc w:val="left"/>
            </w:pPr>
            <w:r>
              <w:t xml:space="preserve">Bauart leicht </w:t>
            </w:r>
            <w:r>
              <w:rPr>
                <w:vertAlign w:val="superscript"/>
              </w:rPr>
              <w:t>1)</w:t>
            </w:r>
          </w:p>
        </w:tc>
        <w:tc>
          <w:tcPr>
            <w:tcW w:w="1594" w:type="dxa"/>
          </w:tcPr>
          <w:p>
            <w:pPr>
              <w:jc w:val="center"/>
            </w:pPr>
            <w:r>
              <w:t>32,00</w:t>
            </w:r>
          </w:p>
        </w:tc>
      </w:tr>
      <w:tr>
        <w:tc>
          <w:tcPr>
            <w:tcW w:w="7538" w:type="dxa"/>
          </w:tcPr>
          <w:p>
            <w:pPr>
              <w:pStyle w:val="GesAbsatz"/>
              <w:ind w:left="801"/>
              <w:jc w:val="left"/>
            </w:pPr>
            <w:r>
              <w:t xml:space="preserve">Bauart mittel </w:t>
            </w:r>
            <w:r>
              <w:rPr>
                <w:vertAlign w:val="superscript"/>
              </w:rPr>
              <w:t>2)</w:t>
            </w:r>
          </w:p>
        </w:tc>
        <w:tc>
          <w:tcPr>
            <w:tcW w:w="1594" w:type="dxa"/>
          </w:tcPr>
          <w:p>
            <w:pPr>
              <w:jc w:val="center"/>
            </w:pPr>
            <w:r>
              <w:t>39,00</w:t>
            </w:r>
          </w:p>
        </w:tc>
      </w:tr>
      <w:tr>
        <w:tc>
          <w:tcPr>
            <w:tcW w:w="7538" w:type="dxa"/>
          </w:tcPr>
          <w:p>
            <w:pPr>
              <w:pStyle w:val="GesAbsatz"/>
              <w:ind w:left="815"/>
              <w:jc w:val="left"/>
            </w:pPr>
            <w:r>
              <w:t xml:space="preserve">Bauart schwer </w:t>
            </w:r>
            <w:r>
              <w:rPr>
                <w:vertAlign w:val="superscript"/>
              </w:rPr>
              <w:t>3)</w:t>
            </w:r>
          </w:p>
        </w:tc>
        <w:tc>
          <w:tcPr>
            <w:tcW w:w="1594" w:type="dxa"/>
          </w:tcPr>
          <w:p>
            <w:pPr>
              <w:jc w:val="center"/>
            </w:pPr>
            <w:r>
              <w:t>42,00</w:t>
            </w:r>
          </w:p>
        </w:tc>
      </w:tr>
      <w:tr>
        <w:tc>
          <w:tcPr>
            <w:tcW w:w="7538" w:type="dxa"/>
          </w:tcPr>
          <w:p>
            <w:pPr>
              <w:pStyle w:val="GesAbsatz"/>
              <w:ind w:left="419" w:hanging="419"/>
            </w:pPr>
            <w:r>
              <w:t>23.</w:t>
            </w:r>
            <w:r>
              <w:tab/>
              <w:t>mehrgeschossige Fabrik-, Werkstatt- und Lagergebäude ohne</w:t>
            </w:r>
            <w:r>
              <w:rPr>
                <w:spacing w:val="-6"/>
              </w:rPr>
              <w:t xml:space="preserve"> </w:t>
            </w:r>
            <w:r>
              <w:t>Einbauten</w:t>
            </w:r>
          </w:p>
        </w:tc>
        <w:tc>
          <w:tcPr>
            <w:tcW w:w="1594" w:type="dxa"/>
          </w:tcPr>
          <w:p>
            <w:pPr>
              <w:pStyle w:val="GesAbsatz"/>
              <w:jc w:val="center"/>
            </w:pPr>
            <w:r>
              <w:t>121,00</w:t>
            </w:r>
          </w:p>
        </w:tc>
      </w:tr>
      <w:tr>
        <w:tc>
          <w:tcPr>
            <w:tcW w:w="7538" w:type="dxa"/>
          </w:tcPr>
          <w:p>
            <w:pPr>
              <w:pStyle w:val="GesAbsatz"/>
              <w:ind w:left="419" w:hanging="419"/>
            </w:pPr>
            <w:r>
              <w:t>24.</w:t>
            </w:r>
            <w:r>
              <w:tab/>
              <w:t>mehrgeschossige Fabrik-, Werkstatt- und Lagergebäude mit</w:t>
            </w:r>
            <w:r>
              <w:rPr>
                <w:spacing w:val="-5"/>
              </w:rPr>
              <w:t xml:space="preserve"> </w:t>
            </w:r>
            <w:r>
              <w:t>Einbauten</w:t>
            </w:r>
          </w:p>
        </w:tc>
        <w:tc>
          <w:tcPr>
            <w:tcW w:w="1594" w:type="dxa"/>
          </w:tcPr>
          <w:p>
            <w:pPr>
              <w:pStyle w:val="GesAbsatz"/>
              <w:jc w:val="center"/>
            </w:pPr>
            <w:r>
              <w:t>138,00</w:t>
            </w:r>
          </w:p>
        </w:tc>
      </w:tr>
      <w:tr>
        <w:tc>
          <w:tcPr>
            <w:tcW w:w="7538" w:type="dxa"/>
          </w:tcPr>
          <w:p>
            <w:pPr>
              <w:pStyle w:val="GesAbsatz"/>
              <w:ind w:left="419" w:hanging="419"/>
            </w:pPr>
            <w:r>
              <w:t>25.</w:t>
            </w:r>
            <w:r>
              <w:tab/>
              <w:t>sonstige eingeschossige kleine gewerbliche</w:t>
            </w:r>
            <w:r>
              <w:rPr>
                <w:spacing w:val="-2"/>
              </w:rPr>
              <w:t xml:space="preserve"> </w:t>
            </w:r>
            <w:r>
              <w:t>Bauten</w:t>
            </w:r>
            <w:r>
              <w:br/>
              <w:t>(soweit nicht unter Nr. 22)</w:t>
            </w:r>
          </w:p>
        </w:tc>
        <w:tc>
          <w:tcPr>
            <w:tcW w:w="1594" w:type="dxa"/>
          </w:tcPr>
          <w:p>
            <w:pPr>
              <w:pStyle w:val="GesAbsatz"/>
              <w:jc w:val="center"/>
            </w:pPr>
            <w:r>
              <w:t>84,00</w:t>
            </w:r>
          </w:p>
        </w:tc>
      </w:tr>
      <w:tr>
        <w:tc>
          <w:tcPr>
            <w:tcW w:w="7538" w:type="dxa"/>
          </w:tcPr>
          <w:p>
            <w:pPr>
              <w:pStyle w:val="GesAbsatz"/>
              <w:ind w:left="419" w:hanging="419"/>
            </w:pPr>
            <w:r>
              <w:t>26.</w:t>
            </w:r>
            <w:r>
              <w:tab/>
              <w:t>eingeschossige Stallgebäude (soweit nicht unter Nr.</w:t>
            </w:r>
            <w:r>
              <w:rPr>
                <w:spacing w:val="-5"/>
              </w:rPr>
              <w:t xml:space="preserve"> </w:t>
            </w:r>
            <w:r>
              <w:t>22)</w:t>
            </w:r>
          </w:p>
        </w:tc>
        <w:tc>
          <w:tcPr>
            <w:tcW w:w="1594" w:type="dxa"/>
          </w:tcPr>
          <w:p>
            <w:pPr>
              <w:pStyle w:val="GesAbsatz"/>
              <w:jc w:val="center"/>
            </w:pPr>
            <w:r>
              <w:t>73,00</w:t>
            </w:r>
          </w:p>
        </w:tc>
      </w:tr>
      <w:tr>
        <w:tc>
          <w:tcPr>
            <w:tcW w:w="7538" w:type="dxa"/>
          </w:tcPr>
          <w:p>
            <w:pPr>
              <w:pStyle w:val="GesAbsatz"/>
              <w:ind w:left="419" w:hanging="419"/>
            </w:pPr>
            <w:r>
              <w:t>27.</w:t>
            </w:r>
            <w:r>
              <w:tab/>
              <w:t>mehrgeschossige</w:t>
            </w:r>
            <w:r>
              <w:rPr>
                <w:spacing w:val="-1"/>
              </w:rPr>
              <w:t xml:space="preserve"> </w:t>
            </w:r>
            <w:r>
              <w:t>Stallgebäude</w:t>
            </w:r>
          </w:p>
        </w:tc>
        <w:tc>
          <w:tcPr>
            <w:tcW w:w="1594" w:type="dxa"/>
          </w:tcPr>
          <w:p>
            <w:pPr>
              <w:pStyle w:val="GesAbsatz"/>
              <w:jc w:val="center"/>
            </w:pPr>
            <w:r>
              <w:t>85,00</w:t>
            </w:r>
          </w:p>
        </w:tc>
      </w:tr>
      <w:tr>
        <w:tc>
          <w:tcPr>
            <w:tcW w:w="7538" w:type="dxa"/>
          </w:tcPr>
          <w:p>
            <w:pPr>
              <w:pStyle w:val="GesAbsatz"/>
              <w:tabs>
                <w:tab w:val="clear" w:pos="425"/>
              </w:tabs>
              <w:ind w:left="419" w:hanging="419"/>
            </w:pPr>
            <w:r>
              <w:t>28.</w:t>
            </w:r>
            <w:r>
              <w:tab/>
              <w:t>sonstige landwirtschaftliche Betriebsgebäude,</w:t>
            </w:r>
            <w:r>
              <w:rPr>
                <w:spacing w:val="-2"/>
              </w:rPr>
              <w:t xml:space="preserve"> </w:t>
            </w:r>
            <w:r>
              <w:t xml:space="preserve">Scheunen </w:t>
            </w:r>
            <w:r>
              <w:br/>
              <w:t>(soweit nicht unter Nr. 22)</w:t>
            </w:r>
          </w:p>
        </w:tc>
        <w:tc>
          <w:tcPr>
            <w:tcW w:w="1594" w:type="dxa"/>
          </w:tcPr>
          <w:p>
            <w:pPr>
              <w:pStyle w:val="GesAbsatz"/>
              <w:jc w:val="center"/>
            </w:pPr>
            <w:r>
              <w:t>56,00</w:t>
            </w:r>
          </w:p>
        </w:tc>
      </w:tr>
      <w:tr>
        <w:tc>
          <w:tcPr>
            <w:tcW w:w="7538" w:type="dxa"/>
          </w:tcPr>
          <w:p>
            <w:pPr>
              <w:pStyle w:val="GesAbsatz"/>
              <w:tabs>
                <w:tab w:val="clear" w:pos="425"/>
              </w:tabs>
              <w:ind w:left="419" w:hanging="419"/>
            </w:pPr>
            <w:r>
              <w:t>29.</w:t>
            </w:r>
            <w:r>
              <w:tab/>
              <w:t>Schuppen, offene Feldscheunen, Kaltställe und ähnliche Gebäude</w:t>
            </w:r>
          </w:p>
        </w:tc>
        <w:tc>
          <w:tcPr>
            <w:tcW w:w="1594" w:type="dxa"/>
          </w:tcPr>
          <w:p>
            <w:pPr>
              <w:pStyle w:val="GesAbsatz"/>
              <w:jc w:val="center"/>
            </w:pPr>
            <w:r>
              <w:t>45,00</w:t>
            </w:r>
          </w:p>
        </w:tc>
      </w:tr>
      <w:tr>
        <w:tc>
          <w:tcPr>
            <w:tcW w:w="7538" w:type="dxa"/>
          </w:tcPr>
          <w:p>
            <w:pPr>
              <w:pStyle w:val="GesAbsatz"/>
              <w:ind w:left="419" w:hanging="419"/>
            </w:pPr>
            <w:r>
              <w:lastRenderedPageBreak/>
              <w:t>30.</w:t>
            </w:r>
            <w:r>
              <w:tab/>
              <w:t>erwerbsgärtnerische Betriebsgebäude (Gewächshäuser)</w:t>
            </w:r>
          </w:p>
        </w:tc>
        <w:tc>
          <w:tcPr>
            <w:tcW w:w="1594" w:type="dxa"/>
          </w:tcPr>
          <w:p>
            <w:pPr>
              <w:pStyle w:val="GesAbsatz"/>
              <w:tabs>
                <w:tab w:val="clear" w:pos="425"/>
                <w:tab w:val="decimal" w:pos="660"/>
              </w:tabs>
              <w:jc w:val="center"/>
            </w:pPr>
          </w:p>
        </w:tc>
      </w:tr>
      <w:tr>
        <w:tc>
          <w:tcPr>
            <w:tcW w:w="7538" w:type="dxa"/>
          </w:tcPr>
          <w:p>
            <w:pPr>
              <w:pStyle w:val="GesAbsatz"/>
              <w:tabs>
                <w:tab w:val="clear" w:pos="425"/>
                <w:tab w:val="left" w:pos="865"/>
              </w:tabs>
              <w:ind w:left="454"/>
            </w:pPr>
            <w:r>
              <w:t>a)</w:t>
            </w:r>
            <w:r>
              <w:tab/>
              <w:t>bis 1 500 m³ umbauter Raum</w:t>
            </w:r>
          </w:p>
        </w:tc>
        <w:tc>
          <w:tcPr>
            <w:tcW w:w="1594" w:type="dxa"/>
          </w:tcPr>
          <w:p>
            <w:pPr>
              <w:pStyle w:val="GesAbsatz"/>
              <w:tabs>
                <w:tab w:val="clear" w:pos="425"/>
                <w:tab w:val="decimal" w:pos="660"/>
              </w:tabs>
            </w:pPr>
            <w:r>
              <w:t>39,00</w:t>
            </w:r>
          </w:p>
        </w:tc>
      </w:tr>
      <w:tr>
        <w:tc>
          <w:tcPr>
            <w:tcW w:w="7538" w:type="dxa"/>
          </w:tcPr>
          <w:p>
            <w:pPr>
              <w:pStyle w:val="GesAbsatz"/>
              <w:tabs>
                <w:tab w:val="clear" w:pos="425"/>
                <w:tab w:val="left" w:pos="853"/>
              </w:tabs>
              <w:ind w:left="454"/>
            </w:pPr>
            <w:r>
              <w:t>b)</w:t>
            </w:r>
            <w:r>
              <w:tab/>
              <w:t>der 1 500 m³ übersteigende umbaute Raum</w:t>
            </w:r>
          </w:p>
        </w:tc>
        <w:tc>
          <w:tcPr>
            <w:tcW w:w="1594" w:type="dxa"/>
          </w:tcPr>
          <w:p>
            <w:pPr>
              <w:pStyle w:val="GesAbsatz"/>
              <w:tabs>
                <w:tab w:val="clear" w:pos="425"/>
                <w:tab w:val="decimal" w:pos="660"/>
              </w:tabs>
            </w:pPr>
            <w:r>
              <w:t>22,00</w:t>
            </w:r>
          </w:p>
        </w:tc>
      </w:tr>
    </w:tbl>
    <w:p>
      <w:pPr>
        <w:pStyle w:val="GesAbsatz"/>
      </w:pPr>
    </w:p>
    <w:p>
      <w:pPr>
        <w:pStyle w:val="GesAbsatz"/>
      </w:pPr>
    </w:p>
    <w:tbl>
      <w:tblPr>
        <w:tblW w:w="0" w:type="auto"/>
        <w:tblInd w:w="112" w:type="dxa"/>
        <w:tblLayout w:type="fixed"/>
        <w:tblLook w:val="01E0" w:firstRow="1" w:lastRow="1" w:firstColumn="1" w:lastColumn="1" w:noHBand="0" w:noVBand="0"/>
      </w:tblPr>
      <w:tblGrid>
        <w:gridCol w:w="7580"/>
        <w:gridCol w:w="1590"/>
      </w:tblGrid>
      <w:tr>
        <w:tc>
          <w:tcPr>
            <w:tcW w:w="9170" w:type="dxa"/>
            <w:gridSpan w:val="2"/>
            <w:tcBorders>
              <w:top w:val="nil"/>
              <w:left w:val="nil"/>
              <w:bottom w:val="nil"/>
              <w:right w:val="nil"/>
            </w:tcBorders>
          </w:tcPr>
          <w:p>
            <w:pPr>
              <w:pStyle w:val="GesAbsatz"/>
            </w:pPr>
            <w:r>
              <w:rPr>
                <w:b/>
              </w:rPr>
              <w:t>Zuschläge:</w:t>
            </w:r>
          </w:p>
        </w:tc>
      </w:tr>
      <w:tr>
        <w:tc>
          <w:tcPr>
            <w:tcW w:w="7580" w:type="dxa"/>
            <w:tcBorders>
              <w:top w:val="nil"/>
              <w:left w:val="nil"/>
              <w:bottom w:val="nil"/>
              <w:right w:val="nil"/>
            </w:tcBorders>
          </w:tcPr>
          <w:p>
            <w:pPr>
              <w:pStyle w:val="GesAbsatz"/>
            </w:pPr>
            <w:r>
              <w:t>bei Gebäuden mit mehr als 5 Vollgeschossen</w:t>
            </w:r>
          </w:p>
        </w:tc>
        <w:tc>
          <w:tcPr>
            <w:tcW w:w="1590" w:type="dxa"/>
            <w:tcBorders>
              <w:top w:val="nil"/>
              <w:left w:val="nil"/>
              <w:bottom w:val="nil"/>
              <w:right w:val="nil"/>
            </w:tcBorders>
          </w:tcPr>
          <w:p>
            <w:pPr>
              <w:pStyle w:val="GesAbsatz"/>
            </w:pPr>
            <w:r>
              <w:t>5 Prozent</w:t>
            </w:r>
          </w:p>
        </w:tc>
      </w:tr>
      <w:tr>
        <w:tc>
          <w:tcPr>
            <w:tcW w:w="7580" w:type="dxa"/>
            <w:tcBorders>
              <w:top w:val="nil"/>
              <w:left w:val="nil"/>
              <w:bottom w:val="nil"/>
              <w:right w:val="nil"/>
            </w:tcBorders>
          </w:tcPr>
          <w:p>
            <w:pPr>
              <w:pStyle w:val="GesAbsatz"/>
            </w:pPr>
            <w:r>
              <w:t>bei Hochhäusern</w:t>
            </w:r>
          </w:p>
        </w:tc>
        <w:tc>
          <w:tcPr>
            <w:tcW w:w="1590" w:type="dxa"/>
            <w:tcBorders>
              <w:top w:val="nil"/>
              <w:left w:val="nil"/>
              <w:bottom w:val="nil"/>
              <w:right w:val="nil"/>
            </w:tcBorders>
          </w:tcPr>
          <w:p>
            <w:pPr>
              <w:pStyle w:val="GesAbsatz"/>
            </w:pPr>
            <w:r>
              <w:t>10 Prozent</w:t>
            </w:r>
          </w:p>
        </w:tc>
      </w:tr>
      <w:tr>
        <w:tc>
          <w:tcPr>
            <w:tcW w:w="7580" w:type="dxa"/>
            <w:tcBorders>
              <w:top w:val="nil"/>
              <w:left w:val="nil"/>
              <w:bottom w:val="nil"/>
              <w:right w:val="nil"/>
            </w:tcBorders>
          </w:tcPr>
          <w:p>
            <w:pPr>
              <w:pStyle w:val="GesAbsatz"/>
            </w:pPr>
            <w:r>
              <w:t>bei Gebäuden mit befahrbaren Decken (außer bei den Nrn. 19 bis 21)</w:t>
            </w:r>
          </w:p>
        </w:tc>
        <w:tc>
          <w:tcPr>
            <w:tcW w:w="1590" w:type="dxa"/>
            <w:tcBorders>
              <w:top w:val="nil"/>
              <w:left w:val="nil"/>
              <w:bottom w:val="nil"/>
              <w:right w:val="nil"/>
            </w:tcBorders>
          </w:tcPr>
          <w:p>
            <w:pPr>
              <w:pStyle w:val="GesAbsatz"/>
            </w:pPr>
            <w:r>
              <w:t>10 Prozent</w:t>
            </w:r>
          </w:p>
        </w:tc>
      </w:tr>
      <w:tr>
        <w:tc>
          <w:tcPr>
            <w:tcW w:w="7580" w:type="dxa"/>
            <w:tcBorders>
              <w:top w:val="nil"/>
              <w:left w:val="nil"/>
              <w:bottom w:val="nil"/>
              <w:right w:val="nil"/>
            </w:tcBorders>
          </w:tcPr>
          <w:p>
            <w:pPr>
              <w:pStyle w:val="GesAbsatz"/>
            </w:pPr>
            <w:r>
              <w:t>bei Hallenbauten mit Kränen für den von Kranbahnen erfassten Hallenbereich</w:t>
            </w:r>
          </w:p>
        </w:tc>
        <w:tc>
          <w:tcPr>
            <w:tcW w:w="1590" w:type="dxa"/>
            <w:tcBorders>
              <w:top w:val="nil"/>
              <w:left w:val="nil"/>
              <w:bottom w:val="nil"/>
              <w:right w:val="nil"/>
            </w:tcBorders>
          </w:tcPr>
          <w:p>
            <w:pPr>
              <w:pStyle w:val="GesAbsatz"/>
            </w:pPr>
            <w:r>
              <w:t>51,00 Euro/m²</w:t>
            </w:r>
          </w:p>
        </w:tc>
      </w:tr>
      <w:tr>
        <w:tc>
          <w:tcPr>
            <w:tcW w:w="9170" w:type="dxa"/>
            <w:gridSpan w:val="2"/>
            <w:tcBorders>
              <w:top w:val="nil"/>
              <w:left w:val="nil"/>
              <w:bottom w:val="nil"/>
              <w:right w:val="nil"/>
            </w:tcBorders>
          </w:tcPr>
          <w:p>
            <w:pPr>
              <w:pStyle w:val="GesAbsatz"/>
            </w:pPr>
            <w:r>
              <w:t>Die in der Tabelle angegebenen Werte berücksichtigen nur Flachgründungen mit Streifen- oder Einzelfundamenten. Mehrkosten für andere Gründungen sind gesondert zu ermitteln; dies gilt auch für Außenbekleidungen, für die ein Standsicherheitsnachweis geführt werden muss.</w:t>
            </w:r>
          </w:p>
        </w:tc>
      </w:tr>
      <w:tr>
        <w:tc>
          <w:tcPr>
            <w:tcW w:w="9170" w:type="dxa"/>
            <w:gridSpan w:val="2"/>
            <w:tcBorders>
              <w:top w:val="nil"/>
              <w:left w:val="nil"/>
              <w:bottom w:val="nil"/>
              <w:right w:val="nil"/>
            </w:tcBorders>
          </w:tcPr>
          <w:p>
            <w:pPr>
              <w:pStyle w:val="GesAbsatz"/>
            </w:pPr>
            <w:r>
              <w:rPr>
                <w:b/>
              </w:rPr>
              <w:t>Abschläge:</w:t>
            </w:r>
          </w:p>
        </w:tc>
      </w:tr>
      <w:tr>
        <w:tc>
          <w:tcPr>
            <w:tcW w:w="7580" w:type="dxa"/>
            <w:tcBorders>
              <w:top w:val="nil"/>
              <w:left w:val="nil"/>
              <w:bottom w:val="nil"/>
              <w:right w:val="nil"/>
            </w:tcBorders>
          </w:tcPr>
          <w:p>
            <w:pPr>
              <w:pStyle w:val="GesAbsatz"/>
            </w:pPr>
            <w:r>
              <w:t xml:space="preserve">bei mehrgeschossigen Verkaufsstätten (Nr. 17) in einfacher Ausführung (Bauart leicht </w:t>
            </w:r>
            <w:r>
              <w:rPr>
                <w:vertAlign w:val="superscript"/>
              </w:rPr>
              <w:t>1)</w:t>
            </w:r>
            <w:r>
              <w:t xml:space="preserve"> oder mittel </w:t>
            </w:r>
            <w:r>
              <w:rPr>
                <w:vertAlign w:val="superscript"/>
              </w:rPr>
              <w:t>2)</w:t>
            </w:r>
            <w:r>
              <w:t>), deren Nutzfläche überwiegend nur Ausstellungszwecken dient</w:t>
            </w:r>
          </w:p>
        </w:tc>
        <w:tc>
          <w:tcPr>
            <w:tcW w:w="1590" w:type="dxa"/>
            <w:tcBorders>
              <w:top w:val="nil"/>
              <w:left w:val="nil"/>
              <w:bottom w:val="nil"/>
              <w:right w:val="nil"/>
            </w:tcBorders>
          </w:tcPr>
          <w:p>
            <w:pPr>
              <w:pStyle w:val="GesAbsatz"/>
            </w:pPr>
            <w:r>
              <w:t>40 Prozent</w:t>
            </w:r>
          </w:p>
        </w:tc>
      </w:tr>
      <w:tr>
        <w:tc>
          <w:tcPr>
            <w:tcW w:w="7580" w:type="dxa"/>
            <w:tcBorders>
              <w:top w:val="nil"/>
              <w:left w:val="nil"/>
              <w:bottom w:val="single" w:sz="2" w:space="0" w:color="000000"/>
              <w:right w:val="nil"/>
            </w:tcBorders>
          </w:tcPr>
          <w:p>
            <w:pPr>
              <w:pStyle w:val="GesAbsatz"/>
            </w:pPr>
            <w:r>
              <w:t xml:space="preserve">bei mehrgeschossigen Fabrik- Werkstatt und Lagergebäuden mit und ohne Einbauten (Nrn. 23 und 24) in einfacher Ausführung (Bauart leicht </w:t>
            </w:r>
            <w:r>
              <w:rPr>
                <w:vertAlign w:val="superscript"/>
              </w:rPr>
              <w:t>1)</w:t>
            </w:r>
            <w:r>
              <w:t xml:space="preserve"> oder mittel </w:t>
            </w:r>
            <w:r>
              <w:rPr>
                <w:vertAlign w:val="superscript"/>
              </w:rPr>
              <w:t>2)</w:t>
            </w:r>
            <w:r>
              <w:t>)</w:t>
            </w:r>
          </w:p>
          <w:p>
            <w:pPr>
              <w:pStyle w:val="GesAbsatz"/>
            </w:pPr>
          </w:p>
        </w:tc>
        <w:tc>
          <w:tcPr>
            <w:tcW w:w="1590" w:type="dxa"/>
            <w:tcBorders>
              <w:top w:val="nil"/>
              <w:left w:val="nil"/>
              <w:bottom w:val="single" w:sz="2" w:space="0" w:color="000000"/>
              <w:right w:val="nil"/>
            </w:tcBorders>
          </w:tcPr>
          <w:p>
            <w:pPr>
              <w:pStyle w:val="GesAbsatz"/>
            </w:pPr>
            <w:r>
              <w:t>30 Prozent</w:t>
            </w:r>
          </w:p>
        </w:tc>
      </w:tr>
    </w:tbl>
    <w:p>
      <w:pPr>
        <w:pStyle w:val="GesAbsatz"/>
      </w:pPr>
      <w:r>
        <w:rPr>
          <w:vertAlign w:val="superscript"/>
        </w:rPr>
        <w:t>1)</w:t>
      </w:r>
      <w:r>
        <w:t xml:space="preserve"> Zum Beispiel Stahlhallen mit Blecheindeckung und Wandverkleidung in Blech oder 11,5 cm starke Ausmauerung der Wände oder Gasbetonwände (leichte Wandverkleidung).</w:t>
      </w:r>
    </w:p>
    <w:p>
      <w:pPr>
        <w:pStyle w:val="GesAbsatz"/>
      </w:pPr>
      <w:r>
        <w:rPr>
          <w:vertAlign w:val="superscript"/>
        </w:rPr>
        <w:t>2)</w:t>
      </w:r>
      <w:r>
        <w:t xml:space="preserve"> Zum Beispiel Stahlhallen mit schwerer Dacheindeckung (Gasbetonplatten) und leichter Wandverkleidung, Stahlbeton- oder Spannbetonhallen mit leichter Dacheindeckung und unterschiedlichen Wandausführungen.</w:t>
      </w:r>
    </w:p>
    <w:p>
      <w:pPr>
        <w:pStyle w:val="GesAbsatz"/>
      </w:pPr>
      <w:r>
        <w:rPr>
          <w:vertAlign w:val="superscript"/>
        </w:rPr>
        <w:t>3)</w:t>
      </w:r>
      <w:r>
        <w:t xml:space="preserve"> Zum Beispiel Stahlbeton- oder Spannbetonhallen mit schwerer Dacheindeckung und schweren Wandausführungen.</w:t>
      </w:r>
    </w:p>
    <w:p>
      <w:pPr>
        <w:pStyle w:val="GesAbsatz"/>
      </w:pPr>
    </w:p>
    <w:p>
      <w:pPr>
        <w:pStyle w:val="GesAbsatz"/>
      </w:pPr>
    </w:p>
    <w:p>
      <w:pPr>
        <w:pStyle w:val="GesAbsatz"/>
      </w:pPr>
    </w:p>
    <w:p>
      <w:pPr>
        <w:pStyle w:val="GesAbsatz"/>
      </w:pP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10.08.2021 (MBl. NRW. S. 709)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Archiv3.71</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845E8F-7D52-4407-9B06-8729893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 w:type="paragraph" w:customStyle="1" w:styleId="Default">
    <w:name w:val="Default"/>
    <w:pPr>
      <w:autoSpaceDE w:val="0"/>
      <w:autoSpaceDN w:val="0"/>
      <w:adjustRightInd w:val="0"/>
    </w:pPr>
    <w:rPr>
      <w:color w:val="000000"/>
      <w:sz w:val="24"/>
      <w:szCs w:val="24"/>
    </w:rPr>
  </w:style>
  <w:style w:type="paragraph" w:customStyle="1" w:styleId="TableParagraph">
    <w:name w:val="Table Paragraph"/>
    <w:basedOn w:val="Standard"/>
    <w:uiPriority w:val="1"/>
    <w:qFormat/>
    <w:pPr>
      <w:widowControl w:val="0"/>
      <w:tabs>
        <w:tab w:val="clear" w:pos="425"/>
      </w:tabs>
      <w:overflowPunct/>
      <w:adjustRightInd/>
      <w:spacing w:before="0" w:after="0" w:line="233" w:lineRule="exact"/>
      <w:jc w:val="left"/>
      <w:textAlignment w:val="auto"/>
    </w:pPr>
    <w:rPr>
      <w:rFonts w:ascii="Times New Roman" w:hAnsi="Times New Roman"/>
      <w:sz w:val="22"/>
      <w:szCs w:val="2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21440">
      <w:bodyDiv w:val="1"/>
      <w:marLeft w:val="0"/>
      <w:marRight w:val="0"/>
      <w:marTop w:val="0"/>
      <w:marBottom w:val="0"/>
      <w:divBdr>
        <w:top w:val="none" w:sz="0" w:space="0" w:color="auto"/>
        <w:left w:val="none" w:sz="0" w:space="0" w:color="auto"/>
        <w:bottom w:val="none" w:sz="0" w:space="0" w:color="auto"/>
        <w:right w:val="none" w:sz="0" w:space="0" w:color="auto"/>
      </w:divBdr>
      <w:divsChild>
        <w:div w:id="1093084400">
          <w:marLeft w:val="0"/>
          <w:marRight w:val="0"/>
          <w:marTop w:val="0"/>
          <w:marBottom w:val="0"/>
          <w:divBdr>
            <w:top w:val="none" w:sz="0" w:space="0" w:color="auto"/>
            <w:left w:val="none" w:sz="0" w:space="0" w:color="auto"/>
            <w:bottom w:val="none" w:sz="0" w:space="0" w:color="auto"/>
            <w:right w:val="none" w:sz="0" w:space="0" w:color="auto"/>
          </w:divBdr>
          <w:divsChild>
            <w:div w:id="1539512744">
              <w:marLeft w:val="0"/>
              <w:marRight w:val="0"/>
              <w:marTop w:val="0"/>
              <w:marBottom w:val="0"/>
              <w:divBdr>
                <w:top w:val="none" w:sz="0" w:space="0" w:color="auto"/>
                <w:left w:val="none" w:sz="0" w:space="0" w:color="auto"/>
                <w:bottom w:val="none" w:sz="0" w:space="0" w:color="auto"/>
                <w:right w:val="none" w:sz="0" w:space="0" w:color="auto"/>
              </w:divBdr>
              <w:divsChild>
                <w:div w:id="13554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8017">
          <w:marLeft w:val="0"/>
          <w:marRight w:val="0"/>
          <w:marTop w:val="0"/>
          <w:marBottom w:val="0"/>
          <w:divBdr>
            <w:top w:val="none" w:sz="0" w:space="0" w:color="auto"/>
            <w:left w:val="none" w:sz="0" w:space="0" w:color="auto"/>
            <w:bottom w:val="none" w:sz="0" w:space="0" w:color="auto"/>
            <w:right w:val="none" w:sz="0" w:space="0" w:color="auto"/>
          </w:divBdr>
        </w:div>
        <w:div w:id="1469281945">
          <w:marLeft w:val="0"/>
          <w:marRight w:val="0"/>
          <w:marTop w:val="0"/>
          <w:marBottom w:val="0"/>
          <w:divBdr>
            <w:top w:val="none" w:sz="0" w:space="0" w:color="auto"/>
            <w:left w:val="none" w:sz="0" w:space="0" w:color="auto"/>
            <w:bottom w:val="none" w:sz="0" w:space="0" w:color="auto"/>
            <w:right w:val="none" w:sz="0" w:space="0" w:color="auto"/>
          </w:divBdr>
        </w:div>
        <w:div w:id="130682462">
          <w:marLeft w:val="0"/>
          <w:marRight w:val="0"/>
          <w:marTop w:val="0"/>
          <w:marBottom w:val="0"/>
          <w:divBdr>
            <w:top w:val="none" w:sz="0" w:space="0" w:color="auto"/>
            <w:left w:val="none" w:sz="0" w:space="0" w:color="auto"/>
            <w:bottom w:val="none" w:sz="0" w:space="0" w:color="auto"/>
            <w:right w:val="none" w:sz="0" w:space="0" w:color="auto"/>
          </w:divBdr>
        </w:div>
        <w:div w:id="739644223">
          <w:marLeft w:val="0"/>
          <w:marRight w:val="0"/>
          <w:marTop w:val="0"/>
          <w:marBottom w:val="0"/>
          <w:divBdr>
            <w:top w:val="none" w:sz="0" w:space="0" w:color="auto"/>
            <w:left w:val="none" w:sz="0" w:space="0" w:color="auto"/>
            <w:bottom w:val="none" w:sz="0" w:space="0" w:color="auto"/>
            <w:right w:val="none" w:sz="0" w:space="0" w:color="auto"/>
          </w:divBdr>
        </w:div>
        <w:div w:id="1415200882">
          <w:marLeft w:val="0"/>
          <w:marRight w:val="0"/>
          <w:marTop w:val="0"/>
          <w:marBottom w:val="0"/>
          <w:divBdr>
            <w:top w:val="none" w:sz="0" w:space="0" w:color="auto"/>
            <w:left w:val="none" w:sz="0" w:space="0" w:color="auto"/>
            <w:bottom w:val="none" w:sz="0" w:space="0" w:color="auto"/>
            <w:right w:val="none" w:sz="0" w:space="0" w:color="auto"/>
          </w:divBdr>
        </w:div>
        <w:div w:id="1809592094">
          <w:marLeft w:val="0"/>
          <w:marRight w:val="0"/>
          <w:marTop w:val="0"/>
          <w:marBottom w:val="0"/>
          <w:divBdr>
            <w:top w:val="none" w:sz="0" w:space="0" w:color="auto"/>
            <w:left w:val="none" w:sz="0" w:space="0" w:color="auto"/>
            <w:bottom w:val="none" w:sz="0" w:space="0" w:color="auto"/>
            <w:right w:val="none" w:sz="0" w:space="0" w:color="auto"/>
          </w:divBdr>
        </w:div>
        <w:div w:id="712539610">
          <w:marLeft w:val="0"/>
          <w:marRight w:val="0"/>
          <w:marTop w:val="0"/>
          <w:marBottom w:val="0"/>
          <w:divBdr>
            <w:top w:val="none" w:sz="0" w:space="0" w:color="auto"/>
            <w:left w:val="none" w:sz="0" w:space="0" w:color="auto"/>
            <w:bottom w:val="none" w:sz="0" w:space="0" w:color="auto"/>
            <w:right w:val="none" w:sz="0" w:space="0" w:color="auto"/>
          </w:divBdr>
        </w:div>
        <w:div w:id="1240478050">
          <w:marLeft w:val="0"/>
          <w:marRight w:val="0"/>
          <w:marTop w:val="0"/>
          <w:marBottom w:val="0"/>
          <w:divBdr>
            <w:top w:val="none" w:sz="0" w:space="0" w:color="auto"/>
            <w:left w:val="none" w:sz="0" w:space="0" w:color="auto"/>
            <w:bottom w:val="none" w:sz="0" w:space="0" w:color="auto"/>
            <w:right w:val="none" w:sz="0" w:space="0" w:color="auto"/>
          </w:divBdr>
        </w:div>
        <w:div w:id="532503884">
          <w:marLeft w:val="0"/>
          <w:marRight w:val="0"/>
          <w:marTop w:val="0"/>
          <w:marBottom w:val="0"/>
          <w:divBdr>
            <w:top w:val="none" w:sz="0" w:space="0" w:color="auto"/>
            <w:left w:val="none" w:sz="0" w:space="0" w:color="auto"/>
            <w:bottom w:val="none" w:sz="0" w:space="0" w:color="auto"/>
            <w:right w:val="none" w:sz="0" w:space="0" w:color="auto"/>
          </w:divBdr>
        </w:div>
        <w:div w:id="1473521207">
          <w:marLeft w:val="0"/>
          <w:marRight w:val="0"/>
          <w:marTop w:val="0"/>
          <w:marBottom w:val="0"/>
          <w:divBdr>
            <w:top w:val="none" w:sz="0" w:space="0" w:color="auto"/>
            <w:left w:val="none" w:sz="0" w:space="0" w:color="auto"/>
            <w:bottom w:val="none" w:sz="0" w:space="0" w:color="auto"/>
            <w:right w:val="none" w:sz="0" w:space="0" w:color="auto"/>
          </w:divBdr>
        </w:div>
        <w:div w:id="752624230">
          <w:marLeft w:val="0"/>
          <w:marRight w:val="0"/>
          <w:marTop w:val="0"/>
          <w:marBottom w:val="0"/>
          <w:divBdr>
            <w:top w:val="none" w:sz="0" w:space="0" w:color="auto"/>
            <w:left w:val="none" w:sz="0" w:space="0" w:color="auto"/>
            <w:bottom w:val="none" w:sz="0" w:space="0" w:color="auto"/>
            <w:right w:val="none" w:sz="0" w:space="0" w:color="auto"/>
          </w:divBdr>
        </w:div>
        <w:div w:id="835268367">
          <w:marLeft w:val="0"/>
          <w:marRight w:val="0"/>
          <w:marTop w:val="0"/>
          <w:marBottom w:val="0"/>
          <w:divBdr>
            <w:top w:val="none" w:sz="0" w:space="0" w:color="auto"/>
            <w:left w:val="none" w:sz="0" w:space="0" w:color="auto"/>
            <w:bottom w:val="none" w:sz="0" w:space="0" w:color="auto"/>
            <w:right w:val="none" w:sz="0" w:space="0" w:color="auto"/>
          </w:divBdr>
        </w:div>
        <w:div w:id="1501121418">
          <w:marLeft w:val="0"/>
          <w:marRight w:val="0"/>
          <w:marTop w:val="0"/>
          <w:marBottom w:val="0"/>
          <w:divBdr>
            <w:top w:val="none" w:sz="0" w:space="0" w:color="auto"/>
            <w:left w:val="none" w:sz="0" w:space="0" w:color="auto"/>
            <w:bottom w:val="none" w:sz="0" w:space="0" w:color="auto"/>
            <w:right w:val="none" w:sz="0" w:space="0" w:color="auto"/>
          </w:divBdr>
        </w:div>
        <w:div w:id="26294902">
          <w:marLeft w:val="0"/>
          <w:marRight w:val="0"/>
          <w:marTop w:val="0"/>
          <w:marBottom w:val="0"/>
          <w:divBdr>
            <w:top w:val="none" w:sz="0" w:space="0" w:color="auto"/>
            <w:left w:val="none" w:sz="0" w:space="0" w:color="auto"/>
            <w:bottom w:val="none" w:sz="0" w:space="0" w:color="auto"/>
            <w:right w:val="none" w:sz="0" w:space="0" w:color="auto"/>
          </w:divBdr>
        </w:div>
        <w:div w:id="1204833521">
          <w:marLeft w:val="0"/>
          <w:marRight w:val="0"/>
          <w:marTop w:val="0"/>
          <w:marBottom w:val="0"/>
          <w:divBdr>
            <w:top w:val="none" w:sz="0" w:space="0" w:color="auto"/>
            <w:left w:val="none" w:sz="0" w:space="0" w:color="auto"/>
            <w:bottom w:val="none" w:sz="0" w:space="0" w:color="auto"/>
            <w:right w:val="none" w:sz="0" w:space="0" w:color="auto"/>
          </w:divBdr>
        </w:div>
        <w:div w:id="1297947812">
          <w:marLeft w:val="0"/>
          <w:marRight w:val="0"/>
          <w:marTop w:val="0"/>
          <w:marBottom w:val="0"/>
          <w:divBdr>
            <w:top w:val="none" w:sz="0" w:space="0" w:color="auto"/>
            <w:left w:val="none" w:sz="0" w:space="0" w:color="auto"/>
            <w:bottom w:val="none" w:sz="0" w:space="0" w:color="auto"/>
            <w:right w:val="none" w:sz="0" w:space="0" w:color="auto"/>
          </w:divBdr>
        </w:div>
        <w:div w:id="1530875967">
          <w:marLeft w:val="0"/>
          <w:marRight w:val="0"/>
          <w:marTop w:val="0"/>
          <w:marBottom w:val="0"/>
          <w:divBdr>
            <w:top w:val="none" w:sz="0" w:space="0" w:color="auto"/>
            <w:left w:val="none" w:sz="0" w:space="0" w:color="auto"/>
            <w:bottom w:val="none" w:sz="0" w:space="0" w:color="auto"/>
            <w:right w:val="none" w:sz="0" w:space="0" w:color="auto"/>
          </w:divBdr>
        </w:div>
        <w:div w:id="795100520">
          <w:marLeft w:val="0"/>
          <w:marRight w:val="0"/>
          <w:marTop w:val="0"/>
          <w:marBottom w:val="0"/>
          <w:divBdr>
            <w:top w:val="none" w:sz="0" w:space="0" w:color="auto"/>
            <w:left w:val="none" w:sz="0" w:space="0" w:color="auto"/>
            <w:bottom w:val="none" w:sz="0" w:space="0" w:color="auto"/>
            <w:right w:val="none" w:sz="0" w:space="0" w:color="auto"/>
          </w:divBdr>
        </w:div>
        <w:div w:id="905073708">
          <w:marLeft w:val="0"/>
          <w:marRight w:val="0"/>
          <w:marTop w:val="0"/>
          <w:marBottom w:val="0"/>
          <w:divBdr>
            <w:top w:val="none" w:sz="0" w:space="0" w:color="auto"/>
            <w:left w:val="none" w:sz="0" w:space="0" w:color="auto"/>
            <w:bottom w:val="none" w:sz="0" w:space="0" w:color="auto"/>
            <w:right w:val="none" w:sz="0" w:space="0" w:color="auto"/>
          </w:divBdr>
        </w:div>
        <w:div w:id="902565731">
          <w:marLeft w:val="0"/>
          <w:marRight w:val="0"/>
          <w:marTop w:val="0"/>
          <w:marBottom w:val="0"/>
          <w:divBdr>
            <w:top w:val="none" w:sz="0" w:space="0" w:color="auto"/>
            <w:left w:val="none" w:sz="0" w:space="0" w:color="auto"/>
            <w:bottom w:val="none" w:sz="0" w:space="0" w:color="auto"/>
            <w:right w:val="none" w:sz="0" w:space="0" w:color="auto"/>
          </w:divBdr>
        </w:div>
        <w:div w:id="1361662994">
          <w:marLeft w:val="0"/>
          <w:marRight w:val="0"/>
          <w:marTop w:val="0"/>
          <w:marBottom w:val="0"/>
          <w:divBdr>
            <w:top w:val="none" w:sz="0" w:space="0" w:color="auto"/>
            <w:left w:val="none" w:sz="0" w:space="0" w:color="auto"/>
            <w:bottom w:val="none" w:sz="0" w:space="0" w:color="auto"/>
            <w:right w:val="none" w:sz="0" w:space="0" w:color="auto"/>
          </w:divBdr>
        </w:div>
        <w:div w:id="1518080706">
          <w:marLeft w:val="0"/>
          <w:marRight w:val="0"/>
          <w:marTop w:val="0"/>
          <w:marBottom w:val="0"/>
          <w:divBdr>
            <w:top w:val="none" w:sz="0" w:space="0" w:color="auto"/>
            <w:left w:val="none" w:sz="0" w:space="0" w:color="auto"/>
            <w:bottom w:val="none" w:sz="0" w:space="0" w:color="auto"/>
            <w:right w:val="none" w:sz="0" w:space="0" w:color="auto"/>
          </w:divBdr>
        </w:div>
        <w:div w:id="984509264">
          <w:marLeft w:val="0"/>
          <w:marRight w:val="0"/>
          <w:marTop w:val="0"/>
          <w:marBottom w:val="0"/>
          <w:divBdr>
            <w:top w:val="none" w:sz="0" w:space="0" w:color="auto"/>
            <w:left w:val="none" w:sz="0" w:space="0" w:color="auto"/>
            <w:bottom w:val="none" w:sz="0" w:space="0" w:color="auto"/>
            <w:right w:val="none" w:sz="0" w:space="0" w:color="auto"/>
          </w:divBdr>
        </w:div>
        <w:div w:id="42556917">
          <w:marLeft w:val="0"/>
          <w:marRight w:val="0"/>
          <w:marTop w:val="0"/>
          <w:marBottom w:val="0"/>
          <w:divBdr>
            <w:top w:val="none" w:sz="0" w:space="0" w:color="auto"/>
            <w:left w:val="none" w:sz="0" w:space="0" w:color="auto"/>
            <w:bottom w:val="none" w:sz="0" w:space="0" w:color="auto"/>
            <w:right w:val="none" w:sz="0" w:space="0" w:color="auto"/>
          </w:divBdr>
        </w:div>
        <w:div w:id="454955768">
          <w:marLeft w:val="0"/>
          <w:marRight w:val="0"/>
          <w:marTop w:val="0"/>
          <w:marBottom w:val="0"/>
          <w:divBdr>
            <w:top w:val="none" w:sz="0" w:space="0" w:color="auto"/>
            <w:left w:val="none" w:sz="0" w:space="0" w:color="auto"/>
            <w:bottom w:val="none" w:sz="0" w:space="0" w:color="auto"/>
            <w:right w:val="none" w:sz="0" w:space="0" w:color="auto"/>
          </w:divBdr>
        </w:div>
        <w:div w:id="1051924575">
          <w:marLeft w:val="0"/>
          <w:marRight w:val="0"/>
          <w:marTop w:val="0"/>
          <w:marBottom w:val="0"/>
          <w:divBdr>
            <w:top w:val="none" w:sz="0" w:space="0" w:color="auto"/>
            <w:left w:val="none" w:sz="0" w:space="0" w:color="auto"/>
            <w:bottom w:val="none" w:sz="0" w:space="0" w:color="auto"/>
            <w:right w:val="none" w:sz="0" w:space="0" w:color="auto"/>
          </w:divBdr>
        </w:div>
        <w:div w:id="48891409">
          <w:marLeft w:val="0"/>
          <w:marRight w:val="0"/>
          <w:marTop w:val="0"/>
          <w:marBottom w:val="0"/>
          <w:divBdr>
            <w:top w:val="none" w:sz="0" w:space="0" w:color="auto"/>
            <w:left w:val="none" w:sz="0" w:space="0" w:color="auto"/>
            <w:bottom w:val="none" w:sz="0" w:space="0" w:color="auto"/>
            <w:right w:val="none" w:sz="0" w:space="0" w:color="auto"/>
          </w:divBdr>
        </w:div>
        <w:div w:id="1394817871">
          <w:marLeft w:val="0"/>
          <w:marRight w:val="0"/>
          <w:marTop w:val="0"/>
          <w:marBottom w:val="0"/>
          <w:divBdr>
            <w:top w:val="none" w:sz="0" w:space="0" w:color="auto"/>
            <w:left w:val="none" w:sz="0" w:space="0" w:color="auto"/>
            <w:bottom w:val="none" w:sz="0" w:space="0" w:color="auto"/>
            <w:right w:val="none" w:sz="0" w:space="0" w:color="auto"/>
          </w:divBdr>
        </w:div>
        <w:div w:id="1768770111">
          <w:marLeft w:val="0"/>
          <w:marRight w:val="0"/>
          <w:marTop w:val="0"/>
          <w:marBottom w:val="0"/>
          <w:divBdr>
            <w:top w:val="none" w:sz="0" w:space="0" w:color="auto"/>
            <w:left w:val="none" w:sz="0" w:space="0" w:color="auto"/>
            <w:bottom w:val="none" w:sz="0" w:space="0" w:color="auto"/>
            <w:right w:val="none" w:sz="0" w:space="0" w:color="auto"/>
          </w:divBdr>
        </w:div>
        <w:div w:id="1803113345">
          <w:marLeft w:val="0"/>
          <w:marRight w:val="0"/>
          <w:marTop w:val="0"/>
          <w:marBottom w:val="0"/>
          <w:divBdr>
            <w:top w:val="none" w:sz="0" w:space="0" w:color="auto"/>
            <w:left w:val="none" w:sz="0" w:space="0" w:color="auto"/>
            <w:bottom w:val="none" w:sz="0" w:space="0" w:color="auto"/>
            <w:right w:val="none" w:sz="0" w:space="0" w:color="auto"/>
          </w:divBdr>
        </w:div>
        <w:div w:id="445000386">
          <w:marLeft w:val="0"/>
          <w:marRight w:val="0"/>
          <w:marTop w:val="0"/>
          <w:marBottom w:val="0"/>
          <w:divBdr>
            <w:top w:val="none" w:sz="0" w:space="0" w:color="auto"/>
            <w:left w:val="none" w:sz="0" w:space="0" w:color="auto"/>
            <w:bottom w:val="none" w:sz="0" w:space="0" w:color="auto"/>
            <w:right w:val="none" w:sz="0" w:space="0" w:color="auto"/>
          </w:divBdr>
        </w:div>
        <w:div w:id="1798405698">
          <w:marLeft w:val="0"/>
          <w:marRight w:val="0"/>
          <w:marTop w:val="0"/>
          <w:marBottom w:val="0"/>
          <w:divBdr>
            <w:top w:val="none" w:sz="0" w:space="0" w:color="auto"/>
            <w:left w:val="none" w:sz="0" w:space="0" w:color="auto"/>
            <w:bottom w:val="none" w:sz="0" w:space="0" w:color="auto"/>
            <w:right w:val="none" w:sz="0" w:space="0" w:color="auto"/>
          </w:divBdr>
        </w:div>
        <w:div w:id="1621257546">
          <w:marLeft w:val="0"/>
          <w:marRight w:val="0"/>
          <w:marTop w:val="0"/>
          <w:marBottom w:val="0"/>
          <w:divBdr>
            <w:top w:val="none" w:sz="0" w:space="0" w:color="auto"/>
            <w:left w:val="none" w:sz="0" w:space="0" w:color="auto"/>
            <w:bottom w:val="none" w:sz="0" w:space="0" w:color="auto"/>
            <w:right w:val="none" w:sz="0" w:space="0" w:color="auto"/>
          </w:divBdr>
        </w:div>
        <w:div w:id="1290747214">
          <w:marLeft w:val="0"/>
          <w:marRight w:val="0"/>
          <w:marTop w:val="0"/>
          <w:marBottom w:val="0"/>
          <w:divBdr>
            <w:top w:val="none" w:sz="0" w:space="0" w:color="auto"/>
            <w:left w:val="none" w:sz="0" w:space="0" w:color="auto"/>
            <w:bottom w:val="none" w:sz="0" w:space="0" w:color="auto"/>
            <w:right w:val="none" w:sz="0" w:space="0" w:color="auto"/>
          </w:divBdr>
        </w:div>
        <w:div w:id="1711297305">
          <w:marLeft w:val="0"/>
          <w:marRight w:val="0"/>
          <w:marTop w:val="0"/>
          <w:marBottom w:val="0"/>
          <w:divBdr>
            <w:top w:val="none" w:sz="0" w:space="0" w:color="auto"/>
            <w:left w:val="none" w:sz="0" w:space="0" w:color="auto"/>
            <w:bottom w:val="none" w:sz="0" w:space="0" w:color="auto"/>
            <w:right w:val="none" w:sz="0" w:space="0" w:color="auto"/>
          </w:divBdr>
        </w:div>
        <w:div w:id="139271525">
          <w:marLeft w:val="0"/>
          <w:marRight w:val="0"/>
          <w:marTop w:val="0"/>
          <w:marBottom w:val="0"/>
          <w:divBdr>
            <w:top w:val="none" w:sz="0" w:space="0" w:color="auto"/>
            <w:left w:val="none" w:sz="0" w:space="0" w:color="auto"/>
            <w:bottom w:val="none" w:sz="0" w:space="0" w:color="auto"/>
            <w:right w:val="none" w:sz="0" w:space="0" w:color="auto"/>
          </w:divBdr>
        </w:div>
        <w:div w:id="1218936492">
          <w:marLeft w:val="0"/>
          <w:marRight w:val="0"/>
          <w:marTop w:val="0"/>
          <w:marBottom w:val="0"/>
          <w:divBdr>
            <w:top w:val="none" w:sz="0" w:space="0" w:color="auto"/>
            <w:left w:val="none" w:sz="0" w:space="0" w:color="auto"/>
            <w:bottom w:val="none" w:sz="0" w:space="0" w:color="auto"/>
            <w:right w:val="none" w:sz="0" w:space="0" w:color="auto"/>
          </w:divBdr>
        </w:div>
        <w:div w:id="884485087">
          <w:marLeft w:val="0"/>
          <w:marRight w:val="0"/>
          <w:marTop w:val="0"/>
          <w:marBottom w:val="0"/>
          <w:divBdr>
            <w:top w:val="none" w:sz="0" w:space="0" w:color="auto"/>
            <w:left w:val="none" w:sz="0" w:space="0" w:color="auto"/>
            <w:bottom w:val="none" w:sz="0" w:space="0" w:color="auto"/>
            <w:right w:val="none" w:sz="0" w:space="0" w:color="auto"/>
          </w:divBdr>
        </w:div>
        <w:div w:id="676463554">
          <w:marLeft w:val="0"/>
          <w:marRight w:val="0"/>
          <w:marTop w:val="0"/>
          <w:marBottom w:val="0"/>
          <w:divBdr>
            <w:top w:val="none" w:sz="0" w:space="0" w:color="auto"/>
            <w:left w:val="none" w:sz="0" w:space="0" w:color="auto"/>
            <w:bottom w:val="none" w:sz="0" w:space="0" w:color="auto"/>
            <w:right w:val="none" w:sz="0" w:space="0" w:color="auto"/>
          </w:divBdr>
        </w:div>
        <w:div w:id="973759273">
          <w:marLeft w:val="0"/>
          <w:marRight w:val="0"/>
          <w:marTop w:val="0"/>
          <w:marBottom w:val="0"/>
          <w:divBdr>
            <w:top w:val="none" w:sz="0" w:space="0" w:color="auto"/>
            <w:left w:val="none" w:sz="0" w:space="0" w:color="auto"/>
            <w:bottom w:val="none" w:sz="0" w:space="0" w:color="auto"/>
            <w:right w:val="none" w:sz="0" w:space="0" w:color="auto"/>
          </w:divBdr>
        </w:div>
        <w:div w:id="815220105">
          <w:marLeft w:val="0"/>
          <w:marRight w:val="0"/>
          <w:marTop w:val="0"/>
          <w:marBottom w:val="0"/>
          <w:divBdr>
            <w:top w:val="none" w:sz="0" w:space="0" w:color="auto"/>
            <w:left w:val="none" w:sz="0" w:space="0" w:color="auto"/>
            <w:bottom w:val="none" w:sz="0" w:space="0" w:color="auto"/>
            <w:right w:val="none" w:sz="0" w:space="0" w:color="auto"/>
          </w:divBdr>
        </w:div>
        <w:div w:id="727266896">
          <w:marLeft w:val="0"/>
          <w:marRight w:val="0"/>
          <w:marTop w:val="0"/>
          <w:marBottom w:val="0"/>
          <w:divBdr>
            <w:top w:val="none" w:sz="0" w:space="0" w:color="auto"/>
            <w:left w:val="none" w:sz="0" w:space="0" w:color="auto"/>
            <w:bottom w:val="none" w:sz="0" w:space="0" w:color="auto"/>
            <w:right w:val="none" w:sz="0" w:space="0" w:color="auto"/>
          </w:divBdr>
        </w:div>
        <w:div w:id="563687589">
          <w:marLeft w:val="0"/>
          <w:marRight w:val="0"/>
          <w:marTop w:val="0"/>
          <w:marBottom w:val="0"/>
          <w:divBdr>
            <w:top w:val="none" w:sz="0" w:space="0" w:color="auto"/>
            <w:left w:val="none" w:sz="0" w:space="0" w:color="auto"/>
            <w:bottom w:val="none" w:sz="0" w:space="0" w:color="auto"/>
            <w:right w:val="none" w:sz="0" w:space="0" w:color="auto"/>
          </w:divBdr>
        </w:div>
        <w:div w:id="1305546123">
          <w:marLeft w:val="0"/>
          <w:marRight w:val="0"/>
          <w:marTop w:val="0"/>
          <w:marBottom w:val="0"/>
          <w:divBdr>
            <w:top w:val="none" w:sz="0" w:space="0" w:color="auto"/>
            <w:left w:val="none" w:sz="0" w:space="0" w:color="auto"/>
            <w:bottom w:val="none" w:sz="0" w:space="0" w:color="auto"/>
            <w:right w:val="none" w:sz="0" w:space="0" w:color="auto"/>
          </w:divBdr>
        </w:div>
        <w:div w:id="155346710">
          <w:marLeft w:val="0"/>
          <w:marRight w:val="0"/>
          <w:marTop w:val="0"/>
          <w:marBottom w:val="0"/>
          <w:divBdr>
            <w:top w:val="none" w:sz="0" w:space="0" w:color="auto"/>
            <w:left w:val="none" w:sz="0" w:space="0" w:color="auto"/>
            <w:bottom w:val="none" w:sz="0" w:space="0" w:color="auto"/>
            <w:right w:val="none" w:sz="0" w:space="0" w:color="auto"/>
          </w:divBdr>
        </w:div>
        <w:div w:id="1622881909">
          <w:marLeft w:val="0"/>
          <w:marRight w:val="0"/>
          <w:marTop w:val="0"/>
          <w:marBottom w:val="0"/>
          <w:divBdr>
            <w:top w:val="none" w:sz="0" w:space="0" w:color="auto"/>
            <w:left w:val="none" w:sz="0" w:space="0" w:color="auto"/>
            <w:bottom w:val="none" w:sz="0" w:space="0" w:color="auto"/>
            <w:right w:val="none" w:sz="0" w:space="0" w:color="auto"/>
          </w:divBdr>
        </w:div>
        <w:div w:id="1318414032">
          <w:marLeft w:val="0"/>
          <w:marRight w:val="0"/>
          <w:marTop w:val="0"/>
          <w:marBottom w:val="0"/>
          <w:divBdr>
            <w:top w:val="none" w:sz="0" w:space="0" w:color="auto"/>
            <w:left w:val="none" w:sz="0" w:space="0" w:color="auto"/>
            <w:bottom w:val="none" w:sz="0" w:space="0" w:color="auto"/>
            <w:right w:val="none" w:sz="0" w:space="0" w:color="auto"/>
          </w:divBdr>
        </w:div>
        <w:div w:id="1760758729">
          <w:marLeft w:val="0"/>
          <w:marRight w:val="0"/>
          <w:marTop w:val="0"/>
          <w:marBottom w:val="0"/>
          <w:divBdr>
            <w:top w:val="none" w:sz="0" w:space="0" w:color="auto"/>
            <w:left w:val="none" w:sz="0" w:space="0" w:color="auto"/>
            <w:bottom w:val="none" w:sz="0" w:space="0" w:color="auto"/>
            <w:right w:val="none" w:sz="0" w:space="0" w:color="auto"/>
          </w:divBdr>
        </w:div>
        <w:div w:id="729810595">
          <w:marLeft w:val="0"/>
          <w:marRight w:val="0"/>
          <w:marTop w:val="0"/>
          <w:marBottom w:val="0"/>
          <w:divBdr>
            <w:top w:val="none" w:sz="0" w:space="0" w:color="auto"/>
            <w:left w:val="none" w:sz="0" w:space="0" w:color="auto"/>
            <w:bottom w:val="none" w:sz="0" w:space="0" w:color="auto"/>
            <w:right w:val="none" w:sz="0" w:space="0" w:color="auto"/>
          </w:divBdr>
        </w:div>
        <w:div w:id="583496306">
          <w:marLeft w:val="0"/>
          <w:marRight w:val="0"/>
          <w:marTop w:val="0"/>
          <w:marBottom w:val="0"/>
          <w:divBdr>
            <w:top w:val="none" w:sz="0" w:space="0" w:color="auto"/>
            <w:left w:val="none" w:sz="0" w:space="0" w:color="auto"/>
            <w:bottom w:val="none" w:sz="0" w:space="0" w:color="auto"/>
            <w:right w:val="none" w:sz="0" w:space="0" w:color="auto"/>
          </w:divBdr>
        </w:div>
        <w:div w:id="791021602">
          <w:marLeft w:val="0"/>
          <w:marRight w:val="0"/>
          <w:marTop w:val="0"/>
          <w:marBottom w:val="0"/>
          <w:divBdr>
            <w:top w:val="none" w:sz="0" w:space="0" w:color="auto"/>
            <w:left w:val="none" w:sz="0" w:space="0" w:color="auto"/>
            <w:bottom w:val="none" w:sz="0" w:space="0" w:color="auto"/>
            <w:right w:val="none" w:sz="0" w:space="0" w:color="auto"/>
          </w:divBdr>
        </w:div>
        <w:div w:id="2144541360">
          <w:marLeft w:val="0"/>
          <w:marRight w:val="0"/>
          <w:marTop w:val="0"/>
          <w:marBottom w:val="0"/>
          <w:divBdr>
            <w:top w:val="none" w:sz="0" w:space="0" w:color="auto"/>
            <w:left w:val="none" w:sz="0" w:space="0" w:color="auto"/>
            <w:bottom w:val="none" w:sz="0" w:space="0" w:color="auto"/>
            <w:right w:val="none" w:sz="0" w:space="0" w:color="auto"/>
          </w:divBdr>
        </w:div>
        <w:div w:id="1491294136">
          <w:marLeft w:val="0"/>
          <w:marRight w:val="0"/>
          <w:marTop w:val="0"/>
          <w:marBottom w:val="0"/>
          <w:divBdr>
            <w:top w:val="none" w:sz="0" w:space="0" w:color="auto"/>
            <w:left w:val="none" w:sz="0" w:space="0" w:color="auto"/>
            <w:bottom w:val="none" w:sz="0" w:space="0" w:color="auto"/>
            <w:right w:val="none" w:sz="0" w:space="0" w:color="auto"/>
          </w:divBdr>
        </w:div>
        <w:div w:id="1510094563">
          <w:marLeft w:val="0"/>
          <w:marRight w:val="0"/>
          <w:marTop w:val="0"/>
          <w:marBottom w:val="0"/>
          <w:divBdr>
            <w:top w:val="none" w:sz="0" w:space="0" w:color="auto"/>
            <w:left w:val="none" w:sz="0" w:space="0" w:color="auto"/>
            <w:bottom w:val="none" w:sz="0" w:space="0" w:color="auto"/>
            <w:right w:val="none" w:sz="0" w:space="0" w:color="auto"/>
          </w:divBdr>
        </w:div>
        <w:div w:id="1172142617">
          <w:marLeft w:val="0"/>
          <w:marRight w:val="0"/>
          <w:marTop w:val="0"/>
          <w:marBottom w:val="0"/>
          <w:divBdr>
            <w:top w:val="none" w:sz="0" w:space="0" w:color="auto"/>
            <w:left w:val="none" w:sz="0" w:space="0" w:color="auto"/>
            <w:bottom w:val="none" w:sz="0" w:space="0" w:color="auto"/>
            <w:right w:val="none" w:sz="0" w:space="0" w:color="auto"/>
          </w:divBdr>
        </w:div>
        <w:div w:id="909004617">
          <w:marLeft w:val="0"/>
          <w:marRight w:val="0"/>
          <w:marTop w:val="0"/>
          <w:marBottom w:val="0"/>
          <w:divBdr>
            <w:top w:val="none" w:sz="0" w:space="0" w:color="auto"/>
            <w:left w:val="none" w:sz="0" w:space="0" w:color="auto"/>
            <w:bottom w:val="none" w:sz="0" w:space="0" w:color="auto"/>
            <w:right w:val="none" w:sz="0" w:space="0" w:color="auto"/>
          </w:divBdr>
        </w:div>
        <w:div w:id="1130243108">
          <w:marLeft w:val="0"/>
          <w:marRight w:val="0"/>
          <w:marTop w:val="0"/>
          <w:marBottom w:val="0"/>
          <w:divBdr>
            <w:top w:val="none" w:sz="0" w:space="0" w:color="auto"/>
            <w:left w:val="none" w:sz="0" w:space="0" w:color="auto"/>
            <w:bottom w:val="none" w:sz="0" w:space="0" w:color="auto"/>
            <w:right w:val="none" w:sz="0" w:space="0" w:color="auto"/>
          </w:divBdr>
        </w:div>
        <w:div w:id="310988534">
          <w:marLeft w:val="0"/>
          <w:marRight w:val="0"/>
          <w:marTop w:val="0"/>
          <w:marBottom w:val="0"/>
          <w:divBdr>
            <w:top w:val="none" w:sz="0" w:space="0" w:color="auto"/>
            <w:left w:val="none" w:sz="0" w:space="0" w:color="auto"/>
            <w:bottom w:val="none" w:sz="0" w:space="0" w:color="auto"/>
            <w:right w:val="none" w:sz="0" w:space="0" w:color="auto"/>
          </w:divBdr>
        </w:div>
        <w:div w:id="1417243850">
          <w:marLeft w:val="0"/>
          <w:marRight w:val="0"/>
          <w:marTop w:val="0"/>
          <w:marBottom w:val="0"/>
          <w:divBdr>
            <w:top w:val="none" w:sz="0" w:space="0" w:color="auto"/>
            <w:left w:val="none" w:sz="0" w:space="0" w:color="auto"/>
            <w:bottom w:val="none" w:sz="0" w:space="0" w:color="auto"/>
            <w:right w:val="none" w:sz="0" w:space="0" w:color="auto"/>
          </w:divBdr>
        </w:div>
        <w:div w:id="461190840">
          <w:marLeft w:val="0"/>
          <w:marRight w:val="0"/>
          <w:marTop w:val="0"/>
          <w:marBottom w:val="0"/>
          <w:divBdr>
            <w:top w:val="none" w:sz="0" w:space="0" w:color="auto"/>
            <w:left w:val="none" w:sz="0" w:space="0" w:color="auto"/>
            <w:bottom w:val="none" w:sz="0" w:space="0" w:color="auto"/>
            <w:right w:val="none" w:sz="0" w:space="0" w:color="auto"/>
          </w:divBdr>
        </w:div>
        <w:div w:id="1210412670">
          <w:marLeft w:val="0"/>
          <w:marRight w:val="0"/>
          <w:marTop w:val="0"/>
          <w:marBottom w:val="0"/>
          <w:divBdr>
            <w:top w:val="none" w:sz="0" w:space="0" w:color="auto"/>
            <w:left w:val="none" w:sz="0" w:space="0" w:color="auto"/>
            <w:bottom w:val="none" w:sz="0" w:space="0" w:color="auto"/>
            <w:right w:val="none" w:sz="0" w:space="0" w:color="auto"/>
          </w:divBdr>
        </w:div>
        <w:div w:id="2089644385">
          <w:marLeft w:val="0"/>
          <w:marRight w:val="0"/>
          <w:marTop w:val="0"/>
          <w:marBottom w:val="0"/>
          <w:divBdr>
            <w:top w:val="none" w:sz="0" w:space="0" w:color="auto"/>
            <w:left w:val="none" w:sz="0" w:space="0" w:color="auto"/>
            <w:bottom w:val="none" w:sz="0" w:space="0" w:color="auto"/>
            <w:right w:val="none" w:sz="0" w:space="0" w:color="auto"/>
          </w:divBdr>
        </w:div>
        <w:div w:id="769087258">
          <w:marLeft w:val="0"/>
          <w:marRight w:val="0"/>
          <w:marTop w:val="0"/>
          <w:marBottom w:val="0"/>
          <w:divBdr>
            <w:top w:val="none" w:sz="0" w:space="0" w:color="auto"/>
            <w:left w:val="none" w:sz="0" w:space="0" w:color="auto"/>
            <w:bottom w:val="none" w:sz="0" w:space="0" w:color="auto"/>
            <w:right w:val="none" w:sz="0" w:space="0" w:color="auto"/>
          </w:divBdr>
        </w:div>
        <w:div w:id="612440962">
          <w:marLeft w:val="0"/>
          <w:marRight w:val="0"/>
          <w:marTop w:val="0"/>
          <w:marBottom w:val="0"/>
          <w:divBdr>
            <w:top w:val="none" w:sz="0" w:space="0" w:color="auto"/>
            <w:left w:val="none" w:sz="0" w:space="0" w:color="auto"/>
            <w:bottom w:val="none" w:sz="0" w:space="0" w:color="auto"/>
            <w:right w:val="none" w:sz="0" w:space="0" w:color="auto"/>
          </w:divBdr>
        </w:div>
        <w:div w:id="1719162474">
          <w:marLeft w:val="0"/>
          <w:marRight w:val="0"/>
          <w:marTop w:val="0"/>
          <w:marBottom w:val="0"/>
          <w:divBdr>
            <w:top w:val="none" w:sz="0" w:space="0" w:color="auto"/>
            <w:left w:val="none" w:sz="0" w:space="0" w:color="auto"/>
            <w:bottom w:val="none" w:sz="0" w:space="0" w:color="auto"/>
            <w:right w:val="none" w:sz="0" w:space="0" w:color="auto"/>
          </w:divBdr>
        </w:div>
        <w:div w:id="1205211363">
          <w:marLeft w:val="0"/>
          <w:marRight w:val="0"/>
          <w:marTop w:val="0"/>
          <w:marBottom w:val="0"/>
          <w:divBdr>
            <w:top w:val="none" w:sz="0" w:space="0" w:color="auto"/>
            <w:left w:val="none" w:sz="0" w:space="0" w:color="auto"/>
            <w:bottom w:val="none" w:sz="0" w:space="0" w:color="auto"/>
            <w:right w:val="none" w:sz="0" w:space="0" w:color="auto"/>
          </w:divBdr>
        </w:div>
        <w:div w:id="1745760772">
          <w:marLeft w:val="0"/>
          <w:marRight w:val="0"/>
          <w:marTop w:val="0"/>
          <w:marBottom w:val="0"/>
          <w:divBdr>
            <w:top w:val="none" w:sz="0" w:space="0" w:color="auto"/>
            <w:left w:val="none" w:sz="0" w:space="0" w:color="auto"/>
            <w:bottom w:val="none" w:sz="0" w:space="0" w:color="auto"/>
            <w:right w:val="none" w:sz="0" w:space="0" w:color="auto"/>
          </w:divBdr>
        </w:div>
        <w:div w:id="1401949709">
          <w:marLeft w:val="0"/>
          <w:marRight w:val="0"/>
          <w:marTop w:val="0"/>
          <w:marBottom w:val="0"/>
          <w:divBdr>
            <w:top w:val="none" w:sz="0" w:space="0" w:color="auto"/>
            <w:left w:val="none" w:sz="0" w:space="0" w:color="auto"/>
            <w:bottom w:val="none" w:sz="0" w:space="0" w:color="auto"/>
            <w:right w:val="none" w:sz="0" w:space="0" w:color="auto"/>
          </w:divBdr>
        </w:div>
        <w:div w:id="114493775">
          <w:marLeft w:val="0"/>
          <w:marRight w:val="0"/>
          <w:marTop w:val="0"/>
          <w:marBottom w:val="0"/>
          <w:divBdr>
            <w:top w:val="none" w:sz="0" w:space="0" w:color="auto"/>
            <w:left w:val="none" w:sz="0" w:space="0" w:color="auto"/>
            <w:bottom w:val="none" w:sz="0" w:space="0" w:color="auto"/>
            <w:right w:val="none" w:sz="0" w:space="0" w:color="auto"/>
          </w:divBdr>
        </w:div>
        <w:div w:id="807356965">
          <w:marLeft w:val="0"/>
          <w:marRight w:val="0"/>
          <w:marTop w:val="0"/>
          <w:marBottom w:val="0"/>
          <w:divBdr>
            <w:top w:val="none" w:sz="0" w:space="0" w:color="auto"/>
            <w:left w:val="none" w:sz="0" w:space="0" w:color="auto"/>
            <w:bottom w:val="none" w:sz="0" w:space="0" w:color="auto"/>
            <w:right w:val="none" w:sz="0" w:space="0" w:color="auto"/>
          </w:divBdr>
        </w:div>
        <w:div w:id="2025862348">
          <w:marLeft w:val="0"/>
          <w:marRight w:val="0"/>
          <w:marTop w:val="0"/>
          <w:marBottom w:val="0"/>
          <w:divBdr>
            <w:top w:val="none" w:sz="0" w:space="0" w:color="auto"/>
            <w:left w:val="none" w:sz="0" w:space="0" w:color="auto"/>
            <w:bottom w:val="none" w:sz="0" w:space="0" w:color="auto"/>
            <w:right w:val="none" w:sz="0" w:space="0" w:color="auto"/>
          </w:divBdr>
        </w:div>
        <w:div w:id="2145542729">
          <w:marLeft w:val="0"/>
          <w:marRight w:val="0"/>
          <w:marTop w:val="0"/>
          <w:marBottom w:val="0"/>
          <w:divBdr>
            <w:top w:val="none" w:sz="0" w:space="0" w:color="auto"/>
            <w:left w:val="none" w:sz="0" w:space="0" w:color="auto"/>
            <w:bottom w:val="none" w:sz="0" w:space="0" w:color="auto"/>
            <w:right w:val="none" w:sz="0" w:space="0" w:color="auto"/>
          </w:divBdr>
        </w:div>
        <w:div w:id="652686185">
          <w:marLeft w:val="0"/>
          <w:marRight w:val="0"/>
          <w:marTop w:val="0"/>
          <w:marBottom w:val="0"/>
          <w:divBdr>
            <w:top w:val="none" w:sz="0" w:space="0" w:color="auto"/>
            <w:left w:val="none" w:sz="0" w:space="0" w:color="auto"/>
            <w:bottom w:val="none" w:sz="0" w:space="0" w:color="auto"/>
            <w:right w:val="none" w:sz="0" w:space="0" w:color="auto"/>
          </w:divBdr>
        </w:div>
        <w:div w:id="1611818831">
          <w:marLeft w:val="0"/>
          <w:marRight w:val="0"/>
          <w:marTop w:val="0"/>
          <w:marBottom w:val="0"/>
          <w:divBdr>
            <w:top w:val="none" w:sz="0" w:space="0" w:color="auto"/>
            <w:left w:val="none" w:sz="0" w:space="0" w:color="auto"/>
            <w:bottom w:val="none" w:sz="0" w:space="0" w:color="auto"/>
            <w:right w:val="none" w:sz="0" w:space="0" w:color="auto"/>
          </w:divBdr>
        </w:div>
        <w:div w:id="1741558347">
          <w:marLeft w:val="0"/>
          <w:marRight w:val="0"/>
          <w:marTop w:val="0"/>
          <w:marBottom w:val="0"/>
          <w:divBdr>
            <w:top w:val="none" w:sz="0" w:space="0" w:color="auto"/>
            <w:left w:val="none" w:sz="0" w:space="0" w:color="auto"/>
            <w:bottom w:val="none" w:sz="0" w:space="0" w:color="auto"/>
            <w:right w:val="none" w:sz="0" w:space="0" w:color="auto"/>
          </w:divBdr>
        </w:div>
        <w:div w:id="1329475730">
          <w:marLeft w:val="0"/>
          <w:marRight w:val="0"/>
          <w:marTop w:val="0"/>
          <w:marBottom w:val="0"/>
          <w:divBdr>
            <w:top w:val="none" w:sz="0" w:space="0" w:color="auto"/>
            <w:left w:val="none" w:sz="0" w:space="0" w:color="auto"/>
            <w:bottom w:val="none" w:sz="0" w:space="0" w:color="auto"/>
            <w:right w:val="none" w:sz="0" w:space="0" w:color="auto"/>
          </w:divBdr>
        </w:div>
        <w:div w:id="1934627790">
          <w:marLeft w:val="0"/>
          <w:marRight w:val="0"/>
          <w:marTop w:val="0"/>
          <w:marBottom w:val="0"/>
          <w:divBdr>
            <w:top w:val="none" w:sz="0" w:space="0" w:color="auto"/>
            <w:left w:val="none" w:sz="0" w:space="0" w:color="auto"/>
            <w:bottom w:val="none" w:sz="0" w:space="0" w:color="auto"/>
            <w:right w:val="none" w:sz="0" w:space="0" w:color="auto"/>
          </w:divBdr>
        </w:div>
        <w:div w:id="1546216830">
          <w:marLeft w:val="0"/>
          <w:marRight w:val="0"/>
          <w:marTop w:val="0"/>
          <w:marBottom w:val="0"/>
          <w:divBdr>
            <w:top w:val="none" w:sz="0" w:space="0" w:color="auto"/>
            <w:left w:val="none" w:sz="0" w:space="0" w:color="auto"/>
            <w:bottom w:val="none" w:sz="0" w:space="0" w:color="auto"/>
            <w:right w:val="none" w:sz="0" w:space="0" w:color="auto"/>
          </w:divBdr>
        </w:div>
        <w:div w:id="754739821">
          <w:marLeft w:val="0"/>
          <w:marRight w:val="0"/>
          <w:marTop w:val="0"/>
          <w:marBottom w:val="0"/>
          <w:divBdr>
            <w:top w:val="none" w:sz="0" w:space="0" w:color="auto"/>
            <w:left w:val="none" w:sz="0" w:space="0" w:color="auto"/>
            <w:bottom w:val="none" w:sz="0" w:space="0" w:color="auto"/>
            <w:right w:val="none" w:sz="0" w:space="0" w:color="auto"/>
          </w:divBdr>
        </w:div>
        <w:div w:id="2077701531">
          <w:marLeft w:val="0"/>
          <w:marRight w:val="0"/>
          <w:marTop w:val="0"/>
          <w:marBottom w:val="0"/>
          <w:divBdr>
            <w:top w:val="none" w:sz="0" w:space="0" w:color="auto"/>
            <w:left w:val="none" w:sz="0" w:space="0" w:color="auto"/>
            <w:bottom w:val="none" w:sz="0" w:space="0" w:color="auto"/>
            <w:right w:val="none" w:sz="0" w:space="0" w:color="auto"/>
          </w:divBdr>
        </w:div>
        <w:div w:id="395133309">
          <w:marLeft w:val="0"/>
          <w:marRight w:val="0"/>
          <w:marTop w:val="0"/>
          <w:marBottom w:val="0"/>
          <w:divBdr>
            <w:top w:val="none" w:sz="0" w:space="0" w:color="auto"/>
            <w:left w:val="none" w:sz="0" w:space="0" w:color="auto"/>
            <w:bottom w:val="none" w:sz="0" w:space="0" w:color="auto"/>
            <w:right w:val="none" w:sz="0" w:space="0" w:color="auto"/>
          </w:divBdr>
        </w:div>
        <w:div w:id="1798718125">
          <w:marLeft w:val="0"/>
          <w:marRight w:val="0"/>
          <w:marTop w:val="0"/>
          <w:marBottom w:val="0"/>
          <w:divBdr>
            <w:top w:val="none" w:sz="0" w:space="0" w:color="auto"/>
            <w:left w:val="none" w:sz="0" w:space="0" w:color="auto"/>
            <w:bottom w:val="none" w:sz="0" w:space="0" w:color="auto"/>
            <w:right w:val="none" w:sz="0" w:space="0" w:color="auto"/>
          </w:divBdr>
        </w:div>
        <w:div w:id="6175135">
          <w:marLeft w:val="0"/>
          <w:marRight w:val="0"/>
          <w:marTop w:val="0"/>
          <w:marBottom w:val="0"/>
          <w:divBdr>
            <w:top w:val="none" w:sz="0" w:space="0" w:color="auto"/>
            <w:left w:val="none" w:sz="0" w:space="0" w:color="auto"/>
            <w:bottom w:val="none" w:sz="0" w:space="0" w:color="auto"/>
            <w:right w:val="none" w:sz="0" w:space="0" w:color="auto"/>
          </w:divBdr>
        </w:div>
        <w:div w:id="487668624">
          <w:marLeft w:val="0"/>
          <w:marRight w:val="0"/>
          <w:marTop w:val="0"/>
          <w:marBottom w:val="0"/>
          <w:divBdr>
            <w:top w:val="none" w:sz="0" w:space="0" w:color="auto"/>
            <w:left w:val="none" w:sz="0" w:space="0" w:color="auto"/>
            <w:bottom w:val="none" w:sz="0" w:space="0" w:color="auto"/>
            <w:right w:val="none" w:sz="0" w:space="0" w:color="auto"/>
          </w:divBdr>
        </w:div>
        <w:div w:id="318269578">
          <w:marLeft w:val="0"/>
          <w:marRight w:val="0"/>
          <w:marTop w:val="0"/>
          <w:marBottom w:val="0"/>
          <w:divBdr>
            <w:top w:val="none" w:sz="0" w:space="0" w:color="auto"/>
            <w:left w:val="none" w:sz="0" w:space="0" w:color="auto"/>
            <w:bottom w:val="none" w:sz="0" w:space="0" w:color="auto"/>
            <w:right w:val="none" w:sz="0" w:space="0" w:color="auto"/>
          </w:divBdr>
        </w:div>
        <w:div w:id="737900372">
          <w:marLeft w:val="0"/>
          <w:marRight w:val="0"/>
          <w:marTop w:val="0"/>
          <w:marBottom w:val="0"/>
          <w:divBdr>
            <w:top w:val="none" w:sz="0" w:space="0" w:color="auto"/>
            <w:left w:val="none" w:sz="0" w:space="0" w:color="auto"/>
            <w:bottom w:val="none" w:sz="0" w:space="0" w:color="auto"/>
            <w:right w:val="none" w:sz="0" w:space="0" w:color="auto"/>
          </w:divBdr>
        </w:div>
        <w:div w:id="1879973817">
          <w:marLeft w:val="0"/>
          <w:marRight w:val="0"/>
          <w:marTop w:val="0"/>
          <w:marBottom w:val="0"/>
          <w:divBdr>
            <w:top w:val="none" w:sz="0" w:space="0" w:color="auto"/>
            <w:left w:val="none" w:sz="0" w:space="0" w:color="auto"/>
            <w:bottom w:val="none" w:sz="0" w:space="0" w:color="auto"/>
            <w:right w:val="none" w:sz="0" w:space="0" w:color="auto"/>
          </w:divBdr>
        </w:div>
        <w:div w:id="144707076">
          <w:marLeft w:val="0"/>
          <w:marRight w:val="0"/>
          <w:marTop w:val="0"/>
          <w:marBottom w:val="0"/>
          <w:divBdr>
            <w:top w:val="none" w:sz="0" w:space="0" w:color="auto"/>
            <w:left w:val="none" w:sz="0" w:space="0" w:color="auto"/>
            <w:bottom w:val="none" w:sz="0" w:space="0" w:color="auto"/>
            <w:right w:val="none" w:sz="0" w:space="0" w:color="auto"/>
          </w:divBdr>
        </w:div>
        <w:div w:id="885524722">
          <w:marLeft w:val="0"/>
          <w:marRight w:val="0"/>
          <w:marTop w:val="0"/>
          <w:marBottom w:val="0"/>
          <w:divBdr>
            <w:top w:val="none" w:sz="0" w:space="0" w:color="auto"/>
            <w:left w:val="none" w:sz="0" w:space="0" w:color="auto"/>
            <w:bottom w:val="none" w:sz="0" w:space="0" w:color="auto"/>
            <w:right w:val="none" w:sz="0" w:space="0" w:color="auto"/>
          </w:divBdr>
        </w:div>
        <w:div w:id="1092244611">
          <w:marLeft w:val="0"/>
          <w:marRight w:val="0"/>
          <w:marTop w:val="0"/>
          <w:marBottom w:val="0"/>
          <w:divBdr>
            <w:top w:val="none" w:sz="0" w:space="0" w:color="auto"/>
            <w:left w:val="none" w:sz="0" w:space="0" w:color="auto"/>
            <w:bottom w:val="none" w:sz="0" w:space="0" w:color="auto"/>
            <w:right w:val="none" w:sz="0" w:space="0" w:color="auto"/>
          </w:divBdr>
        </w:div>
        <w:div w:id="1313948334">
          <w:marLeft w:val="0"/>
          <w:marRight w:val="0"/>
          <w:marTop w:val="0"/>
          <w:marBottom w:val="0"/>
          <w:divBdr>
            <w:top w:val="none" w:sz="0" w:space="0" w:color="auto"/>
            <w:left w:val="none" w:sz="0" w:space="0" w:color="auto"/>
            <w:bottom w:val="none" w:sz="0" w:space="0" w:color="auto"/>
            <w:right w:val="none" w:sz="0" w:space="0" w:color="auto"/>
          </w:divBdr>
        </w:div>
        <w:div w:id="723413582">
          <w:marLeft w:val="0"/>
          <w:marRight w:val="0"/>
          <w:marTop w:val="0"/>
          <w:marBottom w:val="0"/>
          <w:divBdr>
            <w:top w:val="none" w:sz="0" w:space="0" w:color="auto"/>
            <w:left w:val="none" w:sz="0" w:space="0" w:color="auto"/>
            <w:bottom w:val="none" w:sz="0" w:space="0" w:color="auto"/>
            <w:right w:val="none" w:sz="0" w:space="0" w:color="auto"/>
          </w:divBdr>
        </w:div>
        <w:div w:id="1742170171">
          <w:marLeft w:val="0"/>
          <w:marRight w:val="0"/>
          <w:marTop w:val="0"/>
          <w:marBottom w:val="0"/>
          <w:divBdr>
            <w:top w:val="none" w:sz="0" w:space="0" w:color="auto"/>
            <w:left w:val="none" w:sz="0" w:space="0" w:color="auto"/>
            <w:bottom w:val="none" w:sz="0" w:space="0" w:color="auto"/>
            <w:right w:val="none" w:sz="0" w:space="0" w:color="auto"/>
          </w:divBdr>
        </w:div>
        <w:div w:id="1000236816">
          <w:marLeft w:val="0"/>
          <w:marRight w:val="0"/>
          <w:marTop w:val="0"/>
          <w:marBottom w:val="0"/>
          <w:divBdr>
            <w:top w:val="none" w:sz="0" w:space="0" w:color="auto"/>
            <w:left w:val="none" w:sz="0" w:space="0" w:color="auto"/>
            <w:bottom w:val="none" w:sz="0" w:space="0" w:color="auto"/>
            <w:right w:val="none" w:sz="0" w:space="0" w:color="auto"/>
          </w:divBdr>
        </w:div>
        <w:div w:id="2087610731">
          <w:marLeft w:val="0"/>
          <w:marRight w:val="0"/>
          <w:marTop w:val="0"/>
          <w:marBottom w:val="0"/>
          <w:divBdr>
            <w:top w:val="none" w:sz="0" w:space="0" w:color="auto"/>
            <w:left w:val="none" w:sz="0" w:space="0" w:color="auto"/>
            <w:bottom w:val="none" w:sz="0" w:space="0" w:color="auto"/>
            <w:right w:val="none" w:sz="0" w:space="0" w:color="auto"/>
          </w:divBdr>
        </w:div>
        <w:div w:id="1705472906">
          <w:marLeft w:val="0"/>
          <w:marRight w:val="0"/>
          <w:marTop w:val="0"/>
          <w:marBottom w:val="0"/>
          <w:divBdr>
            <w:top w:val="none" w:sz="0" w:space="0" w:color="auto"/>
            <w:left w:val="none" w:sz="0" w:space="0" w:color="auto"/>
            <w:bottom w:val="none" w:sz="0" w:space="0" w:color="auto"/>
            <w:right w:val="none" w:sz="0" w:space="0" w:color="auto"/>
          </w:divBdr>
        </w:div>
        <w:div w:id="555122058">
          <w:marLeft w:val="0"/>
          <w:marRight w:val="0"/>
          <w:marTop w:val="0"/>
          <w:marBottom w:val="0"/>
          <w:divBdr>
            <w:top w:val="none" w:sz="0" w:space="0" w:color="auto"/>
            <w:left w:val="none" w:sz="0" w:space="0" w:color="auto"/>
            <w:bottom w:val="none" w:sz="0" w:space="0" w:color="auto"/>
            <w:right w:val="none" w:sz="0" w:space="0" w:color="auto"/>
          </w:divBdr>
        </w:div>
        <w:div w:id="1378816204">
          <w:marLeft w:val="0"/>
          <w:marRight w:val="0"/>
          <w:marTop w:val="0"/>
          <w:marBottom w:val="0"/>
          <w:divBdr>
            <w:top w:val="none" w:sz="0" w:space="0" w:color="auto"/>
            <w:left w:val="none" w:sz="0" w:space="0" w:color="auto"/>
            <w:bottom w:val="none" w:sz="0" w:space="0" w:color="auto"/>
            <w:right w:val="none" w:sz="0" w:space="0" w:color="auto"/>
          </w:divBdr>
        </w:div>
        <w:div w:id="1883781713">
          <w:marLeft w:val="0"/>
          <w:marRight w:val="0"/>
          <w:marTop w:val="0"/>
          <w:marBottom w:val="0"/>
          <w:divBdr>
            <w:top w:val="none" w:sz="0" w:space="0" w:color="auto"/>
            <w:left w:val="none" w:sz="0" w:space="0" w:color="auto"/>
            <w:bottom w:val="none" w:sz="0" w:space="0" w:color="auto"/>
            <w:right w:val="none" w:sz="0" w:space="0" w:color="auto"/>
          </w:divBdr>
        </w:div>
        <w:div w:id="1462650160">
          <w:marLeft w:val="0"/>
          <w:marRight w:val="0"/>
          <w:marTop w:val="0"/>
          <w:marBottom w:val="0"/>
          <w:divBdr>
            <w:top w:val="none" w:sz="0" w:space="0" w:color="auto"/>
            <w:left w:val="none" w:sz="0" w:space="0" w:color="auto"/>
            <w:bottom w:val="none" w:sz="0" w:space="0" w:color="auto"/>
            <w:right w:val="none" w:sz="0" w:space="0" w:color="auto"/>
          </w:divBdr>
        </w:div>
        <w:div w:id="1662464631">
          <w:marLeft w:val="0"/>
          <w:marRight w:val="0"/>
          <w:marTop w:val="0"/>
          <w:marBottom w:val="0"/>
          <w:divBdr>
            <w:top w:val="none" w:sz="0" w:space="0" w:color="auto"/>
            <w:left w:val="none" w:sz="0" w:space="0" w:color="auto"/>
            <w:bottom w:val="none" w:sz="0" w:space="0" w:color="auto"/>
            <w:right w:val="none" w:sz="0" w:space="0" w:color="auto"/>
          </w:divBdr>
        </w:div>
        <w:div w:id="95567176">
          <w:marLeft w:val="0"/>
          <w:marRight w:val="0"/>
          <w:marTop w:val="0"/>
          <w:marBottom w:val="0"/>
          <w:divBdr>
            <w:top w:val="none" w:sz="0" w:space="0" w:color="auto"/>
            <w:left w:val="none" w:sz="0" w:space="0" w:color="auto"/>
            <w:bottom w:val="none" w:sz="0" w:space="0" w:color="auto"/>
            <w:right w:val="none" w:sz="0" w:space="0" w:color="auto"/>
          </w:divBdr>
        </w:div>
        <w:div w:id="53700478">
          <w:marLeft w:val="0"/>
          <w:marRight w:val="0"/>
          <w:marTop w:val="0"/>
          <w:marBottom w:val="0"/>
          <w:divBdr>
            <w:top w:val="none" w:sz="0" w:space="0" w:color="auto"/>
            <w:left w:val="none" w:sz="0" w:space="0" w:color="auto"/>
            <w:bottom w:val="none" w:sz="0" w:space="0" w:color="auto"/>
            <w:right w:val="none" w:sz="0" w:space="0" w:color="auto"/>
          </w:divBdr>
        </w:div>
        <w:div w:id="1874809680">
          <w:marLeft w:val="0"/>
          <w:marRight w:val="0"/>
          <w:marTop w:val="0"/>
          <w:marBottom w:val="0"/>
          <w:divBdr>
            <w:top w:val="none" w:sz="0" w:space="0" w:color="auto"/>
            <w:left w:val="none" w:sz="0" w:space="0" w:color="auto"/>
            <w:bottom w:val="none" w:sz="0" w:space="0" w:color="auto"/>
            <w:right w:val="none" w:sz="0" w:space="0" w:color="auto"/>
          </w:divBdr>
        </w:div>
        <w:div w:id="1374496144">
          <w:marLeft w:val="0"/>
          <w:marRight w:val="0"/>
          <w:marTop w:val="0"/>
          <w:marBottom w:val="0"/>
          <w:divBdr>
            <w:top w:val="none" w:sz="0" w:space="0" w:color="auto"/>
            <w:left w:val="none" w:sz="0" w:space="0" w:color="auto"/>
            <w:bottom w:val="none" w:sz="0" w:space="0" w:color="auto"/>
            <w:right w:val="none" w:sz="0" w:space="0" w:color="auto"/>
          </w:divBdr>
        </w:div>
        <w:div w:id="591860688">
          <w:marLeft w:val="0"/>
          <w:marRight w:val="0"/>
          <w:marTop w:val="0"/>
          <w:marBottom w:val="0"/>
          <w:divBdr>
            <w:top w:val="none" w:sz="0" w:space="0" w:color="auto"/>
            <w:left w:val="none" w:sz="0" w:space="0" w:color="auto"/>
            <w:bottom w:val="none" w:sz="0" w:space="0" w:color="auto"/>
            <w:right w:val="none" w:sz="0" w:space="0" w:color="auto"/>
          </w:divBdr>
        </w:div>
        <w:div w:id="393285936">
          <w:marLeft w:val="0"/>
          <w:marRight w:val="0"/>
          <w:marTop w:val="0"/>
          <w:marBottom w:val="0"/>
          <w:divBdr>
            <w:top w:val="none" w:sz="0" w:space="0" w:color="auto"/>
            <w:left w:val="none" w:sz="0" w:space="0" w:color="auto"/>
            <w:bottom w:val="none" w:sz="0" w:space="0" w:color="auto"/>
            <w:right w:val="none" w:sz="0" w:space="0" w:color="auto"/>
          </w:divBdr>
        </w:div>
        <w:div w:id="1960183070">
          <w:marLeft w:val="0"/>
          <w:marRight w:val="0"/>
          <w:marTop w:val="0"/>
          <w:marBottom w:val="0"/>
          <w:divBdr>
            <w:top w:val="none" w:sz="0" w:space="0" w:color="auto"/>
            <w:left w:val="none" w:sz="0" w:space="0" w:color="auto"/>
            <w:bottom w:val="none" w:sz="0" w:space="0" w:color="auto"/>
            <w:right w:val="none" w:sz="0" w:space="0" w:color="auto"/>
          </w:divBdr>
        </w:div>
        <w:div w:id="1259603943">
          <w:marLeft w:val="0"/>
          <w:marRight w:val="0"/>
          <w:marTop w:val="0"/>
          <w:marBottom w:val="0"/>
          <w:divBdr>
            <w:top w:val="none" w:sz="0" w:space="0" w:color="auto"/>
            <w:left w:val="none" w:sz="0" w:space="0" w:color="auto"/>
            <w:bottom w:val="none" w:sz="0" w:space="0" w:color="auto"/>
            <w:right w:val="none" w:sz="0" w:space="0" w:color="auto"/>
          </w:divBdr>
        </w:div>
        <w:div w:id="1084110149">
          <w:marLeft w:val="0"/>
          <w:marRight w:val="0"/>
          <w:marTop w:val="0"/>
          <w:marBottom w:val="0"/>
          <w:divBdr>
            <w:top w:val="none" w:sz="0" w:space="0" w:color="auto"/>
            <w:left w:val="none" w:sz="0" w:space="0" w:color="auto"/>
            <w:bottom w:val="none" w:sz="0" w:space="0" w:color="auto"/>
            <w:right w:val="none" w:sz="0" w:space="0" w:color="auto"/>
          </w:divBdr>
        </w:div>
        <w:div w:id="1018694790">
          <w:marLeft w:val="0"/>
          <w:marRight w:val="0"/>
          <w:marTop w:val="0"/>
          <w:marBottom w:val="0"/>
          <w:divBdr>
            <w:top w:val="none" w:sz="0" w:space="0" w:color="auto"/>
            <w:left w:val="none" w:sz="0" w:space="0" w:color="auto"/>
            <w:bottom w:val="none" w:sz="0" w:space="0" w:color="auto"/>
            <w:right w:val="none" w:sz="0" w:space="0" w:color="auto"/>
          </w:divBdr>
        </w:div>
        <w:div w:id="54091090">
          <w:marLeft w:val="0"/>
          <w:marRight w:val="0"/>
          <w:marTop w:val="0"/>
          <w:marBottom w:val="0"/>
          <w:divBdr>
            <w:top w:val="none" w:sz="0" w:space="0" w:color="auto"/>
            <w:left w:val="none" w:sz="0" w:space="0" w:color="auto"/>
            <w:bottom w:val="none" w:sz="0" w:space="0" w:color="auto"/>
            <w:right w:val="none" w:sz="0" w:space="0" w:color="auto"/>
          </w:divBdr>
        </w:div>
        <w:div w:id="1165173367">
          <w:marLeft w:val="0"/>
          <w:marRight w:val="0"/>
          <w:marTop w:val="0"/>
          <w:marBottom w:val="0"/>
          <w:divBdr>
            <w:top w:val="none" w:sz="0" w:space="0" w:color="auto"/>
            <w:left w:val="none" w:sz="0" w:space="0" w:color="auto"/>
            <w:bottom w:val="none" w:sz="0" w:space="0" w:color="auto"/>
            <w:right w:val="none" w:sz="0" w:space="0" w:color="auto"/>
          </w:divBdr>
        </w:div>
        <w:div w:id="1342077132">
          <w:marLeft w:val="0"/>
          <w:marRight w:val="0"/>
          <w:marTop w:val="0"/>
          <w:marBottom w:val="0"/>
          <w:divBdr>
            <w:top w:val="none" w:sz="0" w:space="0" w:color="auto"/>
            <w:left w:val="none" w:sz="0" w:space="0" w:color="auto"/>
            <w:bottom w:val="none" w:sz="0" w:space="0" w:color="auto"/>
            <w:right w:val="none" w:sz="0" w:space="0" w:color="auto"/>
          </w:divBdr>
        </w:div>
        <w:div w:id="1734112763">
          <w:marLeft w:val="0"/>
          <w:marRight w:val="0"/>
          <w:marTop w:val="0"/>
          <w:marBottom w:val="0"/>
          <w:divBdr>
            <w:top w:val="none" w:sz="0" w:space="0" w:color="auto"/>
            <w:left w:val="none" w:sz="0" w:space="0" w:color="auto"/>
            <w:bottom w:val="none" w:sz="0" w:space="0" w:color="auto"/>
            <w:right w:val="none" w:sz="0" w:space="0" w:color="auto"/>
          </w:divBdr>
        </w:div>
        <w:div w:id="1228498306">
          <w:marLeft w:val="0"/>
          <w:marRight w:val="0"/>
          <w:marTop w:val="0"/>
          <w:marBottom w:val="0"/>
          <w:divBdr>
            <w:top w:val="none" w:sz="0" w:space="0" w:color="auto"/>
            <w:left w:val="none" w:sz="0" w:space="0" w:color="auto"/>
            <w:bottom w:val="none" w:sz="0" w:space="0" w:color="auto"/>
            <w:right w:val="none" w:sz="0" w:space="0" w:color="auto"/>
          </w:divBdr>
        </w:div>
        <w:div w:id="1579561159">
          <w:marLeft w:val="0"/>
          <w:marRight w:val="0"/>
          <w:marTop w:val="0"/>
          <w:marBottom w:val="0"/>
          <w:divBdr>
            <w:top w:val="none" w:sz="0" w:space="0" w:color="auto"/>
            <w:left w:val="none" w:sz="0" w:space="0" w:color="auto"/>
            <w:bottom w:val="none" w:sz="0" w:space="0" w:color="auto"/>
            <w:right w:val="none" w:sz="0" w:space="0" w:color="auto"/>
          </w:divBdr>
        </w:div>
        <w:div w:id="1404720171">
          <w:marLeft w:val="0"/>
          <w:marRight w:val="0"/>
          <w:marTop w:val="0"/>
          <w:marBottom w:val="0"/>
          <w:divBdr>
            <w:top w:val="none" w:sz="0" w:space="0" w:color="auto"/>
            <w:left w:val="none" w:sz="0" w:space="0" w:color="auto"/>
            <w:bottom w:val="none" w:sz="0" w:space="0" w:color="auto"/>
            <w:right w:val="none" w:sz="0" w:space="0" w:color="auto"/>
          </w:divBdr>
        </w:div>
        <w:div w:id="353190746">
          <w:marLeft w:val="0"/>
          <w:marRight w:val="0"/>
          <w:marTop w:val="0"/>
          <w:marBottom w:val="0"/>
          <w:divBdr>
            <w:top w:val="none" w:sz="0" w:space="0" w:color="auto"/>
            <w:left w:val="none" w:sz="0" w:space="0" w:color="auto"/>
            <w:bottom w:val="none" w:sz="0" w:space="0" w:color="auto"/>
            <w:right w:val="none" w:sz="0" w:space="0" w:color="auto"/>
          </w:divBdr>
        </w:div>
        <w:div w:id="1839496230">
          <w:marLeft w:val="0"/>
          <w:marRight w:val="0"/>
          <w:marTop w:val="0"/>
          <w:marBottom w:val="0"/>
          <w:divBdr>
            <w:top w:val="none" w:sz="0" w:space="0" w:color="auto"/>
            <w:left w:val="none" w:sz="0" w:space="0" w:color="auto"/>
            <w:bottom w:val="none" w:sz="0" w:space="0" w:color="auto"/>
            <w:right w:val="none" w:sz="0" w:space="0" w:color="auto"/>
          </w:divBdr>
        </w:div>
        <w:div w:id="1864978539">
          <w:marLeft w:val="0"/>
          <w:marRight w:val="0"/>
          <w:marTop w:val="0"/>
          <w:marBottom w:val="0"/>
          <w:divBdr>
            <w:top w:val="none" w:sz="0" w:space="0" w:color="auto"/>
            <w:left w:val="none" w:sz="0" w:space="0" w:color="auto"/>
            <w:bottom w:val="none" w:sz="0" w:space="0" w:color="auto"/>
            <w:right w:val="none" w:sz="0" w:space="0" w:color="auto"/>
          </w:divBdr>
        </w:div>
        <w:div w:id="815876401">
          <w:marLeft w:val="0"/>
          <w:marRight w:val="0"/>
          <w:marTop w:val="0"/>
          <w:marBottom w:val="0"/>
          <w:divBdr>
            <w:top w:val="none" w:sz="0" w:space="0" w:color="auto"/>
            <w:left w:val="none" w:sz="0" w:space="0" w:color="auto"/>
            <w:bottom w:val="none" w:sz="0" w:space="0" w:color="auto"/>
            <w:right w:val="none" w:sz="0" w:space="0" w:color="auto"/>
          </w:divBdr>
        </w:div>
        <w:div w:id="1877423315">
          <w:marLeft w:val="0"/>
          <w:marRight w:val="0"/>
          <w:marTop w:val="0"/>
          <w:marBottom w:val="0"/>
          <w:divBdr>
            <w:top w:val="none" w:sz="0" w:space="0" w:color="auto"/>
            <w:left w:val="none" w:sz="0" w:space="0" w:color="auto"/>
            <w:bottom w:val="none" w:sz="0" w:space="0" w:color="auto"/>
            <w:right w:val="none" w:sz="0" w:space="0" w:color="auto"/>
          </w:divBdr>
        </w:div>
        <w:div w:id="128474723">
          <w:marLeft w:val="0"/>
          <w:marRight w:val="0"/>
          <w:marTop w:val="0"/>
          <w:marBottom w:val="0"/>
          <w:divBdr>
            <w:top w:val="none" w:sz="0" w:space="0" w:color="auto"/>
            <w:left w:val="none" w:sz="0" w:space="0" w:color="auto"/>
            <w:bottom w:val="none" w:sz="0" w:space="0" w:color="auto"/>
            <w:right w:val="none" w:sz="0" w:space="0" w:color="auto"/>
          </w:divBdr>
        </w:div>
        <w:div w:id="786242266">
          <w:marLeft w:val="0"/>
          <w:marRight w:val="0"/>
          <w:marTop w:val="0"/>
          <w:marBottom w:val="0"/>
          <w:divBdr>
            <w:top w:val="none" w:sz="0" w:space="0" w:color="auto"/>
            <w:left w:val="none" w:sz="0" w:space="0" w:color="auto"/>
            <w:bottom w:val="none" w:sz="0" w:space="0" w:color="auto"/>
            <w:right w:val="none" w:sz="0" w:space="0" w:color="auto"/>
          </w:divBdr>
        </w:div>
        <w:div w:id="1074666589">
          <w:marLeft w:val="0"/>
          <w:marRight w:val="0"/>
          <w:marTop w:val="0"/>
          <w:marBottom w:val="0"/>
          <w:divBdr>
            <w:top w:val="none" w:sz="0" w:space="0" w:color="auto"/>
            <w:left w:val="none" w:sz="0" w:space="0" w:color="auto"/>
            <w:bottom w:val="none" w:sz="0" w:space="0" w:color="auto"/>
            <w:right w:val="none" w:sz="0" w:space="0" w:color="auto"/>
          </w:divBdr>
        </w:div>
        <w:div w:id="944658435">
          <w:marLeft w:val="0"/>
          <w:marRight w:val="0"/>
          <w:marTop w:val="0"/>
          <w:marBottom w:val="0"/>
          <w:divBdr>
            <w:top w:val="none" w:sz="0" w:space="0" w:color="auto"/>
            <w:left w:val="none" w:sz="0" w:space="0" w:color="auto"/>
            <w:bottom w:val="none" w:sz="0" w:space="0" w:color="auto"/>
            <w:right w:val="none" w:sz="0" w:space="0" w:color="auto"/>
          </w:divBdr>
        </w:div>
        <w:div w:id="438261735">
          <w:marLeft w:val="0"/>
          <w:marRight w:val="0"/>
          <w:marTop w:val="0"/>
          <w:marBottom w:val="0"/>
          <w:divBdr>
            <w:top w:val="none" w:sz="0" w:space="0" w:color="auto"/>
            <w:left w:val="none" w:sz="0" w:space="0" w:color="auto"/>
            <w:bottom w:val="none" w:sz="0" w:space="0" w:color="auto"/>
            <w:right w:val="none" w:sz="0" w:space="0" w:color="auto"/>
          </w:divBdr>
        </w:div>
        <w:div w:id="1701931286">
          <w:marLeft w:val="0"/>
          <w:marRight w:val="0"/>
          <w:marTop w:val="0"/>
          <w:marBottom w:val="0"/>
          <w:divBdr>
            <w:top w:val="none" w:sz="0" w:space="0" w:color="auto"/>
            <w:left w:val="none" w:sz="0" w:space="0" w:color="auto"/>
            <w:bottom w:val="none" w:sz="0" w:space="0" w:color="auto"/>
            <w:right w:val="none" w:sz="0" w:space="0" w:color="auto"/>
          </w:divBdr>
        </w:div>
        <w:div w:id="148598787">
          <w:marLeft w:val="0"/>
          <w:marRight w:val="0"/>
          <w:marTop w:val="0"/>
          <w:marBottom w:val="0"/>
          <w:divBdr>
            <w:top w:val="none" w:sz="0" w:space="0" w:color="auto"/>
            <w:left w:val="none" w:sz="0" w:space="0" w:color="auto"/>
            <w:bottom w:val="none" w:sz="0" w:space="0" w:color="auto"/>
            <w:right w:val="none" w:sz="0" w:space="0" w:color="auto"/>
          </w:divBdr>
        </w:div>
        <w:div w:id="1230505172">
          <w:marLeft w:val="0"/>
          <w:marRight w:val="0"/>
          <w:marTop w:val="0"/>
          <w:marBottom w:val="0"/>
          <w:divBdr>
            <w:top w:val="none" w:sz="0" w:space="0" w:color="auto"/>
            <w:left w:val="none" w:sz="0" w:space="0" w:color="auto"/>
            <w:bottom w:val="none" w:sz="0" w:space="0" w:color="auto"/>
            <w:right w:val="none" w:sz="0" w:space="0" w:color="auto"/>
          </w:divBdr>
        </w:div>
        <w:div w:id="980960950">
          <w:marLeft w:val="0"/>
          <w:marRight w:val="0"/>
          <w:marTop w:val="0"/>
          <w:marBottom w:val="0"/>
          <w:divBdr>
            <w:top w:val="none" w:sz="0" w:space="0" w:color="auto"/>
            <w:left w:val="none" w:sz="0" w:space="0" w:color="auto"/>
            <w:bottom w:val="none" w:sz="0" w:space="0" w:color="auto"/>
            <w:right w:val="none" w:sz="0" w:space="0" w:color="auto"/>
          </w:divBdr>
        </w:div>
        <w:div w:id="1381245271">
          <w:marLeft w:val="0"/>
          <w:marRight w:val="0"/>
          <w:marTop w:val="0"/>
          <w:marBottom w:val="0"/>
          <w:divBdr>
            <w:top w:val="none" w:sz="0" w:space="0" w:color="auto"/>
            <w:left w:val="none" w:sz="0" w:space="0" w:color="auto"/>
            <w:bottom w:val="none" w:sz="0" w:space="0" w:color="auto"/>
            <w:right w:val="none" w:sz="0" w:space="0" w:color="auto"/>
          </w:divBdr>
        </w:div>
        <w:div w:id="376860150">
          <w:marLeft w:val="0"/>
          <w:marRight w:val="0"/>
          <w:marTop w:val="0"/>
          <w:marBottom w:val="0"/>
          <w:divBdr>
            <w:top w:val="none" w:sz="0" w:space="0" w:color="auto"/>
            <w:left w:val="none" w:sz="0" w:space="0" w:color="auto"/>
            <w:bottom w:val="none" w:sz="0" w:space="0" w:color="auto"/>
            <w:right w:val="none" w:sz="0" w:space="0" w:color="auto"/>
          </w:divBdr>
        </w:div>
        <w:div w:id="600407366">
          <w:marLeft w:val="0"/>
          <w:marRight w:val="0"/>
          <w:marTop w:val="0"/>
          <w:marBottom w:val="0"/>
          <w:divBdr>
            <w:top w:val="none" w:sz="0" w:space="0" w:color="auto"/>
            <w:left w:val="none" w:sz="0" w:space="0" w:color="auto"/>
            <w:bottom w:val="none" w:sz="0" w:space="0" w:color="auto"/>
            <w:right w:val="none" w:sz="0" w:space="0" w:color="auto"/>
          </w:divBdr>
        </w:div>
        <w:div w:id="63073004">
          <w:marLeft w:val="0"/>
          <w:marRight w:val="0"/>
          <w:marTop w:val="0"/>
          <w:marBottom w:val="0"/>
          <w:divBdr>
            <w:top w:val="none" w:sz="0" w:space="0" w:color="auto"/>
            <w:left w:val="none" w:sz="0" w:space="0" w:color="auto"/>
            <w:bottom w:val="none" w:sz="0" w:space="0" w:color="auto"/>
            <w:right w:val="none" w:sz="0" w:space="0" w:color="auto"/>
          </w:divBdr>
        </w:div>
        <w:div w:id="398865712">
          <w:marLeft w:val="0"/>
          <w:marRight w:val="0"/>
          <w:marTop w:val="0"/>
          <w:marBottom w:val="0"/>
          <w:divBdr>
            <w:top w:val="none" w:sz="0" w:space="0" w:color="auto"/>
            <w:left w:val="none" w:sz="0" w:space="0" w:color="auto"/>
            <w:bottom w:val="none" w:sz="0" w:space="0" w:color="auto"/>
            <w:right w:val="none" w:sz="0" w:space="0" w:color="auto"/>
          </w:divBdr>
        </w:div>
        <w:div w:id="73823974">
          <w:marLeft w:val="0"/>
          <w:marRight w:val="0"/>
          <w:marTop w:val="0"/>
          <w:marBottom w:val="0"/>
          <w:divBdr>
            <w:top w:val="none" w:sz="0" w:space="0" w:color="auto"/>
            <w:left w:val="none" w:sz="0" w:space="0" w:color="auto"/>
            <w:bottom w:val="none" w:sz="0" w:space="0" w:color="auto"/>
            <w:right w:val="none" w:sz="0" w:space="0" w:color="auto"/>
          </w:divBdr>
        </w:div>
        <w:div w:id="220214555">
          <w:marLeft w:val="0"/>
          <w:marRight w:val="0"/>
          <w:marTop w:val="0"/>
          <w:marBottom w:val="0"/>
          <w:divBdr>
            <w:top w:val="none" w:sz="0" w:space="0" w:color="auto"/>
            <w:left w:val="none" w:sz="0" w:space="0" w:color="auto"/>
            <w:bottom w:val="none" w:sz="0" w:space="0" w:color="auto"/>
            <w:right w:val="none" w:sz="0" w:space="0" w:color="auto"/>
          </w:divBdr>
        </w:div>
        <w:div w:id="1762919003">
          <w:marLeft w:val="0"/>
          <w:marRight w:val="0"/>
          <w:marTop w:val="0"/>
          <w:marBottom w:val="0"/>
          <w:divBdr>
            <w:top w:val="none" w:sz="0" w:space="0" w:color="auto"/>
            <w:left w:val="none" w:sz="0" w:space="0" w:color="auto"/>
            <w:bottom w:val="none" w:sz="0" w:space="0" w:color="auto"/>
            <w:right w:val="none" w:sz="0" w:space="0" w:color="auto"/>
          </w:divBdr>
        </w:div>
        <w:div w:id="1829204890">
          <w:marLeft w:val="0"/>
          <w:marRight w:val="0"/>
          <w:marTop w:val="0"/>
          <w:marBottom w:val="0"/>
          <w:divBdr>
            <w:top w:val="none" w:sz="0" w:space="0" w:color="auto"/>
            <w:left w:val="none" w:sz="0" w:space="0" w:color="auto"/>
            <w:bottom w:val="none" w:sz="0" w:space="0" w:color="auto"/>
            <w:right w:val="none" w:sz="0" w:space="0" w:color="auto"/>
          </w:divBdr>
        </w:div>
        <w:div w:id="52047160">
          <w:marLeft w:val="0"/>
          <w:marRight w:val="0"/>
          <w:marTop w:val="0"/>
          <w:marBottom w:val="0"/>
          <w:divBdr>
            <w:top w:val="none" w:sz="0" w:space="0" w:color="auto"/>
            <w:left w:val="none" w:sz="0" w:space="0" w:color="auto"/>
            <w:bottom w:val="none" w:sz="0" w:space="0" w:color="auto"/>
            <w:right w:val="none" w:sz="0" w:space="0" w:color="auto"/>
          </w:divBdr>
        </w:div>
        <w:div w:id="1271624363">
          <w:marLeft w:val="0"/>
          <w:marRight w:val="0"/>
          <w:marTop w:val="0"/>
          <w:marBottom w:val="0"/>
          <w:divBdr>
            <w:top w:val="none" w:sz="0" w:space="0" w:color="auto"/>
            <w:left w:val="none" w:sz="0" w:space="0" w:color="auto"/>
            <w:bottom w:val="none" w:sz="0" w:space="0" w:color="auto"/>
            <w:right w:val="none" w:sz="0" w:space="0" w:color="auto"/>
          </w:divBdr>
        </w:div>
        <w:div w:id="1022510153">
          <w:marLeft w:val="0"/>
          <w:marRight w:val="0"/>
          <w:marTop w:val="0"/>
          <w:marBottom w:val="0"/>
          <w:divBdr>
            <w:top w:val="none" w:sz="0" w:space="0" w:color="auto"/>
            <w:left w:val="none" w:sz="0" w:space="0" w:color="auto"/>
            <w:bottom w:val="none" w:sz="0" w:space="0" w:color="auto"/>
            <w:right w:val="none" w:sz="0" w:space="0" w:color="auto"/>
          </w:divBdr>
        </w:div>
        <w:div w:id="948395806">
          <w:marLeft w:val="0"/>
          <w:marRight w:val="0"/>
          <w:marTop w:val="0"/>
          <w:marBottom w:val="0"/>
          <w:divBdr>
            <w:top w:val="none" w:sz="0" w:space="0" w:color="auto"/>
            <w:left w:val="none" w:sz="0" w:space="0" w:color="auto"/>
            <w:bottom w:val="none" w:sz="0" w:space="0" w:color="auto"/>
            <w:right w:val="none" w:sz="0" w:space="0" w:color="auto"/>
          </w:divBdr>
        </w:div>
        <w:div w:id="647710543">
          <w:marLeft w:val="0"/>
          <w:marRight w:val="0"/>
          <w:marTop w:val="0"/>
          <w:marBottom w:val="0"/>
          <w:divBdr>
            <w:top w:val="none" w:sz="0" w:space="0" w:color="auto"/>
            <w:left w:val="none" w:sz="0" w:space="0" w:color="auto"/>
            <w:bottom w:val="none" w:sz="0" w:space="0" w:color="auto"/>
            <w:right w:val="none" w:sz="0" w:space="0" w:color="auto"/>
          </w:divBdr>
        </w:div>
        <w:div w:id="993489436">
          <w:marLeft w:val="0"/>
          <w:marRight w:val="0"/>
          <w:marTop w:val="0"/>
          <w:marBottom w:val="0"/>
          <w:divBdr>
            <w:top w:val="none" w:sz="0" w:space="0" w:color="auto"/>
            <w:left w:val="none" w:sz="0" w:space="0" w:color="auto"/>
            <w:bottom w:val="none" w:sz="0" w:space="0" w:color="auto"/>
            <w:right w:val="none" w:sz="0" w:space="0" w:color="auto"/>
          </w:divBdr>
        </w:div>
        <w:div w:id="1190874090">
          <w:marLeft w:val="0"/>
          <w:marRight w:val="0"/>
          <w:marTop w:val="0"/>
          <w:marBottom w:val="0"/>
          <w:divBdr>
            <w:top w:val="none" w:sz="0" w:space="0" w:color="auto"/>
            <w:left w:val="none" w:sz="0" w:space="0" w:color="auto"/>
            <w:bottom w:val="none" w:sz="0" w:space="0" w:color="auto"/>
            <w:right w:val="none" w:sz="0" w:space="0" w:color="auto"/>
          </w:divBdr>
        </w:div>
        <w:div w:id="2039424187">
          <w:marLeft w:val="0"/>
          <w:marRight w:val="0"/>
          <w:marTop w:val="0"/>
          <w:marBottom w:val="0"/>
          <w:divBdr>
            <w:top w:val="none" w:sz="0" w:space="0" w:color="auto"/>
            <w:left w:val="none" w:sz="0" w:space="0" w:color="auto"/>
            <w:bottom w:val="none" w:sz="0" w:space="0" w:color="auto"/>
            <w:right w:val="none" w:sz="0" w:space="0" w:color="auto"/>
          </w:divBdr>
        </w:div>
        <w:div w:id="631982897">
          <w:marLeft w:val="0"/>
          <w:marRight w:val="0"/>
          <w:marTop w:val="0"/>
          <w:marBottom w:val="0"/>
          <w:divBdr>
            <w:top w:val="none" w:sz="0" w:space="0" w:color="auto"/>
            <w:left w:val="none" w:sz="0" w:space="0" w:color="auto"/>
            <w:bottom w:val="none" w:sz="0" w:space="0" w:color="auto"/>
            <w:right w:val="none" w:sz="0" w:space="0" w:color="auto"/>
          </w:divBdr>
        </w:div>
        <w:div w:id="897402193">
          <w:marLeft w:val="0"/>
          <w:marRight w:val="0"/>
          <w:marTop w:val="0"/>
          <w:marBottom w:val="0"/>
          <w:divBdr>
            <w:top w:val="none" w:sz="0" w:space="0" w:color="auto"/>
            <w:left w:val="none" w:sz="0" w:space="0" w:color="auto"/>
            <w:bottom w:val="none" w:sz="0" w:space="0" w:color="auto"/>
            <w:right w:val="none" w:sz="0" w:space="0" w:color="auto"/>
          </w:divBdr>
        </w:div>
        <w:div w:id="1106928651">
          <w:marLeft w:val="0"/>
          <w:marRight w:val="0"/>
          <w:marTop w:val="0"/>
          <w:marBottom w:val="0"/>
          <w:divBdr>
            <w:top w:val="none" w:sz="0" w:space="0" w:color="auto"/>
            <w:left w:val="none" w:sz="0" w:space="0" w:color="auto"/>
            <w:bottom w:val="none" w:sz="0" w:space="0" w:color="auto"/>
            <w:right w:val="none" w:sz="0" w:space="0" w:color="auto"/>
          </w:divBdr>
        </w:div>
        <w:div w:id="359820581">
          <w:marLeft w:val="0"/>
          <w:marRight w:val="0"/>
          <w:marTop w:val="0"/>
          <w:marBottom w:val="0"/>
          <w:divBdr>
            <w:top w:val="none" w:sz="0" w:space="0" w:color="auto"/>
            <w:left w:val="none" w:sz="0" w:space="0" w:color="auto"/>
            <w:bottom w:val="none" w:sz="0" w:space="0" w:color="auto"/>
            <w:right w:val="none" w:sz="0" w:space="0" w:color="auto"/>
          </w:divBdr>
        </w:div>
        <w:div w:id="1590307326">
          <w:marLeft w:val="0"/>
          <w:marRight w:val="0"/>
          <w:marTop w:val="0"/>
          <w:marBottom w:val="0"/>
          <w:divBdr>
            <w:top w:val="none" w:sz="0" w:space="0" w:color="auto"/>
            <w:left w:val="none" w:sz="0" w:space="0" w:color="auto"/>
            <w:bottom w:val="none" w:sz="0" w:space="0" w:color="auto"/>
            <w:right w:val="none" w:sz="0" w:space="0" w:color="auto"/>
          </w:divBdr>
        </w:div>
        <w:div w:id="9334672">
          <w:marLeft w:val="0"/>
          <w:marRight w:val="0"/>
          <w:marTop w:val="0"/>
          <w:marBottom w:val="0"/>
          <w:divBdr>
            <w:top w:val="none" w:sz="0" w:space="0" w:color="auto"/>
            <w:left w:val="none" w:sz="0" w:space="0" w:color="auto"/>
            <w:bottom w:val="none" w:sz="0" w:space="0" w:color="auto"/>
            <w:right w:val="none" w:sz="0" w:space="0" w:color="auto"/>
          </w:divBdr>
        </w:div>
        <w:div w:id="200168057">
          <w:marLeft w:val="0"/>
          <w:marRight w:val="0"/>
          <w:marTop w:val="0"/>
          <w:marBottom w:val="0"/>
          <w:divBdr>
            <w:top w:val="none" w:sz="0" w:space="0" w:color="auto"/>
            <w:left w:val="none" w:sz="0" w:space="0" w:color="auto"/>
            <w:bottom w:val="none" w:sz="0" w:space="0" w:color="auto"/>
            <w:right w:val="none" w:sz="0" w:space="0" w:color="auto"/>
          </w:divBdr>
        </w:div>
        <w:div w:id="241333929">
          <w:marLeft w:val="0"/>
          <w:marRight w:val="0"/>
          <w:marTop w:val="0"/>
          <w:marBottom w:val="0"/>
          <w:divBdr>
            <w:top w:val="none" w:sz="0" w:space="0" w:color="auto"/>
            <w:left w:val="none" w:sz="0" w:space="0" w:color="auto"/>
            <w:bottom w:val="none" w:sz="0" w:space="0" w:color="auto"/>
            <w:right w:val="none" w:sz="0" w:space="0" w:color="auto"/>
          </w:divBdr>
        </w:div>
        <w:div w:id="1648392044">
          <w:marLeft w:val="0"/>
          <w:marRight w:val="0"/>
          <w:marTop w:val="0"/>
          <w:marBottom w:val="0"/>
          <w:divBdr>
            <w:top w:val="none" w:sz="0" w:space="0" w:color="auto"/>
            <w:left w:val="none" w:sz="0" w:space="0" w:color="auto"/>
            <w:bottom w:val="none" w:sz="0" w:space="0" w:color="auto"/>
            <w:right w:val="none" w:sz="0" w:space="0" w:color="auto"/>
          </w:divBdr>
        </w:div>
        <w:div w:id="437412532">
          <w:marLeft w:val="0"/>
          <w:marRight w:val="0"/>
          <w:marTop w:val="0"/>
          <w:marBottom w:val="0"/>
          <w:divBdr>
            <w:top w:val="none" w:sz="0" w:space="0" w:color="auto"/>
            <w:left w:val="none" w:sz="0" w:space="0" w:color="auto"/>
            <w:bottom w:val="none" w:sz="0" w:space="0" w:color="auto"/>
            <w:right w:val="none" w:sz="0" w:space="0" w:color="auto"/>
          </w:divBdr>
        </w:div>
        <w:div w:id="867648608">
          <w:marLeft w:val="0"/>
          <w:marRight w:val="0"/>
          <w:marTop w:val="0"/>
          <w:marBottom w:val="0"/>
          <w:divBdr>
            <w:top w:val="none" w:sz="0" w:space="0" w:color="auto"/>
            <w:left w:val="none" w:sz="0" w:space="0" w:color="auto"/>
            <w:bottom w:val="none" w:sz="0" w:space="0" w:color="auto"/>
            <w:right w:val="none" w:sz="0" w:space="0" w:color="auto"/>
          </w:divBdr>
        </w:div>
        <w:div w:id="658536719">
          <w:marLeft w:val="0"/>
          <w:marRight w:val="0"/>
          <w:marTop w:val="0"/>
          <w:marBottom w:val="0"/>
          <w:divBdr>
            <w:top w:val="none" w:sz="0" w:space="0" w:color="auto"/>
            <w:left w:val="none" w:sz="0" w:space="0" w:color="auto"/>
            <w:bottom w:val="none" w:sz="0" w:space="0" w:color="auto"/>
            <w:right w:val="none" w:sz="0" w:space="0" w:color="auto"/>
          </w:divBdr>
        </w:div>
        <w:div w:id="1902715915">
          <w:marLeft w:val="0"/>
          <w:marRight w:val="0"/>
          <w:marTop w:val="0"/>
          <w:marBottom w:val="0"/>
          <w:divBdr>
            <w:top w:val="none" w:sz="0" w:space="0" w:color="auto"/>
            <w:left w:val="none" w:sz="0" w:space="0" w:color="auto"/>
            <w:bottom w:val="none" w:sz="0" w:space="0" w:color="auto"/>
            <w:right w:val="none" w:sz="0" w:space="0" w:color="auto"/>
          </w:divBdr>
        </w:div>
        <w:div w:id="1105421826">
          <w:marLeft w:val="0"/>
          <w:marRight w:val="0"/>
          <w:marTop w:val="0"/>
          <w:marBottom w:val="0"/>
          <w:divBdr>
            <w:top w:val="none" w:sz="0" w:space="0" w:color="auto"/>
            <w:left w:val="none" w:sz="0" w:space="0" w:color="auto"/>
            <w:bottom w:val="none" w:sz="0" w:space="0" w:color="auto"/>
            <w:right w:val="none" w:sz="0" w:space="0" w:color="auto"/>
          </w:divBdr>
        </w:div>
        <w:div w:id="2138796281">
          <w:marLeft w:val="0"/>
          <w:marRight w:val="0"/>
          <w:marTop w:val="0"/>
          <w:marBottom w:val="0"/>
          <w:divBdr>
            <w:top w:val="none" w:sz="0" w:space="0" w:color="auto"/>
            <w:left w:val="none" w:sz="0" w:space="0" w:color="auto"/>
            <w:bottom w:val="none" w:sz="0" w:space="0" w:color="auto"/>
            <w:right w:val="none" w:sz="0" w:space="0" w:color="auto"/>
          </w:divBdr>
        </w:div>
        <w:div w:id="732040790">
          <w:marLeft w:val="0"/>
          <w:marRight w:val="0"/>
          <w:marTop w:val="0"/>
          <w:marBottom w:val="0"/>
          <w:divBdr>
            <w:top w:val="none" w:sz="0" w:space="0" w:color="auto"/>
            <w:left w:val="none" w:sz="0" w:space="0" w:color="auto"/>
            <w:bottom w:val="none" w:sz="0" w:space="0" w:color="auto"/>
            <w:right w:val="none" w:sz="0" w:space="0" w:color="auto"/>
          </w:divBdr>
        </w:div>
        <w:div w:id="404911281">
          <w:marLeft w:val="0"/>
          <w:marRight w:val="0"/>
          <w:marTop w:val="0"/>
          <w:marBottom w:val="0"/>
          <w:divBdr>
            <w:top w:val="none" w:sz="0" w:space="0" w:color="auto"/>
            <w:left w:val="none" w:sz="0" w:space="0" w:color="auto"/>
            <w:bottom w:val="none" w:sz="0" w:space="0" w:color="auto"/>
            <w:right w:val="none" w:sz="0" w:space="0" w:color="auto"/>
          </w:divBdr>
        </w:div>
        <w:div w:id="1592394693">
          <w:marLeft w:val="0"/>
          <w:marRight w:val="0"/>
          <w:marTop w:val="0"/>
          <w:marBottom w:val="0"/>
          <w:divBdr>
            <w:top w:val="none" w:sz="0" w:space="0" w:color="auto"/>
            <w:left w:val="none" w:sz="0" w:space="0" w:color="auto"/>
            <w:bottom w:val="none" w:sz="0" w:space="0" w:color="auto"/>
            <w:right w:val="none" w:sz="0" w:space="0" w:color="auto"/>
          </w:divBdr>
        </w:div>
        <w:div w:id="507062299">
          <w:marLeft w:val="0"/>
          <w:marRight w:val="0"/>
          <w:marTop w:val="0"/>
          <w:marBottom w:val="0"/>
          <w:divBdr>
            <w:top w:val="none" w:sz="0" w:space="0" w:color="auto"/>
            <w:left w:val="none" w:sz="0" w:space="0" w:color="auto"/>
            <w:bottom w:val="none" w:sz="0" w:space="0" w:color="auto"/>
            <w:right w:val="none" w:sz="0" w:space="0" w:color="auto"/>
          </w:divBdr>
        </w:div>
        <w:div w:id="566108316">
          <w:marLeft w:val="0"/>
          <w:marRight w:val="0"/>
          <w:marTop w:val="0"/>
          <w:marBottom w:val="0"/>
          <w:divBdr>
            <w:top w:val="none" w:sz="0" w:space="0" w:color="auto"/>
            <w:left w:val="none" w:sz="0" w:space="0" w:color="auto"/>
            <w:bottom w:val="none" w:sz="0" w:space="0" w:color="auto"/>
            <w:right w:val="none" w:sz="0" w:space="0" w:color="auto"/>
          </w:divBdr>
        </w:div>
        <w:div w:id="581717852">
          <w:marLeft w:val="0"/>
          <w:marRight w:val="0"/>
          <w:marTop w:val="0"/>
          <w:marBottom w:val="0"/>
          <w:divBdr>
            <w:top w:val="none" w:sz="0" w:space="0" w:color="auto"/>
            <w:left w:val="none" w:sz="0" w:space="0" w:color="auto"/>
            <w:bottom w:val="none" w:sz="0" w:space="0" w:color="auto"/>
            <w:right w:val="none" w:sz="0" w:space="0" w:color="auto"/>
          </w:divBdr>
        </w:div>
        <w:div w:id="587006514">
          <w:marLeft w:val="0"/>
          <w:marRight w:val="0"/>
          <w:marTop w:val="0"/>
          <w:marBottom w:val="0"/>
          <w:divBdr>
            <w:top w:val="none" w:sz="0" w:space="0" w:color="auto"/>
            <w:left w:val="none" w:sz="0" w:space="0" w:color="auto"/>
            <w:bottom w:val="none" w:sz="0" w:space="0" w:color="auto"/>
            <w:right w:val="none" w:sz="0" w:space="0" w:color="auto"/>
          </w:divBdr>
        </w:div>
        <w:div w:id="1182739538">
          <w:marLeft w:val="0"/>
          <w:marRight w:val="0"/>
          <w:marTop w:val="0"/>
          <w:marBottom w:val="0"/>
          <w:divBdr>
            <w:top w:val="none" w:sz="0" w:space="0" w:color="auto"/>
            <w:left w:val="none" w:sz="0" w:space="0" w:color="auto"/>
            <w:bottom w:val="none" w:sz="0" w:space="0" w:color="auto"/>
            <w:right w:val="none" w:sz="0" w:space="0" w:color="auto"/>
          </w:divBdr>
        </w:div>
        <w:div w:id="1533223902">
          <w:marLeft w:val="0"/>
          <w:marRight w:val="0"/>
          <w:marTop w:val="0"/>
          <w:marBottom w:val="0"/>
          <w:divBdr>
            <w:top w:val="none" w:sz="0" w:space="0" w:color="auto"/>
            <w:left w:val="none" w:sz="0" w:space="0" w:color="auto"/>
            <w:bottom w:val="none" w:sz="0" w:space="0" w:color="auto"/>
            <w:right w:val="none" w:sz="0" w:space="0" w:color="auto"/>
          </w:divBdr>
        </w:div>
        <w:div w:id="52168719">
          <w:marLeft w:val="0"/>
          <w:marRight w:val="0"/>
          <w:marTop w:val="0"/>
          <w:marBottom w:val="0"/>
          <w:divBdr>
            <w:top w:val="none" w:sz="0" w:space="0" w:color="auto"/>
            <w:left w:val="none" w:sz="0" w:space="0" w:color="auto"/>
            <w:bottom w:val="none" w:sz="0" w:space="0" w:color="auto"/>
            <w:right w:val="none" w:sz="0" w:space="0" w:color="auto"/>
          </w:divBdr>
        </w:div>
        <w:div w:id="869227447">
          <w:marLeft w:val="0"/>
          <w:marRight w:val="0"/>
          <w:marTop w:val="0"/>
          <w:marBottom w:val="0"/>
          <w:divBdr>
            <w:top w:val="none" w:sz="0" w:space="0" w:color="auto"/>
            <w:left w:val="none" w:sz="0" w:space="0" w:color="auto"/>
            <w:bottom w:val="none" w:sz="0" w:space="0" w:color="auto"/>
            <w:right w:val="none" w:sz="0" w:space="0" w:color="auto"/>
          </w:divBdr>
        </w:div>
        <w:div w:id="577905259">
          <w:marLeft w:val="0"/>
          <w:marRight w:val="0"/>
          <w:marTop w:val="0"/>
          <w:marBottom w:val="0"/>
          <w:divBdr>
            <w:top w:val="none" w:sz="0" w:space="0" w:color="auto"/>
            <w:left w:val="none" w:sz="0" w:space="0" w:color="auto"/>
            <w:bottom w:val="none" w:sz="0" w:space="0" w:color="auto"/>
            <w:right w:val="none" w:sz="0" w:space="0" w:color="auto"/>
          </w:divBdr>
        </w:div>
        <w:div w:id="1830754856">
          <w:marLeft w:val="0"/>
          <w:marRight w:val="0"/>
          <w:marTop w:val="0"/>
          <w:marBottom w:val="0"/>
          <w:divBdr>
            <w:top w:val="none" w:sz="0" w:space="0" w:color="auto"/>
            <w:left w:val="none" w:sz="0" w:space="0" w:color="auto"/>
            <w:bottom w:val="none" w:sz="0" w:space="0" w:color="auto"/>
            <w:right w:val="none" w:sz="0" w:space="0" w:color="auto"/>
          </w:divBdr>
        </w:div>
        <w:div w:id="1988633555">
          <w:marLeft w:val="0"/>
          <w:marRight w:val="0"/>
          <w:marTop w:val="0"/>
          <w:marBottom w:val="0"/>
          <w:divBdr>
            <w:top w:val="none" w:sz="0" w:space="0" w:color="auto"/>
            <w:left w:val="none" w:sz="0" w:space="0" w:color="auto"/>
            <w:bottom w:val="none" w:sz="0" w:space="0" w:color="auto"/>
            <w:right w:val="none" w:sz="0" w:space="0" w:color="auto"/>
          </w:divBdr>
        </w:div>
        <w:div w:id="1698234719">
          <w:marLeft w:val="0"/>
          <w:marRight w:val="0"/>
          <w:marTop w:val="0"/>
          <w:marBottom w:val="0"/>
          <w:divBdr>
            <w:top w:val="none" w:sz="0" w:space="0" w:color="auto"/>
            <w:left w:val="none" w:sz="0" w:space="0" w:color="auto"/>
            <w:bottom w:val="none" w:sz="0" w:space="0" w:color="auto"/>
            <w:right w:val="none" w:sz="0" w:space="0" w:color="auto"/>
          </w:divBdr>
        </w:div>
        <w:div w:id="814837098">
          <w:marLeft w:val="0"/>
          <w:marRight w:val="0"/>
          <w:marTop w:val="0"/>
          <w:marBottom w:val="0"/>
          <w:divBdr>
            <w:top w:val="none" w:sz="0" w:space="0" w:color="auto"/>
            <w:left w:val="none" w:sz="0" w:space="0" w:color="auto"/>
            <w:bottom w:val="none" w:sz="0" w:space="0" w:color="auto"/>
            <w:right w:val="none" w:sz="0" w:space="0" w:color="auto"/>
          </w:divBdr>
        </w:div>
        <w:div w:id="874273553">
          <w:marLeft w:val="0"/>
          <w:marRight w:val="0"/>
          <w:marTop w:val="0"/>
          <w:marBottom w:val="0"/>
          <w:divBdr>
            <w:top w:val="none" w:sz="0" w:space="0" w:color="auto"/>
            <w:left w:val="none" w:sz="0" w:space="0" w:color="auto"/>
            <w:bottom w:val="none" w:sz="0" w:space="0" w:color="auto"/>
            <w:right w:val="none" w:sz="0" w:space="0" w:color="auto"/>
          </w:divBdr>
        </w:div>
        <w:div w:id="838081760">
          <w:marLeft w:val="0"/>
          <w:marRight w:val="0"/>
          <w:marTop w:val="0"/>
          <w:marBottom w:val="0"/>
          <w:divBdr>
            <w:top w:val="none" w:sz="0" w:space="0" w:color="auto"/>
            <w:left w:val="none" w:sz="0" w:space="0" w:color="auto"/>
            <w:bottom w:val="none" w:sz="0" w:space="0" w:color="auto"/>
            <w:right w:val="none" w:sz="0" w:space="0" w:color="auto"/>
          </w:divBdr>
        </w:div>
        <w:div w:id="1386248997">
          <w:marLeft w:val="0"/>
          <w:marRight w:val="0"/>
          <w:marTop w:val="0"/>
          <w:marBottom w:val="0"/>
          <w:divBdr>
            <w:top w:val="none" w:sz="0" w:space="0" w:color="auto"/>
            <w:left w:val="none" w:sz="0" w:space="0" w:color="auto"/>
            <w:bottom w:val="none" w:sz="0" w:space="0" w:color="auto"/>
            <w:right w:val="none" w:sz="0" w:space="0" w:color="auto"/>
          </w:divBdr>
        </w:div>
        <w:div w:id="1970013884">
          <w:marLeft w:val="0"/>
          <w:marRight w:val="0"/>
          <w:marTop w:val="0"/>
          <w:marBottom w:val="0"/>
          <w:divBdr>
            <w:top w:val="none" w:sz="0" w:space="0" w:color="auto"/>
            <w:left w:val="none" w:sz="0" w:space="0" w:color="auto"/>
            <w:bottom w:val="none" w:sz="0" w:space="0" w:color="auto"/>
            <w:right w:val="none" w:sz="0" w:space="0" w:color="auto"/>
          </w:divBdr>
        </w:div>
        <w:div w:id="1825926044">
          <w:marLeft w:val="0"/>
          <w:marRight w:val="0"/>
          <w:marTop w:val="0"/>
          <w:marBottom w:val="0"/>
          <w:divBdr>
            <w:top w:val="none" w:sz="0" w:space="0" w:color="auto"/>
            <w:left w:val="none" w:sz="0" w:space="0" w:color="auto"/>
            <w:bottom w:val="none" w:sz="0" w:space="0" w:color="auto"/>
            <w:right w:val="none" w:sz="0" w:space="0" w:color="auto"/>
          </w:divBdr>
        </w:div>
        <w:div w:id="1476951118">
          <w:marLeft w:val="0"/>
          <w:marRight w:val="0"/>
          <w:marTop w:val="0"/>
          <w:marBottom w:val="0"/>
          <w:divBdr>
            <w:top w:val="none" w:sz="0" w:space="0" w:color="auto"/>
            <w:left w:val="none" w:sz="0" w:space="0" w:color="auto"/>
            <w:bottom w:val="none" w:sz="0" w:space="0" w:color="auto"/>
            <w:right w:val="none" w:sz="0" w:space="0" w:color="auto"/>
          </w:divBdr>
        </w:div>
        <w:div w:id="1709799267">
          <w:marLeft w:val="0"/>
          <w:marRight w:val="0"/>
          <w:marTop w:val="0"/>
          <w:marBottom w:val="0"/>
          <w:divBdr>
            <w:top w:val="none" w:sz="0" w:space="0" w:color="auto"/>
            <w:left w:val="none" w:sz="0" w:space="0" w:color="auto"/>
            <w:bottom w:val="none" w:sz="0" w:space="0" w:color="auto"/>
            <w:right w:val="none" w:sz="0" w:space="0" w:color="auto"/>
          </w:divBdr>
        </w:div>
        <w:div w:id="1109936538">
          <w:marLeft w:val="0"/>
          <w:marRight w:val="0"/>
          <w:marTop w:val="0"/>
          <w:marBottom w:val="0"/>
          <w:divBdr>
            <w:top w:val="none" w:sz="0" w:space="0" w:color="auto"/>
            <w:left w:val="none" w:sz="0" w:space="0" w:color="auto"/>
            <w:bottom w:val="none" w:sz="0" w:space="0" w:color="auto"/>
            <w:right w:val="none" w:sz="0" w:space="0" w:color="auto"/>
          </w:divBdr>
        </w:div>
        <w:div w:id="786505225">
          <w:marLeft w:val="0"/>
          <w:marRight w:val="0"/>
          <w:marTop w:val="0"/>
          <w:marBottom w:val="0"/>
          <w:divBdr>
            <w:top w:val="none" w:sz="0" w:space="0" w:color="auto"/>
            <w:left w:val="none" w:sz="0" w:space="0" w:color="auto"/>
            <w:bottom w:val="none" w:sz="0" w:space="0" w:color="auto"/>
            <w:right w:val="none" w:sz="0" w:space="0" w:color="auto"/>
          </w:divBdr>
        </w:div>
        <w:div w:id="1409619657">
          <w:marLeft w:val="0"/>
          <w:marRight w:val="0"/>
          <w:marTop w:val="0"/>
          <w:marBottom w:val="0"/>
          <w:divBdr>
            <w:top w:val="none" w:sz="0" w:space="0" w:color="auto"/>
            <w:left w:val="none" w:sz="0" w:space="0" w:color="auto"/>
            <w:bottom w:val="none" w:sz="0" w:space="0" w:color="auto"/>
            <w:right w:val="none" w:sz="0" w:space="0" w:color="auto"/>
          </w:divBdr>
        </w:div>
        <w:div w:id="942302238">
          <w:marLeft w:val="0"/>
          <w:marRight w:val="0"/>
          <w:marTop w:val="0"/>
          <w:marBottom w:val="0"/>
          <w:divBdr>
            <w:top w:val="none" w:sz="0" w:space="0" w:color="auto"/>
            <w:left w:val="none" w:sz="0" w:space="0" w:color="auto"/>
            <w:bottom w:val="none" w:sz="0" w:space="0" w:color="auto"/>
            <w:right w:val="none" w:sz="0" w:space="0" w:color="auto"/>
          </w:divBdr>
        </w:div>
        <w:div w:id="1917278503">
          <w:marLeft w:val="0"/>
          <w:marRight w:val="0"/>
          <w:marTop w:val="0"/>
          <w:marBottom w:val="0"/>
          <w:divBdr>
            <w:top w:val="none" w:sz="0" w:space="0" w:color="auto"/>
            <w:left w:val="none" w:sz="0" w:space="0" w:color="auto"/>
            <w:bottom w:val="none" w:sz="0" w:space="0" w:color="auto"/>
            <w:right w:val="none" w:sz="0" w:space="0" w:color="auto"/>
          </w:divBdr>
        </w:div>
        <w:div w:id="1476485247">
          <w:marLeft w:val="0"/>
          <w:marRight w:val="0"/>
          <w:marTop w:val="0"/>
          <w:marBottom w:val="0"/>
          <w:divBdr>
            <w:top w:val="none" w:sz="0" w:space="0" w:color="auto"/>
            <w:left w:val="none" w:sz="0" w:space="0" w:color="auto"/>
            <w:bottom w:val="none" w:sz="0" w:space="0" w:color="auto"/>
            <w:right w:val="none" w:sz="0" w:space="0" w:color="auto"/>
          </w:divBdr>
        </w:div>
        <w:div w:id="122621633">
          <w:marLeft w:val="0"/>
          <w:marRight w:val="0"/>
          <w:marTop w:val="0"/>
          <w:marBottom w:val="0"/>
          <w:divBdr>
            <w:top w:val="none" w:sz="0" w:space="0" w:color="auto"/>
            <w:left w:val="none" w:sz="0" w:space="0" w:color="auto"/>
            <w:bottom w:val="none" w:sz="0" w:space="0" w:color="auto"/>
            <w:right w:val="none" w:sz="0" w:space="0" w:color="auto"/>
          </w:divBdr>
        </w:div>
        <w:div w:id="249776481">
          <w:marLeft w:val="0"/>
          <w:marRight w:val="0"/>
          <w:marTop w:val="0"/>
          <w:marBottom w:val="0"/>
          <w:divBdr>
            <w:top w:val="none" w:sz="0" w:space="0" w:color="auto"/>
            <w:left w:val="none" w:sz="0" w:space="0" w:color="auto"/>
            <w:bottom w:val="none" w:sz="0" w:space="0" w:color="auto"/>
            <w:right w:val="none" w:sz="0" w:space="0" w:color="auto"/>
          </w:divBdr>
        </w:div>
        <w:div w:id="520316124">
          <w:marLeft w:val="0"/>
          <w:marRight w:val="0"/>
          <w:marTop w:val="0"/>
          <w:marBottom w:val="0"/>
          <w:divBdr>
            <w:top w:val="none" w:sz="0" w:space="0" w:color="auto"/>
            <w:left w:val="none" w:sz="0" w:space="0" w:color="auto"/>
            <w:bottom w:val="none" w:sz="0" w:space="0" w:color="auto"/>
            <w:right w:val="none" w:sz="0" w:space="0" w:color="auto"/>
          </w:divBdr>
        </w:div>
        <w:div w:id="1772166084">
          <w:marLeft w:val="0"/>
          <w:marRight w:val="0"/>
          <w:marTop w:val="0"/>
          <w:marBottom w:val="0"/>
          <w:divBdr>
            <w:top w:val="none" w:sz="0" w:space="0" w:color="auto"/>
            <w:left w:val="none" w:sz="0" w:space="0" w:color="auto"/>
            <w:bottom w:val="none" w:sz="0" w:space="0" w:color="auto"/>
            <w:right w:val="none" w:sz="0" w:space="0" w:color="auto"/>
          </w:divBdr>
        </w:div>
        <w:div w:id="760105214">
          <w:marLeft w:val="0"/>
          <w:marRight w:val="0"/>
          <w:marTop w:val="0"/>
          <w:marBottom w:val="0"/>
          <w:divBdr>
            <w:top w:val="none" w:sz="0" w:space="0" w:color="auto"/>
            <w:left w:val="none" w:sz="0" w:space="0" w:color="auto"/>
            <w:bottom w:val="none" w:sz="0" w:space="0" w:color="auto"/>
            <w:right w:val="none" w:sz="0" w:space="0" w:color="auto"/>
          </w:divBdr>
        </w:div>
        <w:div w:id="1534613568">
          <w:marLeft w:val="0"/>
          <w:marRight w:val="0"/>
          <w:marTop w:val="0"/>
          <w:marBottom w:val="0"/>
          <w:divBdr>
            <w:top w:val="none" w:sz="0" w:space="0" w:color="auto"/>
            <w:left w:val="none" w:sz="0" w:space="0" w:color="auto"/>
            <w:bottom w:val="none" w:sz="0" w:space="0" w:color="auto"/>
            <w:right w:val="none" w:sz="0" w:space="0" w:color="auto"/>
          </w:divBdr>
        </w:div>
        <w:div w:id="797071519">
          <w:marLeft w:val="0"/>
          <w:marRight w:val="0"/>
          <w:marTop w:val="0"/>
          <w:marBottom w:val="0"/>
          <w:divBdr>
            <w:top w:val="none" w:sz="0" w:space="0" w:color="auto"/>
            <w:left w:val="none" w:sz="0" w:space="0" w:color="auto"/>
            <w:bottom w:val="none" w:sz="0" w:space="0" w:color="auto"/>
            <w:right w:val="none" w:sz="0" w:space="0" w:color="auto"/>
          </w:divBdr>
        </w:div>
        <w:div w:id="1712653974">
          <w:marLeft w:val="0"/>
          <w:marRight w:val="0"/>
          <w:marTop w:val="0"/>
          <w:marBottom w:val="0"/>
          <w:divBdr>
            <w:top w:val="none" w:sz="0" w:space="0" w:color="auto"/>
            <w:left w:val="none" w:sz="0" w:space="0" w:color="auto"/>
            <w:bottom w:val="none" w:sz="0" w:space="0" w:color="auto"/>
            <w:right w:val="none" w:sz="0" w:space="0" w:color="auto"/>
          </w:divBdr>
        </w:div>
        <w:div w:id="1042247189">
          <w:marLeft w:val="0"/>
          <w:marRight w:val="0"/>
          <w:marTop w:val="0"/>
          <w:marBottom w:val="0"/>
          <w:divBdr>
            <w:top w:val="none" w:sz="0" w:space="0" w:color="auto"/>
            <w:left w:val="none" w:sz="0" w:space="0" w:color="auto"/>
            <w:bottom w:val="none" w:sz="0" w:space="0" w:color="auto"/>
            <w:right w:val="none" w:sz="0" w:space="0" w:color="auto"/>
          </w:divBdr>
        </w:div>
        <w:div w:id="1081489291">
          <w:marLeft w:val="0"/>
          <w:marRight w:val="0"/>
          <w:marTop w:val="0"/>
          <w:marBottom w:val="0"/>
          <w:divBdr>
            <w:top w:val="none" w:sz="0" w:space="0" w:color="auto"/>
            <w:left w:val="none" w:sz="0" w:space="0" w:color="auto"/>
            <w:bottom w:val="none" w:sz="0" w:space="0" w:color="auto"/>
            <w:right w:val="none" w:sz="0" w:space="0" w:color="auto"/>
          </w:divBdr>
        </w:div>
        <w:div w:id="1895701617">
          <w:marLeft w:val="0"/>
          <w:marRight w:val="0"/>
          <w:marTop w:val="0"/>
          <w:marBottom w:val="0"/>
          <w:divBdr>
            <w:top w:val="none" w:sz="0" w:space="0" w:color="auto"/>
            <w:left w:val="none" w:sz="0" w:space="0" w:color="auto"/>
            <w:bottom w:val="none" w:sz="0" w:space="0" w:color="auto"/>
            <w:right w:val="none" w:sz="0" w:space="0" w:color="auto"/>
          </w:divBdr>
        </w:div>
        <w:div w:id="531771955">
          <w:marLeft w:val="0"/>
          <w:marRight w:val="0"/>
          <w:marTop w:val="0"/>
          <w:marBottom w:val="0"/>
          <w:divBdr>
            <w:top w:val="none" w:sz="0" w:space="0" w:color="auto"/>
            <w:left w:val="none" w:sz="0" w:space="0" w:color="auto"/>
            <w:bottom w:val="none" w:sz="0" w:space="0" w:color="auto"/>
            <w:right w:val="none" w:sz="0" w:space="0" w:color="auto"/>
          </w:divBdr>
        </w:div>
        <w:div w:id="1382288966">
          <w:marLeft w:val="0"/>
          <w:marRight w:val="0"/>
          <w:marTop w:val="0"/>
          <w:marBottom w:val="0"/>
          <w:divBdr>
            <w:top w:val="none" w:sz="0" w:space="0" w:color="auto"/>
            <w:left w:val="none" w:sz="0" w:space="0" w:color="auto"/>
            <w:bottom w:val="none" w:sz="0" w:space="0" w:color="auto"/>
            <w:right w:val="none" w:sz="0" w:space="0" w:color="auto"/>
          </w:divBdr>
        </w:div>
        <w:div w:id="844905592">
          <w:marLeft w:val="0"/>
          <w:marRight w:val="0"/>
          <w:marTop w:val="0"/>
          <w:marBottom w:val="0"/>
          <w:divBdr>
            <w:top w:val="none" w:sz="0" w:space="0" w:color="auto"/>
            <w:left w:val="none" w:sz="0" w:space="0" w:color="auto"/>
            <w:bottom w:val="none" w:sz="0" w:space="0" w:color="auto"/>
            <w:right w:val="none" w:sz="0" w:space="0" w:color="auto"/>
          </w:divBdr>
        </w:div>
        <w:div w:id="1899515656">
          <w:marLeft w:val="0"/>
          <w:marRight w:val="0"/>
          <w:marTop w:val="0"/>
          <w:marBottom w:val="0"/>
          <w:divBdr>
            <w:top w:val="none" w:sz="0" w:space="0" w:color="auto"/>
            <w:left w:val="none" w:sz="0" w:space="0" w:color="auto"/>
            <w:bottom w:val="none" w:sz="0" w:space="0" w:color="auto"/>
            <w:right w:val="none" w:sz="0" w:space="0" w:color="auto"/>
          </w:divBdr>
        </w:div>
        <w:div w:id="290400330">
          <w:marLeft w:val="0"/>
          <w:marRight w:val="0"/>
          <w:marTop w:val="0"/>
          <w:marBottom w:val="0"/>
          <w:divBdr>
            <w:top w:val="none" w:sz="0" w:space="0" w:color="auto"/>
            <w:left w:val="none" w:sz="0" w:space="0" w:color="auto"/>
            <w:bottom w:val="none" w:sz="0" w:space="0" w:color="auto"/>
            <w:right w:val="none" w:sz="0" w:space="0" w:color="auto"/>
          </w:divBdr>
        </w:div>
        <w:div w:id="1079597664">
          <w:marLeft w:val="0"/>
          <w:marRight w:val="0"/>
          <w:marTop w:val="0"/>
          <w:marBottom w:val="0"/>
          <w:divBdr>
            <w:top w:val="none" w:sz="0" w:space="0" w:color="auto"/>
            <w:left w:val="none" w:sz="0" w:space="0" w:color="auto"/>
            <w:bottom w:val="none" w:sz="0" w:space="0" w:color="auto"/>
            <w:right w:val="none" w:sz="0" w:space="0" w:color="auto"/>
          </w:divBdr>
        </w:div>
        <w:div w:id="1083525086">
          <w:marLeft w:val="0"/>
          <w:marRight w:val="0"/>
          <w:marTop w:val="0"/>
          <w:marBottom w:val="0"/>
          <w:divBdr>
            <w:top w:val="none" w:sz="0" w:space="0" w:color="auto"/>
            <w:left w:val="none" w:sz="0" w:space="0" w:color="auto"/>
            <w:bottom w:val="none" w:sz="0" w:space="0" w:color="auto"/>
            <w:right w:val="none" w:sz="0" w:space="0" w:color="auto"/>
          </w:divBdr>
        </w:div>
        <w:div w:id="946812210">
          <w:marLeft w:val="0"/>
          <w:marRight w:val="0"/>
          <w:marTop w:val="0"/>
          <w:marBottom w:val="0"/>
          <w:divBdr>
            <w:top w:val="none" w:sz="0" w:space="0" w:color="auto"/>
            <w:left w:val="none" w:sz="0" w:space="0" w:color="auto"/>
            <w:bottom w:val="none" w:sz="0" w:space="0" w:color="auto"/>
            <w:right w:val="none" w:sz="0" w:space="0" w:color="auto"/>
          </w:divBdr>
        </w:div>
        <w:div w:id="1405252608">
          <w:marLeft w:val="0"/>
          <w:marRight w:val="0"/>
          <w:marTop w:val="0"/>
          <w:marBottom w:val="0"/>
          <w:divBdr>
            <w:top w:val="none" w:sz="0" w:space="0" w:color="auto"/>
            <w:left w:val="none" w:sz="0" w:space="0" w:color="auto"/>
            <w:bottom w:val="none" w:sz="0" w:space="0" w:color="auto"/>
            <w:right w:val="none" w:sz="0" w:space="0" w:color="auto"/>
          </w:divBdr>
        </w:div>
        <w:div w:id="1229657154">
          <w:marLeft w:val="0"/>
          <w:marRight w:val="0"/>
          <w:marTop w:val="0"/>
          <w:marBottom w:val="0"/>
          <w:divBdr>
            <w:top w:val="none" w:sz="0" w:space="0" w:color="auto"/>
            <w:left w:val="none" w:sz="0" w:space="0" w:color="auto"/>
            <w:bottom w:val="none" w:sz="0" w:space="0" w:color="auto"/>
            <w:right w:val="none" w:sz="0" w:space="0" w:color="auto"/>
          </w:divBdr>
        </w:div>
        <w:div w:id="693775674">
          <w:marLeft w:val="0"/>
          <w:marRight w:val="0"/>
          <w:marTop w:val="0"/>
          <w:marBottom w:val="0"/>
          <w:divBdr>
            <w:top w:val="none" w:sz="0" w:space="0" w:color="auto"/>
            <w:left w:val="none" w:sz="0" w:space="0" w:color="auto"/>
            <w:bottom w:val="none" w:sz="0" w:space="0" w:color="auto"/>
            <w:right w:val="none" w:sz="0" w:space="0" w:color="auto"/>
          </w:divBdr>
        </w:div>
        <w:div w:id="799033175">
          <w:marLeft w:val="0"/>
          <w:marRight w:val="0"/>
          <w:marTop w:val="0"/>
          <w:marBottom w:val="0"/>
          <w:divBdr>
            <w:top w:val="none" w:sz="0" w:space="0" w:color="auto"/>
            <w:left w:val="none" w:sz="0" w:space="0" w:color="auto"/>
            <w:bottom w:val="none" w:sz="0" w:space="0" w:color="auto"/>
            <w:right w:val="none" w:sz="0" w:space="0" w:color="auto"/>
          </w:divBdr>
        </w:div>
        <w:div w:id="1637949191">
          <w:marLeft w:val="0"/>
          <w:marRight w:val="0"/>
          <w:marTop w:val="0"/>
          <w:marBottom w:val="0"/>
          <w:divBdr>
            <w:top w:val="none" w:sz="0" w:space="0" w:color="auto"/>
            <w:left w:val="none" w:sz="0" w:space="0" w:color="auto"/>
            <w:bottom w:val="none" w:sz="0" w:space="0" w:color="auto"/>
            <w:right w:val="none" w:sz="0" w:space="0" w:color="auto"/>
          </w:divBdr>
        </w:div>
        <w:div w:id="1341350335">
          <w:marLeft w:val="0"/>
          <w:marRight w:val="0"/>
          <w:marTop w:val="0"/>
          <w:marBottom w:val="0"/>
          <w:divBdr>
            <w:top w:val="none" w:sz="0" w:space="0" w:color="auto"/>
            <w:left w:val="none" w:sz="0" w:space="0" w:color="auto"/>
            <w:bottom w:val="none" w:sz="0" w:space="0" w:color="auto"/>
            <w:right w:val="none" w:sz="0" w:space="0" w:color="auto"/>
          </w:divBdr>
        </w:div>
        <w:div w:id="1932006269">
          <w:marLeft w:val="0"/>
          <w:marRight w:val="0"/>
          <w:marTop w:val="0"/>
          <w:marBottom w:val="0"/>
          <w:divBdr>
            <w:top w:val="none" w:sz="0" w:space="0" w:color="auto"/>
            <w:left w:val="none" w:sz="0" w:space="0" w:color="auto"/>
            <w:bottom w:val="none" w:sz="0" w:space="0" w:color="auto"/>
            <w:right w:val="none" w:sz="0" w:space="0" w:color="auto"/>
          </w:divBdr>
        </w:div>
        <w:div w:id="959335709">
          <w:marLeft w:val="0"/>
          <w:marRight w:val="0"/>
          <w:marTop w:val="0"/>
          <w:marBottom w:val="0"/>
          <w:divBdr>
            <w:top w:val="none" w:sz="0" w:space="0" w:color="auto"/>
            <w:left w:val="none" w:sz="0" w:space="0" w:color="auto"/>
            <w:bottom w:val="none" w:sz="0" w:space="0" w:color="auto"/>
            <w:right w:val="none" w:sz="0" w:space="0" w:color="auto"/>
          </w:divBdr>
        </w:div>
        <w:div w:id="1633903415">
          <w:marLeft w:val="0"/>
          <w:marRight w:val="0"/>
          <w:marTop w:val="0"/>
          <w:marBottom w:val="0"/>
          <w:divBdr>
            <w:top w:val="none" w:sz="0" w:space="0" w:color="auto"/>
            <w:left w:val="none" w:sz="0" w:space="0" w:color="auto"/>
            <w:bottom w:val="none" w:sz="0" w:space="0" w:color="auto"/>
            <w:right w:val="none" w:sz="0" w:space="0" w:color="auto"/>
          </w:divBdr>
        </w:div>
        <w:div w:id="1276986048">
          <w:marLeft w:val="0"/>
          <w:marRight w:val="0"/>
          <w:marTop w:val="0"/>
          <w:marBottom w:val="0"/>
          <w:divBdr>
            <w:top w:val="none" w:sz="0" w:space="0" w:color="auto"/>
            <w:left w:val="none" w:sz="0" w:space="0" w:color="auto"/>
            <w:bottom w:val="none" w:sz="0" w:space="0" w:color="auto"/>
            <w:right w:val="none" w:sz="0" w:space="0" w:color="auto"/>
          </w:divBdr>
        </w:div>
        <w:div w:id="1834951432">
          <w:marLeft w:val="0"/>
          <w:marRight w:val="0"/>
          <w:marTop w:val="0"/>
          <w:marBottom w:val="0"/>
          <w:divBdr>
            <w:top w:val="none" w:sz="0" w:space="0" w:color="auto"/>
            <w:left w:val="none" w:sz="0" w:space="0" w:color="auto"/>
            <w:bottom w:val="none" w:sz="0" w:space="0" w:color="auto"/>
            <w:right w:val="none" w:sz="0" w:space="0" w:color="auto"/>
          </w:divBdr>
        </w:div>
        <w:div w:id="2044285782">
          <w:marLeft w:val="0"/>
          <w:marRight w:val="0"/>
          <w:marTop w:val="0"/>
          <w:marBottom w:val="0"/>
          <w:divBdr>
            <w:top w:val="none" w:sz="0" w:space="0" w:color="auto"/>
            <w:left w:val="none" w:sz="0" w:space="0" w:color="auto"/>
            <w:bottom w:val="none" w:sz="0" w:space="0" w:color="auto"/>
            <w:right w:val="none" w:sz="0" w:space="0" w:color="auto"/>
          </w:divBdr>
        </w:div>
        <w:div w:id="647394678">
          <w:marLeft w:val="0"/>
          <w:marRight w:val="0"/>
          <w:marTop w:val="0"/>
          <w:marBottom w:val="0"/>
          <w:divBdr>
            <w:top w:val="none" w:sz="0" w:space="0" w:color="auto"/>
            <w:left w:val="none" w:sz="0" w:space="0" w:color="auto"/>
            <w:bottom w:val="none" w:sz="0" w:space="0" w:color="auto"/>
            <w:right w:val="none" w:sz="0" w:space="0" w:color="auto"/>
          </w:divBdr>
        </w:div>
        <w:div w:id="1580094712">
          <w:marLeft w:val="0"/>
          <w:marRight w:val="0"/>
          <w:marTop w:val="0"/>
          <w:marBottom w:val="0"/>
          <w:divBdr>
            <w:top w:val="none" w:sz="0" w:space="0" w:color="auto"/>
            <w:left w:val="none" w:sz="0" w:space="0" w:color="auto"/>
            <w:bottom w:val="none" w:sz="0" w:space="0" w:color="auto"/>
            <w:right w:val="none" w:sz="0" w:space="0" w:color="auto"/>
          </w:divBdr>
        </w:div>
        <w:div w:id="1456413547">
          <w:marLeft w:val="0"/>
          <w:marRight w:val="0"/>
          <w:marTop w:val="0"/>
          <w:marBottom w:val="0"/>
          <w:divBdr>
            <w:top w:val="none" w:sz="0" w:space="0" w:color="auto"/>
            <w:left w:val="none" w:sz="0" w:space="0" w:color="auto"/>
            <w:bottom w:val="none" w:sz="0" w:space="0" w:color="auto"/>
            <w:right w:val="none" w:sz="0" w:space="0" w:color="auto"/>
          </w:divBdr>
        </w:div>
        <w:div w:id="2059434926">
          <w:marLeft w:val="0"/>
          <w:marRight w:val="0"/>
          <w:marTop w:val="0"/>
          <w:marBottom w:val="0"/>
          <w:divBdr>
            <w:top w:val="none" w:sz="0" w:space="0" w:color="auto"/>
            <w:left w:val="none" w:sz="0" w:space="0" w:color="auto"/>
            <w:bottom w:val="none" w:sz="0" w:space="0" w:color="auto"/>
            <w:right w:val="none" w:sz="0" w:space="0" w:color="auto"/>
          </w:divBdr>
        </w:div>
        <w:div w:id="1606037939">
          <w:marLeft w:val="0"/>
          <w:marRight w:val="0"/>
          <w:marTop w:val="0"/>
          <w:marBottom w:val="0"/>
          <w:divBdr>
            <w:top w:val="none" w:sz="0" w:space="0" w:color="auto"/>
            <w:left w:val="none" w:sz="0" w:space="0" w:color="auto"/>
            <w:bottom w:val="none" w:sz="0" w:space="0" w:color="auto"/>
            <w:right w:val="none" w:sz="0" w:space="0" w:color="auto"/>
          </w:divBdr>
        </w:div>
        <w:div w:id="616059190">
          <w:marLeft w:val="0"/>
          <w:marRight w:val="0"/>
          <w:marTop w:val="0"/>
          <w:marBottom w:val="0"/>
          <w:divBdr>
            <w:top w:val="none" w:sz="0" w:space="0" w:color="auto"/>
            <w:left w:val="none" w:sz="0" w:space="0" w:color="auto"/>
            <w:bottom w:val="none" w:sz="0" w:space="0" w:color="auto"/>
            <w:right w:val="none" w:sz="0" w:space="0" w:color="auto"/>
          </w:divBdr>
        </w:div>
        <w:div w:id="464351334">
          <w:marLeft w:val="0"/>
          <w:marRight w:val="0"/>
          <w:marTop w:val="0"/>
          <w:marBottom w:val="0"/>
          <w:divBdr>
            <w:top w:val="none" w:sz="0" w:space="0" w:color="auto"/>
            <w:left w:val="none" w:sz="0" w:space="0" w:color="auto"/>
            <w:bottom w:val="none" w:sz="0" w:space="0" w:color="auto"/>
            <w:right w:val="none" w:sz="0" w:space="0" w:color="auto"/>
          </w:divBdr>
        </w:div>
        <w:div w:id="696272301">
          <w:marLeft w:val="0"/>
          <w:marRight w:val="0"/>
          <w:marTop w:val="0"/>
          <w:marBottom w:val="0"/>
          <w:divBdr>
            <w:top w:val="none" w:sz="0" w:space="0" w:color="auto"/>
            <w:left w:val="none" w:sz="0" w:space="0" w:color="auto"/>
            <w:bottom w:val="none" w:sz="0" w:space="0" w:color="auto"/>
            <w:right w:val="none" w:sz="0" w:space="0" w:color="auto"/>
          </w:divBdr>
        </w:div>
        <w:div w:id="527834428">
          <w:marLeft w:val="0"/>
          <w:marRight w:val="0"/>
          <w:marTop w:val="0"/>
          <w:marBottom w:val="0"/>
          <w:divBdr>
            <w:top w:val="none" w:sz="0" w:space="0" w:color="auto"/>
            <w:left w:val="none" w:sz="0" w:space="0" w:color="auto"/>
            <w:bottom w:val="none" w:sz="0" w:space="0" w:color="auto"/>
            <w:right w:val="none" w:sz="0" w:space="0" w:color="auto"/>
          </w:divBdr>
        </w:div>
        <w:div w:id="459500783">
          <w:marLeft w:val="0"/>
          <w:marRight w:val="0"/>
          <w:marTop w:val="0"/>
          <w:marBottom w:val="0"/>
          <w:divBdr>
            <w:top w:val="none" w:sz="0" w:space="0" w:color="auto"/>
            <w:left w:val="none" w:sz="0" w:space="0" w:color="auto"/>
            <w:bottom w:val="none" w:sz="0" w:space="0" w:color="auto"/>
            <w:right w:val="none" w:sz="0" w:space="0" w:color="auto"/>
          </w:divBdr>
        </w:div>
        <w:div w:id="1160147952">
          <w:marLeft w:val="0"/>
          <w:marRight w:val="0"/>
          <w:marTop w:val="0"/>
          <w:marBottom w:val="0"/>
          <w:divBdr>
            <w:top w:val="none" w:sz="0" w:space="0" w:color="auto"/>
            <w:left w:val="none" w:sz="0" w:space="0" w:color="auto"/>
            <w:bottom w:val="none" w:sz="0" w:space="0" w:color="auto"/>
            <w:right w:val="none" w:sz="0" w:space="0" w:color="auto"/>
          </w:divBdr>
        </w:div>
        <w:div w:id="1584682517">
          <w:marLeft w:val="0"/>
          <w:marRight w:val="0"/>
          <w:marTop w:val="0"/>
          <w:marBottom w:val="0"/>
          <w:divBdr>
            <w:top w:val="none" w:sz="0" w:space="0" w:color="auto"/>
            <w:left w:val="none" w:sz="0" w:space="0" w:color="auto"/>
            <w:bottom w:val="none" w:sz="0" w:space="0" w:color="auto"/>
            <w:right w:val="none" w:sz="0" w:space="0" w:color="auto"/>
          </w:divBdr>
        </w:div>
        <w:div w:id="1961256942">
          <w:marLeft w:val="0"/>
          <w:marRight w:val="0"/>
          <w:marTop w:val="0"/>
          <w:marBottom w:val="0"/>
          <w:divBdr>
            <w:top w:val="none" w:sz="0" w:space="0" w:color="auto"/>
            <w:left w:val="none" w:sz="0" w:space="0" w:color="auto"/>
            <w:bottom w:val="none" w:sz="0" w:space="0" w:color="auto"/>
            <w:right w:val="none" w:sz="0" w:space="0" w:color="auto"/>
          </w:divBdr>
        </w:div>
        <w:div w:id="1078361924">
          <w:marLeft w:val="0"/>
          <w:marRight w:val="0"/>
          <w:marTop w:val="0"/>
          <w:marBottom w:val="0"/>
          <w:divBdr>
            <w:top w:val="none" w:sz="0" w:space="0" w:color="auto"/>
            <w:left w:val="none" w:sz="0" w:space="0" w:color="auto"/>
            <w:bottom w:val="none" w:sz="0" w:space="0" w:color="auto"/>
            <w:right w:val="none" w:sz="0" w:space="0" w:color="auto"/>
          </w:divBdr>
        </w:div>
        <w:div w:id="2004041585">
          <w:marLeft w:val="0"/>
          <w:marRight w:val="0"/>
          <w:marTop w:val="0"/>
          <w:marBottom w:val="0"/>
          <w:divBdr>
            <w:top w:val="none" w:sz="0" w:space="0" w:color="auto"/>
            <w:left w:val="none" w:sz="0" w:space="0" w:color="auto"/>
            <w:bottom w:val="none" w:sz="0" w:space="0" w:color="auto"/>
            <w:right w:val="none" w:sz="0" w:space="0" w:color="auto"/>
          </w:divBdr>
        </w:div>
        <w:div w:id="1827430864">
          <w:marLeft w:val="0"/>
          <w:marRight w:val="0"/>
          <w:marTop w:val="0"/>
          <w:marBottom w:val="0"/>
          <w:divBdr>
            <w:top w:val="none" w:sz="0" w:space="0" w:color="auto"/>
            <w:left w:val="none" w:sz="0" w:space="0" w:color="auto"/>
            <w:bottom w:val="none" w:sz="0" w:space="0" w:color="auto"/>
            <w:right w:val="none" w:sz="0" w:space="0" w:color="auto"/>
          </w:divBdr>
        </w:div>
        <w:div w:id="371343131">
          <w:marLeft w:val="0"/>
          <w:marRight w:val="0"/>
          <w:marTop w:val="0"/>
          <w:marBottom w:val="0"/>
          <w:divBdr>
            <w:top w:val="none" w:sz="0" w:space="0" w:color="auto"/>
            <w:left w:val="none" w:sz="0" w:space="0" w:color="auto"/>
            <w:bottom w:val="none" w:sz="0" w:space="0" w:color="auto"/>
            <w:right w:val="none" w:sz="0" w:space="0" w:color="auto"/>
          </w:divBdr>
        </w:div>
        <w:div w:id="199244049">
          <w:marLeft w:val="0"/>
          <w:marRight w:val="0"/>
          <w:marTop w:val="0"/>
          <w:marBottom w:val="0"/>
          <w:divBdr>
            <w:top w:val="none" w:sz="0" w:space="0" w:color="auto"/>
            <w:left w:val="none" w:sz="0" w:space="0" w:color="auto"/>
            <w:bottom w:val="none" w:sz="0" w:space="0" w:color="auto"/>
            <w:right w:val="none" w:sz="0" w:space="0" w:color="auto"/>
          </w:divBdr>
        </w:div>
        <w:div w:id="1634485205">
          <w:marLeft w:val="0"/>
          <w:marRight w:val="0"/>
          <w:marTop w:val="0"/>
          <w:marBottom w:val="0"/>
          <w:divBdr>
            <w:top w:val="none" w:sz="0" w:space="0" w:color="auto"/>
            <w:left w:val="none" w:sz="0" w:space="0" w:color="auto"/>
            <w:bottom w:val="none" w:sz="0" w:space="0" w:color="auto"/>
            <w:right w:val="none" w:sz="0" w:space="0" w:color="auto"/>
          </w:divBdr>
        </w:div>
        <w:div w:id="1448427844">
          <w:marLeft w:val="0"/>
          <w:marRight w:val="0"/>
          <w:marTop w:val="0"/>
          <w:marBottom w:val="0"/>
          <w:divBdr>
            <w:top w:val="none" w:sz="0" w:space="0" w:color="auto"/>
            <w:left w:val="none" w:sz="0" w:space="0" w:color="auto"/>
            <w:bottom w:val="none" w:sz="0" w:space="0" w:color="auto"/>
            <w:right w:val="none" w:sz="0" w:space="0" w:color="auto"/>
          </w:divBdr>
        </w:div>
        <w:div w:id="1787460046">
          <w:marLeft w:val="0"/>
          <w:marRight w:val="0"/>
          <w:marTop w:val="0"/>
          <w:marBottom w:val="0"/>
          <w:divBdr>
            <w:top w:val="none" w:sz="0" w:space="0" w:color="auto"/>
            <w:left w:val="none" w:sz="0" w:space="0" w:color="auto"/>
            <w:bottom w:val="none" w:sz="0" w:space="0" w:color="auto"/>
            <w:right w:val="none" w:sz="0" w:space="0" w:color="auto"/>
          </w:divBdr>
        </w:div>
        <w:div w:id="186212701">
          <w:marLeft w:val="0"/>
          <w:marRight w:val="0"/>
          <w:marTop w:val="0"/>
          <w:marBottom w:val="0"/>
          <w:divBdr>
            <w:top w:val="none" w:sz="0" w:space="0" w:color="auto"/>
            <w:left w:val="none" w:sz="0" w:space="0" w:color="auto"/>
            <w:bottom w:val="none" w:sz="0" w:space="0" w:color="auto"/>
            <w:right w:val="none" w:sz="0" w:space="0" w:color="auto"/>
          </w:divBdr>
        </w:div>
        <w:div w:id="1111634004">
          <w:marLeft w:val="0"/>
          <w:marRight w:val="0"/>
          <w:marTop w:val="0"/>
          <w:marBottom w:val="0"/>
          <w:divBdr>
            <w:top w:val="none" w:sz="0" w:space="0" w:color="auto"/>
            <w:left w:val="none" w:sz="0" w:space="0" w:color="auto"/>
            <w:bottom w:val="none" w:sz="0" w:space="0" w:color="auto"/>
            <w:right w:val="none" w:sz="0" w:space="0" w:color="auto"/>
          </w:divBdr>
        </w:div>
        <w:div w:id="383650536">
          <w:marLeft w:val="0"/>
          <w:marRight w:val="0"/>
          <w:marTop w:val="0"/>
          <w:marBottom w:val="0"/>
          <w:divBdr>
            <w:top w:val="none" w:sz="0" w:space="0" w:color="auto"/>
            <w:left w:val="none" w:sz="0" w:space="0" w:color="auto"/>
            <w:bottom w:val="none" w:sz="0" w:space="0" w:color="auto"/>
            <w:right w:val="none" w:sz="0" w:space="0" w:color="auto"/>
          </w:divBdr>
        </w:div>
        <w:div w:id="1980062839">
          <w:marLeft w:val="0"/>
          <w:marRight w:val="0"/>
          <w:marTop w:val="0"/>
          <w:marBottom w:val="0"/>
          <w:divBdr>
            <w:top w:val="none" w:sz="0" w:space="0" w:color="auto"/>
            <w:left w:val="none" w:sz="0" w:space="0" w:color="auto"/>
            <w:bottom w:val="none" w:sz="0" w:space="0" w:color="auto"/>
            <w:right w:val="none" w:sz="0" w:space="0" w:color="auto"/>
          </w:divBdr>
        </w:div>
        <w:div w:id="1463694374">
          <w:marLeft w:val="0"/>
          <w:marRight w:val="0"/>
          <w:marTop w:val="0"/>
          <w:marBottom w:val="0"/>
          <w:divBdr>
            <w:top w:val="none" w:sz="0" w:space="0" w:color="auto"/>
            <w:left w:val="none" w:sz="0" w:space="0" w:color="auto"/>
            <w:bottom w:val="none" w:sz="0" w:space="0" w:color="auto"/>
            <w:right w:val="none" w:sz="0" w:space="0" w:color="auto"/>
          </w:divBdr>
        </w:div>
        <w:div w:id="707922448">
          <w:marLeft w:val="0"/>
          <w:marRight w:val="0"/>
          <w:marTop w:val="0"/>
          <w:marBottom w:val="0"/>
          <w:divBdr>
            <w:top w:val="none" w:sz="0" w:space="0" w:color="auto"/>
            <w:left w:val="none" w:sz="0" w:space="0" w:color="auto"/>
            <w:bottom w:val="none" w:sz="0" w:space="0" w:color="auto"/>
            <w:right w:val="none" w:sz="0" w:space="0" w:color="auto"/>
          </w:divBdr>
        </w:div>
        <w:div w:id="634530414">
          <w:marLeft w:val="0"/>
          <w:marRight w:val="0"/>
          <w:marTop w:val="0"/>
          <w:marBottom w:val="0"/>
          <w:divBdr>
            <w:top w:val="none" w:sz="0" w:space="0" w:color="auto"/>
            <w:left w:val="none" w:sz="0" w:space="0" w:color="auto"/>
            <w:bottom w:val="none" w:sz="0" w:space="0" w:color="auto"/>
            <w:right w:val="none" w:sz="0" w:space="0" w:color="auto"/>
          </w:divBdr>
        </w:div>
        <w:div w:id="1377967785">
          <w:marLeft w:val="0"/>
          <w:marRight w:val="0"/>
          <w:marTop w:val="0"/>
          <w:marBottom w:val="0"/>
          <w:divBdr>
            <w:top w:val="none" w:sz="0" w:space="0" w:color="auto"/>
            <w:left w:val="none" w:sz="0" w:space="0" w:color="auto"/>
            <w:bottom w:val="none" w:sz="0" w:space="0" w:color="auto"/>
            <w:right w:val="none" w:sz="0" w:space="0" w:color="auto"/>
          </w:divBdr>
        </w:div>
        <w:div w:id="1316563781">
          <w:marLeft w:val="0"/>
          <w:marRight w:val="0"/>
          <w:marTop w:val="0"/>
          <w:marBottom w:val="0"/>
          <w:divBdr>
            <w:top w:val="none" w:sz="0" w:space="0" w:color="auto"/>
            <w:left w:val="none" w:sz="0" w:space="0" w:color="auto"/>
            <w:bottom w:val="none" w:sz="0" w:space="0" w:color="auto"/>
            <w:right w:val="none" w:sz="0" w:space="0" w:color="auto"/>
          </w:divBdr>
        </w:div>
        <w:div w:id="9264120">
          <w:marLeft w:val="0"/>
          <w:marRight w:val="0"/>
          <w:marTop w:val="0"/>
          <w:marBottom w:val="0"/>
          <w:divBdr>
            <w:top w:val="none" w:sz="0" w:space="0" w:color="auto"/>
            <w:left w:val="none" w:sz="0" w:space="0" w:color="auto"/>
            <w:bottom w:val="none" w:sz="0" w:space="0" w:color="auto"/>
            <w:right w:val="none" w:sz="0" w:space="0" w:color="auto"/>
          </w:divBdr>
        </w:div>
        <w:div w:id="1336347872">
          <w:marLeft w:val="0"/>
          <w:marRight w:val="0"/>
          <w:marTop w:val="0"/>
          <w:marBottom w:val="0"/>
          <w:divBdr>
            <w:top w:val="none" w:sz="0" w:space="0" w:color="auto"/>
            <w:left w:val="none" w:sz="0" w:space="0" w:color="auto"/>
            <w:bottom w:val="none" w:sz="0" w:space="0" w:color="auto"/>
            <w:right w:val="none" w:sz="0" w:space="0" w:color="auto"/>
          </w:divBdr>
        </w:div>
        <w:div w:id="1983580902">
          <w:marLeft w:val="0"/>
          <w:marRight w:val="0"/>
          <w:marTop w:val="0"/>
          <w:marBottom w:val="0"/>
          <w:divBdr>
            <w:top w:val="none" w:sz="0" w:space="0" w:color="auto"/>
            <w:left w:val="none" w:sz="0" w:space="0" w:color="auto"/>
            <w:bottom w:val="none" w:sz="0" w:space="0" w:color="auto"/>
            <w:right w:val="none" w:sz="0" w:space="0" w:color="auto"/>
          </w:divBdr>
        </w:div>
        <w:div w:id="429475249">
          <w:marLeft w:val="0"/>
          <w:marRight w:val="0"/>
          <w:marTop w:val="0"/>
          <w:marBottom w:val="0"/>
          <w:divBdr>
            <w:top w:val="none" w:sz="0" w:space="0" w:color="auto"/>
            <w:left w:val="none" w:sz="0" w:space="0" w:color="auto"/>
            <w:bottom w:val="none" w:sz="0" w:space="0" w:color="auto"/>
            <w:right w:val="none" w:sz="0" w:space="0" w:color="auto"/>
          </w:divBdr>
        </w:div>
        <w:div w:id="582303583">
          <w:marLeft w:val="0"/>
          <w:marRight w:val="0"/>
          <w:marTop w:val="0"/>
          <w:marBottom w:val="0"/>
          <w:divBdr>
            <w:top w:val="none" w:sz="0" w:space="0" w:color="auto"/>
            <w:left w:val="none" w:sz="0" w:space="0" w:color="auto"/>
            <w:bottom w:val="none" w:sz="0" w:space="0" w:color="auto"/>
            <w:right w:val="none" w:sz="0" w:space="0" w:color="auto"/>
          </w:divBdr>
        </w:div>
        <w:div w:id="1181286408">
          <w:marLeft w:val="0"/>
          <w:marRight w:val="0"/>
          <w:marTop w:val="0"/>
          <w:marBottom w:val="0"/>
          <w:divBdr>
            <w:top w:val="none" w:sz="0" w:space="0" w:color="auto"/>
            <w:left w:val="none" w:sz="0" w:space="0" w:color="auto"/>
            <w:bottom w:val="none" w:sz="0" w:space="0" w:color="auto"/>
            <w:right w:val="none" w:sz="0" w:space="0" w:color="auto"/>
          </w:divBdr>
        </w:div>
        <w:div w:id="1161122955">
          <w:marLeft w:val="0"/>
          <w:marRight w:val="0"/>
          <w:marTop w:val="0"/>
          <w:marBottom w:val="0"/>
          <w:divBdr>
            <w:top w:val="none" w:sz="0" w:space="0" w:color="auto"/>
            <w:left w:val="none" w:sz="0" w:space="0" w:color="auto"/>
            <w:bottom w:val="none" w:sz="0" w:space="0" w:color="auto"/>
            <w:right w:val="none" w:sz="0" w:space="0" w:color="auto"/>
          </w:divBdr>
        </w:div>
        <w:div w:id="1846557064">
          <w:marLeft w:val="0"/>
          <w:marRight w:val="0"/>
          <w:marTop w:val="0"/>
          <w:marBottom w:val="0"/>
          <w:divBdr>
            <w:top w:val="none" w:sz="0" w:space="0" w:color="auto"/>
            <w:left w:val="none" w:sz="0" w:space="0" w:color="auto"/>
            <w:bottom w:val="none" w:sz="0" w:space="0" w:color="auto"/>
            <w:right w:val="none" w:sz="0" w:space="0" w:color="auto"/>
          </w:divBdr>
        </w:div>
        <w:div w:id="1094060023">
          <w:marLeft w:val="0"/>
          <w:marRight w:val="0"/>
          <w:marTop w:val="0"/>
          <w:marBottom w:val="0"/>
          <w:divBdr>
            <w:top w:val="none" w:sz="0" w:space="0" w:color="auto"/>
            <w:left w:val="none" w:sz="0" w:space="0" w:color="auto"/>
            <w:bottom w:val="none" w:sz="0" w:space="0" w:color="auto"/>
            <w:right w:val="none" w:sz="0" w:space="0" w:color="auto"/>
          </w:divBdr>
        </w:div>
        <w:div w:id="148136446">
          <w:marLeft w:val="0"/>
          <w:marRight w:val="0"/>
          <w:marTop w:val="0"/>
          <w:marBottom w:val="0"/>
          <w:divBdr>
            <w:top w:val="none" w:sz="0" w:space="0" w:color="auto"/>
            <w:left w:val="none" w:sz="0" w:space="0" w:color="auto"/>
            <w:bottom w:val="none" w:sz="0" w:space="0" w:color="auto"/>
            <w:right w:val="none" w:sz="0" w:space="0" w:color="auto"/>
          </w:divBdr>
        </w:div>
        <w:div w:id="48693459">
          <w:marLeft w:val="0"/>
          <w:marRight w:val="0"/>
          <w:marTop w:val="0"/>
          <w:marBottom w:val="0"/>
          <w:divBdr>
            <w:top w:val="none" w:sz="0" w:space="0" w:color="auto"/>
            <w:left w:val="none" w:sz="0" w:space="0" w:color="auto"/>
            <w:bottom w:val="none" w:sz="0" w:space="0" w:color="auto"/>
            <w:right w:val="none" w:sz="0" w:space="0" w:color="auto"/>
          </w:divBdr>
        </w:div>
        <w:div w:id="850531858">
          <w:marLeft w:val="0"/>
          <w:marRight w:val="0"/>
          <w:marTop w:val="0"/>
          <w:marBottom w:val="0"/>
          <w:divBdr>
            <w:top w:val="none" w:sz="0" w:space="0" w:color="auto"/>
            <w:left w:val="none" w:sz="0" w:space="0" w:color="auto"/>
            <w:bottom w:val="none" w:sz="0" w:space="0" w:color="auto"/>
            <w:right w:val="none" w:sz="0" w:space="0" w:color="auto"/>
          </w:divBdr>
        </w:div>
        <w:div w:id="1108937928">
          <w:marLeft w:val="0"/>
          <w:marRight w:val="0"/>
          <w:marTop w:val="0"/>
          <w:marBottom w:val="0"/>
          <w:divBdr>
            <w:top w:val="none" w:sz="0" w:space="0" w:color="auto"/>
            <w:left w:val="none" w:sz="0" w:space="0" w:color="auto"/>
            <w:bottom w:val="none" w:sz="0" w:space="0" w:color="auto"/>
            <w:right w:val="none" w:sz="0" w:space="0" w:color="auto"/>
          </w:divBdr>
        </w:div>
        <w:div w:id="1742367624">
          <w:marLeft w:val="0"/>
          <w:marRight w:val="0"/>
          <w:marTop w:val="0"/>
          <w:marBottom w:val="0"/>
          <w:divBdr>
            <w:top w:val="none" w:sz="0" w:space="0" w:color="auto"/>
            <w:left w:val="none" w:sz="0" w:space="0" w:color="auto"/>
            <w:bottom w:val="none" w:sz="0" w:space="0" w:color="auto"/>
            <w:right w:val="none" w:sz="0" w:space="0" w:color="auto"/>
          </w:divBdr>
        </w:div>
        <w:div w:id="1754543391">
          <w:marLeft w:val="0"/>
          <w:marRight w:val="0"/>
          <w:marTop w:val="0"/>
          <w:marBottom w:val="0"/>
          <w:divBdr>
            <w:top w:val="none" w:sz="0" w:space="0" w:color="auto"/>
            <w:left w:val="none" w:sz="0" w:space="0" w:color="auto"/>
            <w:bottom w:val="none" w:sz="0" w:space="0" w:color="auto"/>
            <w:right w:val="none" w:sz="0" w:space="0" w:color="auto"/>
          </w:divBdr>
        </w:div>
        <w:div w:id="1839224908">
          <w:marLeft w:val="0"/>
          <w:marRight w:val="0"/>
          <w:marTop w:val="0"/>
          <w:marBottom w:val="0"/>
          <w:divBdr>
            <w:top w:val="none" w:sz="0" w:space="0" w:color="auto"/>
            <w:left w:val="none" w:sz="0" w:space="0" w:color="auto"/>
            <w:bottom w:val="none" w:sz="0" w:space="0" w:color="auto"/>
            <w:right w:val="none" w:sz="0" w:space="0" w:color="auto"/>
          </w:divBdr>
        </w:div>
        <w:div w:id="74474654">
          <w:marLeft w:val="0"/>
          <w:marRight w:val="0"/>
          <w:marTop w:val="0"/>
          <w:marBottom w:val="0"/>
          <w:divBdr>
            <w:top w:val="none" w:sz="0" w:space="0" w:color="auto"/>
            <w:left w:val="none" w:sz="0" w:space="0" w:color="auto"/>
            <w:bottom w:val="none" w:sz="0" w:space="0" w:color="auto"/>
            <w:right w:val="none" w:sz="0" w:space="0" w:color="auto"/>
          </w:divBdr>
        </w:div>
        <w:div w:id="926422109">
          <w:marLeft w:val="0"/>
          <w:marRight w:val="0"/>
          <w:marTop w:val="0"/>
          <w:marBottom w:val="0"/>
          <w:divBdr>
            <w:top w:val="none" w:sz="0" w:space="0" w:color="auto"/>
            <w:left w:val="none" w:sz="0" w:space="0" w:color="auto"/>
            <w:bottom w:val="none" w:sz="0" w:space="0" w:color="auto"/>
            <w:right w:val="none" w:sz="0" w:space="0" w:color="auto"/>
          </w:divBdr>
        </w:div>
        <w:div w:id="806900213">
          <w:marLeft w:val="0"/>
          <w:marRight w:val="0"/>
          <w:marTop w:val="0"/>
          <w:marBottom w:val="0"/>
          <w:divBdr>
            <w:top w:val="none" w:sz="0" w:space="0" w:color="auto"/>
            <w:left w:val="none" w:sz="0" w:space="0" w:color="auto"/>
            <w:bottom w:val="none" w:sz="0" w:space="0" w:color="auto"/>
            <w:right w:val="none" w:sz="0" w:space="0" w:color="auto"/>
          </w:divBdr>
        </w:div>
        <w:div w:id="972907041">
          <w:marLeft w:val="0"/>
          <w:marRight w:val="0"/>
          <w:marTop w:val="0"/>
          <w:marBottom w:val="0"/>
          <w:divBdr>
            <w:top w:val="none" w:sz="0" w:space="0" w:color="auto"/>
            <w:left w:val="none" w:sz="0" w:space="0" w:color="auto"/>
            <w:bottom w:val="none" w:sz="0" w:space="0" w:color="auto"/>
            <w:right w:val="none" w:sz="0" w:space="0" w:color="auto"/>
          </w:divBdr>
        </w:div>
        <w:div w:id="604533691">
          <w:marLeft w:val="0"/>
          <w:marRight w:val="0"/>
          <w:marTop w:val="0"/>
          <w:marBottom w:val="0"/>
          <w:divBdr>
            <w:top w:val="none" w:sz="0" w:space="0" w:color="auto"/>
            <w:left w:val="none" w:sz="0" w:space="0" w:color="auto"/>
            <w:bottom w:val="none" w:sz="0" w:space="0" w:color="auto"/>
            <w:right w:val="none" w:sz="0" w:space="0" w:color="auto"/>
          </w:divBdr>
        </w:div>
        <w:div w:id="1795783791">
          <w:marLeft w:val="0"/>
          <w:marRight w:val="0"/>
          <w:marTop w:val="0"/>
          <w:marBottom w:val="0"/>
          <w:divBdr>
            <w:top w:val="none" w:sz="0" w:space="0" w:color="auto"/>
            <w:left w:val="none" w:sz="0" w:space="0" w:color="auto"/>
            <w:bottom w:val="none" w:sz="0" w:space="0" w:color="auto"/>
            <w:right w:val="none" w:sz="0" w:space="0" w:color="auto"/>
          </w:divBdr>
        </w:div>
        <w:div w:id="1720745611">
          <w:marLeft w:val="0"/>
          <w:marRight w:val="0"/>
          <w:marTop w:val="0"/>
          <w:marBottom w:val="0"/>
          <w:divBdr>
            <w:top w:val="none" w:sz="0" w:space="0" w:color="auto"/>
            <w:left w:val="none" w:sz="0" w:space="0" w:color="auto"/>
            <w:bottom w:val="none" w:sz="0" w:space="0" w:color="auto"/>
            <w:right w:val="none" w:sz="0" w:space="0" w:color="auto"/>
          </w:divBdr>
        </w:div>
        <w:div w:id="926426064">
          <w:marLeft w:val="0"/>
          <w:marRight w:val="0"/>
          <w:marTop w:val="0"/>
          <w:marBottom w:val="0"/>
          <w:divBdr>
            <w:top w:val="none" w:sz="0" w:space="0" w:color="auto"/>
            <w:left w:val="none" w:sz="0" w:space="0" w:color="auto"/>
            <w:bottom w:val="none" w:sz="0" w:space="0" w:color="auto"/>
            <w:right w:val="none" w:sz="0" w:space="0" w:color="auto"/>
          </w:divBdr>
        </w:div>
        <w:div w:id="55861410">
          <w:marLeft w:val="0"/>
          <w:marRight w:val="0"/>
          <w:marTop w:val="0"/>
          <w:marBottom w:val="0"/>
          <w:divBdr>
            <w:top w:val="none" w:sz="0" w:space="0" w:color="auto"/>
            <w:left w:val="none" w:sz="0" w:space="0" w:color="auto"/>
            <w:bottom w:val="none" w:sz="0" w:space="0" w:color="auto"/>
            <w:right w:val="none" w:sz="0" w:space="0" w:color="auto"/>
          </w:divBdr>
        </w:div>
        <w:div w:id="1121001256">
          <w:marLeft w:val="0"/>
          <w:marRight w:val="0"/>
          <w:marTop w:val="0"/>
          <w:marBottom w:val="0"/>
          <w:divBdr>
            <w:top w:val="none" w:sz="0" w:space="0" w:color="auto"/>
            <w:left w:val="none" w:sz="0" w:space="0" w:color="auto"/>
            <w:bottom w:val="none" w:sz="0" w:space="0" w:color="auto"/>
            <w:right w:val="none" w:sz="0" w:space="0" w:color="auto"/>
          </w:divBdr>
        </w:div>
        <w:div w:id="1339115561">
          <w:marLeft w:val="0"/>
          <w:marRight w:val="0"/>
          <w:marTop w:val="0"/>
          <w:marBottom w:val="0"/>
          <w:divBdr>
            <w:top w:val="none" w:sz="0" w:space="0" w:color="auto"/>
            <w:left w:val="none" w:sz="0" w:space="0" w:color="auto"/>
            <w:bottom w:val="none" w:sz="0" w:space="0" w:color="auto"/>
            <w:right w:val="none" w:sz="0" w:space="0" w:color="auto"/>
          </w:divBdr>
        </w:div>
        <w:div w:id="1491404005">
          <w:marLeft w:val="0"/>
          <w:marRight w:val="0"/>
          <w:marTop w:val="0"/>
          <w:marBottom w:val="0"/>
          <w:divBdr>
            <w:top w:val="none" w:sz="0" w:space="0" w:color="auto"/>
            <w:left w:val="none" w:sz="0" w:space="0" w:color="auto"/>
            <w:bottom w:val="none" w:sz="0" w:space="0" w:color="auto"/>
            <w:right w:val="none" w:sz="0" w:space="0" w:color="auto"/>
          </w:divBdr>
        </w:div>
        <w:div w:id="1230992982">
          <w:marLeft w:val="0"/>
          <w:marRight w:val="0"/>
          <w:marTop w:val="0"/>
          <w:marBottom w:val="0"/>
          <w:divBdr>
            <w:top w:val="none" w:sz="0" w:space="0" w:color="auto"/>
            <w:left w:val="none" w:sz="0" w:space="0" w:color="auto"/>
            <w:bottom w:val="none" w:sz="0" w:space="0" w:color="auto"/>
            <w:right w:val="none" w:sz="0" w:space="0" w:color="auto"/>
          </w:divBdr>
        </w:div>
        <w:div w:id="2131315067">
          <w:marLeft w:val="0"/>
          <w:marRight w:val="0"/>
          <w:marTop w:val="0"/>
          <w:marBottom w:val="0"/>
          <w:divBdr>
            <w:top w:val="none" w:sz="0" w:space="0" w:color="auto"/>
            <w:left w:val="none" w:sz="0" w:space="0" w:color="auto"/>
            <w:bottom w:val="none" w:sz="0" w:space="0" w:color="auto"/>
            <w:right w:val="none" w:sz="0" w:space="0" w:color="auto"/>
          </w:divBdr>
        </w:div>
        <w:div w:id="153300107">
          <w:marLeft w:val="0"/>
          <w:marRight w:val="0"/>
          <w:marTop w:val="0"/>
          <w:marBottom w:val="0"/>
          <w:divBdr>
            <w:top w:val="none" w:sz="0" w:space="0" w:color="auto"/>
            <w:left w:val="none" w:sz="0" w:space="0" w:color="auto"/>
            <w:bottom w:val="none" w:sz="0" w:space="0" w:color="auto"/>
            <w:right w:val="none" w:sz="0" w:space="0" w:color="auto"/>
          </w:divBdr>
        </w:div>
        <w:div w:id="170409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vbl_detail_text?anw_nr=7&amp;vd_id=19740&amp;ver=8&amp;val=19740&amp;sg=0&amp;menu=0&amp;vd_back=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40138-15A8-4E4B-B0E8-9E16E3B8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660</Words>
  <Characters>4350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3</cp:revision>
  <cp:lastPrinted>2016-10-13T11:12:00Z</cp:lastPrinted>
  <dcterms:created xsi:type="dcterms:W3CDTF">2023-08-22T07:35:00Z</dcterms:created>
  <dcterms:modified xsi:type="dcterms:W3CDTF">2024-07-10T12:51:00Z</dcterms:modified>
</cp:coreProperties>
</file>