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7908936"/>
      <w:r>
        <w:t>Gesetz über ergänzende Vorschriften zu Rechtsbehelfen in</w:t>
      </w:r>
      <w:r>
        <w:br/>
        <w:t>Umweltangelegenheiten nach der EG-Richtlinie 2003/35/EG</w:t>
      </w:r>
      <w:r>
        <w:br/>
        <w:t>- Umwelt-Rechtsbehelfsges</w:t>
      </w:r>
      <w:bookmarkStart w:id="1" w:name="_GoBack"/>
      <w:bookmarkEnd w:id="1"/>
      <w:r>
        <w:t>etz - UmwRG -</w:t>
      </w:r>
      <w:r>
        <w:rPr>
          <w:rStyle w:val="Funotenzeichen"/>
        </w:rPr>
        <w:footnoteReference w:id="1"/>
      </w:r>
      <w:bookmarkEnd w:id="0"/>
    </w:p>
    <w:p>
      <w:pPr>
        <w:pStyle w:val="GesAbsatz"/>
        <w:jc w:val="center"/>
      </w:pPr>
      <w:r>
        <w:t>vom 7. Dezember 2006</w:t>
      </w:r>
    </w:p>
    <w:p>
      <w:pPr>
        <w:pStyle w:val="GesAbsatz"/>
        <w:rPr>
          <w:b/>
          <w:i/>
          <w:color w:val="FF0000"/>
          <w:sz w:val="22"/>
          <w:szCs w:val="22"/>
        </w:rPr>
      </w:pPr>
      <w:r>
        <w:rPr>
          <w:b/>
          <w:i/>
          <w:color w:val="FF0000"/>
          <w:sz w:val="22"/>
          <w:szCs w:val="22"/>
        </w:rPr>
        <w:t>Das Gesetz wurde neugefasst durch Bekanntmachung vom 08.04.2013 BGBl. I S. 753.</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347908936" w:history="1">
        <w:r>
          <w:rPr>
            <w:rStyle w:val="Hyperlink"/>
            <w:noProof/>
          </w:rPr>
          <w:t>Umwelt-Rechtsbehelfsgesetz - UmwRG -</w:t>
        </w:r>
        <w:r>
          <w:rPr>
            <w:noProof/>
            <w:webHidden/>
          </w:rPr>
          <w:tab/>
        </w:r>
        <w:r>
          <w:rPr>
            <w:noProof/>
            <w:webHidden/>
          </w:rPr>
          <w:fldChar w:fldCharType="begin"/>
        </w:r>
        <w:r>
          <w:rPr>
            <w:noProof/>
            <w:webHidden/>
          </w:rPr>
          <w:instrText xml:space="preserve"> PAGEREF _Toc347908936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47908937" w:history="1">
        <w:r>
          <w:rPr>
            <w:rStyle w:val="Hyperlink"/>
            <w:noProof/>
          </w:rPr>
          <w:t>§ 1 Anwendungsbereich</w:t>
        </w:r>
        <w:r>
          <w:rPr>
            <w:noProof/>
            <w:webHidden/>
          </w:rPr>
          <w:tab/>
        </w:r>
        <w:r>
          <w:rPr>
            <w:noProof/>
            <w:webHidden/>
          </w:rPr>
          <w:fldChar w:fldCharType="begin"/>
        </w:r>
        <w:r>
          <w:rPr>
            <w:noProof/>
            <w:webHidden/>
          </w:rPr>
          <w:instrText xml:space="preserve"> PAGEREF _Toc347908937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47908938" w:history="1">
        <w:r>
          <w:rPr>
            <w:rStyle w:val="Hyperlink"/>
            <w:noProof/>
          </w:rPr>
          <w:t>§ 2 Rechtsbehelfe von Vereinigungen</w:t>
        </w:r>
        <w:r>
          <w:rPr>
            <w:noProof/>
            <w:webHidden/>
          </w:rPr>
          <w:tab/>
        </w:r>
        <w:r>
          <w:rPr>
            <w:noProof/>
            <w:webHidden/>
          </w:rPr>
          <w:fldChar w:fldCharType="begin"/>
        </w:r>
        <w:r>
          <w:rPr>
            <w:noProof/>
            <w:webHidden/>
          </w:rPr>
          <w:instrText xml:space="preserve"> PAGEREF _Toc347908938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47908939" w:history="1">
        <w:r>
          <w:rPr>
            <w:rStyle w:val="Hyperlink"/>
            <w:noProof/>
          </w:rPr>
          <w:t>§ 3 Anerkennung von Vereinigungen</w:t>
        </w:r>
        <w:r>
          <w:rPr>
            <w:noProof/>
            <w:webHidden/>
          </w:rPr>
          <w:tab/>
        </w:r>
        <w:r>
          <w:rPr>
            <w:noProof/>
            <w:webHidden/>
          </w:rPr>
          <w:fldChar w:fldCharType="begin"/>
        </w:r>
        <w:r>
          <w:rPr>
            <w:noProof/>
            <w:webHidden/>
          </w:rPr>
          <w:instrText xml:space="preserve"> PAGEREF _Toc347908939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47908940" w:history="1">
        <w:r>
          <w:rPr>
            <w:rStyle w:val="Hyperlink"/>
            <w:noProof/>
          </w:rPr>
          <w:t>§ 4 Fehler bei der Anwendung von Verfahrensvorschriften</w:t>
        </w:r>
        <w:r>
          <w:rPr>
            <w:noProof/>
            <w:webHidden/>
          </w:rPr>
          <w:tab/>
        </w:r>
        <w:r>
          <w:rPr>
            <w:noProof/>
            <w:webHidden/>
          </w:rPr>
          <w:fldChar w:fldCharType="begin"/>
        </w:r>
        <w:r>
          <w:rPr>
            <w:noProof/>
            <w:webHidden/>
          </w:rPr>
          <w:instrText xml:space="preserve"> PAGEREF _Toc347908940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47908941" w:history="1">
        <w:r>
          <w:rPr>
            <w:rStyle w:val="Hyperlink"/>
            <w:noProof/>
          </w:rPr>
          <w:t>§ 4a Maßgaben zur Anwendung der Verwaltungsgerichtsordnung</w:t>
        </w:r>
        <w:r>
          <w:rPr>
            <w:noProof/>
            <w:webHidden/>
          </w:rPr>
          <w:tab/>
        </w:r>
        <w:r>
          <w:rPr>
            <w:noProof/>
            <w:webHidden/>
          </w:rPr>
          <w:fldChar w:fldCharType="begin"/>
        </w:r>
        <w:r>
          <w:rPr>
            <w:noProof/>
            <w:webHidden/>
          </w:rPr>
          <w:instrText xml:space="preserve"> PAGEREF _Toc347908941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47908942" w:history="1">
        <w:r>
          <w:rPr>
            <w:rStyle w:val="Hyperlink"/>
            <w:noProof/>
          </w:rPr>
          <w:t>§ 5 Übergangs- und Überleitungsvorschrift</w:t>
        </w:r>
        <w:r>
          <w:rPr>
            <w:noProof/>
            <w:webHidden/>
          </w:rPr>
          <w:tab/>
        </w:r>
        <w:r>
          <w:rPr>
            <w:noProof/>
            <w:webHidden/>
          </w:rPr>
          <w:fldChar w:fldCharType="begin"/>
        </w:r>
        <w:r>
          <w:rPr>
            <w:noProof/>
            <w:webHidden/>
          </w:rPr>
          <w:instrText xml:space="preserve"> PAGEREF _Toc347908942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47908943" w:history="1">
        <w:r>
          <w:rPr>
            <w:rStyle w:val="Hyperlink"/>
            <w:noProof/>
          </w:rPr>
          <w:t>§ 6 Inkrafttreten</w:t>
        </w:r>
        <w:r>
          <w:rPr>
            <w:noProof/>
            <w:webHidden/>
          </w:rPr>
          <w:tab/>
        </w:r>
        <w:r>
          <w:rPr>
            <w:noProof/>
            <w:webHidden/>
          </w:rPr>
          <w:fldChar w:fldCharType="begin"/>
        </w:r>
        <w:r>
          <w:rPr>
            <w:noProof/>
            <w:webHidden/>
          </w:rPr>
          <w:instrText xml:space="preserve"> PAGEREF _Toc347908943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color w:val="auto"/>
        </w:rPr>
        <w:fldChar w:fldCharType="end"/>
      </w:r>
    </w:p>
    <w:p>
      <w:pPr>
        <w:pStyle w:val="berschrift3"/>
      </w:pPr>
      <w:bookmarkStart w:id="2" w:name="_Toc347908937"/>
      <w:r>
        <w:t>§ 1</w:t>
      </w:r>
      <w:r>
        <w:br/>
        <w:t>Anwendungsbereich</w:t>
      </w:r>
      <w:bookmarkEnd w:id="2"/>
    </w:p>
    <w:p>
      <w:pPr>
        <w:pStyle w:val="GesAbsatz"/>
      </w:pPr>
      <w:r>
        <w:t>(1) Dieses Gesetz findet Anwendung für Rechtsbehelfe gegen</w:t>
      </w:r>
    </w:p>
    <w:p>
      <w:pPr>
        <w:pStyle w:val="GesAbsatz"/>
        <w:ind w:left="426" w:hanging="426"/>
      </w:pPr>
      <w:r>
        <w:t>1.</w:t>
      </w:r>
      <w:r>
        <w:tab/>
        <w:t>Entscheidungen im Sinne von § 2 Abs. 3 des Gesetzes über die Umweltverträglichkeitsprüfung über die Zulässigkeit von Vorhaben, für die nach</w:t>
      </w:r>
    </w:p>
    <w:p>
      <w:pPr>
        <w:pStyle w:val="GesAbsatz"/>
        <w:tabs>
          <w:tab w:val="clear" w:pos="425"/>
        </w:tabs>
        <w:ind w:left="851" w:hanging="425"/>
      </w:pPr>
      <w:r>
        <w:t>a)</w:t>
      </w:r>
      <w:r>
        <w:tab/>
        <w:t>dem Gesetz über die Umweltverträglichkeitsprüfung,</w:t>
      </w:r>
    </w:p>
    <w:p>
      <w:pPr>
        <w:pStyle w:val="GesAbsatz"/>
        <w:tabs>
          <w:tab w:val="clear" w:pos="425"/>
        </w:tabs>
        <w:ind w:left="851" w:hanging="425"/>
      </w:pPr>
      <w:r>
        <w:t>b)</w:t>
      </w:r>
      <w:r>
        <w:tab/>
        <w:t>der Verordnung über die Umweltverträglichkeitsprüfung bergbaulicher Vorhaben oder</w:t>
      </w:r>
    </w:p>
    <w:p>
      <w:pPr>
        <w:pStyle w:val="GesAbsatz"/>
        <w:tabs>
          <w:tab w:val="clear" w:pos="425"/>
        </w:tabs>
        <w:ind w:left="851" w:hanging="425"/>
      </w:pPr>
      <w:r>
        <w:t>c)</w:t>
      </w:r>
      <w:r>
        <w:tab/>
        <w:t>landesrechtlichen Vorschriften</w:t>
      </w:r>
    </w:p>
    <w:p>
      <w:pPr>
        <w:pStyle w:val="GesAbsatz"/>
        <w:ind w:left="426"/>
      </w:pPr>
      <w:r>
        <w:t>eine Pflicht zur Durchführung einer Umweltverträglichkeitsprüfung (UVP) bestehen kann;</w:t>
      </w:r>
    </w:p>
    <w:p>
      <w:pPr>
        <w:pStyle w:val="GesAbsatz"/>
        <w:ind w:left="426" w:hanging="426"/>
      </w:pPr>
      <w:r>
        <w:t>2.</w:t>
      </w:r>
      <w:r>
        <w:tab/>
        <w:t>Genehmigungen für Anlagen, die in Spalte c des Anhangs 1 der Verordnung über genehmigungsbedürftige Anlagen mit dem Buchstaben G gekennzeichnet sind, gegen Entscheidungen nach § 17 Abs. 1a des Bundes-Immissionsschutzgesetzes, gegen Erlaubnisse nach § 8 Absatz 1 des Wasserhaushaltsgesetzes für Gewässerbenutzungen, die mit einem Vorhaben im Sinne der Richtlinie 2010/75/EU des Europäischen Parlaments und des Rates vom 24. November 2010 über Industrieemissionen (integrierte Vermeidung und Verminderung der Umweltverschmutzung) (Neufassung) (ABl. L 334 vom 17.12.2010, S. 17) verbunden sind, sowie gegen Planfeststellungsbeschlüsse für Deponien nach § 35 Absatz 2 des Kreislaufwirtschaftsgesetzes;</w:t>
      </w:r>
    </w:p>
    <w:p>
      <w:pPr>
        <w:pStyle w:val="GesAbsatz"/>
        <w:ind w:left="426" w:hanging="426"/>
      </w:pPr>
      <w:r>
        <w:t>3.</w:t>
      </w:r>
      <w:r>
        <w:tab/>
        <w:t>Entscheidungen nach dem Umweltschadensgesetz.</w:t>
      </w:r>
    </w:p>
    <w:p>
      <w:pPr>
        <w:pStyle w:val="GesAbsatz"/>
      </w:pPr>
      <w:r>
        <w:t>Dieses Gesetz findet auch Anwendung, wenn entgegen geltenden Rechtsvorschriften keine Entscheidung nach Satz 1 getroffen worden ist. § 15 Abs. 5 und § 16 Abs. 3 des Gesetzes über die Umweltverträglichkeitsprüfung und § 44a der Verwaltungsgerichtsordnung bleiben unberührt. Die Sätze 1 und 2 gelten nicht, wenn eine Entscheidung im Sinne dieses Absatzes auf Grund einer Entscheidung in einem verwaltungsgerichtlichen Streitverfahren erlassen worden ist.</w:t>
      </w:r>
    </w:p>
    <w:p>
      <w:pPr>
        <w:pStyle w:val="GesAbsatz"/>
      </w:pPr>
      <w:r>
        <w:t>(2) Dieses Gesetz gilt auch im Bereich der ausschließlichen Wirtschaftszone oder des Festlandsockels im Rahmen der Vorgaben des Seerechtsübereinkommens der Vereinten Nationen vom 10. Dezember 1982 (BGBl. 1994 II S. 1799, 1995 II S. 602).</w:t>
      </w:r>
    </w:p>
    <w:p>
      <w:pPr>
        <w:pStyle w:val="GesAbsatz"/>
      </w:pPr>
      <w:r>
        <w:lastRenderedPageBreak/>
        <w:t>(3) Soweit in Planfeststellungsverfahren, die Absatz 1 Satz 1 Nummer 1 oder 2 unterfallen, Rechtsbehelfe nach diesem Gesetz eröffnet sind, wird § 64 Absatz 1 des Bundesnaturschutzgesetzes nicht angewendet.</w:t>
      </w:r>
    </w:p>
    <w:p>
      <w:pPr>
        <w:pStyle w:val="berschrift3"/>
      </w:pPr>
      <w:bookmarkStart w:id="3" w:name="_Toc347908938"/>
      <w:r>
        <w:t>§ 2</w:t>
      </w:r>
      <w:r>
        <w:br/>
        <w:t>Rechtsbehelfe von Vereinigungen</w:t>
      </w:r>
      <w:bookmarkEnd w:id="3"/>
    </w:p>
    <w:p>
      <w:pPr>
        <w:pStyle w:val="GesAbsatz"/>
      </w:pPr>
      <w:r>
        <w:t xml:space="preserve">(1) Eine nach § 3 anerkannte inländische oder ausländische Vereinigung kann, ohne eine Verletzung in eigenen Rechten geltend machen zu müssen, Rechtsbehelfe nach Maßgabe der Verwaltungsgerichtsordnung gegen eine Entscheidung nach § 1 Abs. 1 Satz 1 oder deren Unterlassen einlegen, wenn die Vereinigung </w:t>
      </w:r>
    </w:p>
    <w:p>
      <w:pPr>
        <w:pStyle w:val="GesAbsatz"/>
        <w:ind w:left="426" w:hanging="426"/>
      </w:pPr>
      <w:r>
        <w:t>1.</w:t>
      </w:r>
      <w:r>
        <w:tab/>
        <w:t>geltend macht, dass eine Entscheidung nach § 1 Abs. 1 Satz 1 oder deren Unterlassen Rechtsvorschriften, die dem Umweltschutz dienen und für die Entscheidung von Bedeutung sein können, widerspricht,</w:t>
      </w:r>
    </w:p>
    <w:p>
      <w:pPr>
        <w:pStyle w:val="GesAbsatz"/>
        <w:ind w:left="426" w:hanging="426"/>
      </w:pPr>
      <w:r>
        <w:t>2.</w:t>
      </w:r>
      <w:r>
        <w:tab/>
        <w:t>geltend macht, in ihrem satzungsgemäßen Aufgabenbereich der Förderung der Ziele des Umweltschutzes durch die Entscheidung nach § 1 Abs. 1 Satz 1 oder deren Unterlassen berührt zu sein, und</w:t>
      </w:r>
    </w:p>
    <w:p>
      <w:pPr>
        <w:pStyle w:val="GesAbsatz"/>
        <w:ind w:left="426" w:hanging="426"/>
      </w:pPr>
      <w:r>
        <w:t>3.</w:t>
      </w:r>
      <w:r>
        <w:tab/>
        <w:t>zur Beteiligung in einem Verfahren nach § 1 Absatz 1 Satz 1 berechtigt war und sie sich hierbei in der Sache gemäß den geltenden Rechtsvorschriften geäußert hat oder ihr entgegen den geltenden Rechtsvorschriften keine Gelegenheit zur Äußerung gegeben worden ist.</w:t>
      </w:r>
    </w:p>
    <w:p>
      <w:pPr>
        <w:pStyle w:val="GesAbsatz"/>
      </w:pPr>
      <w:r>
        <w:t>(2) Eine Vereinigung, die nicht nach § 3 anerkannt ist, kann einen Rechtsbehelf nach Absatz 1 nur dann einlegen, wenn</w:t>
      </w:r>
    </w:p>
    <w:p>
      <w:pPr>
        <w:pStyle w:val="GesAbsatz"/>
        <w:ind w:left="426" w:hanging="426"/>
      </w:pPr>
      <w:r>
        <w:t>1.</w:t>
      </w:r>
      <w:r>
        <w:tab/>
        <w:t>sie bei Einlegung des Rechtsbehelfs die Voraussetzungen für eine Anerkennung erfüllt,</w:t>
      </w:r>
    </w:p>
    <w:p>
      <w:pPr>
        <w:pStyle w:val="GesAbsatz"/>
        <w:ind w:left="426" w:hanging="426"/>
      </w:pPr>
      <w:r>
        <w:t>2.</w:t>
      </w:r>
      <w:r>
        <w:tab/>
        <w:t>sie einen Antrag auf Anerkennung gestellt hat und</w:t>
      </w:r>
    </w:p>
    <w:p>
      <w:pPr>
        <w:pStyle w:val="GesAbsatz"/>
        <w:ind w:left="426" w:hanging="426"/>
      </w:pPr>
      <w:r>
        <w:t>3.</w:t>
      </w:r>
      <w:r>
        <w:tab/>
        <w:t>über eine Anerkennung aus Gründen, die von der Vereinigung nicht zu vertreten sind, noch nicht entschieden ist.</w:t>
      </w:r>
    </w:p>
    <w:p>
      <w:pPr>
        <w:pStyle w:val="GesAbsatz"/>
      </w:pPr>
      <w:r>
        <w:t>Bei einer ausländischen Vereinigung gelten die Voraussetzungen der Nummer 3 als erfüllt. Mit der Bestandskraft einer die Anerkennung versagenden Entscheidung wird der Rechtsbehelf unzulässig.</w:t>
      </w:r>
    </w:p>
    <w:p>
      <w:pPr>
        <w:pStyle w:val="GesAbsatz"/>
      </w:pPr>
      <w:r>
        <w:t>(3) Hat die Vereinigung im Verfahren nach § 1 Absatz 1 Satz 1 Gelegenheit zur Äußerung gehabt, ist sie im Verfahren über den Rechtsbehelf mit allen Einwendungen ausgeschlossen, die sie im Verfahren nach § 1 Abs. 1 nicht oder nach den geltenden Rechtsvorschriften nicht rechtzeitig geltend gemacht hat, aber hätte geltend machen können.</w:t>
      </w:r>
    </w:p>
    <w:p>
      <w:pPr>
        <w:pStyle w:val="GesAbsatz"/>
      </w:pPr>
      <w:r>
        <w:t>(4) Ist eine Entscheidung nach § 1 Abs. 1 Satz 1 nach den geltenden Rechtsvorschriften weder öffentlich bekannt gemacht noch der Vereinigung bekannt gegeben worden, müssen Widerspruch oder Klage binnen eines Jahres erhoben werden, nachdem die Vereinigung von der Entscheidung Kenntnis erlangt hat oder hätte erlangen können. Satz 1 gilt entsprechend, wenn eine Entscheidung nach § 1 Abs. 1 Satz 1 entgegen geltenden Rechtsvorschriften nicht getroffen worden ist und die Vereinigung von diesem Umstand Kenntnis erlangt hat oder hätte erlangen können. Für Bebauungspläne gilt § 47 Abs. 2 Satz 1 der Verwaltungsgerichtsordnung.</w:t>
      </w:r>
    </w:p>
    <w:p>
      <w:pPr>
        <w:pStyle w:val="GesAbsatz"/>
      </w:pPr>
      <w:r>
        <w:t>(5) Rechtsbehelfe nach Absatz 1 sind begründet,</w:t>
      </w:r>
    </w:p>
    <w:p>
      <w:pPr>
        <w:pStyle w:val="GesAbsatz"/>
        <w:ind w:left="426" w:hanging="426"/>
      </w:pPr>
      <w:r>
        <w:t>1.</w:t>
      </w:r>
      <w:r>
        <w:tab/>
        <w:t>soweit die Entscheidung nach § 1 Absatz 1 Satz 1 oder deren Unterlassen gegen Rechtsvorschriften verstößt, die dem Umweltschutz dienen und für die Entscheidung von Bedeutung sind,</w:t>
      </w:r>
    </w:p>
    <w:p>
      <w:pPr>
        <w:pStyle w:val="GesAbsatz"/>
        <w:ind w:left="426" w:hanging="426"/>
      </w:pPr>
      <w:r>
        <w:t>2.</w:t>
      </w:r>
      <w:r>
        <w:tab/>
        <w:t>bei Rechtsbehelfen in Bezug auf Bebauungspläne, soweit die Festsetzungen des Bebauungsplans, die die Zulässigkeit eines UVP-pflichtigen Vorhabens begründen, gegen Rechtsvorschriften verstoßen, die dem Umweltschutz dienen,</w:t>
      </w:r>
    </w:p>
    <w:p>
      <w:pPr>
        <w:pStyle w:val="GesAbsatz"/>
      </w:pPr>
      <w:r>
        <w:t>und der Verstoß Belange des Umweltschutzes berührt, die zu den Zielen gehören, die die Vereinigung nach ihrer Satzung fördert.</w:t>
      </w:r>
    </w:p>
    <w:p>
      <w:pPr>
        <w:pStyle w:val="GesAbsatz"/>
      </w:pPr>
      <w:r>
        <w:t>Bei Entscheidungen nach § 1 Abs. 1 Nr. 1 muss zudem eine Pflicht zur Durchführung einer Umweltverträglichkeitsprüfung bestehen.</w:t>
      </w:r>
    </w:p>
    <w:p>
      <w:pPr>
        <w:pStyle w:val="berschrift3"/>
      </w:pPr>
      <w:bookmarkStart w:id="4" w:name="_Toc347908939"/>
      <w:r>
        <w:t>§ 3</w:t>
      </w:r>
      <w:r>
        <w:br/>
        <w:t>Anerkennung von Vereinigungen</w:t>
      </w:r>
      <w:bookmarkEnd w:id="4"/>
    </w:p>
    <w:p>
      <w:pPr>
        <w:pStyle w:val="GesAbsatz"/>
      </w:pPr>
      <w:r>
        <w:t>(1) Auf Antrag wird einer inländischen oder ausländischen Vereinigung die Anerkennung zur Einlegung von Rechtsbehelfen nach diesem Gesetz erteilt. Die Anerkennung ist zu erteilen, wenn die Vereinigung</w:t>
      </w:r>
    </w:p>
    <w:p>
      <w:pPr>
        <w:pStyle w:val="GesAbsatz"/>
        <w:ind w:left="426" w:hanging="426"/>
      </w:pPr>
      <w:r>
        <w:t>1.</w:t>
      </w:r>
      <w:r>
        <w:tab/>
        <w:t>nach ihrer Satzung ideell und nicht nur vorübergehend vorwiegend die Ziele des Umweltschutzes fördert,</w:t>
      </w:r>
    </w:p>
    <w:p>
      <w:pPr>
        <w:pStyle w:val="GesAbsatz"/>
        <w:ind w:left="426" w:hanging="426"/>
      </w:pPr>
      <w:r>
        <w:t>2.</w:t>
      </w:r>
      <w:r>
        <w:tab/>
        <w:t>im Zeitpunkt der Anerkennung mindestens drei Jahre besteht und in diesem Zeitraum im Sinne der Nummer 1 tätig gewesen ist,</w:t>
      </w:r>
    </w:p>
    <w:p>
      <w:pPr>
        <w:pStyle w:val="GesAbsatz"/>
        <w:ind w:left="426" w:hanging="426"/>
      </w:pPr>
      <w:r>
        <w:t>3.</w:t>
      </w:r>
      <w:r>
        <w:tab/>
        <w:t>die Gewähr für eine sachgerechte Aufgabenerfüllung bietet; dabei sind Art und Umfang ihrer bisherigen Tätigkeit, der Mitgliederkreis sowie die Leistungsfähigkeit der Vereinigung zu berücksichtigen,</w:t>
      </w:r>
    </w:p>
    <w:p>
      <w:pPr>
        <w:pStyle w:val="GesAbsatz"/>
        <w:ind w:left="426" w:hanging="426"/>
      </w:pPr>
      <w:r>
        <w:lastRenderedPageBreak/>
        <w:t>4.</w:t>
      </w:r>
      <w:r>
        <w:tab/>
        <w:t>gemeinnützige Zwecke im Sinne von § 52 der Abgabenordnung verfolgt und</w:t>
      </w:r>
    </w:p>
    <w:p>
      <w:pPr>
        <w:pStyle w:val="GesAbsatz"/>
        <w:ind w:left="426" w:hanging="426"/>
      </w:pPr>
      <w:r>
        <w:t>5.</w:t>
      </w:r>
      <w:r>
        <w:tab/>
        <w:t>jeder Person den Eintritt als Mitglied ermöglicht, die die Ziele der Vereinigung unterstützt; Mitglieder sind Personen, die mit dem Eintritt volles Stimmrecht in der Mitgliederversammlung der Vereinigung erhalten; bei Vereinigungen, deren Mitgliederkreis zu mindestens drei Vierteln aus juristischen Personen besteht, kann von der Voraussetzung nach Halbsatz 1 abgesehen werden, sofern die Mehrzahl dieser juristischen Personen diese Voraussetzung erfüllt.</w:t>
      </w:r>
    </w:p>
    <w:p>
      <w:pPr>
        <w:pStyle w:val="GesAbsatz"/>
      </w:pPr>
      <w:r>
        <w:t>In der Anerkennung ist der satzungsgemäße Aufgabenbereich, für den die Anerkennung gilt, zu bezeichnen; dabei ist insbesondere anzugeben, ob die Vereinigung im Schwerpunkt die Ziele des Naturschutzes und der Landschaftspflege fördert. Die Anerkennung kann, auch nachträglich, mit der Auflage verbunden werden, dass Satzungsänderungen mitzuteilen sind. Sie kann ferner auch öffentlich bekannt gemacht werden. In den Fällen des Absatzes 3 ist bei einer Vereinigung, die im Schwerpunkt die Ziele des Naturschutzes und der Landschaftspflege fördert, in der Anerkennung darüber hinaus anzugeben, ob sie nach ihrer Satzung landesweit tätig ist.</w:t>
      </w:r>
    </w:p>
    <w:p>
      <w:pPr>
        <w:pStyle w:val="GesAbsatz"/>
      </w:pPr>
      <w:r>
        <w:t>(2) Für eine ausländische Vereinigung sowie für eine Vereinigung mit einem Tätigkeitsbereich, der über das Gebiet eines Landes hinausgeht, wird die Anerkennung durch das Umweltbundesamt ausgesprochen. Bei der Anerkennung einer Vereinigung nach Satz 1, die im Schwerpunkt die Ziele des Naturschutzes und der Landschaftspflege fördert, ergeht diese Anerkennung im Einvernehmen mit dem Bundesamt für Naturschutz.</w:t>
      </w:r>
    </w:p>
    <w:p>
      <w:pPr>
        <w:pStyle w:val="GesAbsatz"/>
      </w:pPr>
      <w:r>
        <w:t>(3) Für eine inländische Vereinigung mit einem Tätigkeitsbereich, der nicht über das Gebiet eines Landes hinausgeht, wird die Anerkennung durch die zuständige Behörde des Landes ausgesprochen.</w:t>
      </w:r>
    </w:p>
    <w:p>
      <w:pPr>
        <w:pStyle w:val="berschrift3"/>
      </w:pPr>
      <w:bookmarkStart w:id="5" w:name="_Toc347908940"/>
      <w:r>
        <w:t>§ 4</w:t>
      </w:r>
      <w:r>
        <w:br/>
        <w:t>Fehler bei der Anwendung von Verfahrensvorschriften</w:t>
      </w:r>
      <w:bookmarkEnd w:id="5"/>
    </w:p>
    <w:p>
      <w:pPr>
        <w:pStyle w:val="GesAbsatz"/>
      </w:pPr>
      <w:r>
        <w:t>(1) Die Aufhebung einer Entscheidung über die Zulässigkeit eines Vorhabens nach § 1 Abs. 1 Satz 1 Nr. 1 kann verlangt werden, wenn eine nach den Bestimmungen des Gesetzes über die Umweltverträglichkeitsprüfung, nach der Verordnung über die Umweltverträglichkeitsprüfung bergbaulicher Vorhaben oder nach entsprechenden landesrechtlichen Vorschriften</w:t>
      </w:r>
    </w:p>
    <w:p>
      <w:pPr>
        <w:pStyle w:val="GesAbsatz"/>
        <w:ind w:left="426" w:hanging="426"/>
      </w:pPr>
      <w:r>
        <w:t>1.</w:t>
      </w:r>
      <w:r>
        <w:tab/>
        <w:t>erforderliche Umweltverträglichkeitsprüfung oder</w:t>
      </w:r>
    </w:p>
    <w:p>
      <w:pPr>
        <w:pStyle w:val="GesAbsatz"/>
        <w:ind w:left="426" w:hanging="426"/>
      </w:pPr>
      <w:r>
        <w:t>2.</w:t>
      </w:r>
      <w:r>
        <w:tab/>
        <w:t>erforderliche Vorprüfung des Einzelfalls über die UVP-Pflichtigkeit nicht durchgeführt worden und nicht nachgeholt worden ist.</w:t>
      </w:r>
    </w:p>
    <w:p>
      <w:pPr>
        <w:pStyle w:val="GesAbsatz"/>
      </w:pPr>
      <w:r>
        <w:t>Satz 1 Nummer 1 gilt auch, wenn eine durchgeführte Vorprüfung des Einzelfalls über die UVP-Pflichtigkeit nicht dem Maßstab von § 3a Satz 4 des Gesetzes über die Umweltverträglichkeitsprüfung genügt. § 45 Abs. 2 des Verwaltungsverfahrensgesetzes und andere entsprechende Rechtsvorschriften bleiben unberührt; die Möglichkeit der Aussetzung des gerichtlichen Verfahrens zur Heilung eines Verfahrensfehlers bleibt unberührt.</w:t>
      </w:r>
    </w:p>
    <w:p>
      <w:pPr>
        <w:pStyle w:val="GesAbsatz"/>
      </w:pPr>
      <w:r>
        <w:t>(2) Soweit Gegenstand der gerichtlichen Überprüfung Beschlüsse im Sinne des § 2 Abs. 3 Nr. 3 des Gesetzes über die Umweltverträglichkeitsprüfung sind, gelten abweichend von Absatz 1 die §§ 214 und 215 und die diesbezüglichen Überleitungsvorschriften des Baugesetzbuchs sowie die einschlägigen landesrechtlichen Vorschriften.</w:t>
      </w:r>
    </w:p>
    <w:p>
      <w:pPr>
        <w:pStyle w:val="GesAbsatz"/>
      </w:pPr>
      <w:r>
        <w:t>(3) Die Absätze 1 und 2 gelten auch für Rechtsbehelfe von Beteiligten nach § 61 Nr. 1 und 2 der Verwaltungsgerichtsordnung.</w:t>
      </w:r>
    </w:p>
    <w:p>
      <w:pPr>
        <w:pStyle w:val="berschrift3"/>
      </w:pPr>
      <w:bookmarkStart w:id="6" w:name="_Toc347908941"/>
      <w:r>
        <w:t>§ 4a</w:t>
      </w:r>
      <w:r>
        <w:br/>
        <w:t>Maßgaben zur Anwendung der Verwaltungsgerichtsordnung</w:t>
      </w:r>
      <w:bookmarkEnd w:id="6"/>
    </w:p>
    <w:p>
      <w:pPr>
        <w:pStyle w:val="GesAbsatz"/>
      </w:pPr>
      <w:r>
        <w:t>(1) Der Kläger hat innerhalb einer Frist von sechs Wochen die zur Begründung seiner Klage gegen eine Entscheidung im Sinne von § 1 Absatz 1 Satz 1 oder deren Unterlassen dienenden Tatsachen und Beweismittel anzugeben. § 87b Absatz 3 der Verwaltungsgerichtsordnung gilt entsprechend. Die Frist nach Satz 1 kann durch den Vorsitzenden oder den Berichterstatter auf Antrag verlängert werden.</w:t>
      </w:r>
    </w:p>
    <w:p>
      <w:pPr>
        <w:pStyle w:val="GesAbsatz"/>
      </w:pPr>
      <w:r>
        <w:t>(2) Soweit der Verwaltungsbehörde bei der Anwendung umweltrechtlicher Vorschriften eine Beurteilungsermächtigung eingeräumt ist, ist eine behördliche Entscheidung im gerichtlichen Verfahren nur daraufhin zu überprüfen, ob</w:t>
      </w:r>
    </w:p>
    <w:p>
      <w:pPr>
        <w:pStyle w:val="GesAbsatz"/>
      </w:pPr>
      <w:r>
        <w:t>1.</w:t>
      </w:r>
      <w:r>
        <w:tab/>
        <w:t>der Sachverhalt vollständig und zutreffend erfasst wurde,</w:t>
      </w:r>
    </w:p>
    <w:p>
      <w:pPr>
        <w:pStyle w:val="GesAbsatz"/>
      </w:pPr>
      <w:r>
        <w:t>2.</w:t>
      </w:r>
      <w:r>
        <w:tab/>
        <w:t>die Verfahrensregeln und die rechtlichen Bewertungsgrundsätze eingehalten wurden,</w:t>
      </w:r>
    </w:p>
    <w:p>
      <w:pPr>
        <w:pStyle w:val="GesAbsatz"/>
      </w:pPr>
      <w:r>
        <w:t>3.</w:t>
      </w:r>
      <w:r>
        <w:tab/>
        <w:t>das anzuwendende Recht verkannt wurde,</w:t>
      </w:r>
    </w:p>
    <w:p>
      <w:pPr>
        <w:pStyle w:val="GesAbsatz"/>
      </w:pPr>
      <w:r>
        <w:t>4.</w:t>
      </w:r>
      <w:r>
        <w:tab/>
        <w:t>sachfremde Erwägungen vorliegen.</w:t>
      </w:r>
    </w:p>
    <w:p>
      <w:pPr>
        <w:pStyle w:val="GesAbsatz"/>
      </w:pPr>
      <w:r>
        <w:lastRenderedPageBreak/>
        <w:t>(3) § 80 Absatz 5 Satz 1 der Verwaltungsgerichtsordnung ist mit der Maßgabe anzuwenden, dass das Gericht der Hauptsache die aufschiebende Wirkung ganz oder teilweise anordnen oder wiederherstellen kann, wenn im Rahmen einer Gesamtabwägung ernstliche Zweifel an der Rechtmäßigkeit des Verwaltungsakts bestehen.</w:t>
      </w:r>
    </w:p>
    <w:p>
      <w:pPr>
        <w:pStyle w:val="GesAbsatz"/>
      </w:pPr>
      <w:r>
        <w:t>(4) Die Absätze 1 bis 3 gelten auch für gerichtliche Rechtsbehelfe von Beteiligten nach § 61 Nummer 1 und 2 der Verwaltungsgerichtsordnung.</w:t>
      </w:r>
    </w:p>
    <w:p>
      <w:pPr>
        <w:pStyle w:val="berschrift3"/>
      </w:pPr>
      <w:bookmarkStart w:id="7" w:name="_Toc347908942"/>
      <w:r>
        <w:t>§ 5</w:t>
      </w:r>
      <w:r>
        <w:br/>
        <w:t>Übergangs- und Überleitungsvorschrift</w:t>
      </w:r>
      <w:bookmarkEnd w:id="7"/>
    </w:p>
    <w:p>
      <w:pPr>
        <w:pStyle w:val="GesAbsatz"/>
      </w:pPr>
      <w:r>
        <w:t>(1) Dieses Gesetz gilt für Verfahren nach § 1 Absatz 1 Satz 1, die nach dem 25. Juni 2005 eingeleitet worden sind oder hätten eingeleitet werden müssen; Halbsatz 1 findet keine Anwendung auf Entscheidungen nach § 1 Absatz 1 Satz 1, die vor dem 15. Dezember 2006 Bestandskraft erlangt haben.</w:t>
      </w:r>
    </w:p>
    <w:p>
      <w:pPr>
        <w:pStyle w:val="GesAbsatz"/>
      </w:pPr>
      <w:r>
        <w:t>(2) Anerkennungen nach § 3 dieses Gesetzes in der Fassung vom 28. Februar 2010, nach § 59 des Bundesnaturschutzgesetzes in der Fassung vom 28. Februar 2010 oder auf Grund landesrechtlicher Vorschriften im Rahmen des § 60 des Bundesnaturschutzgesetzes in der Fassung vom 28. Februar 2010, die vor dem vor dem 1. März 2010 erteilt worden sind, sowie Anerkennungen des Bundes und der Länder nach § 29 des Bundesnaturschutzgesetzes in der bis zum 3. April 2002 geltenden Fassung gelten als Anerkennungen im Sinne dieses Gesetzes fort.</w:t>
      </w:r>
    </w:p>
    <w:p>
      <w:pPr>
        <w:pStyle w:val="GesAbsatz"/>
      </w:pPr>
      <w:r>
        <w:t>(3) Bereits begonnene Anerkennungsverfahren, die auf dieses Gesetz gestützt werden, sind nach den bis zum 28. Februar 2010 geltenden Rechtsvorschriften vom Umweltbundesamt zu Ende zu führen.</w:t>
      </w:r>
    </w:p>
    <w:p>
      <w:pPr>
        <w:pStyle w:val="GesAbsatz"/>
      </w:pPr>
      <w:r>
        <w:t>(4) Entscheidungsverfahren nach § 1 Absatz 1 Satz 1 Nummer 1, Genehmigungsverfahren nach § 1 Absatz 1 Satz 1 Nummer 2 oder Rechtsbehelfsverfahren nach § 2, die am 12. Mai 2011 anhängig waren oder nach diesem Tag eingeleitet worden sind und die am 29. Januar 2013 noch nicht rechtskräftig abgeschlossen worden sind, sind nach den Vorschriften dieses Gesetzes in der ab dem 29. Januar 2013 geltenden Fassung zu Ende zu führen. Abweichend von Satz 1 findet § 4a Absatz 1 nur auf gerichtliche Rechtsbehelfsverfahren Anwendung, die ab dem 29. Januar 2013 eingeleitet worden sind.</w:t>
      </w:r>
    </w:p>
    <w:p>
      <w:pPr>
        <w:pStyle w:val="berschrift3"/>
      </w:pPr>
      <w:bookmarkStart w:id="8" w:name="_Toc347908943"/>
      <w:r>
        <w:t>§ 6</w:t>
      </w:r>
      <w:r>
        <w:br/>
        <w:t>Inkrafttreten</w:t>
      </w:r>
      <w:bookmarkEnd w:id="8"/>
    </w:p>
    <w:p>
      <w:pPr>
        <w:pStyle w:val="GesAbsatz"/>
      </w:pPr>
      <w:r>
        <w:t>Dieses Gesetz tritt am Tage nach der Verkündung in Kraft.</w:t>
      </w:r>
    </w:p>
    <w:p>
      <w:pPr>
        <w:pStyle w:val="GesAbsatz"/>
      </w:pPr>
    </w:p>
    <w:p>
      <w:pPr>
        <w:pStyle w:val="GesAbsatz"/>
      </w:pPr>
      <w:r>
        <w:br w:type="page"/>
      </w:r>
    </w:p>
    <w:p>
      <w:pPr>
        <w:pStyle w:val="GesAbsatz"/>
        <w:rPr>
          <w:b/>
          <w:sz w:val="22"/>
          <w:szCs w:val="22"/>
        </w:rPr>
      </w:pPr>
      <w:bookmarkStart w:id="9" w:name="Gesetzeshistorie"/>
      <w:bookmarkEnd w:id="9"/>
      <w:r>
        <w:rPr>
          <w:b/>
          <w:sz w:val="22"/>
          <w:szCs w:val="22"/>
        </w:rPr>
        <w:lastRenderedPageBreak/>
        <w:t>Gesetzeshistorie:</w:t>
      </w:r>
    </w:p>
    <w:p>
      <w:pPr>
        <w:pStyle w:val="GesAbsatz"/>
        <w:tabs>
          <w:tab w:val="clear" w:pos="425"/>
          <w:tab w:val="left" w:pos="2268"/>
        </w:tabs>
      </w:pPr>
      <w:r>
        <w:t>07.12.2006</w:t>
      </w:r>
      <w:r>
        <w:tab/>
        <w:t>BGBl. I Nr. 58 S. 2816 Inkrafttreten 15.12.2006 Ursprungsfassung</w:t>
      </w:r>
    </w:p>
    <w:p>
      <w:pPr>
        <w:pStyle w:val="GesAbsatz"/>
        <w:tabs>
          <w:tab w:val="clear" w:pos="425"/>
          <w:tab w:val="left" w:pos="2268"/>
        </w:tabs>
      </w:pPr>
      <w:r>
        <w:t>29.07.2009</w:t>
      </w:r>
      <w:r>
        <w:tab/>
        <w:t>BGBl. I Nr. 51 S. 2542, 2575 Inkrafttreten 01.03.2010</w:t>
      </w:r>
    </w:p>
    <w:p>
      <w:pPr>
        <w:pStyle w:val="GesAbsatz"/>
        <w:tabs>
          <w:tab w:val="clear" w:pos="425"/>
          <w:tab w:val="left" w:pos="2268"/>
        </w:tabs>
      </w:pPr>
      <w:r>
        <w:t>31.07.2009</w:t>
      </w:r>
      <w:r>
        <w:tab/>
        <w:t>BGBl. I Nr. 51 S. 2585, 2618 Inkrafttreten 01.03.2010</w:t>
      </w:r>
    </w:p>
    <w:p>
      <w:pPr>
        <w:pStyle w:val="GesAbsatz"/>
        <w:tabs>
          <w:tab w:val="clear" w:pos="425"/>
          <w:tab w:val="left" w:pos="2268"/>
        </w:tabs>
      </w:pPr>
      <w:r>
        <w:t>11.08.2010</w:t>
      </w:r>
      <w:r>
        <w:tab/>
        <w:t>BGBl. I Nr. 43 S. 1163, 1168 Inkrafttreten 18.08.2010</w:t>
      </w:r>
    </w:p>
    <w:p>
      <w:pPr>
        <w:pStyle w:val="GesAbsatz"/>
        <w:tabs>
          <w:tab w:val="clear" w:pos="425"/>
          <w:tab w:val="left" w:pos="2268"/>
        </w:tabs>
      </w:pPr>
      <w:r>
        <w:t>24.</w:t>
      </w:r>
      <w:r>
        <w:rPr>
          <w:iCs/>
        </w:rPr>
        <w:t>02</w:t>
      </w:r>
      <w:r>
        <w:t>.2012</w:t>
      </w:r>
      <w:r>
        <w:tab/>
        <w:t>BGBl. I Nr. 10 S. 212, 262 Inkrafttreten 01.06.2012</w:t>
      </w:r>
    </w:p>
    <w:p>
      <w:pPr>
        <w:pStyle w:val="GesAbsatz"/>
        <w:tabs>
          <w:tab w:val="clear" w:pos="425"/>
          <w:tab w:val="left" w:pos="2268"/>
        </w:tabs>
      </w:pPr>
      <w:r>
        <w:t>21.01.2013</w:t>
      </w:r>
      <w:r>
        <w:tab/>
        <w:t>BGBl. I Nr. 3 S. 95 Inkrafttreten 29.01.2013</w:t>
      </w:r>
    </w:p>
    <w:p>
      <w:pPr>
        <w:pStyle w:val="GesAbsatz"/>
        <w:tabs>
          <w:tab w:val="clear" w:pos="425"/>
          <w:tab w:val="left" w:pos="2268"/>
        </w:tabs>
      </w:pPr>
      <w:r>
        <w:t>08.04.2013</w:t>
      </w:r>
      <w:r>
        <w:tab/>
        <w:t>BGBl. I Nr. 17, S. 734, 745 Inkrafttreten 02.05.2013</w:t>
      </w:r>
    </w:p>
    <w:p>
      <w:pPr>
        <w:pStyle w:val="GesAbsatz"/>
        <w:tabs>
          <w:tab w:val="clear" w:pos="425"/>
          <w:tab w:val="left" w:pos="2268"/>
        </w:tabs>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Rechtsbehelfsgesetz   Rechtsbehelfgesetz   </w:t>
      </w: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07.12.2006 (BGBl. I S. 2816 / FNA 2129-46)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08.04.2013 (BGBl. I S. 734, 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Das Gesetz dient der Umsetzung der Richtlinie 2011/92/EU des Europäischen Parlaments und des Rates vom 13. Dezember 2011 über die Umweltverträglichkeitsprüfung bei bestimmten öffentlichen und privaten Projekten (Kodifizierter Text) (ABl. L 26 vom 28.1.2012, S. 1), der Richtlinie 2001/42/EG des Europäischen Parlaments und des Rates vom 27. Juni 2001 über die Prüfung der Umweltauswirkungen bestimmter Pläne und Programme (ABl. L 197 vom 21.7.2001, S. 30), der Umsetzung der Artikel 3 und 4 der Richtlinie 2003/35/EG des Europäischen Parlaments und des Rates vom 26. Mai 2003 über die Beteiligung der Öffentlichkeit bei der Ausarbeitung bestimmter umweltbezogener Pläne und Programme und zur Änderung der Richtlinien 85/337/EWG und 96/61/EG des Rates in Bezug auf die Öffentlichkeitsbeteiligung und den Zugang zu Gerichten (ABl. L 156 vom 25.6.2003, S. 17) sowie der Umsetzung von Artikel 25 der Richtlinie 2010/75/EU des Europäischen Parlaments und des Rates vom 24. November 2010 über Industrieemissionen (integrierte Vermeidung und Verminderung der Umweltverschmutzung) (Neufassung) (ABl. L 334 vom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Archiv3.54</w:t>
    </w:r>
  </w:p>
  <w:p>
    <w:pPr>
      <w:pStyle w:val="Kopfzeile"/>
    </w:pPr>
    <w:r>
      <w:t>UmwRG (2006)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81FD7-FA9D-41D9-8269-92885D9E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1893</Words>
  <Characters>12155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Gesetz über ergänzende Vorschriften zu Rechtsbehelfen in</vt:lpstr>
    </vt:vector>
  </TitlesOfParts>
  <Company>LANUV NRW</Company>
  <LinksUpToDate>false</LinksUpToDate>
  <CharactersWithSpaces>14020</CharactersWithSpaces>
  <SharedDoc>false</SharedDoc>
  <HLinks>
    <vt:vector size="54" baseType="variant">
      <vt:variant>
        <vt:i4>1441853</vt:i4>
      </vt:variant>
      <vt:variant>
        <vt:i4>47</vt:i4>
      </vt:variant>
      <vt:variant>
        <vt:i4>0</vt:i4>
      </vt:variant>
      <vt:variant>
        <vt:i4>5</vt:i4>
      </vt:variant>
      <vt:variant>
        <vt:lpwstr/>
      </vt:variant>
      <vt:variant>
        <vt:lpwstr>_Toc347908943</vt:lpwstr>
      </vt:variant>
      <vt:variant>
        <vt:i4>1441853</vt:i4>
      </vt:variant>
      <vt:variant>
        <vt:i4>41</vt:i4>
      </vt:variant>
      <vt:variant>
        <vt:i4>0</vt:i4>
      </vt:variant>
      <vt:variant>
        <vt:i4>5</vt:i4>
      </vt:variant>
      <vt:variant>
        <vt:lpwstr/>
      </vt:variant>
      <vt:variant>
        <vt:lpwstr>_Toc347908942</vt:lpwstr>
      </vt:variant>
      <vt:variant>
        <vt:i4>1441853</vt:i4>
      </vt:variant>
      <vt:variant>
        <vt:i4>35</vt:i4>
      </vt:variant>
      <vt:variant>
        <vt:i4>0</vt:i4>
      </vt:variant>
      <vt:variant>
        <vt:i4>5</vt:i4>
      </vt:variant>
      <vt:variant>
        <vt:lpwstr/>
      </vt:variant>
      <vt:variant>
        <vt:lpwstr>_Toc347908941</vt:lpwstr>
      </vt:variant>
      <vt:variant>
        <vt:i4>1441853</vt:i4>
      </vt:variant>
      <vt:variant>
        <vt:i4>29</vt:i4>
      </vt:variant>
      <vt:variant>
        <vt:i4>0</vt:i4>
      </vt:variant>
      <vt:variant>
        <vt:i4>5</vt:i4>
      </vt:variant>
      <vt:variant>
        <vt:lpwstr/>
      </vt:variant>
      <vt:variant>
        <vt:lpwstr>_Toc347908940</vt:lpwstr>
      </vt:variant>
      <vt:variant>
        <vt:i4>1114173</vt:i4>
      </vt:variant>
      <vt:variant>
        <vt:i4>23</vt:i4>
      </vt:variant>
      <vt:variant>
        <vt:i4>0</vt:i4>
      </vt:variant>
      <vt:variant>
        <vt:i4>5</vt:i4>
      </vt:variant>
      <vt:variant>
        <vt:lpwstr/>
      </vt:variant>
      <vt:variant>
        <vt:lpwstr>_Toc347908939</vt:lpwstr>
      </vt:variant>
      <vt:variant>
        <vt:i4>1114173</vt:i4>
      </vt:variant>
      <vt:variant>
        <vt:i4>17</vt:i4>
      </vt:variant>
      <vt:variant>
        <vt:i4>0</vt:i4>
      </vt:variant>
      <vt:variant>
        <vt:i4>5</vt:i4>
      </vt:variant>
      <vt:variant>
        <vt:lpwstr/>
      </vt:variant>
      <vt:variant>
        <vt:lpwstr>_Toc347908938</vt:lpwstr>
      </vt:variant>
      <vt:variant>
        <vt:i4>1114173</vt:i4>
      </vt:variant>
      <vt:variant>
        <vt:i4>11</vt:i4>
      </vt:variant>
      <vt:variant>
        <vt:i4>0</vt:i4>
      </vt:variant>
      <vt:variant>
        <vt:i4>5</vt:i4>
      </vt:variant>
      <vt:variant>
        <vt:lpwstr/>
      </vt:variant>
      <vt:variant>
        <vt:lpwstr>_Toc347908937</vt:lpwstr>
      </vt:variant>
      <vt:variant>
        <vt:i4>1114173</vt:i4>
      </vt:variant>
      <vt:variant>
        <vt:i4>5</vt:i4>
      </vt:variant>
      <vt:variant>
        <vt:i4>0</vt:i4>
      </vt:variant>
      <vt:variant>
        <vt:i4>5</vt:i4>
      </vt:variant>
      <vt:variant>
        <vt:lpwstr/>
      </vt:variant>
      <vt:variant>
        <vt:lpwstr>_Toc347908936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ergänzende Vorschriften zu Rechtsbehelfen in</dc:title>
  <dc:creator>LANUV NRW</dc:creator>
  <cp:lastModifiedBy>Rüter, Dr., Ingo</cp:lastModifiedBy>
  <cp:revision>4</cp:revision>
  <cp:lastPrinted>2004-12-14T12:08:00Z</cp:lastPrinted>
  <dcterms:created xsi:type="dcterms:W3CDTF">2015-02-27T07:34:00Z</dcterms:created>
  <dcterms:modified xsi:type="dcterms:W3CDTF">2024-05-17T12:26:00Z</dcterms:modified>
</cp:coreProperties>
</file>