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730029"/>
      <w:r>
        <w:t>Verordnung über die Gebühren nach dem</w:t>
      </w:r>
      <w:r>
        <w:br/>
        <w:t xml:space="preserve">Verbraucherinformationsgesetz - </w:t>
      </w:r>
      <w:r>
        <w:br/>
        <w:t>Verbraucherinformationsgebührenve</w:t>
      </w:r>
      <w:bookmarkStart w:id="1" w:name="_GoBack"/>
      <w:bookmarkEnd w:id="1"/>
      <w:r>
        <w:t>rordnung - VIGGebV</w:t>
      </w:r>
      <w:bookmarkEnd w:id="0"/>
    </w:p>
    <w:p>
      <w:pPr>
        <w:pStyle w:val="GesAbsatz"/>
        <w:jc w:val="center"/>
      </w:pPr>
      <w:r>
        <w:t>vom 24. April 2008</w:t>
      </w:r>
    </w:p>
    <w:p>
      <w:pPr>
        <w:pStyle w:val="GesAbsatz"/>
        <w:rPr>
          <w:b/>
          <w:i/>
          <w:color w:val="FF0000"/>
          <w:sz w:val="22"/>
          <w:szCs w:val="22"/>
        </w:rPr>
      </w:pPr>
      <w:r>
        <w:rPr>
          <w:b/>
          <w:i/>
          <w:color w:val="FF0000"/>
          <w:sz w:val="22"/>
          <w:szCs w:val="22"/>
        </w:rPr>
        <w:t>Gültig vom 01.05.2008 bis 30.11.2012 - aufgehoben durch VIGGebV vom 22.11.2012</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730029" w:history="1">
        <w:r>
          <w:rPr>
            <w:rStyle w:val="Hyperlink"/>
            <w:noProof/>
          </w:rPr>
          <w:t>Verbraucherinformationsgebührenverordnung - VIGGebV</w:t>
        </w:r>
        <w:r>
          <w:rPr>
            <w:noProof/>
            <w:webHidden/>
          </w:rPr>
          <w:tab/>
        </w:r>
        <w:r>
          <w:rPr>
            <w:noProof/>
            <w:webHidden/>
          </w:rPr>
          <w:fldChar w:fldCharType="begin"/>
        </w:r>
        <w:r>
          <w:rPr>
            <w:noProof/>
            <w:webHidden/>
          </w:rPr>
          <w:instrText xml:space="preserve"> PAGEREF _Toc412730029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30030" w:history="1">
        <w:r>
          <w:rPr>
            <w:rStyle w:val="Hyperlink"/>
            <w:noProof/>
          </w:rPr>
          <w:t>§ 1 Gebühren und Auslagen</w:t>
        </w:r>
        <w:r>
          <w:rPr>
            <w:noProof/>
            <w:webHidden/>
          </w:rPr>
          <w:tab/>
        </w:r>
        <w:r>
          <w:rPr>
            <w:noProof/>
            <w:webHidden/>
          </w:rPr>
          <w:fldChar w:fldCharType="begin"/>
        </w:r>
        <w:r>
          <w:rPr>
            <w:noProof/>
            <w:webHidden/>
          </w:rPr>
          <w:instrText xml:space="preserve"> PAGEREF _Toc412730030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30031" w:history="1">
        <w:r>
          <w:rPr>
            <w:rStyle w:val="Hyperlink"/>
            <w:noProof/>
          </w:rPr>
          <w:t>§ 2 Befreiung und Ermäßigung</w:t>
        </w:r>
        <w:r>
          <w:rPr>
            <w:noProof/>
            <w:webHidden/>
          </w:rPr>
          <w:tab/>
        </w:r>
        <w:r>
          <w:rPr>
            <w:noProof/>
            <w:webHidden/>
          </w:rPr>
          <w:fldChar w:fldCharType="begin"/>
        </w:r>
        <w:r>
          <w:rPr>
            <w:noProof/>
            <w:webHidden/>
          </w:rPr>
          <w:instrText xml:space="preserve"> PAGEREF _Toc412730031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30032" w:history="1">
        <w:r>
          <w:rPr>
            <w:rStyle w:val="Hyperlink"/>
            <w:noProof/>
          </w:rPr>
          <w:t>§ 3 Inkrafttreten</w:t>
        </w:r>
        <w:r>
          <w:rPr>
            <w:noProof/>
            <w:webHidden/>
          </w:rPr>
          <w:tab/>
        </w:r>
        <w:r>
          <w:rPr>
            <w:noProof/>
            <w:webHidden/>
          </w:rPr>
          <w:fldChar w:fldCharType="begin"/>
        </w:r>
        <w:r>
          <w:rPr>
            <w:noProof/>
            <w:webHidden/>
          </w:rPr>
          <w:instrText xml:space="preserve"> PAGEREF _Toc412730032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30033" w:history="1">
        <w:r>
          <w:rPr>
            <w:rStyle w:val="Hyperlink"/>
            <w:noProof/>
          </w:rPr>
          <w:t>Anlage (zu § 1 Satz 1)</w:t>
        </w:r>
        <w:r>
          <w:rPr>
            <w:noProof/>
            <w:webHidden/>
          </w:rPr>
          <w:tab/>
        </w:r>
        <w:r>
          <w:rPr>
            <w:noProof/>
            <w:webHidden/>
          </w:rPr>
          <w:fldChar w:fldCharType="begin"/>
        </w:r>
        <w:r>
          <w:rPr>
            <w:noProof/>
            <w:webHidden/>
          </w:rPr>
          <w:instrText xml:space="preserve"> PAGEREF _Toc412730033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6 Abs. 3 Satz 1 des Verbraucherinformationsgesetzes vom 5. November 2007 (BGBl. I S. 2558) in Verbindung mit dem 2. Abschnitt des Verwaltungskostengesetzes vom 23. Juni 1970 (BGBl. I S. 821) verordnet die Bundesregierung:</w:t>
      </w:r>
    </w:p>
    <w:p>
      <w:pPr>
        <w:pStyle w:val="berschrift3"/>
      </w:pPr>
      <w:bookmarkStart w:id="2" w:name="_Toc412730030"/>
      <w:r>
        <w:t>§ 1</w:t>
      </w:r>
      <w:r>
        <w:br/>
        <w:t>Gebühren und Auslagen</w:t>
      </w:r>
      <w:bookmarkEnd w:id="2"/>
    </w:p>
    <w:p>
      <w:pPr>
        <w:pStyle w:val="GesAbsatz"/>
      </w:pPr>
      <w:r>
        <w:t>Behörden des Bundes erheben Gebühren für Amtshandlungen nach dem Verbraucherinformationsgesetz nach dem anliegenden Gebührenverzeichnis. Zusätzlich zu den Gebühren erheben die Behörden des Bundes Auslagen nach § 10 des Verwaltungskostengesetzes.</w:t>
      </w:r>
    </w:p>
    <w:p>
      <w:pPr>
        <w:pStyle w:val="berschrift3"/>
      </w:pPr>
      <w:bookmarkStart w:id="3" w:name="_Toc412730031"/>
      <w:r>
        <w:t>§ 2</w:t>
      </w:r>
      <w:r>
        <w:br/>
        <w:t>Befreiung und Ermäßigung</w:t>
      </w:r>
      <w:bookmarkEnd w:id="3"/>
    </w:p>
    <w:p>
      <w:pPr>
        <w:pStyle w:val="GesAbsatz"/>
      </w:pPr>
      <w:r>
        <w:t>Für Amtshandlungen nach § 6 Abs. 1 Satz 1 des Verbraucherinformationsgesetzes kann aus Gründen der Billigkeit oder des öffentlichen Interesses die Gebühr um bis zu 50 Prozent ermäßigt werden. Aus den genannten Gründen kann in besonderen Fällen von der Erhebung der Gebühr abgesehen werden.</w:t>
      </w:r>
    </w:p>
    <w:p>
      <w:pPr>
        <w:pStyle w:val="berschrift3"/>
      </w:pPr>
      <w:bookmarkStart w:id="4" w:name="_Toc412730032"/>
      <w:r>
        <w:t>§ 3</w:t>
      </w:r>
      <w:r>
        <w:br/>
        <w:t>Inkrafttreten</w:t>
      </w:r>
      <w:bookmarkEnd w:id="4"/>
    </w:p>
    <w:p>
      <w:pPr>
        <w:pStyle w:val="GesAbsatz"/>
      </w:pPr>
      <w:r>
        <w:t>Diese Verordnung tritt am 1. Mai 2008 in Kraft.</w:t>
      </w:r>
    </w:p>
    <w:p>
      <w:pPr>
        <w:pStyle w:val="berschrift2"/>
        <w:jc w:val="left"/>
      </w:pPr>
      <w:r>
        <w:br w:type="page"/>
      </w:r>
      <w:bookmarkStart w:id="5" w:name="_Toc412730033"/>
      <w:r>
        <w:lastRenderedPageBreak/>
        <w:t>Anlage</w:t>
      </w:r>
      <w:r>
        <w:br/>
        <w:t>(zu § 1 Satz 1)</w:t>
      </w:r>
      <w:bookmarkEnd w:id="5"/>
    </w:p>
    <w:p>
      <w:pPr>
        <w:pStyle w:val="GesAbsatz"/>
        <w:jc w:val="center"/>
        <w:rPr>
          <w:b/>
        </w:rPr>
      </w:pPr>
      <w:r>
        <w:rPr>
          <w:b/>
        </w:rPr>
        <w:t>Gebührenverzeichnis</w:t>
      </w:r>
    </w:p>
    <w:p>
      <w:pPr>
        <w:pStyle w:val="GesAbsatz"/>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6237"/>
        <w:gridCol w:w="3118"/>
      </w:tblGrid>
      <w:tr>
        <w:trPr>
          <w:trHeight w:val="318"/>
        </w:trPr>
        <w:tc>
          <w:tcPr>
            <w:tcW w:w="534" w:type="dxa"/>
            <w:tcBorders>
              <w:bottom w:val="single" w:sz="6" w:space="0" w:color="000000"/>
            </w:tcBorders>
          </w:tcPr>
          <w:p>
            <w:pPr>
              <w:pStyle w:val="GesAbsatz"/>
              <w:jc w:val="center"/>
            </w:pPr>
            <w:r>
              <w:t>Nr.</w:t>
            </w:r>
          </w:p>
        </w:tc>
        <w:tc>
          <w:tcPr>
            <w:tcW w:w="6237" w:type="dxa"/>
            <w:tcBorders>
              <w:bottom w:val="single" w:sz="6" w:space="0" w:color="000000"/>
            </w:tcBorders>
          </w:tcPr>
          <w:p>
            <w:pPr>
              <w:pStyle w:val="GesAbsatz"/>
              <w:jc w:val="center"/>
            </w:pPr>
            <w:r>
              <w:t>Gebührentatbestand</w:t>
            </w:r>
          </w:p>
        </w:tc>
        <w:tc>
          <w:tcPr>
            <w:tcW w:w="3118" w:type="dxa"/>
            <w:tcBorders>
              <w:bottom w:val="single" w:sz="6" w:space="0" w:color="000000"/>
            </w:tcBorders>
          </w:tcPr>
          <w:p>
            <w:pPr>
              <w:pStyle w:val="GesAbsatz"/>
              <w:jc w:val="center"/>
            </w:pPr>
            <w:r>
              <w:t>Gebührenbetrag in Euro</w:t>
            </w:r>
          </w:p>
        </w:tc>
      </w:tr>
      <w:tr>
        <w:trPr>
          <w:trHeight w:val="295"/>
        </w:trPr>
        <w:tc>
          <w:tcPr>
            <w:tcW w:w="534" w:type="dxa"/>
            <w:tcBorders>
              <w:bottom w:val="nil"/>
            </w:tcBorders>
          </w:tcPr>
          <w:p>
            <w:pPr>
              <w:pStyle w:val="GesAbsatz"/>
              <w:jc w:val="left"/>
              <w:rPr>
                <w:rFonts w:cs="Arial"/>
              </w:rPr>
            </w:pPr>
            <w:r>
              <w:rPr>
                <w:rFonts w:cs="Arial"/>
              </w:rPr>
              <w:t xml:space="preserve">1 </w:t>
            </w:r>
          </w:p>
        </w:tc>
        <w:tc>
          <w:tcPr>
            <w:tcW w:w="6237" w:type="dxa"/>
            <w:tcBorders>
              <w:bottom w:val="nil"/>
            </w:tcBorders>
          </w:tcPr>
          <w:p>
            <w:pPr>
              <w:pStyle w:val="GesAbsatz"/>
              <w:rPr>
                <w:rFonts w:cs="Arial"/>
              </w:rPr>
            </w:pPr>
            <w:r>
              <w:rPr>
                <w:rFonts w:cs="Arial"/>
              </w:rPr>
              <w:t xml:space="preserve">Auskünfte </w:t>
            </w:r>
          </w:p>
        </w:tc>
        <w:tc>
          <w:tcPr>
            <w:tcW w:w="3118" w:type="dxa"/>
            <w:tcBorders>
              <w:bottom w:val="nil"/>
            </w:tcBorders>
          </w:tcPr>
          <w:p>
            <w:pPr>
              <w:pStyle w:val="GesAbsatz"/>
              <w:rPr>
                <w:rFonts w:cs="Arial"/>
                <w:color w:val="auto"/>
              </w:rPr>
            </w:pPr>
          </w:p>
        </w:tc>
      </w:tr>
      <w:tr>
        <w:trPr>
          <w:trHeight w:val="513"/>
        </w:trPr>
        <w:tc>
          <w:tcPr>
            <w:tcW w:w="534" w:type="dxa"/>
            <w:tcBorders>
              <w:top w:val="nil"/>
              <w:bottom w:val="nil"/>
            </w:tcBorders>
          </w:tcPr>
          <w:p>
            <w:pPr>
              <w:pStyle w:val="GesAbsatz"/>
              <w:jc w:val="left"/>
              <w:rPr>
                <w:rFonts w:cs="Arial"/>
              </w:rPr>
            </w:pPr>
            <w:r>
              <w:rPr>
                <w:rFonts w:cs="Arial"/>
              </w:rPr>
              <w:t xml:space="preserve">1.1 </w:t>
            </w:r>
          </w:p>
        </w:tc>
        <w:tc>
          <w:tcPr>
            <w:tcW w:w="6237" w:type="dxa"/>
            <w:tcBorders>
              <w:top w:val="nil"/>
              <w:bottom w:val="nil"/>
            </w:tcBorders>
          </w:tcPr>
          <w:p>
            <w:pPr>
              <w:pStyle w:val="GesAbsatz"/>
              <w:rPr>
                <w:rFonts w:cs="Arial"/>
              </w:rPr>
            </w:pPr>
            <w:r>
              <w:rPr>
                <w:rFonts w:cs="Arial"/>
              </w:rPr>
              <w:t xml:space="preserve">Erteilung einfacher – auch schriftlicher – Auskünfte mit Herausgabe von bis zu 3 Abschriften </w:t>
            </w:r>
          </w:p>
        </w:tc>
        <w:tc>
          <w:tcPr>
            <w:tcW w:w="3118" w:type="dxa"/>
            <w:tcBorders>
              <w:top w:val="nil"/>
              <w:bottom w:val="nil"/>
            </w:tcBorders>
          </w:tcPr>
          <w:p>
            <w:pPr>
              <w:pStyle w:val="GesAbsatz"/>
              <w:jc w:val="center"/>
              <w:rPr>
                <w:rFonts w:cs="Arial"/>
              </w:rPr>
            </w:pPr>
            <w:r>
              <w:rPr>
                <w:rFonts w:cs="Arial"/>
              </w:rPr>
              <w:t>5 bis 25</w:t>
            </w:r>
          </w:p>
        </w:tc>
      </w:tr>
      <w:tr>
        <w:trPr>
          <w:trHeight w:val="728"/>
        </w:trPr>
        <w:tc>
          <w:tcPr>
            <w:tcW w:w="534" w:type="dxa"/>
            <w:tcBorders>
              <w:top w:val="nil"/>
              <w:bottom w:val="single" w:sz="6" w:space="0" w:color="000000"/>
            </w:tcBorders>
          </w:tcPr>
          <w:p>
            <w:pPr>
              <w:pStyle w:val="GesAbsatz"/>
              <w:jc w:val="left"/>
              <w:rPr>
                <w:rFonts w:cs="Arial"/>
              </w:rPr>
            </w:pPr>
            <w:r>
              <w:rPr>
                <w:rFonts w:cs="Arial"/>
              </w:rPr>
              <w:t xml:space="preserve">1.2 </w:t>
            </w:r>
          </w:p>
        </w:tc>
        <w:tc>
          <w:tcPr>
            <w:tcW w:w="6237" w:type="dxa"/>
            <w:tcBorders>
              <w:top w:val="nil"/>
              <w:bottom w:val="single" w:sz="6" w:space="0" w:color="000000"/>
            </w:tcBorders>
          </w:tcPr>
          <w:p>
            <w:pPr>
              <w:pStyle w:val="GesAbsatz"/>
              <w:rPr>
                <w:rFonts w:cs="Arial"/>
              </w:rPr>
            </w:pPr>
            <w:r>
              <w:rPr>
                <w:rFonts w:cs="Arial"/>
              </w:rPr>
              <w:t xml:space="preserve">Erteilung einer schriftlichen Auskunft auch bei Herausgabe von Abschriften. Bei Entstehen eines außergewöhnlichen Verwaltungsaufwandes kann die Gebühr ausnahmsweise bis zum doppelten Höchstsatz erhöht werden. </w:t>
            </w:r>
          </w:p>
        </w:tc>
        <w:tc>
          <w:tcPr>
            <w:tcW w:w="3118" w:type="dxa"/>
            <w:tcBorders>
              <w:top w:val="nil"/>
              <w:bottom w:val="single" w:sz="6" w:space="0" w:color="000000"/>
            </w:tcBorders>
          </w:tcPr>
          <w:p>
            <w:pPr>
              <w:pStyle w:val="GesAbsatz"/>
              <w:jc w:val="center"/>
              <w:rPr>
                <w:rFonts w:cs="Arial"/>
              </w:rPr>
            </w:pPr>
            <w:r>
              <w:rPr>
                <w:rFonts w:cs="Arial"/>
              </w:rPr>
              <w:t>30 bis 250</w:t>
            </w:r>
          </w:p>
        </w:tc>
      </w:tr>
      <w:tr>
        <w:trPr>
          <w:trHeight w:val="315"/>
        </w:trPr>
        <w:tc>
          <w:tcPr>
            <w:tcW w:w="534" w:type="dxa"/>
            <w:tcBorders>
              <w:bottom w:val="nil"/>
            </w:tcBorders>
          </w:tcPr>
          <w:p>
            <w:pPr>
              <w:pStyle w:val="GesAbsatz"/>
              <w:jc w:val="left"/>
              <w:rPr>
                <w:rFonts w:cs="Arial"/>
              </w:rPr>
            </w:pPr>
            <w:r>
              <w:rPr>
                <w:rFonts w:cs="Arial"/>
              </w:rPr>
              <w:t xml:space="preserve">2 </w:t>
            </w:r>
          </w:p>
        </w:tc>
        <w:tc>
          <w:tcPr>
            <w:tcW w:w="6237" w:type="dxa"/>
            <w:tcBorders>
              <w:bottom w:val="nil"/>
            </w:tcBorders>
          </w:tcPr>
          <w:p>
            <w:pPr>
              <w:pStyle w:val="GesAbsatz"/>
              <w:rPr>
                <w:rFonts w:cs="Arial"/>
              </w:rPr>
            </w:pPr>
            <w:r>
              <w:rPr>
                <w:rFonts w:cs="Arial"/>
              </w:rPr>
              <w:t xml:space="preserve">Herausgabe </w:t>
            </w:r>
          </w:p>
        </w:tc>
        <w:tc>
          <w:tcPr>
            <w:tcW w:w="3118" w:type="dxa"/>
            <w:tcBorders>
              <w:bottom w:val="nil"/>
            </w:tcBorders>
          </w:tcPr>
          <w:p>
            <w:pPr>
              <w:pStyle w:val="GesAbsatz"/>
              <w:jc w:val="center"/>
              <w:rPr>
                <w:rFonts w:cs="Arial"/>
                <w:color w:val="auto"/>
              </w:rPr>
            </w:pPr>
          </w:p>
        </w:tc>
      </w:tr>
      <w:tr>
        <w:trPr>
          <w:trHeight w:val="313"/>
        </w:trPr>
        <w:tc>
          <w:tcPr>
            <w:tcW w:w="534" w:type="dxa"/>
            <w:tcBorders>
              <w:top w:val="nil"/>
              <w:bottom w:val="nil"/>
            </w:tcBorders>
          </w:tcPr>
          <w:p>
            <w:pPr>
              <w:pStyle w:val="GesAbsatz"/>
              <w:jc w:val="left"/>
              <w:rPr>
                <w:rFonts w:cs="Arial"/>
              </w:rPr>
            </w:pPr>
            <w:r>
              <w:rPr>
                <w:rFonts w:cs="Arial"/>
              </w:rPr>
              <w:t xml:space="preserve">2.1 </w:t>
            </w:r>
          </w:p>
        </w:tc>
        <w:tc>
          <w:tcPr>
            <w:tcW w:w="6237" w:type="dxa"/>
            <w:tcBorders>
              <w:top w:val="nil"/>
              <w:bottom w:val="nil"/>
            </w:tcBorders>
          </w:tcPr>
          <w:p>
            <w:pPr>
              <w:pStyle w:val="GesAbsatz"/>
              <w:rPr>
                <w:rFonts w:cs="Arial"/>
              </w:rPr>
            </w:pPr>
            <w:r>
              <w:rPr>
                <w:rFonts w:cs="Arial"/>
              </w:rPr>
              <w:t xml:space="preserve">Herausgabe von Abschriften (soweit nicht von Nr. 1.2 erfasst) </w:t>
            </w:r>
          </w:p>
        </w:tc>
        <w:tc>
          <w:tcPr>
            <w:tcW w:w="3118" w:type="dxa"/>
            <w:tcBorders>
              <w:top w:val="nil"/>
              <w:bottom w:val="nil"/>
            </w:tcBorders>
          </w:tcPr>
          <w:p>
            <w:pPr>
              <w:pStyle w:val="GesAbsatz"/>
              <w:jc w:val="center"/>
              <w:rPr>
                <w:rFonts w:cs="Arial"/>
              </w:rPr>
            </w:pPr>
            <w:r>
              <w:rPr>
                <w:rFonts w:cs="Arial"/>
              </w:rPr>
              <w:t>15 bis 125</w:t>
            </w:r>
          </w:p>
        </w:tc>
      </w:tr>
      <w:tr>
        <w:trPr>
          <w:trHeight w:val="910"/>
        </w:trPr>
        <w:tc>
          <w:tcPr>
            <w:tcW w:w="534" w:type="dxa"/>
            <w:tcBorders>
              <w:top w:val="nil"/>
            </w:tcBorders>
          </w:tcPr>
          <w:p>
            <w:pPr>
              <w:pStyle w:val="GesAbsatz"/>
              <w:jc w:val="left"/>
              <w:rPr>
                <w:rFonts w:cs="Arial"/>
              </w:rPr>
            </w:pPr>
            <w:r>
              <w:rPr>
                <w:rFonts w:cs="Arial"/>
              </w:rPr>
              <w:t xml:space="preserve">2.2 </w:t>
            </w:r>
          </w:p>
        </w:tc>
        <w:tc>
          <w:tcPr>
            <w:tcW w:w="6237" w:type="dxa"/>
            <w:tcBorders>
              <w:top w:val="nil"/>
            </w:tcBorders>
          </w:tcPr>
          <w:p>
            <w:pPr>
              <w:pStyle w:val="GesAbsatz"/>
              <w:rPr>
                <w:rFonts w:cs="Arial"/>
              </w:rPr>
            </w:pPr>
            <w:r>
              <w:rPr>
                <w:rFonts w:cs="Arial"/>
              </w:rPr>
              <w:t>Herausgabe von Abschriften, wenn im Einzelfall ein deutlich höherer Verwaltungsaufwand zur Zusammenstellung von Unterlagen entsteht. Bei Entstehen eines außergewöhnlichen Verwaltungsaufwandes kann die Gebühr ausnahmsweise bis zum doppelten Höchstsatz erhöht werden.</w:t>
            </w:r>
          </w:p>
        </w:tc>
        <w:tc>
          <w:tcPr>
            <w:tcW w:w="3118" w:type="dxa"/>
            <w:tcBorders>
              <w:top w:val="nil"/>
            </w:tcBorders>
          </w:tcPr>
          <w:p>
            <w:pPr>
              <w:pStyle w:val="GesAbsatz"/>
              <w:jc w:val="center"/>
              <w:rPr>
                <w:rFonts w:cs="Arial"/>
              </w:rPr>
            </w:pPr>
            <w:r>
              <w:rPr>
                <w:rFonts w:cs="Arial"/>
              </w:rPr>
              <w:t>30 bis 250</w:t>
            </w:r>
          </w:p>
        </w:tc>
      </w:tr>
      <w:tr>
        <w:trPr>
          <w:trHeight w:val="913"/>
        </w:trPr>
        <w:tc>
          <w:tcPr>
            <w:tcW w:w="534" w:type="dxa"/>
          </w:tcPr>
          <w:p>
            <w:pPr>
              <w:pStyle w:val="GesAbsatz"/>
              <w:jc w:val="left"/>
              <w:rPr>
                <w:rFonts w:cs="Arial"/>
              </w:rPr>
            </w:pPr>
            <w:r>
              <w:rPr>
                <w:rFonts w:cs="Arial"/>
              </w:rPr>
              <w:t xml:space="preserve">3 </w:t>
            </w:r>
          </w:p>
        </w:tc>
        <w:tc>
          <w:tcPr>
            <w:tcW w:w="6237" w:type="dxa"/>
          </w:tcPr>
          <w:p>
            <w:pPr>
              <w:pStyle w:val="GesAbsatz"/>
              <w:rPr>
                <w:rFonts w:cs="Arial"/>
              </w:rPr>
            </w:pPr>
            <w:r>
              <w:rPr>
                <w:rFonts w:cs="Arial"/>
              </w:rPr>
              <w:t xml:space="preserve">Einsichtnahme bei der Behörde einschließlich der erforderlichen Vorbereitungsmaßnahmen auch bei Herausgabe von wenigen Abschriften. Bei Entstehen eines außergewöhnlichen Verwaltungsaufwandes kann die Gebühr ausnahmsweise bis zum doppelten Höchstsatz erhöht werden. </w:t>
            </w:r>
          </w:p>
        </w:tc>
        <w:tc>
          <w:tcPr>
            <w:tcW w:w="3118" w:type="dxa"/>
          </w:tcPr>
          <w:p>
            <w:pPr>
              <w:pStyle w:val="GesAbsatz"/>
              <w:jc w:val="center"/>
              <w:rPr>
                <w:rFonts w:cs="Arial"/>
              </w:rPr>
            </w:pPr>
            <w:r>
              <w:rPr>
                <w:rFonts w:cs="Arial"/>
              </w:rPr>
              <w:t>5 bis 250</w:t>
            </w:r>
          </w:p>
        </w:tc>
      </w:tr>
      <w:tr>
        <w:trPr>
          <w:trHeight w:val="510"/>
        </w:trPr>
        <w:tc>
          <w:tcPr>
            <w:tcW w:w="534" w:type="dxa"/>
            <w:tcBorders>
              <w:bottom w:val="single" w:sz="6" w:space="0" w:color="000000"/>
            </w:tcBorders>
          </w:tcPr>
          <w:p>
            <w:pPr>
              <w:pStyle w:val="GesAbsatz"/>
              <w:jc w:val="left"/>
              <w:rPr>
                <w:rFonts w:cs="Arial"/>
              </w:rPr>
            </w:pPr>
            <w:r>
              <w:rPr>
                <w:rFonts w:cs="Arial"/>
              </w:rPr>
              <w:t xml:space="preserve">4 </w:t>
            </w:r>
          </w:p>
        </w:tc>
        <w:tc>
          <w:tcPr>
            <w:tcW w:w="6237" w:type="dxa"/>
            <w:tcBorders>
              <w:bottom w:val="single" w:sz="6" w:space="0" w:color="000000"/>
            </w:tcBorders>
          </w:tcPr>
          <w:p>
            <w:pPr>
              <w:pStyle w:val="GesAbsatz"/>
              <w:rPr>
                <w:rFonts w:cs="Arial"/>
              </w:rPr>
            </w:pPr>
            <w:r>
              <w:rPr>
                <w:rFonts w:cs="Arial"/>
              </w:rPr>
              <w:t xml:space="preserve">Veröffentlichungen über das Internet nach § 5 Abs. 1 Satz 2 des Verbraucherinformationsgesetzes </w:t>
            </w:r>
          </w:p>
        </w:tc>
        <w:tc>
          <w:tcPr>
            <w:tcW w:w="3118" w:type="dxa"/>
            <w:tcBorders>
              <w:bottom w:val="single" w:sz="6" w:space="0" w:color="000000"/>
            </w:tcBorders>
          </w:tcPr>
          <w:p>
            <w:pPr>
              <w:pStyle w:val="GesAbsatz"/>
              <w:jc w:val="center"/>
              <w:rPr>
                <w:rFonts w:cs="Arial"/>
              </w:rPr>
            </w:pPr>
            <w:r>
              <w:rPr>
                <w:rFonts w:cs="Arial"/>
              </w:rPr>
              <w:t>gebührenfrei</w:t>
            </w:r>
          </w:p>
        </w:tc>
      </w:tr>
      <w:tr>
        <w:trPr>
          <w:trHeight w:val="313"/>
        </w:trPr>
        <w:tc>
          <w:tcPr>
            <w:tcW w:w="534" w:type="dxa"/>
            <w:tcBorders>
              <w:bottom w:val="nil"/>
            </w:tcBorders>
          </w:tcPr>
          <w:p>
            <w:pPr>
              <w:pStyle w:val="GesAbsatz"/>
              <w:jc w:val="left"/>
              <w:rPr>
                <w:rFonts w:cs="Arial"/>
              </w:rPr>
            </w:pPr>
            <w:r>
              <w:rPr>
                <w:rFonts w:cs="Arial"/>
              </w:rPr>
              <w:t xml:space="preserve">5 </w:t>
            </w:r>
          </w:p>
        </w:tc>
        <w:tc>
          <w:tcPr>
            <w:tcW w:w="6237" w:type="dxa"/>
            <w:tcBorders>
              <w:bottom w:val="nil"/>
            </w:tcBorders>
          </w:tcPr>
          <w:p>
            <w:pPr>
              <w:pStyle w:val="GesAbsatz"/>
              <w:rPr>
                <w:rFonts w:cs="Arial"/>
              </w:rPr>
            </w:pPr>
            <w:r>
              <w:rPr>
                <w:rFonts w:cs="Arial"/>
              </w:rPr>
              <w:t xml:space="preserve">Widerspruch </w:t>
            </w:r>
          </w:p>
        </w:tc>
        <w:tc>
          <w:tcPr>
            <w:tcW w:w="3118" w:type="dxa"/>
            <w:tcBorders>
              <w:bottom w:val="nil"/>
            </w:tcBorders>
          </w:tcPr>
          <w:p>
            <w:pPr>
              <w:pStyle w:val="GesAbsatz"/>
              <w:rPr>
                <w:rFonts w:cs="Arial"/>
                <w:color w:val="auto"/>
              </w:rPr>
            </w:pPr>
          </w:p>
        </w:tc>
      </w:tr>
      <w:tr>
        <w:trPr>
          <w:trHeight w:val="1035"/>
        </w:trPr>
        <w:tc>
          <w:tcPr>
            <w:tcW w:w="534" w:type="dxa"/>
            <w:tcBorders>
              <w:top w:val="nil"/>
              <w:bottom w:val="nil"/>
            </w:tcBorders>
          </w:tcPr>
          <w:p>
            <w:pPr>
              <w:pStyle w:val="GesAbsatz"/>
              <w:jc w:val="left"/>
              <w:rPr>
                <w:rFonts w:cs="Arial"/>
              </w:rPr>
            </w:pPr>
            <w:r>
              <w:rPr>
                <w:rFonts w:cs="Arial"/>
              </w:rPr>
              <w:t xml:space="preserve">5.1 </w:t>
            </w:r>
          </w:p>
        </w:tc>
        <w:tc>
          <w:tcPr>
            <w:tcW w:w="6237" w:type="dxa"/>
            <w:tcBorders>
              <w:top w:val="nil"/>
              <w:bottom w:val="nil"/>
            </w:tcBorders>
          </w:tcPr>
          <w:p>
            <w:pPr>
              <w:pStyle w:val="GesAbsatz"/>
              <w:rPr>
                <w:rFonts w:cs="Arial"/>
              </w:rPr>
            </w:pPr>
            <w:r>
              <w:rPr>
                <w:rFonts w:cs="Arial"/>
              </w:rPr>
              <w:t xml:space="preserve">vollständige oder teilweise Zurückweisung eines Widerspruchs gegen die Ablehnung der Erteilung einer Auskunft, der Herausgabe von Abschriften oder der Einsichtnahme </w:t>
            </w:r>
          </w:p>
        </w:tc>
        <w:tc>
          <w:tcPr>
            <w:tcW w:w="3118" w:type="dxa"/>
            <w:tcBorders>
              <w:top w:val="nil"/>
              <w:bottom w:val="nil"/>
            </w:tcBorders>
          </w:tcPr>
          <w:p>
            <w:pPr>
              <w:pStyle w:val="GesAbsatz"/>
              <w:rPr>
                <w:rFonts w:cs="Arial"/>
              </w:rPr>
            </w:pPr>
            <w:r>
              <w:rPr>
                <w:rFonts w:cs="Arial"/>
              </w:rPr>
              <w:t xml:space="preserve">bis zur Höhe der für den angefochtenen Verwaltungsakt festgesetzten Gebühr, jedoch mindestens 25 Euro </w:t>
            </w:r>
          </w:p>
        </w:tc>
      </w:tr>
      <w:tr>
        <w:trPr>
          <w:trHeight w:val="1830"/>
        </w:trPr>
        <w:tc>
          <w:tcPr>
            <w:tcW w:w="534" w:type="dxa"/>
            <w:tcBorders>
              <w:top w:val="nil"/>
              <w:bottom w:val="nil"/>
            </w:tcBorders>
          </w:tcPr>
          <w:p>
            <w:pPr>
              <w:pStyle w:val="GesAbsatz"/>
              <w:jc w:val="left"/>
              <w:rPr>
                <w:rFonts w:cs="Arial"/>
              </w:rPr>
            </w:pPr>
            <w:r>
              <w:rPr>
                <w:rFonts w:cs="Arial"/>
              </w:rPr>
              <w:t xml:space="preserve">5.2 </w:t>
            </w:r>
          </w:p>
        </w:tc>
        <w:tc>
          <w:tcPr>
            <w:tcW w:w="6237" w:type="dxa"/>
            <w:tcBorders>
              <w:top w:val="nil"/>
              <w:bottom w:val="nil"/>
            </w:tcBorders>
          </w:tcPr>
          <w:p>
            <w:pPr>
              <w:pStyle w:val="GesAbsatz"/>
              <w:rPr>
                <w:rFonts w:cs="Arial"/>
              </w:rPr>
            </w:pPr>
            <w:r>
              <w:rPr>
                <w:rFonts w:cs="Arial"/>
              </w:rPr>
              <w:t xml:space="preserve">Rücknahme eines Widerspruchs gegen die Ablehnung der Erteilung einer Auskunft, der Herausgabe von Abschriften oder der Einsichtnahme nach Beginn, jedoch vor Beendigung seiner sachlichen Bearbeitung </w:t>
            </w:r>
          </w:p>
        </w:tc>
        <w:tc>
          <w:tcPr>
            <w:tcW w:w="3118" w:type="dxa"/>
            <w:tcBorders>
              <w:top w:val="nil"/>
              <w:bottom w:val="nil"/>
            </w:tcBorders>
          </w:tcPr>
          <w:p>
            <w:pPr>
              <w:pStyle w:val="GesAbsatz"/>
              <w:rPr>
                <w:rFonts w:cs="Arial"/>
              </w:rPr>
            </w:pPr>
            <w:r>
              <w:rPr>
                <w:rFonts w:cs="Arial"/>
              </w:rPr>
              <w:t xml:space="preserve">bis zur Höhe von 75 Prozent der Gebühr für die vollständige oder teilweise Zurückweisung eines Widerspruchs gegen die Ablehnung der Erteilung einer Auskunft, der Herausgabe von Abschriften oder der Einsichtnahme, jedoch mindestens 15 Euro </w:t>
            </w:r>
          </w:p>
        </w:tc>
      </w:tr>
      <w:tr>
        <w:trPr>
          <w:trHeight w:val="865"/>
        </w:trPr>
        <w:tc>
          <w:tcPr>
            <w:tcW w:w="534" w:type="dxa"/>
            <w:tcBorders>
              <w:top w:val="nil"/>
            </w:tcBorders>
          </w:tcPr>
          <w:p>
            <w:pPr>
              <w:pStyle w:val="GesAbsatz"/>
              <w:jc w:val="left"/>
              <w:rPr>
                <w:rFonts w:cs="Arial"/>
              </w:rPr>
            </w:pPr>
            <w:r>
              <w:rPr>
                <w:rFonts w:cs="Arial"/>
              </w:rPr>
              <w:t xml:space="preserve">5.3 </w:t>
            </w:r>
          </w:p>
        </w:tc>
        <w:tc>
          <w:tcPr>
            <w:tcW w:w="6237" w:type="dxa"/>
            <w:tcBorders>
              <w:top w:val="nil"/>
            </w:tcBorders>
          </w:tcPr>
          <w:p>
            <w:pPr>
              <w:pStyle w:val="GesAbsatz"/>
              <w:rPr>
                <w:rFonts w:cs="Arial"/>
              </w:rPr>
            </w:pPr>
            <w:r>
              <w:rPr>
                <w:rFonts w:cs="Arial"/>
              </w:rPr>
              <w:t xml:space="preserve">vollständige oder teilweise Zurückweisung oder Rücknahme eines gegen die Festsetzung einer Gebühr gerichteten Widerspruchs </w:t>
            </w:r>
          </w:p>
        </w:tc>
        <w:tc>
          <w:tcPr>
            <w:tcW w:w="3118" w:type="dxa"/>
            <w:tcBorders>
              <w:top w:val="nil"/>
            </w:tcBorders>
          </w:tcPr>
          <w:p>
            <w:pPr>
              <w:pStyle w:val="GesAbsatz"/>
              <w:rPr>
                <w:rFonts w:cs="Arial"/>
              </w:rPr>
            </w:pPr>
            <w:r>
              <w:rPr>
                <w:rFonts w:cs="Arial"/>
              </w:rPr>
              <w:t xml:space="preserve">bis zur Höhe von 10 Prozent des streitigen Betrages, jedoch mindestens 15 Euro, wenn nicht der streitige Betrag geringer ist </w:t>
            </w:r>
          </w:p>
        </w:tc>
      </w:tr>
    </w:tbl>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24.04.2008 (BGBl. I S. 762 / FNA 2125-46-1)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Archiv3.50</w:t>
    </w:r>
  </w:p>
  <w:p>
    <w:pPr>
      <w:pStyle w:val="Kopfzeile"/>
    </w:pPr>
    <w:r>
      <w:t>VIGGebV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3C8AADF8-7411-49E8-863D-AE58939B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289A-83A8-469C-B1C9-1935C78D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474</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Verordnung über die Gebühren nach dem Verbraucherinformationsgesetz</vt:lpstr>
    </vt:vector>
  </TitlesOfParts>
  <Company>LANUV NRW</Company>
  <LinksUpToDate>false</LinksUpToDate>
  <CharactersWithSpaces>3831</CharactersWithSpaces>
  <SharedDoc>false</SharedDoc>
  <HLinks>
    <vt:vector size="30" baseType="variant">
      <vt:variant>
        <vt:i4>1835069</vt:i4>
      </vt:variant>
      <vt:variant>
        <vt:i4>26</vt:i4>
      </vt:variant>
      <vt:variant>
        <vt:i4>0</vt:i4>
      </vt:variant>
      <vt:variant>
        <vt:i4>5</vt:i4>
      </vt:variant>
      <vt:variant>
        <vt:lpwstr/>
      </vt:variant>
      <vt:variant>
        <vt:lpwstr>_Toc199822783</vt:lpwstr>
      </vt:variant>
      <vt:variant>
        <vt:i4>1835069</vt:i4>
      </vt:variant>
      <vt:variant>
        <vt:i4>20</vt:i4>
      </vt:variant>
      <vt:variant>
        <vt:i4>0</vt:i4>
      </vt:variant>
      <vt:variant>
        <vt:i4>5</vt:i4>
      </vt:variant>
      <vt:variant>
        <vt:lpwstr/>
      </vt:variant>
      <vt:variant>
        <vt:lpwstr>_Toc199822782</vt:lpwstr>
      </vt:variant>
      <vt:variant>
        <vt:i4>1835069</vt:i4>
      </vt:variant>
      <vt:variant>
        <vt:i4>14</vt:i4>
      </vt:variant>
      <vt:variant>
        <vt:i4>0</vt:i4>
      </vt:variant>
      <vt:variant>
        <vt:i4>5</vt:i4>
      </vt:variant>
      <vt:variant>
        <vt:lpwstr/>
      </vt:variant>
      <vt:variant>
        <vt:lpwstr>_Toc199822781</vt:lpwstr>
      </vt:variant>
      <vt:variant>
        <vt:i4>1835069</vt:i4>
      </vt:variant>
      <vt:variant>
        <vt:i4>8</vt:i4>
      </vt:variant>
      <vt:variant>
        <vt:i4>0</vt:i4>
      </vt:variant>
      <vt:variant>
        <vt:i4>5</vt:i4>
      </vt:variant>
      <vt:variant>
        <vt:lpwstr/>
      </vt:variant>
      <vt:variant>
        <vt:lpwstr>_Toc199822780</vt:lpwstr>
      </vt:variant>
      <vt:variant>
        <vt:i4>1245245</vt:i4>
      </vt:variant>
      <vt:variant>
        <vt:i4>2</vt:i4>
      </vt:variant>
      <vt:variant>
        <vt:i4>0</vt:i4>
      </vt:variant>
      <vt:variant>
        <vt:i4>5</vt:i4>
      </vt:variant>
      <vt:variant>
        <vt:lpwstr/>
      </vt:variant>
      <vt:variant>
        <vt:lpwstr>_Toc199822779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Gebühren nach dem Verbraucherinformationsgesetz</dc:title>
  <dc:subject>Verbraucherinformationsgebührenverordnung - VIGGebV</dc:subject>
  <dc:creator>Np</dc:creator>
  <cp:lastModifiedBy>Rüter, Dr., Ingo</cp:lastModifiedBy>
  <cp:revision>4</cp:revision>
  <cp:lastPrinted>2004-12-14T12:08:00Z</cp:lastPrinted>
  <dcterms:created xsi:type="dcterms:W3CDTF">2015-02-26T15:07:00Z</dcterms:created>
  <dcterms:modified xsi:type="dcterms:W3CDTF">2024-05-17T09:35:00Z</dcterms:modified>
</cp:coreProperties>
</file>