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8344199"/>
      <w:bookmarkStart w:id="1" w:name="_Toc412727335"/>
      <w:bookmarkStart w:id="2" w:name="_Toc382902067"/>
      <w:bookmarkStart w:id="3" w:name="_Toc382903580"/>
      <w:r>
        <w:t xml:space="preserve">Ausführungsgesetz zur Verwaltungsgerichtsordnung - </w:t>
      </w:r>
      <w:r>
        <w:br/>
        <w:t>AG Vw</w:t>
      </w:r>
      <w:bookmarkStart w:id="4" w:name="_GoBack"/>
      <w:bookmarkEnd w:id="4"/>
      <w:r>
        <w:t>GO</w:t>
      </w:r>
      <w:bookmarkEnd w:id="0"/>
      <w:bookmarkEnd w:id="1"/>
    </w:p>
    <w:p>
      <w:pPr>
        <w:pStyle w:val="GesAbsatz"/>
        <w:jc w:val="center"/>
      </w:pPr>
      <w:r>
        <w:t>vom 26. März 1960</w:t>
      </w:r>
    </w:p>
    <w:p>
      <w:pPr>
        <w:pStyle w:val="GesAbsatz"/>
        <w:rPr>
          <w:b/>
          <w:i/>
          <w:color w:val="FF0000"/>
          <w:sz w:val="22"/>
          <w:szCs w:val="22"/>
        </w:rPr>
      </w:pPr>
      <w:r>
        <w:rPr>
          <w:b/>
          <w:i/>
          <w:color w:val="FF0000"/>
          <w:sz w:val="22"/>
          <w:szCs w:val="22"/>
        </w:rPr>
        <w:t>Gültig 31.12.2010 - aufgehoben durch Artikel 2 Nummer 28 des Gesetzes vom 26. Januar 2010 (GV. NRW. S. 30)</w:t>
      </w:r>
    </w:p>
    <w:p>
      <w:hyperlink r:id="rId8" w:history="1">
        <w:r>
          <w:rPr>
            <w:rStyle w:val="Hyperlink"/>
          </w:rPr>
          <w:t>Link zur Vorschrift im SGV. NRW. 303:</w:t>
        </w:r>
      </w:hyperlink>
    </w:p>
    <w:bookmarkEnd w:id="2"/>
    <w:bookmarkEnd w:id="3"/>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27335" w:history="1">
        <w:r>
          <w:rPr>
            <w:rStyle w:val="Hyperlink"/>
            <w:noProof/>
          </w:rPr>
          <w:t>Ausführungsgesetz zur Verwaltungsgerichtsordnung - AG VwGO</w:t>
        </w:r>
        <w:r>
          <w:rPr>
            <w:noProof/>
            <w:webHidden/>
          </w:rPr>
          <w:tab/>
        </w:r>
        <w:r>
          <w:rPr>
            <w:noProof/>
            <w:webHidden/>
          </w:rPr>
          <w:fldChar w:fldCharType="begin"/>
        </w:r>
        <w:r>
          <w:rPr>
            <w:noProof/>
            <w:webHidden/>
          </w:rPr>
          <w:instrText xml:space="preserve"> PAGEREF _Toc412727335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36" w:history="1">
        <w:r>
          <w:rPr>
            <w:rStyle w:val="Hyperlink"/>
            <w:noProof/>
          </w:rPr>
          <w:t>§ 1 (Gliederung der Verwaltungsgerichte)</w:t>
        </w:r>
        <w:r>
          <w:rPr>
            <w:noProof/>
            <w:webHidden/>
          </w:rPr>
          <w:tab/>
        </w:r>
        <w:r>
          <w:rPr>
            <w:noProof/>
            <w:webHidden/>
          </w:rPr>
          <w:fldChar w:fldCharType="begin"/>
        </w:r>
        <w:r>
          <w:rPr>
            <w:noProof/>
            <w:webHidden/>
          </w:rPr>
          <w:instrText xml:space="preserve"> PAGEREF _Toc412727336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37" w:history="1">
        <w:r>
          <w:rPr>
            <w:rStyle w:val="Hyperlink"/>
            <w:noProof/>
          </w:rPr>
          <w:t>§ 1a</w:t>
        </w:r>
        <w:r>
          <w:rPr>
            <w:noProof/>
            <w:webHidden/>
          </w:rPr>
          <w:tab/>
        </w:r>
        <w:r>
          <w:rPr>
            <w:noProof/>
            <w:webHidden/>
          </w:rPr>
          <w:fldChar w:fldCharType="begin"/>
        </w:r>
        <w:r>
          <w:rPr>
            <w:noProof/>
            <w:webHidden/>
          </w:rPr>
          <w:instrText xml:space="preserve"> PAGEREF _Toc412727337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38" w:history="1">
        <w:r>
          <w:rPr>
            <w:rStyle w:val="Hyperlink"/>
            <w:noProof/>
          </w:rPr>
          <w:t>§ 1b</w:t>
        </w:r>
        <w:r>
          <w:rPr>
            <w:noProof/>
            <w:webHidden/>
          </w:rPr>
          <w:tab/>
        </w:r>
        <w:r>
          <w:rPr>
            <w:noProof/>
            <w:webHidden/>
          </w:rPr>
          <w:fldChar w:fldCharType="begin"/>
        </w:r>
        <w:r>
          <w:rPr>
            <w:noProof/>
            <w:webHidden/>
          </w:rPr>
          <w:instrText xml:space="preserve"> PAGEREF _Toc412727338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39" w:history="1">
        <w:r>
          <w:rPr>
            <w:rStyle w:val="Hyperlink"/>
            <w:bCs/>
            <w:noProof/>
          </w:rPr>
          <w:t>§ 2 (Oberste Dienstaufsichtsbehörde)</w:t>
        </w:r>
        <w:r>
          <w:rPr>
            <w:noProof/>
            <w:webHidden/>
          </w:rPr>
          <w:tab/>
        </w:r>
        <w:r>
          <w:rPr>
            <w:noProof/>
            <w:webHidden/>
          </w:rPr>
          <w:fldChar w:fldCharType="begin"/>
        </w:r>
        <w:r>
          <w:rPr>
            <w:noProof/>
            <w:webHidden/>
          </w:rPr>
          <w:instrText xml:space="preserve"> PAGEREF _Toc412727339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0" w:history="1">
        <w:r>
          <w:rPr>
            <w:rStyle w:val="Hyperlink"/>
            <w:noProof/>
          </w:rPr>
          <w:t>§ 3 (Zahl der Kammern und Senate)</w:t>
        </w:r>
        <w:r>
          <w:rPr>
            <w:noProof/>
            <w:webHidden/>
          </w:rPr>
          <w:tab/>
        </w:r>
        <w:r>
          <w:rPr>
            <w:noProof/>
            <w:webHidden/>
          </w:rPr>
          <w:fldChar w:fldCharType="begin"/>
        </w:r>
        <w:r>
          <w:rPr>
            <w:noProof/>
            <w:webHidden/>
          </w:rPr>
          <w:instrText xml:space="preserve"> PAGEREF _Toc412727340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1" w:history="1">
        <w:r>
          <w:rPr>
            <w:rStyle w:val="Hyperlink"/>
            <w:noProof/>
          </w:rPr>
          <w:t>§ 4 (aufgehoben)</w:t>
        </w:r>
        <w:r>
          <w:rPr>
            <w:noProof/>
            <w:webHidden/>
          </w:rPr>
          <w:tab/>
        </w:r>
        <w:r>
          <w:rPr>
            <w:noProof/>
            <w:webHidden/>
          </w:rPr>
          <w:fldChar w:fldCharType="begin"/>
        </w:r>
        <w:r>
          <w:rPr>
            <w:noProof/>
            <w:webHidden/>
          </w:rPr>
          <w:instrText xml:space="preserve"> PAGEREF _Toc412727341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2" w:history="1">
        <w:r>
          <w:rPr>
            <w:rStyle w:val="Hyperlink"/>
            <w:noProof/>
          </w:rPr>
          <w:t>§ 5 (Behörden als Verfahrensbeteiligte)</w:t>
        </w:r>
        <w:r>
          <w:rPr>
            <w:noProof/>
            <w:webHidden/>
          </w:rPr>
          <w:tab/>
        </w:r>
        <w:r>
          <w:rPr>
            <w:noProof/>
            <w:webHidden/>
          </w:rPr>
          <w:fldChar w:fldCharType="begin"/>
        </w:r>
        <w:r>
          <w:rPr>
            <w:noProof/>
            <w:webHidden/>
          </w:rPr>
          <w:instrText xml:space="preserve"> PAGEREF _Toc412727342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3" w:history="1">
        <w:r>
          <w:rPr>
            <w:rStyle w:val="Hyperlink"/>
            <w:noProof/>
          </w:rPr>
          <w:t>§ 6</w:t>
        </w:r>
        <w:r>
          <w:rPr>
            <w:noProof/>
            <w:webHidden/>
          </w:rPr>
          <w:tab/>
        </w:r>
        <w:r>
          <w:rPr>
            <w:noProof/>
            <w:webHidden/>
          </w:rPr>
          <w:fldChar w:fldCharType="begin"/>
        </w:r>
        <w:r>
          <w:rPr>
            <w:noProof/>
            <w:webHidden/>
          </w:rPr>
          <w:instrText xml:space="preserve"> PAGEREF _Toc412727343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4" w:history="1">
        <w:r>
          <w:rPr>
            <w:rStyle w:val="Hyperlink"/>
            <w:noProof/>
          </w:rPr>
          <w:t>§ 7</w:t>
        </w:r>
        <w:r>
          <w:rPr>
            <w:noProof/>
            <w:webHidden/>
          </w:rPr>
          <w:tab/>
        </w:r>
        <w:r>
          <w:rPr>
            <w:noProof/>
            <w:webHidden/>
          </w:rPr>
          <w:fldChar w:fldCharType="begin"/>
        </w:r>
        <w:r>
          <w:rPr>
            <w:noProof/>
            <w:webHidden/>
          </w:rPr>
          <w:instrText xml:space="preserve"> PAGEREF _Toc412727344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5" w:history="1">
        <w:r>
          <w:rPr>
            <w:rStyle w:val="Hyperlink"/>
            <w:noProof/>
          </w:rPr>
          <w:t>§ 8 (Beschränkter Suspensiveffekt)</w:t>
        </w:r>
        <w:r>
          <w:rPr>
            <w:noProof/>
            <w:webHidden/>
          </w:rPr>
          <w:tab/>
        </w:r>
        <w:r>
          <w:rPr>
            <w:noProof/>
            <w:webHidden/>
          </w:rPr>
          <w:fldChar w:fldCharType="begin"/>
        </w:r>
        <w:r>
          <w:rPr>
            <w:noProof/>
            <w:webHidden/>
          </w:rPr>
          <w:instrText xml:space="preserve"> PAGEREF _Toc412727345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6" w:history="1">
        <w:r>
          <w:rPr>
            <w:rStyle w:val="Hyperlink"/>
            <w:noProof/>
          </w:rPr>
          <w:t>§ 9 (Gebühren und Auslagen)</w:t>
        </w:r>
        <w:r>
          <w:rPr>
            <w:noProof/>
            <w:webHidden/>
          </w:rPr>
          <w:tab/>
        </w:r>
        <w:r>
          <w:rPr>
            <w:noProof/>
            <w:webHidden/>
          </w:rPr>
          <w:fldChar w:fldCharType="begin"/>
        </w:r>
        <w:r>
          <w:rPr>
            <w:noProof/>
            <w:webHidden/>
          </w:rPr>
          <w:instrText xml:space="preserve"> PAGEREF _Toc412727346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7" w:history="1">
        <w:r>
          <w:rPr>
            <w:rStyle w:val="Hyperlink"/>
            <w:noProof/>
          </w:rPr>
          <w:t>§ 10 (Besetzung der Spruchkörper)</w:t>
        </w:r>
        <w:r>
          <w:rPr>
            <w:noProof/>
            <w:webHidden/>
          </w:rPr>
          <w:tab/>
        </w:r>
        <w:r>
          <w:rPr>
            <w:noProof/>
            <w:webHidden/>
          </w:rPr>
          <w:fldChar w:fldCharType="begin"/>
        </w:r>
        <w:r>
          <w:rPr>
            <w:noProof/>
            <w:webHidden/>
          </w:rPr>
          <w:instrText xml:space="preserve"> PAGEREF _Toc412727347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8" w:history="1">
        <w:r>
          <w:rPr>
            <w:rStyle w:val="Hyperlink"/>
            <w:noProof/>
          </w:rPr>
          <w:t>§§ 11 – 14 (Nicht wiedergegeben)</w:t>
        </w:r>
        <w:r>
          <w:rPr>
            <w:noProof/>
            <w:webHidden/>
          </w:rPr>
          <w:tab/>
        </w:r>
        <w:r>
          <w:rPr>
            <w:noProof/>
            <w:webHidden/>
          </w:rPr>
          <w:fldChar w:fldCharType="begin"/>
        </w:r>
        <w:r>
          <w:rPr>
            <w:noProof/>
            <w:webHidden/>
          </w:rPr>
          <w:instrText xml:space="preserve"> PAGEREF _Toc412727348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2727349" w:history="1">
        <w:r>
          <w:rPr>
            <w:rStyle w:val="Hyperlink"/>
            <w:noProof/>
          </w:rPr>
          <w:t>§15 (Schlußvorschrift)</w:t>
        </w:r>
        <w:r>
          <w:rPr>
            <w:noProof/>
            <w:webHidden/>
          </w:rPr>
          <w:tab/>
        </w:r>
        <w:r>
          <w:rPr>
            <w:noProof/>
            <w:webHidden/>
          </w:rPr>
          <w:fldChar w:fldCharType="begin"/>
        </w:r>
        <w:r>
          <w:rPr>
            <w:noProof/>
            <w:webHidden/>
          </w:rPr>
          <w:instrText xml:space="preserve"> PAGEREF _Toc412727349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7350" w:history="1">
        <w:r>
          <w:rPr>
            <w:rStyle w:val="Hyperlink"/>
            <w:noProof/>
          </w:rPr>
          <w:t>Hinweis zum In-Kraft/Außer-Kraft-Treten des § 1 a</w:t>
        </w:r>
        <w:r>
          <w:rPr>
            <w:noProof/>
            <w:webHidden/>
          </w:rPr>
          <w:tab/>
        </w:r>
        <w:r>
          <w:rPr>
            <w:noProof/>
            <w:webHidden/>
          </w:rPr>
          <w:fldChar w:fldCharType="begin"/>
        </w:r>
        <w:r>
          <w:rPr>
            <w:noProof/>
            <w:webHidden/>
          </w:rPr>
          <w:instrText xml:space="preserve"> PAGEREF _Toc412727350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7351" w:history="1">
        <w:r>
          <w:rPr>
            <w:rStyle w:val="Hyperlink"/>
            <w:noProof/>
          </w:rPr>
          <w:t>Hinweis zum In-Kraft-Treten der Änderungen zu § 10</w:t>
        </w:r>
        <w:r>
          <w:rPr>
            <w:noProof/>
            <w:webHidden/>
          </w:rPr>
          <w:tab/>
        </w:r>
        <w:r>
          <w:rPr>
            <w:noProof/>
            <w:webHidden/>
          </w:rPr>
          <w:fldChar w:fldCharType="begin"/>
        </w:r>
        <w:r>
          <w:rPr>
            <w:noProof/>
            <w:webHidden/>
          </w:rPr>
          <w:instrText xml:space="preserve"> PAGEREF _Toc412727351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7352" w:history="1">
        <w:r>
          <w:rPr>
            <w:rStyle w:val="Hyperlink"/>
            <w:noProof/>
          </w:rPr>
          <w:t>Hinweis zum In-Kraft-Treten/Außer-Kraft-Treten der Änderung in § 1a und des neuen § 1b</w:t>
        </w:r>
        <w:r>
          <w:rPr>
            <w:noProof/>
            <w:webHidden/>
          </w:rPr>
          <w:tab/>
        </w:r>
        <w:r>
          <w:rPr>
            <w:noProof/>
            <w:webHidden/>
          </w:rPr>
          <w:fldChar w:fldCharType="begin"/>
        </w:r>
        <w:r>
          <w:rPr>
            <w:noProof/>
            <w:webHidden/>
          </w:rPr>
          <w:instrText xml:space="preserve"> PAGEREF _Toc412727352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7353" w:history="1">
        <w:r>
          <w:rPr>
            <w:rStyle w:val="Hyperlink"/>
            <w:noProof/>
          </w:rPr>
          <w:t>Hinweis auf Übergangsvorschrift/In-Kraft-Treten zum neu gefassten § 6 und § 7</w:t>
        </w:r>
        <w:r>
          <w:rPr>
            <w:noProof/>
            <w:webHidden/>
          </w:rPr>
          <w:tab/>
        </w:r>
        <w:r>
          <w:rPr>
            <w:noProof/>
            <w:webHidden/>
          </w:rPr>
          <w:fldChar w:fldCharType="begin"/>
        </w:r>
        <w:r>
          <w:rPr>
            <w:noProof/>
            <w:webHidden/>
          </w:rPr>
          <w:instrText xml:space="preserve"> PAGEREF _Toc412727353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5" w:name="_Toc78344200"/>
      <w:bookmarkStart w:id="6" w:name="_Toc412727336"/>
      <w:r>
        <w:t>§ 1</w:t>
      </w:r>
      <w:r>
        <w:br/>
        <w:t>(Gliederung der Verwaltungsgerichte)</w:t>
      </w:r>
      <w:bookmarkEnd w:id="5"/>
      <w:bookmarkEnd w:id="6"/>
    </w:p>
    <w:p>
      <w:pPr>
        <w:pStyle w:val="GesAbsatz"/>
      </w:pPr>
      <w:r>
        <w:t>(1) Das Oberverwaltungsgericht für das Land Nordrhein-Westfalen hat seinen Sitz in Münster.</w:t>
      </w:r>
    </w:p>
    <w:p>
      <w:pPr>
        <w:pStyle w:val="GesAbsatz"/>
      </w:pPr>
      <w:r>
        <w:t>(2) Die Verwaltungsgerichte haben ihren Sitz</w:t>
      </w:r>
    </w:p>
    <w:p>
      <w:pPr>
        <w:pStyle w:val="GesAbsatz"/>
        <w:ind w:left="426" w:hanging="426"/>
      </w:pPr>
      <w:r>
        <w:t>a)</w:t>
      </w:r>
      <w:r>
        <w:tab/>
        <w:t>in Aachen für das Gebiet der Städteregion Aachen und der Kreise, Düren, Euskirchen und Heinsberg,</w:t>
      </w:r>
    </w:p>
    <w:p>
      <w:pPr>
        <w:pStyle w:val="GesAbsatz"/>
        <w:ind w:left="426" w:hanging="426"/>
      </w:pPr>
      <w:r>
        <w:t>b)</w:t>
      </w:r>
      <w:r>
        <w:tab/>
        <w:t>in Arnsberg für das Gebiet der kreisfreien Städte Hagen und Hamm sowie des Ennepe-Ruhr-Kreises, des Hochsauerlandkreises, des Märkischen Kreises und der Kreise Olpe, Siegen-Wittgenstein und Soest,</w:t>
      </w:r>
    </w:p>
    <w:p>
      <w:pPr>
        <w:pStyle w:val="GesAbsatz"/>
        <w:ind w:left="426" w:hanging="426"/>
      </w:pPr>
      <w:r>
        <w:t>c)</w:t>
      </w:r>
      <w:r>
        <w:tab/>
        <w:t>in Düsseldorf für das Gebiet der kreisfreien Städte Düsseldorf, Duisburg, Krefeld, Mönchengladbach, Mülheim a.d. Ruhr, Oberhausen, Remscheid, Solingen und Wuppertal sowie der Kreise Kleve und Mettmann, des Rhein-Kreises Neuss und der Kreise Viersen und Wesel,</w:t>
      </w:r>
    </w:p>
    <w:p>
      <w:pPr>
        <w:pStyle w:val="GesAbsatz"/>
        <w:ind w:left="426" w:hanging="426"/>
      </w:pPr>
      <w:r>
        <w:t>d)</w:t>
      </w:r>
      <w:r>
        <w:tab/>
        <w:t>in Gelsenkirchen für das Gebiet der kreisfreien Städte Bochum, Bottrop, Dortmund, Essen, Gelsenkirchen und Herne sowie der Kreise Recklinghausen und Unna,</w:t>
      </w:r>
    </w:p>
    <w:p>
      <w:pPr>
        <w:pStyle w:val="GesAbsatz"/>
        <w:ind w:left="426" w:hanging="426"/>
      </w:pPr>
      <w:r>
        <w:t>e)</w:t>
      </w:r>
      <w:r>
        <w:tab/>
        <w:t>in Köln für das Gebiet der kreisfreien Städte Bonn, Köln und Leverkusen sowie des Oberbergischen Kreises, des Rheinisch-Bergischen Kreises, des Rhein-Erft-Kreises und des Rhein-Sieg-Kreises,</w:t>
      </w:r>
    </w:p>
    <w:p>
      <w:pPr>
        <w:pStyle w:val="GesAbsatz"/>
        <w:ind w:left="426" w:hanging="426"/>
      </w:pPr>
      <w:r>
        <w:t>f)</w:t>
      </w:r>
      <w:r>
        <w:tab/>
        <w:t>in Minden für das Gebiet der kreisfreien Stadt Bielefeld sowie der Kreise Gütersloh, Herford, Höxter, Lippe, Minden-Lübbecke und Paderborn,</w:t>
      </w:r>
    </w:p>
    <w:p>
      <w:pPr>
        <w:pStyle w:val="GesAbsatz"/>
        <w:ind w:left="426" w:hanging="426"/>
      </w:pPr>
      <w:r>
        <w:t>g)</w:t>
      </w:r>
      <w:r>
        <w:tab/>
        <w:t>in Münster für das Gebiet der kreisfreien Stadt Münster sowie der Kreise Borken, Coesfeld, Steinfurt und Warendorf.</w:t>
      </w:r>
    </w:p>
    <w:p>
      <w:pPr>
        <w:pStyle w:val="berschrift3"/>
      </w:pPr>
      <w:bookmarkStart w:id="7" w:name="_Toc78344201"/>
      <w:bookmarkStart w:id="8" w:name="_Toc412727337"/>
      <w:r>
        <w:t>§ 1a</w:t>
      </w:r>
      <w:bookmarkEnd w:id="7"/>
      <w:bookmarkEnd w:id="8"/>
    </w:p>
    <w:p>
      <w:pPr>
        <w:pStyle w:val="GesAbsatz"/>
        <w:rPr>
          <w:color w:val="auto"/>
        </w:rPr>
      </w:pPr>
      <w:r>
        <w:t xml:space="preserve">Abweichend von § 52 Nr. 2 Satz 1 und 2 der Verwaltungsgerichtsordnung werden an das Verwaltungsgericht Minden die Verfahren in Streitigkeiten nach dem Gesetz über die Angelegenheiten der Vertriebenen und Flüchtlinge zugewiesen, die sich auf Entscheidungen des Bundesverwaltungsamtes beziehen und an denen Personen beteiligt sind, die bei Eingang ihres Antrages bei dem Bundesverwaltungsamt ihren Wohnsitz oder ständigen Aufenthalt </w:t>
      </w:r>
      <w:r>
        <w:rPr>
          <w:color w:val="auto"/>
        </w:rPr>
        <w:t>in einer der Republiken der ehemaligen Sowjetunion, Estland, Lettland oder Litauen</w:t>
      </w:r>
      <w:r>
        <w:t xml:space="preserve"> gehabt haben oder vor der Begründung ihres ständigen Aufenthalts in der Bundesrepublik Deutschland ihren </w:t>
      </w:r>
      <w:r>
        <w:lastRenderedPageBreak/>
        <w:t xml:space="preserve">Wohnsitz oder ständigen Aufenthalt </w:t>
      </w:r>
      <w:r>
        <w:rPr>
          <w:color w:val="auto"/>
        </w:rPr>
        <w:t>in einer dieser Republiken</w:t>
      </w:r>
      <w:r>
        <w:t xml:space="preserve"> hatten. Die örtliche Zuständigkeit für Verfahren des vorläufigen Rechtsschutzes und für sonstige Nebenverfahren bestimmt sich nach der Zuständigkeit für das Hauptsacheverfahren. </w:t>
      </w:r>
    </w:p>
    <w:p>
      <w:pPr>
        <w:pStyle w:val="berschrift3"/>
      </w:pPr>
      <w:bookmarkStart w:id="9" w:name="_Toc412727338"/>
      <w:r>
        <w:t>§ 1b</w:t>
      </w:r>
      <w:bookmarkEnd w:id="9"/>
    </w:p>
    <w:p>
      <w:pPr>
        <w:pStyle w:val="GesAbsatz"/>
      </w:pPr>
      <w:r>
        <w:t xml:space="preserve">Abweichend von § 1 erstreckt sich in Streitigkeiten nach dem Asylverfahrensgesetz einschließlich derjenigen Streitigkeiten betreffend Entscheidungen nach dem Ausländergesetz oder dem Aufenthaltsgesetz, zu denen das Bundesamt für Migration und Flüchtlinge nach dem Asylverfahrensgesetz berufen ist, der Bezirk des Verwaltungsgerichts </w:t>
      </w:r>
    </w:p>
    <w:p>
      <w:pPr>
        <w:pStyle w:val="GesAbsatz"/>
        <w:ind w:left="426" w:hanging="426"/>
      </w:pPr>
      <w:r>
        <w:t>1.</w:t>
      </w:r>
      <w:r>
        <w:tab/>
        <w:t>Aachen auf das Gebiet der kreisfreien Stadt Aachen und der Kreise Düren und Euskirchen,</w:t>
      </w:r>
    </w:p>
    <w:p>
      <w:pPr>
        <w:pStyle w:val="GesAbsatz"/>
        <w:ind w:left="426" w:hanging="426"/>
      </w:pPr>
      <w:r>
        <w:t>2.</w:t>
      </w:r>
      <w:r>
        <w:tab/>
        <w:t>Arnsberg auf das Gebiet der kreisfreien Städte Dortmund, Hagen, Hamm und Münster sowie des Ennepe-Ruhr-Kreises, des Hochsauerlandkreises, des Märkischen Kreises und der Kreise Coesfeld, Olpe, Siegen-Wittgenstein, Soest, Unna und Warendorf,</w:t>
      </w:r>
    </w:p>
    <w:p>
      <w:pPr>
        <w:pStyle w:val="GesAbsatz"/>
        <w:ind w:left="426" w:hanging="426"/>
      </w:pPr>
      <w:r>
        <w:t>3.</w:t>
      </w:r>
      <w:r>
        <w:tab/>
        <w:t>Düsseldorf auf das Gebiet der kreisfreien Städte Bochum, Düsseldorf, Duisburg, Essen, Krefeld, Mönchengladbach, Mülheim a. d. Ruhr, Oberhausen, Remscheid, Solingen und Wuppertal sowie der Städteregion Aachen ohne das Gebiet der Stadt Aachen und der Kreise, Heinsberg, Kleve, Mettmann und Recklinghausen, des Rhein-Kreises Neuss und der Kreise Viersen und Wesel,</w:t>
      </w:r>
    </w:p>
    <w:p>
      <w:pPr>
        <w:pStyle w:val="GesAbsatz"/>
        <w:ind w:left="426" w:hanging="426"/>
      </w:pPr>
      <w:r>
        <w:t>4.</w:t>
      </w:r>
      <w:r>
        <w:tab/>
        <w:t>Gelsenkirchen auf das Gebiet der kreisfreien Städte Bottrop, Gelsenkirchen und Herne,</w:t>
      </w:r>
    </w:p>
    <w:p>
      <w:pPr>
        <w:pStyle w:val="GesAbsatz"/>
        <w:ind w:left="426" w:hanging="426"/>
      </w:pPr>
      <w:r>
        <w:t>5.</w:t>
      </w:r>
      <w:r>
        <w:tab/>
        <w:t>Münster auf das Gebiet der Kreise Borken und Steinfurt.</w:t>
      </w:r>
    </w:p>
    <w:p>
      <w:pPr>
        <w:pStyle w:val="berschrift3"/>
        <w:rPr>
          <w:b w:val="0"/>
        </w:rPr>
      </w:pPr>
      <w:bookmarkStart w:id="10" w:name="_Toc78344202"/>
      <w:bookmarkStart w:id="11" w:name="_Toc412727339"/>
      <w:r>
        <w:rPr>
          <w:bCs/>
        </w:rPr>
        <w:t>§ 2</w:t>
      </w:r>
      <w:r>
        <w:rPr>
          <w:bCs/>
        </w:rPr>
        <w:br/>
        <w:t>(Oberste Dienstaufsichtsbehörde)</w:t>
      </w:r>
      <w:bookmarkEnd w:id="10"/>
      <w:bookmarkEnd w:id="11"/>
    </w:p>
    <w:p>
      <w:pPr>
        <w:pStyle w:val="GesAbsatz"/>
      </w:pPr>
      <w:r>
        <w:t>Oberste Dienstaufsichtsbehörde für die Gerichte der allgemeinen Verwaltungsgerichtsbarkeit ist der Justizminister.</w:t>
      </w:r>
    </w:p>
    <w:p>
      <w:pPr>
        <w:pStyle w:val="berschrift3"/>
      </w:pPr>
      <w:bookmarkStart w:id="12" w:name="_Toc78344203"/>
      <w:bookmarkStart w:id="13" w:name="_Toc412727340"/>
      <w:r>
        <w:t>§ 3</w:t>
      </w:r>
      <w:r>
        <w:br/>
        <w:t>(Zahl der Kammern und Senate)</w:t>
      </w:r>
      <w:bookmarkEnd w:id="12"/>
      <w:bookmarkEnd w:id="13"/>
    </w:p>
    <w:p>
      <w:pPr>
        <w:pStyle w:val="GesAbsatz"/>
      </w:pPr>
      <w:r>
        <w:t>(1) Der Präsident eines jeden Verwaltungsgerichts bestimmt nach Anhörung des Präsidiums die Zahl der Kammern.</w:t>
      </w:r>
    </w:p>
    <w:p>
      <w:pPr>
        <w:pStyle w:val="GesAbsatz"/>
      </w:pPr>
      <w:r>
        <w:t>(2) Für das Oberverwaltungsgericht gilt Absatz 1 entsprechend.</w:t>
      </w:r>
    </w:p>
    <w:p>
      <w:pPr>
        <w:pStyle w:val="berschrift3"/>
      </w:pPr>
      <w:bookmarkStart w:id="14" w:name="_Toc78344204"/>
      <w:bookmarkStart w:id="15" w:name="_Toc412727341"/>
      <w:r>
        <w:t>§ 4</w:t>
      </w:r>
      <w:r>
        <w:br/>
        <w:t>(aufgehoben)</w:t>
      </w:r>
      <w:bookmarkEnd w:id="14"/>
      <w:bookmarkEnd w:id="15"/>
    </w:p>
    <w:p>
      <w:pPr>
        <w:pStyle w:val="berschrift3"/>
      </w:pPr>
      <w:bookmarkStart w:id="16" w:name="_Toc78344205"/>
      <w:bookmarkStart w:id="17" w:name="_Toc412727342"/>
      <w:r>
        <w:t>§ 5</w:t>
      </w:r>
      <w:r>
        <w:br/>
        <w:t>(Behörden als Verfahrensbeteiligte)</w:t>
      </w:r>
      <w:bookmarkEnd w:id="16"/>
      <w:bookmarkEnd w:id="17"/>
    </w:p>
    <w:p>
      <w:pPr>
        <w:pStyle w:val="GesAbsatz"/>
      </w:pPr>
      <w:r>
        <w:t>(1) Behörden sind fähig, am Verfahren vor den Gerichten der allgemeinen Verwaltungsgerichtsbarkeit beteiligt zu sein.</w:t>
      </w:r>
    </w:p>
    <w:p>
      <w:pPr>
        <w:pStyle w:val="GesAbsatz"/>
      </w:pPr>
      <w:r>
        <w:t>(2) Anfechtungsklagen und Verpflichtungsklagen sind gegen die Behörde zu richten, die den angefochtenen Verwaltungsakt erlassen oder den beantragten Verwaltungsakt unterlassen hat. Dies gilt nicht für Klagen im Sinne des § 52 Nr. 4 der Verwaltungsgerichtsordnung.</w:t>
      </w:r>
    </w:p>
    <w:p>
      <w:pPr>
        <w:pStyle w:val="berschrift3"/>
      </w:pPr>
      <w:bookmarkStart w:id="18" w:name="_Toc412727343"/>
      <w:bookmarkStart w:id="19" w:name="_Toc78344206"/>
      <w:r>
        <w:t>§ 6</w:t>
      </w:r>
      <w:bookmarkEnd w:id="18"/>
    </w:p>
    <w:p>
      <w:pPr>
        <w:pStyle w:val="GesAbsatz"/>
        <w:rPr>
          <w:color w:val="auto"/>
        </w:rPr>
      </w:pPr>
      <w:r>
        <w:rPr>
          <w:color w:val="auto"/>
        </w:rPr>
        <w:t>(1) Vor Erhebung einer Anfechtungsklage bedarf es einer Nachprüfung in einem Vorverfahren abweichend von § 68 Abs. 1 Satz 1 der Verwaltungsgerichtsordnung nicht, wenn der Verwaltungsakt während des Zeitraums vom 1. November 2007 bis zum 31. Oktober 2012 bekannt gegeben worden ist. Vor Erhebung einer Verpflichtungsklage bedarf es einer Nachprüfung in einem Vorverfahren abweichend von § 68 Abs. 2 Verwaltungsgerichtsordnung nicht, wenn die Ablehnung der Vornahme des Verwaltungsaktes innerhalb des in Satz 1 bezeichneten Zeitraumes bekannt gegeben worden ist.</w:t>
      </w:r>
    </w:p>
    <w:p>
      <w:pPr>
        <w:pStyle w:val="GesAbsatz"/>
        <w:rPr>
          <w:color w:val="auto"/>
        </w:rPr>
      </w:pPr>
      <w:r>
        <w:rPr>
          <w:color w:val="auto"/>
        </w:rPr>
        <w:t>(2) Absatz 1 gilt nicht für den Erlass oder die Ablehnung der Vornahme von Verwaltungsakten,</w:t>
      </w:r>
    </w:p>
    <w:p>
      <w:pPr>
        <w:pStyle w:val="GesAbsatz"/>
        <w:ind w:left="426" w:hanging="426"/>
        <w:rPr>
          <w:color w:val="auto"/>
        </w:rPr>
      </w:pPr>
      <w:r>
        <w:rPr>
          <w:color w:val="auto"/>
        </w:rPr>
        <w:t>1.</w:t>
      </w:r>
      <w:r>
        <w:rPr>
          <w:color w:val="auto"/>
        </w:rPr>
        <w:tab/>
        <w:t>hinsichtlich derer Bundesrecht oder das Recht der Europäischen Union die Durchführung eines Vorverfahrens vorschreiben,</w:t>
      </w:r>
    </w:p>
    <w:p>
      <w:pPr>
        <w:pStyle w:val="GesAbsatz"/>
        <w:rPr>
          <w:color w:val="auto"/>
        </w:rPr>
      </w:pPr>
      <w:r>
        <w:rPr>
          <w:color w:val="auto"/>
        </w:rPr>
        <w:t>2.</w:t>
      </w:r>
      <w:r>
        <w:rPr>
          <w:color w:val="auto"/>
        </w:rPr>
        <w:tab/>
        <w:t>denen die Bewertung einer Leistung im Rahmen einer berufsbezogenen Prüfung zugrunde liegt,</w:t>
      </w:r>
    </w:p>
    <w:p>
      <w:pPr>
        <w:pStyle w:val="GesAbsatz"/>
        <w:rPr>
          <w:color w:val="auto"/>
        </w:rPr>
      </w:pPr>
      <w:r>
        <w:rPr>
          <w:color w:val="auto"/>
        </w:rPr>
        <w:t>3.</w:t>
      </w:r>
      <w:r>
        <w:rPr>
          <w:color w:val="auto"/>
        </w:rPr>
        <w:tab/>
        <w:t>im Bereich des</w:t>
      </w:r>
    </w:p>
    <w:p>
      <w:pPr>
        <w:pStyle w:val="GesAbsatz"/>
        <w:ind w:left="851" w:hanging="425"/>
        <w:rPr>
          <w:color w:val="auto"/>
        </w:rPr>
      </w:pPr>
      <w:r>
        <w:rPr>
          <w:color w:val="auto"/>
        </w:rPr>
        <w:lastRenderedPageBreak/>
        <w:t>a)</w:t>
      </w:r>
      <w:r>
        <w:rPr>
          <w:color w:val="auto"/>
        </w:rPr>
        <w:tab/>
        <w:t>Schulrechts, soweit sie von Schulen erlassen werden,</w:t>
      </w:r>
    </w:p>
    <w:p>
      <w:pPr>
        <w:pStyle w:val="GesAbsatz"/>
        <w:ind w:left="851" w:hanging="425"/>
        <w:rPr>
          <w:color w:val="auto"/>
        </w:rPr>
      </w:pPr>
      <w:r>
        <w:rPr>
          <w:color w:val="auto"/>
        </w:rPr>
        <w:t>b)</w:t>
      </w:r>
      <w:r>
        <w:rPr>
          <w:color w:val="auto"/>
        </w:rPr>
        <w:tab/>
        <w:t>Ausbildungs-, Studien- und Graduiertenförderungsrechts, soweit sie von bei staatlichen Hochschulen oder bei Studentenwerken eingerichteten Ämtern für Ausbildungsförderung erlassen werden,</w:t>
      </w:r>
    </w:p>
    <w:p>
      <w:pPr>
        <w:pStyle w:val="GesAbsatz"/>
        <w:ind w:left="426" w:hanging="426"/>
        <w:rPr>
          <w:color w:val="auto"/>
        </w:rPr>
      </w:pPr>
      <w:r>
        <w:rPr>
          <w:color w:val="auto"/>
        </w:rPr>
        <w:t>4.</w:t>
      </w:r>
      <w:r>
        <w:rPr>
          <w:color w:val="auto"/>
        </w:rPr>
        <w:tab/>
        <w:t>die vom Westdeutschen Rundfunk Köln oder der Gebühreneinzugszentrale der öffentlich-rechtlichen Rundfunkanstalten (GEZ) erlassen werden.</w:t>
      </w:r>
    </w:p>
    <w:p>
      <w:pPr>
        <w:pStyle w:val="GesAbsatz"/>
        <w:rPr>
          <w:color w:val="auto"/>
        </w:rPr>
      </w:pPr>
      <w:r>
        <w:rPr>
          <w:color w:val="auto"/>
        </w:rPr>
        <w:t>In den Fällen des Satzes 1 Nr. 2 bedarf es der Nachprüfung in einem Vorverfahren auch dann, wenn eine oberste Landesbehörde den Verwaltungsakt erlassen oder den Antrag auf Vornahme des Verwaltungsakts abgelehnt hat. Satz 1 gilt auch für Nebenbestimmungen sowie Vollstreckungs- und Kostenentscheidungen zu den genannten Verwaltungsakten</w:t>
      </w:r>
    </w:p>
    <w:p>
      <w:pPr>
        <w:pStyle w:val="GesAbsatz"/>
        <w:rPr>
          <w:color w:val="auto"/>
        </w:rPr>
      </w:pPr>
      <w:r>
        <w:rPr>
          <w:color w:val="auto"/>
        </w:rPr>
        <w:t>(3) Absatz 1 Satz 1 findet keine Anwendung auf im Verwaltungsverfahren nicht beteiligte Dritte, die sich gegen den Erlass eines einen anderen begünstigenden Verwaltungsaktes wenden. Dies gilt nicht,</w:t>
      </w:r>
    </w:p>
    <w:p>
      <w:pPr>
        <w:pStyle w:val="GesAbsatz"/>
        <w:ind w:left="426" w:hanging="426"/>
        <w:rPr>
          <w:color w:val="auto"/>
        </w:rPr>
      </w:pPr>
      <w:r>
        <w:rPr>
          <w:color w:val="auto"/>
        </w:rPr>
        <w:t>1.</w:t>
      </w:r>
      <w:r>
        <w:rPr>
          <w:color w:val="auto"/>
        </w:rPr>
        <w:tab/>
        <w:t>der Verwaltungsakt von einer Bezirksregierung erlassen worden ist, es sei denn, er ist auf dem Gebiet der Krankenhausplanung und -finanzierung ergangen,</w:t>
      </w:r>
    </w:p>
    <w:p>
      <w:pPr>
        <w:pStyle w:val="GesAbsatz"/>
        <w:rPr>
          <w:color w:val="auto"/>
        </w:rPr>
      </w:pPr>
      <w:r>
        <w:rPr>
          <w:color w:val="auto"/>
        </w:rPr>
        <w:t>2.</w:t>
      </w:r>
      <w:r>
        <w:rPr>
          <w:color w:val="auto"/>
        </w:rPr>
        <w:tab/>
        <w:t>bei Entscheidungen nach dem Arbeitsschutzgesetz und den dazu ergangenen Rechtsverordnungen,</w:t>
      </w:r>
    </w:p>
    <w:p>
      <w:pPr>
        <w:pStyle w:val="GesAbsatz"/>
        <w:rPr>
          <w:color w:val="auto"/>
        </w:rPr>
      </w:pPr>
      <w:r>
        <w:rPr>
          <w:color w:val="auto"/>
        </w:rPr>
        <w:t>3</w:t>
      </w:r>
      <w:r>
        <w:rPr>
          <w:color w:val="auto"/>
        </w:rPr>
        <w:tab/>
        <w:t xml:space="preserve"> bei Entscheidungen nach der Gewerbeordnung und den dazu ergangenen Rechtsverordnungen,</w:t>
      </w:r>
    </w:p>
    <w:p>
      <w:pPr>
        <w:pStyle w:val="GesAbsatz"/>
        <w:ind w:left="426" w:hanging="426"/>
        <w:rPr>
          <w:color w:val="auto"/>
        </w:rPr>
      </w:pPr>
      <w:r>
        <w:rPr>
          <w:color w:val="auto"/>
        </w:rPr>
        <w:t>4.</w:t>
      </w:r>
      <w:r>
        <w:rPr>
          <w:color w:val="auto"/>
        </w:rPr>
        <w:tab/>
        <w:t>bei Entscheidungen nach dem Geräte- und Produktsicherheitsgesetz und den dazu ergangenen Rechtsverordnungen,</w:t>
      </w:r>
    </w:p>
    <w:p>
      <w:pPr>
        <w:pStyle w:val="GesAbsatz"/>
        <w:rPr>
          <w:color w:val="auto"/>
        </w:rPr>
      </w:pPr>
      <w:r>
        <w:rPr>
          <w:color w:val="auto"/>
        </w:rPr>
        <w:t>5.</w:t>
      </w:r>
      <w:r>
        <w:rPr>
          <w:color w:val="auto"/>
        </w:rPr>
        <w:tab/>
        <w:t>bei Entscheidungen nach dem Arbeitszeitgesetz und den dazu ergangenen Rechtsverordnungen,</w:t>
      </w:r>
    </w:p>
    <w:p>
      <w:pPr>
        <w:pStyle w:val="GesAbsatz"/>
        <w:ind w:left="426" w:hanging="426"/>
        <w:rPr>
          <w:color w:val="auto"/>
        </w:rPr>
      </w:pPr>
      <w:r>
        <w:rPr>
          <w:color w:val="auto"/>
        </w:rPr>
        <w:t>6.</w:t>
      </w:r>
      <w:r>
        <w:rPr>
          <w:color w:val="auto"/>
        </w:rPr>
        <w:tab/>
        <w:t>bei Entscheidungen nach dem Gesetz über Betriebsärzte, Sicherheitsingenieure und andere Fachkräfte für Arbeitssicherheit,</w:t>
      </w:r>
    </w:p>
    <w:p>
      <w:pPr>
        <w:pStyle w:val="GesAbsatz"/>
        <w:rPr>
          <w:color w:val="auto"/>
        </w:rPr>
      </w:pPr>
      <w:r>
        <w:rPr>
          <w:color w:val="auto"/>
        </w:rPr>
        <w:t>7.</w:t>
      </w:r>
      <w:r>
        <w:rPr>
          <w:color w:val="auto"/>
        </w:rPr>
        <w:tab/>
        <w:t>bei Entscheidungen der Bauaufsichtsbehörden und der Baugenehmigungsbehörden,</w:t>
      </w:r>
    </w:p>
    <w:p>
      <w:pPr>
        <w:pStyle w:val="GesAbsatz"/>
        <w:rPr>
          <w:color w:val="auto"/>
        </w:rPr>
      </w:pPr>
      <w:r>
        <w:rPr>
          <w:color w:val="auto"/>
        </w:rPr>
        <w:t>8.</w:t>
      </w:r>
      <w:r>
        <w:rPr>
          <w:color w:val="auto"/>
        </w:rPr>
        <w:tab/>
        <w:t>bei Entscheidungen nach dem Gaststättengesetz und der dazu ergangenen Rechtsverordnung.</w:t>
      </w:r>
    </w:p>
    <w:p>
      <w:pPr>
        <w:pStyle w:val="GesAbsatz"/>
      </w:pPr>
      <w:r>
        <w:rPr>
          <w:color w:val="auto"/>
        </w:rPr>
        <w:t>(4) Soweit landesgesetzliche Bestimmungen die Durchführung eines Vorverfahrens in sonstigen Bereichen vorsehen, finden diese Regelungen innerhalb des in Absatz 1 bestimmten Zeitraumes keine Anwendung.</w:t>
      </w:r>
      <w:bookmarkEnd w:id="19"/>
    </w:p>
    <w:p>
      <w:pPr>
        <w:pStyle w:val="berschrift3"/>
      </w:pPr>
      <w:bookmarkStart w:id="20" w:name="_Toc412727344"/>
      <w:r>
        <w:t>§ 7</w:t>
      </w:r>
      <w:bookmarkEnd w:id="20"/>
    </w:p>
    <w:p>
      <w:pPr>
        <w:pStyle w:val="GesAbsatz"/>
      </w:pPr>
      <w:r>
        <w:rPr>
          <w:color w:val="auto"/>
        </w:rPr>
        <w:t>Soweit ein Vorverfahren nach § 6 durchzuführen ist, ist die Behörde, die den Verwaltungsakt erlassen oder dessen Vornahme abgelehnt hat, auch für die Entscheidung über den Widerspruch zuständig. Satz 1 gilt nicht für den Fall des § 6 Abs. 2 Satz 1 Nr. 3 Buchstabe a); § 73 Abs. 1 Satz 2 Nr. 1 der Verwaltungsgerichtsordnung findet Anwendung. Unberührt bleiben Vorschriften, nach denen im Vorverfahren ein Ausschuss oder ein Beirat entscheidet.</w:t>
      </w:r>
    </w:p>
    <w:p>
      <w:pPr>
        <w:pStyle w:val="berschrift3"/>
      </w:pPr>
      <w:bookmarkStart w:id="21" w:name="_Toc412727345"/>
      <w:r>
        <w:t>§ 8</w:t>
      </w:r>
      <w:r>
        <w:br/>
        <w:t>(Beschränkter Suspensiveffekt)</w:t>
      </w:r>
      <w:bookmarkEnd w:id="21"/>
    </w:p>
    <w:p>
      <w:pPr>
        <w:pStyle w:val="GesAbsatz"/>
      </w:pPr>
      <w:r>
        <w:t>Rechtsbehelfe, die sich gegen Maßnahmen der Vollstreckungsbehörden und der Vollzugsbehörden (§§ 2 und 56 des Verwaltungsvollstreckungsgesetzes für das Land Nordrhein-Westfalen) in der Verwaltungsvollstreckung richten, haben keine aufschiebende Wirkung. § 80 Abs. 4, 5, 7 und 8 der Verwaltungsgerichtsordnung gilt entsprechend.</w:t>
      </w:r>
    </w:p>
    <w:p>
      <w:pPr>
        <w:pStyle w:val="berschrift3"/>
      </w:pPr>
      <w:bookmarkStart w:id="22" w:name="_Toc412727346"/>
      <w:r>
        <w:t>§ 9</w:t>
      </w:r>
      <w:r>
        <w:br/>
        <w:t>(Gebühren und Auslagen)</w:t>
      </w:r>
      <w:bookmarkEnd w:id="22"/>
    </w:p>
    <w:p>
      <w:pPr>
        <w:pStyle w:val="GesAbsatz"/>
      </w:pPr>
      <w:r>
        <w:t>In Verwaltungsangelegenheiten erheben die Behörden der allgemeinen Verwaltungsgerichtsbarkeit Kosten (Gebühren und Auslagen) nach dem Gesetz über Kosten im Bereich der Justizverwaltung vom 7. Januar 1958 (GV NW S. 11).</w:t>
      </w:r>
    </w:p>
    <w:p>
      <w:pPr>
        <w:pStyle w:val="berschrift3"/>
      </w:pPr>
      <w:bookmarkStart w:id="23" w:name="_Toc78344207"/>
      <w:bookmarkStart w:id="24" w:name="_Toc412727347"/>
      <w:r>
        <w:t>§ 10</w:t>
      </w:r>
      <w:r>
        <w:br/>
        <w:t>(Besetzung der Spruchkörper)</w:t>
      </w:r>
      <w:bookmarkEnd w:id="23"/>
      <w:bookmarkEnd w:id="24"/>
    </w:p>
    <w:p>
      <w:pPr>
        <w:pStyle w:val="GesAbsatz"/>
      </w:pPr>
      <w:r>
        <w:t>(1) Die Senate des Oberverwaltungsgerichts entscheiden vorbehaltlich der Absätze 2 und 3 in der Besetzung von drei Richtern und zwei ehrenamtlichen Richtern. Bei Beschlüssen außerhalb der mündlichen Verhandlung wirken die ehren-amtlichen Richter nicht mit.</w:t>
      </w:r>
    </w:p>
    <w:p>
      <w:pPr>
        <w:pStyle w:val="GesAbsatz"/>
      </w:pPr>
      <w:r>
        <w:t>(2) In den Verfahren nach § 47 der Verwaltungsgerichtsordnung entscheiden die Senate des Oberverwaltungsgerichts in der Besetzung von drei Richtern.</w:t>
      </w:r>
    </w:p>
    <w:p>
      <w:pPr>
        <w:pStyle w:val="GesAbsatz"/>
      </w:pPr>
      <w:r>
        <w:t xml:space="preserve">(3) Der Große Senat beim Oberverwaltungsgericht besteht aus dem Präsidenten und sechs Richtern. In den Fällen des §12 Abs. 1 Satz 1 in Verbindung mit §11 Abs. 2 der Verwaltungsgerichtsordnung tritt ein Mitglied </w:t>
      </w:r>
      <w:r>
        <w:lastRenderedPageBreak/>
        <w:t xml:space="preserve">jedes beteiligten Senats, in den Fällen des § 12 Abs. 1 Satz 1 in Verbindung mit § 11 Abs. 4 der Verwaltungsgerichtsordnung ein Mitglied des erkennenden Senats hinzu. Satz 2 gilt nicht, soweit der beteiligte oder der erkennende Senat bereits durch ein ständiges Mitglied im Großen Senat vertreten ist </w:t>
      </w:r>
    </w:p>
    <w:p>
      <w:pPr>
        <w:pStyle w:val="berschrift3"/>
      </w:pPr>
      <w:bookmarkStart w:id="25" w:name="_Toc78344208"/>
      <w:bookmarkStart w:id="26" w:name="_Toc412727348"/>
      <w:r>
        <w:t>§§ 11 – 14</w:t>
      </w:r>
      <w:r>
        <w:br/>
        <w:t>(Nicht wiedergegeben)</w:t>
      </w:r>
      <w:bookmarkEnd w:id="25"/>
      <w:bookmarkEnd w:id="26"/>
    </w:p>
    <w:p>
      <w:pPr>
        <w:pStyle w:val="berschrift3"/>
      </w:pPr>
      <w:bookmarkStart w:id="27" w:name="_Toc78344209"/>
      <w:bookmarkStart w:id="28" w:name="_Toc412727349"/>
      <w:r>
        <w:t>§15</w:t>
      </w:r>
      <w:r>
        <w:br/>
        <w:t>(</w:t>
      </w:r>
      <w:proofErr w:type="spellStart"/>
      <w:r>
        <w:t>Schlußvorschrift</w:t>
      </w:r>
      <w:proofErr w:type="spellEnd"/>
      <w:r>
        <w:t>)</w:t>
      </w:r>
      <w:bookmarkEnd w:id="27"/>
      <w:bookmarkEnd w:id="28"/>
    </w:p>
    <w:p>
      <w:pPr>
        <w:pStyle w:val="GesAbsatz"/>
      </w:pPr>
      <w:r>
        <w:t>Dieses Gesetz tritt am 1. April 1960 in Kraft.</w:t>
      </w:r>
    </w:p>
    <w:p>
      <w:pPr>
        <w:pStyle w:val="GesAbsatz"/>
      </w:pPr>
    </w:p>
    <w:p>
      <w:pPr>
        <w:pStyle w:val="berschrift2"/>
        <w:jc w:val="left"/>
      </w:pPr>
      <w:bookmarkStart w:id="29" w:name="_Toc412727350"/>
      <w:r>
        <w:t>Hinweis zum In-Kraft/Außer-Kraft-Treten des § 1 a</w:t>
      </w:r>
      <w:bookmarkEnd w:id="29"/>
    </w:p>
    <w:p>
      <w:pPr>
        <w:pStyle w:val="GesAbsatz"/>
      </w:pPr>
      <w:r>
        <w:t>(Artikel II des Gesetzes vom 17.12 2002 (GV. NRW. S. 634))</w:t>
      </w:r>
    </w:p>
    <w:p>
      <w:pPr>
        <w:pStyle w:val="GesAbsatz"/>
      </w:pPr>
      <w:r>
        <w:t>Dieses Gesetz tritt am 1. Januar 2003 in Kraft; mit Ablauf des 31. Dezember 2009 tritt es außer Kraft. Verfahren im Sinne des Artikel I § 1a, die nach dem 31. Dezember 1999 bei dem Verwaltungsgericht Köln eingegangen und im Zeitpunkt des In-Kraft-Tretens dieses Gesetzes noch anhängig sind, gehen mit Wirkung vom 1. Januar 2003 auf das Verwaltungsgericht Minden über; ausgenommen hiervon sind Verfahren, in denen bereits eine mündliche Verhandlung stattgefunden hat. Für Verfahren, die im Zeitpunkt des Außer-Kraft-Tretens des Gesetzes bei dem Verwaltungsgericht Minden rechtshängig sind, verbleibt es bei der bis zum Außer-Kraft-Treten geltenden Zuständigkeit.</w:t>
      </w:r>
    </w:p>
    <w:p>
      <w:pPr>
        <w:pStyle w:val="GesAbsatz"/>
      </w:pPr>
    </w:p>
    <w:p>
      <w:pPr>
        <w:pStyle w:val="berschrift2"/>
        <w:jc w:val="left"/>
      </w:pPr>
      <w:bookmarkStart w:id="30" w:name="_Toc412727351"/>
      <w:r>
        <w:t>Hinweis zum In-Kraft-Treten der Änderungen zu § 10</w:t>
      </w:r>
      <w:bookmarkEnd w:id="30"/>
      <w:r>
        <w:t xml:space="preserve"> </w:t>
      </w:r>
    </w:p>
    <w:p>
      <w:pPr>
        <w:pStyle w:val="GesAbsatz"/>
      </w:pPr>
      <w:r>
        <w:t>(Artikel II des Gesetzes v. 18. 11. 2003 (GV. NRW. S. 715))</w:t>
      </w:r>
    </w:p>
    <w:p>
      <w:pPr>
        <w:pStyle w:val="GesAbsatz"/>
      </w:pPr>
      <w:r>
        <w:t>Dieses Gesetz tritt am 1. Januar 2004 in Kraft. Ist bei In-Kraft-Treten des Gesetzes in einem Verfahren bereits Termin zur mündlichen Verhandlung anberaumt oder die Entscheidung zum Zwecke der Bekanntgabe oder Zustellung der Geschäftsstelle übergeben worden, verbleibt es für dieses Verfahren bei der bisherigen Besetzung des Senates.</w:t>
      </w:r>
    </w:p>
    <w:p>
      <w:pPr>
        <w:pStyle w:val="GesAbsatz"/>
      </w:pPr>
    </w:p>
    <w:p>
      <w:pPr>
        <w:pStyle w:val="berschrift2"/>
        <w:jc w:val="left"/>
      </w:pPr>
      <w:bookmarkStart w:id="31" w:name="_Toc412727352"/>
      <w:r>
        <w:t>Hinweis zum In-Kraft-Treten/Außer-Kraft-Treten der Änderung in § 1a und des neuen § 1b</w:t>
      </w:r>
      <w:bookmarkEnd w:id="31"/>
    </w:p>
    <w:p>
      <w:pPr>
        <w:pStyle w:val="GesAbsatz"/>
      </w:pPr>
      <w:r>
        <w:t>(Artikel II des Zwölften Gesetzes zur Änderung des Gesetzes zur Ausführung der Verwaltungsgerichtsordnung im Lande Nordrhein-Westfalen vom 7. März 2006 (GV. NRW. S. 107))</w:t>
      </w:r>
    </w:p>
    <w:p>
      <w:pPr>
        <w:pStyle w:val="GesAbsatz"/>
        <w:ind w:left="426" w:hanging="426"/>
      </w:pPr>
      <w:r>
        <w:t>1.</w:t>
      </w:r>
      <w:r>
        <w:tab/>
        <w:t>Dieses Gesetz tritt am 1. April 2006 in Kraft. Artikel I Nr. 1 tritt mit Ablauf des 31. Dezember 2009 außer Kraft; im Übrigen tritt das Gesetz mit Ablauf des 31. Dezember 2009 außer Kraft.</w:t>
      </w:r>
    </w:p>
    <w:p>
      <w:pPr>
        <w:pStyle w:val="GesAbsatz"/>
        <w:ind w:left="426" w:hanging="426"/>
      </w:pPr>
      <w:r>
        <w:t>2.</w:t>
      </w:r>
      <w:r>
        <w:tab/>
        <w:t>Verfahren im Sinne des § 1a AG VwGO in der Fassung des Artikels I Nr. 1, die nach dem 31. März 2003 bei dem Verwaltungsgericht Köln eingegangen und im Zeitpunkt des In-Kraft-Tretens dieses Gesetzes noch anhängig sind, gehen mit Wirkung des In-Kraft-Tretens dieses Gesetzes auf das Verwaltungsgericht Minden über; ausgenommen hiervon sind Verfahren, in denen im Zeitpunkt des In-Kraft-Tretens dieses Gesetzes bereits ein Termin zur mündlichen Verhandlung stattgefunden hat oder eine verfahrensabschließende Entscheidung zum Zwecke der Bekanntgabe der Geschäftsstelle übergeben worden ist. Für Verfahren, die im Zeitpunkt des Außer-Kraft-Tretens des Artikels I Nr. 1 bei dem Verwaltungsgericht Minden rechtshängig sind, verbleibt es bei der bis zum Außer-Kraft-Treten geltenden Zuständigkeit.</w:t>
      </w:r>
    </w:p>
    <w:p>
      <w:pPr>
        <w:pStyle w:val="GesAbsatz"/>
        <w:ind w:left="426" w:hanging="426"/>
      </w:pPr>
      <w:r>
        <w:t>3.</w:t>
      </w:r>
      <w:r>
        <w:tab/>
        <w:t xml:space="preserve">Die im Zeitpunkt des In-Kraft-Tretens dieses Gesetzes bei den Verwaltungsgerichten Aachen beziehungsweise Gelsenkirchen anhängigen Streitigkeiten im Sinne des Artikels I Nr. 2, welche von Ausländern geführt werden, die zum Zeitpunkt der Klageerhebung in den Kreisen Aachen oder Heinsberg beziehungsweise in den kreisfreien Städten Bochum oder Essen oder in dem Kreis Recklinghausen ihren Aufenthalt nach dem Asylverfahrensgesetz zu nehmen hatten oder, falls eine solche Verpflichtung nicht oder nicht mehr bestand, in diesen Kreisen oder kreisfreien Städten ihren Wohnsitz hatten, gehen auf das Verwaltungsgericht Düsseldorf über. Die im Zeitpunkt des In-Kraft-Tretens dieses Gesetzes bei den Verwaltungsgerichten Gelsenkirchen beziehungsweise Münster anhängigen Streitigkeiten im Sinne des Artikels I Nr. 2, welche von Ausländern geführt werden, die zum Zeitpunkt der Klageerhebung in der kreisfreien Stadt Dortmund oder in dem Kreis Unna beziehungsweise in der kreisfreien Stadt Münster oder in den Kreisen Coesfeld oder Warendorf ihren Aufenthalt nach dem Asylverfahrensgesetz zu nehmen hatten oder, falls eine solche Verpflichtung nicht oder nicht mehr bestand, in diesen Kreisen oder </w:t>
      </w:r>
      <w:r>
        <w:lastRenderedPageBreak/>
        <w:t>kreisfreien Städten ihren Wohnsitz hatten, gehen auf das Verwaltungsgericht Arnsberg über. Satz 1 und 2 finden keine Anwendung auf Verfahren, in denen im Zeitpunkt des In-Kraft-Tretens dieses Gesetzes bereits ein Termin zur mündlichen Verhandlung stattgefunden hat oder eine verfahrensabschließende Entscheidung zum Zwecke der Bekanntgabe der Geschäftsstelle übergeben worden ist. Für Verfahren, die nach Maßgabe des Satzes 1 oder 2 auf die Verwaltungsgerichte Düsseldorf oder Arnsberg übergegangen sind und im Zeitpunkt des Außer-Kraft-Tretens des Artikels I Nr. 2 noch bei diesen Gerichten rechtshängig sind, verbleibt es bei der bis zum Außer-Kraft-Treten geltenden Zuständigkeit.</w:t>
      </w:r>
    </w:p>
    <w:p>
      <w:pPr>
        <w:pStyle w:val="GesAbsatz"/>
      </w:pPr>
    </w:p>
    <w:p>
      <w:pPr>
        <w:pStyle w:val="berschrift2"/>
        <w:jc w:val="left"/>
      </w:pPr>
      <w:bookmarkStart w:id="32" w:name="_Toc412727353"/>
      <w:r>
        <w:t>Hinweis auf Übergangsvorschrift/In-Kraft-Treten zum neu gefassten § 6 und § 7</w:t>
      </w:r>
      <w:bookmarkEnd w:id="32"/>
    </w:p>
    <w:p>
      <w:pPr>
        <w:pStyle w:val="GesAbsatz"/>
      </w:pPr>
      <w:r>
        <w:t>(Artikel 4 des Zweiten Gesetzes zum Bürokratieabbau (Bürokratieabbaugesetz II) vom 9. Oktober 2007 (GV. NRW. S. 393))</w:t>
      </w:r>
    </w:p>
    <w:p>
      <w:pPr>
        <w:pStyle w:val="GesAbsatz"/>
      </w:pPr>
      <w:r>
        <w:t>(1) Auf Verwaltungsakte, die vor dem In-Kraft-Treten dieses Gesetzes bekannt gegeben worden sind, findet das bis zum 31. Oktober 2007 geltende Recht Anwendung.</w:t>
      </w:r>
    </w:p>
    <w:p>
      <w:pPr>
        <w:pStyle w:val="GesAbsatz"/>
      </w:pPr>
      <w:r>
        <w:t>(2) Dieses Gesetz tritt am 1. November 2007 in Kraft.</w:t>
      </w:r>
    </w:p>
    <w:p>
      <w:pPr>
        <w:pStyle w:val="GesAbsatz"/>
      </w:pPr>
    </w:p>
    <w:p>
      <w:pPr>
        <w:pStyle w:val="GesAbsatz"/>
      </w:pPr>
    </w:p>
    <w:p>
      <w:pPr>
        <w:pStyle w:val="GesAbsatz"/>
      </w:pPr>
    </w:p>
    <w:p>
      <w:pPr>
        <w:pStyle w:val="GesAbsatz"/>
      </w:pPr>
    </w:p>
    <w:p>
      <w:pPr>
        <w:pStyle w:val="GesAbsatz"/>
      </w:pPr>
    </w:p>
    <w:p>
      <w:pPr>
        <w:pStyle w:val="GesAbsatz"/>
      </w:pPr>
      <w:r>
        <w:t xml:space="preserve">Suchworte:  </w:t>
      </w:r>
      <w:proofErr w:type="spellStart"/>
      <w:r>
        <w:t>agvwgo</w:t>
      </w:r>
      <w:proofErr w:type="spellEnd"/>
      <w:r>
        <w:t xml:space="preserve">  </w:t>
      </w:r>
    </w:p>
    <w:sectPr>
      <w:headerReference w:type="default" r:id="rId9"/>
      <w:footerReference w:type="even" r:id="rId10"/>
      <w:footerReference w:type="default" r:id="rId11"/>
      <w:type w:val="continuous"/>
      <w:pgSz w:w="11907" w:h="16840" w:code="9"/>
      <w:pgMar w:top="851" w:right="851"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26.03.1960 (GV. NRW. S. 47, </w:t>
    </w:r>
    <w:proofErr w:type="spellStart"/>
    <w:r>
      <w:t>ber</w:t>
    </w:r>
    <w:proofErr w:type="spellEnd"/>
    <w:r>
      <w:t>. S. 68 / SGV. NRW. 303)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w:t>
    </w:r>
    <w:r>
      <w:rPr>
        <w:lang w:val="en-GB"/>
      </w:rPr>
      <w:t xml:space="preserve"> 26.02.2008 (GV. NRW. S. 163)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Archiv3.47</w:t>
    </w:r>
  </w:p>
  <w:p>
    <w:pPr>
      <w:pStyle w:val="Kopfzeile"/>
    </w:pPr>
    <w:r>
      <w:t>AG VwGO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E60"/>
    <w:multiLevelType w:val="singleLevel"/>
    <w:tmpl w:val="0B4CBF86"/>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08197-D604-46AC-B536-142FA99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customStyle="1" w:styleId="GesAbsatz">
    <w:name w:val="GesAbsatz"/>
    <w:basedOn w:val="Standard"/>
    <w:qFormat/>
    <w:pPr>
      <w:spacing w:before="100"/>
    </w:pPr>
    <w:rPr>
      <w:color w:val="000000"/>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3&amp;ugl_nr=303&amp;bes_id=3422&amp;aufgehoben=J&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ABAD-B658-4908-9306-541D79A7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2077</Words>
  <Characters>14158</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AG VwGO</vt:lpstr>
    </vt:vector>
  </TitlesOfParts>
  <Company>LANUV NRW</Company>
  <LinksUpToDate>false</LinksUpToDate>
  <CharactersWithSpaces>16203</CharactersWithSpaces>
  <SharedDoc>false</SharedDoc>
  <HLinks>
    <vt:vector size="120" baseType="variant">
      <vt:variant>
        <vt:i4>1179701</vt:i4>
      </vt:variant>
      <vt:variant>
        <vt:i4>113</vt:i4>
      </vt:variant>
      <vt:variant>
        <vt:i4>0</vt:i4>
      </vt:variant>
      <vt:variant>
        <vt:i4>5</vt:i4>
      </vt:variant>
      <vt:variant>
        <vt:lpwstr/>
      </vt:variant>
      <vt:variant>
        <vt:lpwstr>_Toc183500788</vt:lpwstr>
      </vt:variant>
      <vt:variant>
        <vt:i4>1179701</vt:i4>
      </vt:variant>
      <vt:variant>
        <vt:i4>107</vt:i4>
      </vt:variant>
      <vt:variant>
        <vt:i4>0</vt:i4>
      </vt:variant>
      <vt:variant>
        <vt:i4>5</vt:i4>
      </vt:variant>
      <vt:variant>
        <vt:lpwstr/>
      </vt:variant>
      <vt:variant>
        <vt:lpwstr>_Toc183500787</vt:lpwstr>
      </vt:variant>
      <vt:variant>
        <vt:i4>1179701</vt:i4>
      </vt:variant>
      <vt:variant>
        <vt:i4>101</vt:i4>
      </vt:variant>
      <vt:variant>
        <vt:i4>0</vt:i4>
      </vt:variant>
      <vt:variant>
        <vt:i4>5</vt:i4>
      </vt:variant>
      <vt:variant>
        <vt:lpwstr/>
      </vt:variant>
      <vt:variant>
        <vt:lpwstr>_Toc183500786</vt:lpwstr>
      </vt:variant>
      <vt:variant>
        <vt:i4>1179701</vt:i4>
      </vt:variant>
      <vt:variant>
        <vt:i4>95</vt:i4>
      </vt:variant>
      <vt:variant>
        <vt:i4>0</vt:i4>
      </vt:variant>
      <vt:variant>
        <vt:i4>5</vt:i4>
      </vt:variant>
      <vt:variant>
        <vt:lpwstr/>
      </vt:variant>
      <vt:variant>
        <vt:lpwstr>_Toc183500785</vt:lpwstr>
      </vt:variant>
      <vt:variant>
        <vt:i4>1179701</vt:i4>
      </vt:variant>
      <vt:variant>
        <vt:i4>89</vt:i4>
      </vt:variant>
      <vt:variant>
        <vt:i4>0</vt:i4>
      </vt:variant>
      <vt:variant>
        <vt:i4>5</vt:i4>
      </vt:variant>
      <vt:variant>
        <vt:lpwstr/>
      </vt:variant>
      <vt:variant>
        <vt:lpwstr>_Toc183500784</vt:lpwstr>
      </vt:variant>
      <vt:variant>
        <vt:i4>1179701</vt:i4>
      </vt:variant>
      <vt:variant>
        <vt:i4>83</vt:i4>
      </vt:variant>
      <vt:variant>
        <vt:i4>0</vt:i4>
      </vt:variant>
      <vt:variant>
        <vt:i4>5</vt:i4>
      </vt:variant>
      <vt:variant>
        <vt:lpwstr/>
      </vt:variant>
      <vt:variant>
        <vt:lpwstr>_Toc183500783</vt:lpwstr>
      </vt:variant>
      <vt:variant>
        <vt:i4>1179701</vt:i4>
      </vt:variant>
      <vt:variant>
        <vt:i4>77</vt:i4>
      </vt:variant>
      <vt:variant>
        <vt:i4>0</vt:i4>
      </vt:variant>
      <vt:variant>
        <vt:i4>5</vt:i4>
      </vt:variant>
      <vt:variant>
        <vt:lpwstr/>
      </vt:variant>
      <vt:variant>
        <vt:lpwstr>_Toc183500782</vt:lpwstr>
      </vt:variant>
      <vt:variant>
        <vt:i4>1179701</vt:i4>
      </vt:variant>
      <vt:variant>
        <vt:i4>71</vt:i4>
      </vt:variant>
      <vt:variant>
        <vt:i4>0</vt:i4>
      </vt:variant>
      <vt:variant>
        <vt:i4>5</vt:i4>
      </vt:variant>
      <vt:variant>
        <vt:lpwstr/>
      </vt:variant>
      <vt:variant>
        <vt:lpwstr>_Toc183500781</vt:lpwstr>
      </vt:variant>
      <vt:variant>
        <vt:i4>1179701</vt:i4>
      </vt:variant>
      <vt:variant>
        <vt:i4>65</vt:i4>
      </vt:variant>
      <vt:variant>
        <vt:i4>0</vt:i4>
      </vt:variant>
      <vt:variant>
        <vt:i4>5</vt:i4>
      </vt:variant>
      <vt:variant>
        <vt:lpwstr/>
      </vt:variant>
      <vt:variant>
        <vt:lpwstr>_Toc183500780</vt:lpwstr>
      </vt:variant>
      <vt:variant>
        <vt:i4>1900597</vt:i4>
      </vt:variant>
      <vt:variant>
        <vt:i4>59</vt:i4>
      </vt:variant>
      <vt:variant>
        <vt:i4>0</vt:i4>
      </vt:variant>
      <vt:variant>
        <vt:i4>5</vt:i4>
      </vt:variant>
      <vt:variant>
        <vt:lpwstr/>
      </vt:variant>
      <vt:variant>
        <vt:lpwstr>_Toc183500779</vt:lpwstr>
      </vt:variant>
      <vt:variant>
        <vt:i4>1900597</vt:i4>
      </vt:variant>
      <vt:variant>
        <vt:i4>53</vt:i4>
      </vt:variant>
      <vt:variant>
        <vt:i4>0</vt:i4>
      </vt:variant>
      <vt:variant>
        <vt:i4>5</vt:i4>
      </vt:variant>
      <vt:variant>
        <vt:lpwstr/>
      </vt:variant>
      <vt:variant>
        <vt:lpwstr>_Toc183500778</vt:lpwstr>
      </vt:variant>
      <vt:variant>
        <vt:i4>1900597</vt:i4>
      </vt:variant>
      <vt:variant>
        <vt:i4>47</vt:i4>
      </vt:variant>
      <vt:variant>
        <vt:i4>0</vt:i4>
      </vt:variant>
      <vt:variant>
        <vt:i4>5</vt:i4>
      </vt:variant>
      <vt:variant>
        <vt:lpwstr/>
      </vt:variant>
      <vt:variant>
        <vt:lpwstr>_Toc183500777</vt:lpwstr>
      </vt:variant>
      <vt:variant>
        <vt:i4>1900597</vt:i4>
      </vt:variant>
      <vt:variant>
        <vt:i4>41</vt:i4>
      </vt:variant>
      <vt:variant>
        <vt:i4>0</vt:i4>
      </vt:variant>
      <vt:variant>
        <vt:i4>5</vt:i4>
      </vt:variant>
      <vt:variant>
        <vt:lpwstr/>
      </vt:variant>
      <vt:variant>
        <vt:lpwstr>_Toc183500776</vt:lpwstr>
      </vt:variant>
      <vt:variant>
        <vt:i4>1900597</vt:i4>
      </vt:variant>
      <vt:variant>
        <vt:i4>35</vt:i4>
      </vt:variant>
      <vt:variant>
        <vt:i4>0</vt:i4>
      </vt:variant>
      <vt:variant>
        <vt:i4>5</vt:i4>
      </vt:variant>
      <vt:variant>
        <vt:lpwstr/>
      </vt:variant>
      <vt:variant>
        <vt:lpwstr>_Toc183500775</vt:lpwstr>
      </vt:variant>
      <vt:variant>
        <vt:i4>1900597</vt:i4>
      </vt:variant>
      <vt:variant>
        <vt:i4>29</vt:i4>
      </vt:variant>
      <vt:variant>
        <vt:i4>0</vt:i4>
      </vt:variant>
      <vt:variant>
        <vt:i4>5</vt:i4>
      </vt:variant>
      <vt:variant>
        <vt:lpwstr/>
      </vt:variant>
      <vt:variant>
        <vt:lpwstr>_Toc183500774</vt:lpwstr>
      </vt:variant>
      <vt:variant>
        <vt:i4>1900597</vt:i4>
      </vt:variant>
      <vt:variant>
        <vt:i4>23</vt:i4>
      </vt:variant>
      <vt:variant>
        <vt:i4>0</vt:i4>
      </vt:variant>
      <vt:variant>
        <vt:i4>5</vt:i4>
      </vt:variant>
      <vt:variant>
        <vt:lpwstr/>
      </vt:variant>
      <vt:variant>
        <vt:lpwstr>_Toc183500773</vt:lpwstr>
      </vt:variant>
      <vt:variant>
        <vt:i4>1900597</vt:i4>
      </vt:variant>
      <vt:variant>
        <vt:i4>17</vt:i4>
      </vt:variant>
      <vt:variant>
        <vt:i4>0</vt:i4>
      </vt:variant>
      <vt:variant>
        <vt:i4>5</vt:i4>
      </vt:variant>
      <vt:variant>
        <vt:lpwstr/>
      </vt:variant>
      <vt:variant>
        <vt:lpwstr>_Toc183500772</vt:lpwstr>
      </vt:variant>
      <vt:variant>
        <vt:i4>1900597</vt:i4>
      </vt:variant>
      <vt:variant>
        <vt:i4>11</vt:i4>
      </vt:variant>
      <vt:variant>
        <vt:i4>0</vt:i4>
      </vt:variant>
      <vt:variant>
        <vt:i4>5</vt:i4>
      </vt:variant>
      <vt:variant>
        <vt:lpwstr/>
      </vt:variant>
      <vt:variant>
        <vt:lpwstr>_Toc183500771</vt:lpwstr>
      </vt:variant>
      <vt:variant>
        <vt:i4>1900597</vt:i4>
      </vt:variant>
      <vt:variant>
        <vt:i4>5</vt:i4>
      </vt:variant>
      <vt:variant>
        <vt:i4>0</vt:i4>
      </vt:variant>
      <vt:variant>
        <vt:i4>5</vt:i4>
      </vt:variant>
      <vt:variant>
        <vt:lpwstr/>
      </vt:variant>
      <vt:variant>
        <vt:lpwstr>_Toc183500770</vt:lpwstr>
      </vt:variant>
      <vt:variant>
        <vt:i4>524374</vt:i4>
      </vt:variant>
      <vt:variant>
        <vt:i4>0</vt:i4>
      </vt:variant>
      <vt:variant>
        <vt:i4>0</vt:i4>
      </vt:variant>
      <vt:variant>
        <vt:i4>5</vt:i4>
      </vt:variant>
      <vt:variant>
        <vt:lpwstr>https://lv.recht.nrw.de/lmi/owa/br_bes_text?anw_nr=2&amp;gld_nr=3&amp;ugl_nr=303&amp;bes_id=3422&amp;aufgehoben=N&amp;menu=1&amp;sg=0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VwGO</dc:title>
  <dc:creator>LANUV NRW</dc:creator>
  <dc:description>durchgesehen: 08.2005</dc:description>
  <cp:lastModifiedBy>Rüter, Dr., Ingo</cp:lastModifiedBy>
  <cp:revision>4</cp:revision>
  <cp:lastPrinted>2010-11-09T08:20:00Z</cp:lastPrinted>
  <dcterms:created xsi:type="dcterms:W3CDTF">2015-02-26T14:22:00Z</dcterms:created>
  <dcterms:modified xsi:type="dcterms:W3CDTF">2024-05-17T09:32:00Z</dcterms:modified>
</cp:coreProperties>
</file>