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4168799"/>
      <w:bookmarkStart w:id="1" w:name="_Toc419087047"/>
      <w:bookmarkStart w:id="2" w:name="_Toc419790016"/>
      <w:bookmarkStart w:id="3" w:name="_Toc113252598"/>
      <w:r>
        <w:t xml:space="preserve">Verordnung </w:t>
      </w:r>
      <w:hyperlink r:id="rId7" w:history="1">
        <w:r>
          <w:rPr>
            <w:rStyle w:val="Hyperlink"/>
          </w:rPr>
          <w:t>1210/90/EWG</w:t>
        </w:r>
      </w:hyperlink>
      <w:r>
        <w:t xml:space="preserve"> des Rates vom 7. Mai 1990 zur Errichtung einer Europäischen Umweltagentur und eines Europäischen </w:t>
      </w:r>
      <w:r>
        <w:br/>
        <w:t>Umweltinformations- und Umweltbeob</w:t>
      </w:r>
      <w:bookmarkStart w:id="4" w:name="_GoBack"/>
      <w:bookmarkEnd w:id="4"/>
      <w:r>
        <w:t>achtungsnetzes</w:t>
      </w:r>
      <w:bookmarkEnd w:id="0"/>
      <w:bookmarkEnd w:id="1"/>
      <w:bookmarkEnd w:id="2"/>
      <w:bookmarkEnd w:id="3"/>
    </w:p>
    <w:p>
      <w:pPr>
        <w:pStyle w:val="GesAbsatz"/>
        <w:rPr>
          <w:b/>
          <w:i/>
          <w:color w:val="FF0000"/>
          <w:sz w:val="22"/>
          <w:szCs w:val="22"/>
        </w:rPr>
      </w:pPr>
      <w:r>
        <w:rPr>
          <w:b/>
          <w:i/>
          <w:color w:val="FF0000"/>
          <w:sz w:val="22"/>
          <w:szCs w:val="22"/>
        </w:rPr>
        <w:t>Gültig bis 09.06.2009. Ersetzt durch Verordnung 401/2009/EG.</w:t>
      </w:r>
    </w:p>
    <w:p>
      <w:pPr>
        <w:pStyle w:val="GesAbsatz"/>
      </w:pPr>
      <w:r>
        <w:rPr>
          <w:b/>
        </w:rPr>
        <w:t>Änderungen:</w:t>
      </w:r>
      <w:r>
        <w:t xml:space="preserve"> </w:t>
      </w:r>
      <w:hyperlink r:id="rId8" w:history="1">
        <w:r>
          <w:rPr>
            <w:rStyle w:val="Hyperlink"/>
          </w:rPr>
          <w:t>933</w:t>
        </w:r>
        <w:r>
          <w:rPr>
            <w:rStyle w:val="Hyperlink"/>
          </w:rPr>
          <w:t>/</w:t>
        </w:r>
        <w:r>
          <w:rPr>
            <w:rStyle w:val="Hyperlink"/>
          </w:rPr>
          <w:t>1999</w:t>
        </w:r>
      </w:hyperlink>
      <w:r>
        <w:t xml:space="preserve"> ABl. L 117 v. 05.05.1999 S. 1; </w:t>
      </w:r>
      <w:hyperlink r:id="rId9" w:history="1">
        <w:r>
          <w:rPr>
            <w:rStyle w:val="Hyperlink"/>
          </w:rPr>
          <w:t>1641/2003</w:t>
        </w:r>
      </w:hyperlink>
      <w:r>
        <w:t xml:space="preserve"> ABl. L 245 v. 29.09.2003 S. 1;</w:t>
      </w:r>
    </w:p>
    <w:p>
      <w:pPr>
        <w:pStyle w:val="GesAbsatz"/>
      </w:pPr>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w:instrText>
      </w:r>
      <w:r>
        <w:fldChar w:fldCharType="separate"/>
      </w:r>
      <w:r>
        <w:rPr>
          <w:noProof/>
        </w:rPr>
        <w:t>Verordnung 1210/90/EWG des Rates v. 7. Mai 1990</w:t>
      </w:r>
      <w:r>
        <w:rPr>
          <w:noProof/>
        </w:rPr>
        <w:tab/>
      </w:r>
      <w:r>
        <w:rPr>
          <w:noProof/>
        </w:rPr>
        <w:fldChar w:fldCharType="begin"/>
      </w:r>
      <w:r>
        <w:rPr>
          <w:noProof/>
        </w:rPr>
        <w:instrText xml:space="preserve"> PAGEREF _Toc113252598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Artikel 1</w:t>
      </w:r>
      <w:r>
        <w:rPr>
          <w:noProof/>
        </w:rPr>
        <w:tab/>
      </w:r>
      <w:r>
        <w:rPr>
          <w:noProof/>
        </w:rPr>
        <w:fldChar w:fldCharType="begin"/>
      </w:r>
      <w:r>
        <w:rPr>
          <w:noProof/>
        </w:rPr>
        <w:instrText xml:space="preserve"> PAGEREF _Toc113252599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Artikel 2</w:t>
      </w:r>
      <w:r>
        <w:rPr>
          <w:noProof/>
        </w:rPr>
        <w:tab/>
      </w:r>
      <w:r>
        <w:rPr>
          <w:noProof/>
        </w:rPr>
        <w:fldChar w:fldCharType="begin"/>
      </w:r>
      <w:r>
        <w:rPr>
          <w:noProof/>
        </w:rPr>
        <w:instrText xml:space="preserve"> PAGEREF _Toc113252600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Artikel 3</w:t>
      </w:r>
      <w:r>
        <w:rPr>
          <w:noProof/>
        </w:rPr>
        <w:tab/>
      </w:r>
      <w:r>
        <w:rPr>
          <w:noProof/>
        </w:rPr>
        <w:fldChar w:fldCharType="begin"/>
      </w:r>
      <w:r>
        <w:rPr>
          <w:noProof/>
        </w:rPr>
        <w:instrText xml:space="preserve"> PAGEREF _Toc113252601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rPr>
        <w:t>Artikel 4</w:t>
      </w:r>
      <w:r>
        <w:rPr>
          <w:noProof/>
        </w:rPr>
        <w:tab/>
      </w:r>
      <w:r>
        <w:rPr>
          <w:noProof/>
        </w:rPr>
        <w:fldChar w:fldCharType="begin"/>
      </w:r>
      <w:r>
        <w:rPr>
          <w:noProof/>
        </w:rPr>
        <w:instrText xml:space="preserve"> PAGEREF _Toc113252602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rPr>
        <w:t>Artikel 5</w:t>
      </w:r>
      <w:r>
        <w:rPr>
          <w:noProof/>
        </w:rPr>
        <w:tab/>
      </w:r>
      <w:r>
        <w:rPr>
          <w:noProof/>
        </w:rPr>
        <w:fldChar w:fldCharType="begin"/>
      </w:r>
      <w:r>
        <w:rPr>
          <w:noProof/>
        </w:rPr>
        <w:instrText xml:space="preserve"> PAGEREF _Toc113252603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Artikel 6</w:t>
      </w:r>
      <w:r>
        <w:rPr>
          <w:noProof/>
        </w:rPr>
        <w:tab/>
      </w:r>
      <w:r>
        <w:rPr>
          <w:noProof/>
        </w:rPr>
        <w:fldChar w:fldCharType="begin"/>
      </w:r>
      <w:r>
        <w:rPr>
          <w:noProof/>
        </w:rPr>
        <w:instrText xml:space="preserve"> PAGEREF _Toc113252604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Artikel 7</w:t>
      </w:r>
      <w:r>
        <w:rPr>
          <w:noProof/>
        </w:rPr>
        <w:tab/>
      </w:r>
      <w:r>
        <w:rPr>
          <w:noProof/>
        </w:rPr>
        <w:fldChar w:fldCharType="begin"/>
      </w:r>
      <w:r>
        <w:rPr>
          <w:noProof/>
        </w:rPr>
        <w:instrText xml:space="preserve"> PAGEREF _Toc113252605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Artikel 8</w:t>
      </w:r>
      <w:r>
        <w:rPr>
          <w:noProof/>
        </w:rPr>
        <w:tab/>
      </w:r>
      <w:r>
        <w:rPr>
          <w:noProof/>
        </w:rPr>
        <w:fldChar w:fldCharType="begin"/>
      </w:r>
      <w:r>
        <w:rPr>
          <w:noProof/>
        </w:rPr>
        <w:instrText xml:space="preserve"> PAGEREF _Toc113252606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Artikel 9</w:t>
      </w:r>
      <w:r>
        <w:rPr>
          <w:noProof/>
        </w:rPr>
        <w:tab/>
      </w:r>
      <w:r>
        <w:rPr>
          <w:noProof/>
        </w:rPr>
        <w:fldChar w:fldCharType="begin"/>
      </w:r>
      <w:r>
        <w:rPr>
          <w:noProof/>
        </w:rPr>
        <w:instrText xml:space="preserve"> PAGEREF _Toc113252607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Artikel 10</w:t>
      </w:r>
      <w:r>
        <w:rPr>
          <w:noProof/>
        </w:rPr>
        <w:tab/>
      </w:r>
      <w:r>
        <w:rPr>
          <w:noProof/>
        </w:rPr>
        <w:fldChar w:fldCharType="begin"/>
      </w:r>
      <w:r>
        <w:rPr>
          <w:noProof/>
        </w:rPr>
        <w:instrText xml:space="preserve"> PAGEREF _Toc113252608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Artikel 11</w:t>
      </w:r>
      <w:r>
        <w:rPr>
          <w:noProof/>
        </w:rPr>
        <w:tab/>
      </w:r>
      <w:r>
        <w:rPr>
          <w:noProof/>
        </w:rPr>
        <w:fldChar w:fldCharType="begin"/>
      </w:r>
      <w:r>
        <w:rPr>
          <w:noProof/>
        </w:rPr>
        <w:instrText xml:space="preserve"> PAGEREF _Toc113252609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Artikel 12</w:t>
      </w:r>
      <w:r>
        <w:rPr>
          <w:noProof/>
        </w:rPr>
        <w:tab/>
      </w:r>
      <w:r>
        <w:rPr>
          <w:noProof/>
        </w:rPr>
        <w:fldChar w:fldCharType="begin"/>
      </w:r>
      <w:r>
        <w:rPr>
          <w:noProof/>
        </w:rPr>
        <w:instrText xml:space="preserve"> PAGEREF _Toc113252610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Artikel 13</w:t>
      </w:r>
      <w:r>
        <w:rPr>
          <w:noProof/>
        </w:rPr>
        <w:tab/>
      </w:r>
      <w:r>
        <w:rPr>
          <w:noProof/>
        </w:rPr>
        <w:fldChar w:fldCharType="begin"/>
      </w:r>
      <w:r>
        <w:rPr>
          <w:noProof/>
        </w:rPr>
        <w:instrText xml:space="preserve"> PAGEREF _Toc113252611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Artikel 14</w:t>
      </w:r>
      <w:r>
        <w:rPr>
          <w:noProof/>
        </w:rPr>
        <w:tab/>
      </w:r>
      <w:r>
        <w:rPr>
          <w:noProof/>
        </w:rPr>
        <w:fldChar w:fldCharType="begin"/>
      </w:r>
      <w:r>
        <w:rPr>
          <w:noProof/>
        </w:rPr>
        <w:instrText xml:space="preserve"> PAGEREF _Toc113252612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Artikel 15</w:t>
      </w:r>
      <w:r>
        <w:rPr>
          <w:noProof/>
        </w:rPr>
        <w:tab/>
      </w:r>
      <w:r>
        <w:rPr>
          <w:noProof/>
        </w:rPr>
        <w:fldChar w:fldCharType="begin"/>
      </w:r>
      <w:r>
        <w:rPr>
          <w:noProof/>
        </w:rPr>
        <w:instrText xml:space="preserve"> PAGEREF _Toc113252613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Artikel 16</w:t>
      </w:r>
      <w:r>
        <w:rPr>
          <w:noProof/>
        </w:rPr>
        <w:tab/>
      </w:r>
      <w:r>
        <w:rPr>
          <w:noProof/>
        </w:rPr>
        <w:fldChar w:fldCharType="begin"/>
      </w:r>
      <w:r>
        <w:rPr>
          <w:noProof/>
        </w:rPr>
        <w:instrText xml:space="preserve"> PAGEREF _Toc113252614 \h </w:instrText>
      </w:r>
      <w:r>
        <w:rPr>
          <w:noProof/>
        </w:rPr>
      </w:r>
      <w:r>
        <w:rPr>
          <w:noProof/>
        </w:rPr>
        <w:fldChar w:fldCharType="separate"/>
      </w:r>
      <w:r>
        <w:rPr>
          <w:noProof/>
        </w:rPr>
        <w:t>8</w:t>
      </w:r>
      <w:r>
        <w:rPr>
          <w:noProof/>
        </w:rPr>
        <w:fldChar w:fldCharType="end"/>
      </w:r>
    </w:p>
    <w:p>
      <w:pPr>
        <w:pStyle w:val="Verzeichnis2"/>
        <w:tabs>
          <w:tab w:val="clear" w:pos="9638"/>
          <w:tab w:val="right" w:leader="dot" w:pos="9628"/>
        </w:tabs>
        <w:rPr>
          <w:smallCaps w:val="0"/>
          <w:noProof/>
          <w:sz w:val="24"/>
          <w:szCs w:val="24"/>
        </w:rPr>
      </w:pPr>
      <w:r>
        <w:rPr>
          <w:noProof/>
        </w:rPr>
        <w:t>Artikel 17</w:t>
      </w:r>
      <w:r>
        <w:rPr>
          <w:noProof/>
        </w:rPr>
        <w:tab/>
      </w:r>
      <w:r>
        <w:rPr>
          <w:noProof/>
        </w:rPr>
        <w:fldChar w:fldCharType="begin"/>
      </w:r>
      <w:r>
        <w:rPr>
          <w:noProof/>
        </w:rPr>
        <w:instrText xml:space="preserve"> PAGEREF _Toc113252615 \h </w:instrText>
      </w:r>
      <w:r>
        <w:rPr>
          <w:noProof/>
        </w:rPr>
      </w:r>
      <w:r>
        <w:rPr>
          <w:noProof/>
        </w:rPr>
        <w:fldChar w:fldCharType="separate"/>
      </w:r>
      <w:r>
        <w:rPr>
          <w:noProof/>
        </w:rPr>
        <w:t>8</w:t>
      </w:r>
      <w:r>
        <w:rPr>
          <w:noProof/>
        </w:rPr>
        <w:fldChar w:fldCharType="end"/>
      </w:r>
    </w:p>
    <w:p>
      <w:pPr>
        <w:pStyle w:val="Verzeichnis2"/>
        <w:tabs>
          <w:tab w:val="clear" w:pos="9638"/>
          <w:tab w:val="right" w:leader="dot" w:pos="9628"/>
        </w:tabs>
        <w:rPr>
          <w:smallCaps w:val="0"/>
          <w:noProof/>
          <w:sz w:val="24"/>
          <w:szCs w:val="24"/>
        </w:rPr>
      </w:pPr>
      <w:r>
        <w:rPr>
          <w:noProof/>
        </w:rPr>
        <w:t>Artikel 18</w:t>
      </w:r>
      <w:r>
        <w:rPr>
          <w:noProof/>
        </w:rPr>
        <w:tab/>
      </w:r>
      <w:r>
        <w:rPr>
          <w:noProof/>
        </w:rPr>
        <w:fldChar w:fldCharType="begin"/>
      </w:r>
      <w:r>
        <w:rPr>
          <w:noProof/>
        </w:rPr>
        <w:instrText xml:space="preserve"> PAGEREF _Toc113252616 \h </w:instrText>
      </w:r>
      <w:r>
        <w:rPr>
          <w:noProof/>
        </w:rPr>
      </w:r>
      <w:r>
        <w:rPr>
          <w:noProof/>
        </w:rPr>
        <w:fldChar w:fldCharType="separate"/>
      </w:r>
      <w:r>
        <w:rPr>
          <w:noProof/>
        </w:rPr>
        <w:t>8</w:t>
      </w:r>
      <w:r>
        <w:rPr>
          <w:noProof/>
        </w:rPr>
        <w:fldChar w:fldCharType="end"/>
      </w:r>
    </w:p>
    <w:p>
      <w:pPr>
        <w:pStyle w:val="Verzeichnis2"/>
        <w:tabs>
          <w:tab w:val="clear" w:pos="9638"/>
          <w:tab w:val="right" w:leader="dot" w:pos="9628"/>
        </w:tabs>
        <w:rPr>
          <w:smallCaps w:val="0"/>
          <w:noProof/>
          <w:sz w:val="24"/>
          <w:szCs w:val="24"/>
        </w:rPr>
      </w:pPr>
      <w:r>
        <w:rPr>
          <w:noProof/>
        </w:rPr>
        <w:t>Artikel 19</w:t>
      </w:r>
      <w:r>
        <w:rPr>
          <w:noProof/>
        </w:rPr>
        <w:tab/>
      </w:r>
      <w:r>
        <w:rPr>
          <w:noProof/>
        </w:rPr>
        <w:fldChar w:fldCharType="begin"/>
      </w:r>
      <w:r>
        <w:rPr>
          <w:noProof/>
        </w:rPr>
        <w:instrText xml:space="preserve"> PAGEREF _Toc113252617 \h </w:instrText>
      </w:r>
      <w:r>
        <w:rPr>
          <w:noProof/>
        </w:rPr>
      </w:r>
      <w:r>
        <w:rPr>
          <w:noProof/>
        </w:rPr>
        <w:fldChar w:fldCharType="separate"/>
      </w:r>
      <w:r>
        <w:rPr>
          <w:noProof/>
        </w:rPr>
        <w:t>8</w:t>
      </w:r>
      <w:r>
        <w:rPr>
          <w:noProof/>
        </w:rPr>
        <w:fldChar w:fldCharType="end"/>
      </w:r>
    </w:p>
    <w:p>
      <w:pPr>
        <w:pStyle w:val="Verzeichnis2"/>
        <w:tabs>
          <w:tab w:val="clear" w:pos="9638"/>
          <w:tab w:val="right" w:leader="dot" w:pos="9628"/>
        </w:tabs>
        <w:rPr>
          <w:smallCaps w:val="0"/>
          <w:noProof/>
          <w:sz w:val="24"/>
          <w:szCs w:val="24"/>
        </w:rPr>
      </w:pPr>
      <w:r>
        <w:rPr>
          <w:noProof/>
        </w:rPr>
        <w:t>Artikel 20</w:t>
      </w:r>
      <w:r>
        <w:rPr>
          <w:noProof/>
        </w:rPr>
        <w:tab/>
      </w:r>
      <w:r>
        <w:rPr>
          <w:noProof/>
        </w:rPr>
        <w:fldChar w:fldCharType="begin"/>
      </w:r>
      <w:r>
        <w:rPr>
          <w:noProof/>
        </w:rPr>
        <w:instrText xml:space="preserve"> PAGEREF _Toc113252618 \h </w:instrText>
      </w:r>
      <w:r>
        <w:rPr>
          <w:noProof/>
        </w:rPr>
      </w:r>
      <w:r>
        <w:rPr>
          <w:noProof/>
        </w:rPr>
        <w:fldChar w:fldCharType="separate"/>
      </w:r>
      <w:r>
        <w:rPr>
          <w:noProof/>
        </w:rPr>
        <w:t>8</w:t>
      </w:r>
      <w:r>
        <w:rPr>
          <w:noProof/>
        </w:rPr>
        <w:fldChar w:fldCharType="end"/>
      </w:r>
    </w:p>
    <w:p>
      <w:pPr>
        <w:pStyle w:val="Verzeichnis2"/>
        <w:tabs>
          <w:tab w:val="clear" w:pos="9638"/>
          <w:tab w:val="right" w:leader="dot" w:pos="9628"/>
        </w:tabs>
        <w:rPr>
          <w:smallCaps w:val="0"/>
          <w:noProof/>
          <w:sz w:val="24"/>
          <w:szCs w:val="24"/>
        </w:rPr>
      </w:pPr>
      <w:r>
        <w:rPr>
          <w:noProof/>
        </w:rPr>
        <w:t>Artikel 21</w:t>
      </w:r>
      <w:r>
        <w:rPr>
          <w:noProof/>
        </w:rPr>
        <w:tab/>
      </w:r>
      <w:r>
        <w:rPr>
          <w:noProof/>
        </w:rPr>
        <w:fldChar w:fldCharType="begin"/>
      </w:r>
      <w:r>
        <w:rPr>
          <w:noProof/>
        </w:rPr>
        <w:instrText xml:space="preserve"> PAGEREF _Toc113252619 \h </w:instrText>
      </w:r>
      <w:r>
        <w:rPr>
          <w:noProof/>
        </w:rPr>
      </w:r>
      <w:r>
        <w:rPr>
          <w:noProof/>
        </w:rPr>
        <w:fldChar w:fldCharType="separate"/>
      </w:r>
      <w:r>
        <w:rPr>
          <w:noProof/>
        </w:rPr>
        <w:t>9</w:t>
      </w:r>
      <w:r>
        <w:rPr>
          <w:noProof/>
        </w:rPr>
        <w:fldChar w:fldCharType="end"/>
      </w:r>
    </w:p>
    <w:p>
      <w:pPr>
        <w:pStyle w:val="Verzeichnis2"/>
        <w:tabs>
          <w:tab w:val="clear" w:pos="9638"/>
          <w:tab w:val="right" w:leader="dot" w:pos="9628"/>
        </w:tabs>
        <w:rPr>
          <w:smallCaps w:val="0"/>
          <w:noProof/>
          <w:sz w:val="24"/>
          <w:szCs w:val="24"/>
        </w:rPr>
      </w:pPr>
      <w:r>
        <w:rPr>
          <w:noProof/>
        </w:rPr>
        <w:t>ANHANG</w:t>
      </w:r>
      <w:r>
        <w:rPr>
          <w:noProof/>
        </w:rPr>
        <w:tab/>
      </w:r>
      <w:r>
        <w:rPr>
          <w:noProof/>
        </w:rPr>
        <w:fldChar w:fldCharType="begin"/>
      </w:r>
      <w:r>
        <w:rPr>
          <w:noProof/>
        </w:rPr>
        <w:instrText xml:space="preserve"> PAGEREF _Toc113252620 \h </w:instrText>
      </w:r>
      <w:r>
        <w:rPr>
          <w:noProof/>
        </w:rPr>
      </w:r>
      <w:r>
        <w:rPr>
          <w:noProof/>
        </w:rPr>
        <w:fldChar w:fldCharType="separate"/>
      </w:r>
      <w:r>
        <w:rPr>
          <w:noProof/>
        </w:rPr>
        <w:t>9</w:t>
      </w:r>
      <w:r>
        <w:rPr>
          <w:noProof/>
        </w:rPr>
        <w:fldChar w:fldCharType="end"/>
      </w:r>
    </w:p>
    <w:p>
      <w:pPr>
        <w:pStyle w:val="GesAbsatz"/>
      </w:pPr>
      <w:r>
        <w:fldChar w:fldCharType="end"/>
      </w:r>
    </w:p>
    <w:p>
      <w:pPr>
        <w:pStyle w:val="GesAbsatz"/>
      </w:pPr>
      <w:r>
        <w:t>DER RAT DER EUROPÄISCHEN GEMEINSCHAFTEN -</w:t>
      </w:r>
    </w:p>
    <w:p>
      <w:pPr>
        <w:pStyle w:val="GesAbsatz"/>
      </w:pPr>
      <w:r>
        <w:t>gestützt auf den Vertrag zur Gründung der Europäischen Wirtschaftsgemeinschaft, insbesondere auf Artikel 130s,</w:t>
      </w:r>
    </w:p>
    <w:p>
      <w:pPr>
        <w:pStyle w:val="GesAbsatz"/>
      </w:pPr>
      <w:r>
        <w:t>auf Vorschlag der Kommission</w:t>
      </w:r>
      <w:r>
        <w:rPr>
          <w:vertAlign w:val="superscript"/>
        </w:rPr>
        <w:t>(</w:t>
      </w:r>
      <w:r>
        <w:rPr>
          <w:rStyle w:val="Funotenzeichen"/>
        </w:rPr>
        <w:footnoteReference w:id="1"/>
      </w:r>
      <w:r>
        <w:rPr>
          <w:vertAlign w:val="superscript"/>
        </w:rPr>
        <w:t>)</w:t>
      </w:r>
      <w:r>
        <w:t>,</w:t>
      </w:r>
    </w:p>
    <w:p>
      <w:pPr>
        <w:pStyle w:val="GesAbsatz"/>
      </w:pPr>
      <w:r>
        <w:t>nach Stellungnahme des Europäischen Parlaments</w:t>
      </w:r>
      <w:r>
        <w:rPr>
          <w:vertAlign w:val="superscript"/>
        </w:rPr>
        <w:t>(</w:t>
      </w:r>
      <w:r>
        <w:rPr>
          <w:rStyle w:val="Funotenzeichen"/>
        </w:rPr>
        <w:footnoteReference w:id="2"/>
      </w:r>
      <w:r>
        <w:rPr>
          <w:vertAlign w:val="superscript"/>
        </w:rPr>
        <w:t>)</w:t>
      </w:r>
      <w:r>
        <w:t>,</w:t>
      </w:r>
    </w:p>
    <w:p>
      <w:pPr>
        <w:pStyle w:val="GesAbsatz"/>
      </w:pPr>
      <w:r>
        <w:t>nach Stellungnahme des Wirtschafts- und Sozialausschusses</w:t>
      </w:r>
      <w:r>
        <w:rPr>
          <w:vertAlign w:val="superscript"/>
        </w:rPr>
        <w:t>(</w:t>
      </w:r>
      <w:r>
        <w:rPr>
          <w:rStyle w:val="Funotenzeichen"/>
        </w:rPr>
        <w:footnoteReference w:id="3"/>
      </w:r>
      <w:r>
        <w:rPr>
          <w:vertAlign w:val="superscript"/>
        </w:rPr>
        <w:t>)</w:t>
      </w:r>
      <w:r>
        <w:t>,</w:t>
      </w:r>
    </w:p>
    <w:p>
      <w:pPr>
        <w:pStyle w:val="GesAbsatz"/>
      </w:pPr>
      <w:r>
        <w:t>in Erwägung nachstehender Gründe:</w:t>
      </w:r>
    </w:p>
    <w:p>
      <w:pPr>
        <w:pStyle w:val="GesAbsatz"/>
      </w:pPr>
      <w:r>
        <w:t>Der Vertrag sieht die Entwicklung und die Durchführung einer gemeinschaftlichen Umweltpolitik vor und legt die Zielsetzungen und die Grundsätze dar, von denen eine solche Politik geleitet sein sollte.</w:t>
      </w:r>
    </w:p>
    <w:p>
      <w:pPr>
        <w:pStyle w:val="GesAbsatz"/>
      </w:pPr>
      <w:r>
        <w:t>Die Erfordernisse des Umweltschutzes sind Bestandteil der übrigen Politiken der Gemeinschaft.</w:t>
      </w:r>
    </w:p>
    <w:p>
      <w:pPr>
        <w:pStyle w:val="GesAbsatz"/>
      </w:pPr>
      <w:r>
        <w:t>Nach Artikel 130r des Vertrages hat die Gemeinschaft bei der Erarbeitung ihrer Maßnahmen im Bereich der Umwelt unter anderem die verfügbaren wissenschaftlichen und technischen Daten zu berücksichtigen.</w:t>
      </w:r>
    </w:p>
    <w:p>
      <w:pPr>
        <w:pStyle w:val="GesAbsatz"/>
      </w:pPr>
      <w:r>
        <w:t>Gemäß der Entscheidung 85/338/EWG</w:t>
      </w:r>
      <w:r>
        <w:rPr>
          <w:rStyle w:val="Funotenzeichen"/>
        </w:rPr>
        <w:footnoteReference w:customMarkFollows="1" w:id="4"/>
        <w:t>(4)</w:t>
      </w:r>
      <w:r>
        <w:t xml:space="preserve"> hat die Kommission ein Arbeitsprogramm für ein Versuchsvorhaben für die Zusammenstellung, Koordinierung und Abstimmung der Informationen über den Zustand der Umwelt und der natürlichen Ressourcen in der Gemeinschaft in Angriff genommen. Es gilt nunmehr, die erforderlichen Beschlüsse zur Errichtung eines ständigen Umweltinformations- und Umweltbeobachtungssystems zu fassen.</w:t>
      </w:r>
    </w:p>
    <w:p>
      <w:pPr>
        <w:pStyle w:val="GesAbsatz"/>
      </w:pPr>
      <w:r>
        <w:lastRenderedPageBreak/>
        <w:t>Die Sammlung, Aufbereitung und Analyse von Umweltdaten auf europäischer Ebene ist notwendig, um objektive, zuverlässige und vergleichbare Informationen zu erhalten, die es der Gemeinschaft und den Mitgliedstaaten ermöglichen, die auf dem Gebiet des Umweltschutzes unentbehrlichen Maßnahmen zu ergreifen, deren Ergebnisse zu beurteilen und eine angemessene Unterrichtung der Öffentlichkeit über den Zustand der Umwelt sicherzustellen.</w:t>
      </w:r>
    </w:p>
    <w:p>
      <w:pPr>
        <w:pStyle w:val="GesAbsatz"/>
      </w:pPr>
      <w:r>
        <w:t>In der Gemeinschaft und in den Mitgliedstaaten gibt es bereits Einrichtungen, die solche Informationen liefern bzw. solche Dienste leisten.</w:t>
      </w:r>
    </w:p>
    <w:p>
      <w:pPr>
        <w:pStyle w:val="GesAbsatz"/>
      </w:pPr>
      <w:r>
        <w:t>Es empfiehlt sich, auf dieser Grundlage ein europäisches Umweltinformations- und Umweltbeobachtungsnetz zu errichten, dessen Koordinierung auf Gemeinschaftsebene einer Europäischen Umweltagentur übertragen würde.</w:t>
      </w:r>
    </w:p>
    <w:p>
      <w:pPr>
        <w:pStyle w:val="GesAbsatz"/>
      </w:pPr>
      <w:r>
        <w:t>Die Agentur muß mit den auf Gemeinschaftsebene bestehenden Einrichtungen zusammenarbeiten, damit die Kommission die uneingeschränkte Anwendung der Rechtsvorschriften der Gemeinschaft im Bereich des Umweltschutzes gewährleisten kann.</w:t>
      </w:r>
    </w:p>
    <w:p>
      <w:pPr>
        <w:pStyle w:val="GesAbsatz"/>
      </w:pPr>
      <w:r>
        <w:t>Status und Aufbau einer solchen Agentur müssen dem objektiven Charakter der von ihr erwarteten Ergebnisse entsprechen und ihr die Ausübung ihrer Funktionen in enger Zusammenarbeit mit den bestehenden nationalen und internationalen Einrichtungen ermöglichen.</w:t>
      </w:r>
    </w:p>
    <w:p>
      <w:pPr>
        <w:pStyle w:val="GesAbsatz"/>
      </w:pPr>
      <w:r>
        <w:t>Die Agentur muß rechtlich unabhängig sein, jedoch zu den Organen der Gemeinschaft und den Mitgliedstaaten enge Beziehungen unterhalten.</w:t>
      </w:r>
    </w:p>
    <w:p>
      <w:pPr>
        <w:pStyle w:val="GesAbsatz"/>
      </w:pPr>
      <w:r>
        <w:t>Es ist sinnvoll, anderen Ländern, die das Interesse der Gemeinschaft und der Mitgliedstaaten hinsichtlich der Zielsetzungen der Agentur teilen, gemäß zwischen ihnen und der Gemeinschaft zu schließenden Vereinbarungen den Zugang zu der Agentur zu ermöglichen.</w:t>
      </w:r>
    </w:p>
    <w:p>
      <w:pPr>
        <w:pStyle w:val="GesAbsatz"/>
      </w:pPr>
      <w:r>
        <w:t>Diese Verordnung ist nach zwei Jahren zu überprüfen, damit über weitere Aufgaben der Agentur entschieden werden kann -</w:t>
      </w:r>
    </w:p>
    <w:p>
      <w:pPr>
        <w:pStyle w:val="GesAbsatz"/>
      </w:pPr>
      <w:r>
        <w:t>HAT FOLGENDE VERORDNUNG ERLASSEN:</w:t>
      </w:r>
    </w:p>
    <w:p>
      <w:pPr>
        <w:pStyle w:val="berschrift2"/>
      </w:pPr>
      <w:bookmarkStart w:id="5" w:name="_Toc414168800"/>
      <w:bookmarkStart w:id="6" w:name="_Toc419087048"/>
      <w:bookmarkStart w:id="7" w:name="_Toc113252599"/>
      <w:r>
        <w:t>Artikel 1</w:t>
      </w:r>
      <w:bookmarkEnd w:id="5"/>
      <w:bookmarkEnd w:id="6"/>
      <w:bookmarkEnd w:id="7"/>
    </w:p>
    <w:p>
      <w:pPr>
        <w:pStyle w:val="GesAbsatz"/>
      </w:pPr>
      <w:r>
        <w:t>(1) Ziel dieser Verordnung ist die Errichtung einer Europäischen Umweltagentur und die Einführung eines Europäischen Umweltinformations- und Umweltbeobachtungsnetzes.</w:t>
      </w:r>
    </w:p>
    <w:p>
      <w:pPr>
        <w:pStyle w:val="GesAbsatz"/>
      </w:pPr>
      <w:r>
        <w:t>(2) Damit die im Vertrag und in den einzelnen gemeinschaftlichen Umweltaktionsprogrammen gesetzten Ziele zum Schutz und zur Verbesserung der Umwelt und zur Verwirklichung der nachhaltigen Entwicklung erreicht werden kö</w:t>
      </w:r>
      <w:r>
        <w:rPr>
          <w:rFonts w:cs="Arial"/>
        </w:rPr>
        <w:t xml:space="preserve">nnen, sollen der </w:t>
      </w:r>
      <w:r>
        <w:t>Gemeinschaft und den Mitgliedstaaten</w:t>
      </w:r>
    </w:p>
    <w:p>
      <w:pPr>
        <w:pStyle w:val="GesAbsatz"/>
        <w:ind w:left="426" w:hanging="426"/>
      </w:pPr>
      <w:r>
        <w:t>-</w:t>
      </w:r>
      <w:r>
        <w:tab/>
        <w:t>objektive, zuverlässige und auf europäischer Ebene vergleichbare Informationen zur Verfügung gestellt werden, anhand deren sie die notwendigen Umweltschutzmaßnahmen ergreifen, die Ergebnisse dieser Maßnahmen bewerten und eine sachgerechte Unterrichtung der Öffentlichkeit über den Zustand der Umwelt sicherstellen können;</w:t>
      </w:r>
    </w:p>
    <w:p>
      <w:pPr>
        <w:pStyle w:val="GesAbsatz"/>
        <w:ind w:left="426" w:hanging="426"/>
      </w:pPr>
      <w:r>
        <w:t>-</w:t>
      </w:r>
      <w:r>
        <w:tab/>
        <w:t>die hierfür nötige technische und wissenschaftliche Unterstützung gegeben werden.</w:t>
      </w:r>
    </w:p>
    <w:p>
      <w:pPr>
        <w:pStyle w:val="berschrift2"/>
      </w:pPr>
      <w:bookmarkStart w:id="8" w:name="_Toc414168801"/>
      <w:bookmarkStart w:id="9" w:name="_Toc419087049"/>
      <w:bookmarkStart w:id="10" w:name="_Toc113252600"/>
      <w:r>
        <w:t>Artikel 2</w:t>
      </w:r>
      <w:bookmarkEnd w:id="8"/>
      <w:bookmarkEnd w:id="9"/>
      <w:bookmarkEnd w:id="10"/>
    </w:p>
    <w:p>
      <w:pPr>
        <w:pStyle w:val="GesAbsatz"/>
      </w:pPr>
      <w:r>
        <w:t>Zur Erreichung der in Artikel 1 genannten Zielsetzung erfüllt die Agentur folgende Aufgaben:</w:t>
      </w:r>
    </w:p>
    <w:p>
      <w:pPr>
        <w:pStyle w:val="GesAbsatz"/>
        <w:tabs>
          <w:tab w:val="clear" w:pos="425"/>
        </w:tabs>
        <w:ind w:left="426" w:hanging="426"/>
      </w:pPr>
      <w:r>
        <w:t>i)</w:t>
      </w:r>
      <w:r>
        <w:tab/>
        <w:t>Einrichtung - in Zusammenarbeit mit den Mitgliedstaaten - und Koordinierung des in Artikel 4 genannten Netzes. In diesem Rahmen stellt die Agentur die Sammlung, Aufbereitung und Analyse von Daten - insbesondere in den in Artikel 3 genannten Bereichen - sicher. Ihre Aufgabe ist es ferner, die aufgrund der Entscheidung 85/338/EWG eingeleiteten Arbeiten fortzusetzen;</w:t>
      </w:r>
    </w:p>
    <w:p>
      <w:pPr>
        <w:pStyle w:val="GesAbsatz"/>
        <w:tabs>
          <w:tab w:val="clear" w:pos="425"/>
          <w:tab w:val="left" w:pos="426"/>
        </w:tabs>
        <w:ind w:left="851" w:hanging="851"/>
        <w:rPr>
          <w:rFonts w:cs="Arial"/>
        </w:rPr>
      </w:pPr>
      <w:r>
        <w:t>ii)</w:t>
      </w:r>
      <w:r>
        <w:tab/>
        <w:t>-</w:t>
      </w:r>
      <w:r>
        <w:tab/>
        <w:t>Bereitstellung - für die Gemeinschaft und die Mitgliedstaaten - der erforderlichen objektiven Informationen fü</w:t>
      </w:r>
      <w:r>
        <w:rPr>
          <w:rFonts w:cs="Arial"/>
        </w:rPr>
        <w:t xml:space="preserve">r die </w:t>
      </w:r>
      <w:r>
        <w:t>Ausarbeitung und Durchfü</w:t>
      </w:r>
      <w:r>
        <w:rPr>
          <w:rFonts w:cs="Arial"/>
        </w:rPr>
        <w:t xml:space="preserve">hrung von </w:t>
      </w:r>
      <w:r>
        <w:t>zweckmäß</w:t>
      </w:r>
      <w:r>
        <w:rPr>
          <w:rFonts w:cs="Arial"/>
        </w:rPr>
        <w:t>igen und wirksamen Umweltmaß</w:t>
      </w:r>
      <w:r>
        <w:t>nahmen; zu diesem Zweck insbesondere Weitergabe der erforderlichen Informationen an die Kommission, damit diese ihre Aufgaben bei der Festlegung, Ausarbeitung und Evaluierung von Umweltmaßnahmen und -vorschriften erfü</w:t>
      </w:r>
      <w:r>
        <w:rPr>
          <w:rFonts w:cs="Arial"/>
        </w:rPr>
        <w:t>llen kann;</w:t>
      </w:r>
    </w:p>
    <w:p>
      <w:pPr>
        <w:pStyle w:val="GesAbsatz"/>
        <w:tabs>
          <w:tab w:val="clear" w:pos="425"/>
          <w:tab w:val="left" w:pos="426"/>
        </w:tabs>
        <w:ind w:left="851" w:hanging="851"/>
      </w:pPr>
      <w:r>
        <w:tab/>
        <w:t>-</w:t>
      </w:r>
      <w:r>
        <w:tab/>
        <w:t>Unterstü</w:t>
      </w:r>
      <w:r>
        <w:rPr>
          <w:rFonts w:cs="Arial"/>
        </w:rPr>
        <w:t xml:space="preserve">tzung der Überwachung von </w:t>
      </w:r>
      <w:r>
        <w:t>Umweltschutzmaßnahmen durch geeignete Hilfestellung im Zusammenhang mit der Erfü</w:t>
      </w:r>
      <w:r>
        <w:rPr>
          <w:rFonts w:cs="Arial"/>
        </w:rPr>
        <w:t xml:space="preserve">llung der Berichterstattungsanforderungen </w:t>
      </w:r>
      <w:r>
        <w:t>(unter anderem durch Beteiligung an der Ausarbeitung von Fragebö</w:t>
      </w:r>
      <w:r>
        <w:rPr>
          <w:rFonts w:cs="Arial"/>
        </w:rPr>
        <w:t xml:space="preserve">gen, </w:t>
      </w:r>
      <w:r>
        <w:t>Bearbeitung der Berichte der Mitgliedstaaten und der Verbreitung der Ergebnisse) entsprechend dem Mehrjahres-Arbeitsprogramm der Agentur mit dem Ziel der Koordinierung der Berichterstattung;</w:t>
      </w:r>
    </w:p>
    <w:p>
      <w:pPr>
        <w:pStyle w:val="GesAbsatz"/>
        <w:tabs>
          <w:tab w:val="clear" w:pos="425"/>
          <w:tab w:val="left" w:pos="426"/>
        </w:tabs>
        <w:ind w:left="851" w:hanging="851"/>
      </w:pPr>
      <w:r>
        <w:lastRenderedPageBreak/>
        <w:tab/>
        <w:t>-</w:t>
      </w:r>
      <w:r>
        <w:tab/>
        <w:t>auf Ersuchen und, sofern dies mit dem Jahresprogramm der Agentur vereinbar ist, Beratung einzelner Mitgliedstaaten bei der Entwicklung, Einfü</w:t>
      </w:r>
      <w:r>
        <w:rPr>
          <w:rFonts w:cs="Arial"/>
        </w:rPr>
        <w:t xml:space="preserve">hrung und Erweiterung </w:t>
      </w:r>
      <w:r>
        <w:t>ihrer Systeme zur Ü</w:t>
      </w:r>
      <w:r>
        <w:rPr>
          <w:rFonts w:cs="Arial"/>
        </w:rPr>
        <w:t xml:space="preserve">berwachung von </w:t>
      </w:r>
      <w:r>
        <w:t>Umweltmaßnahmen unter der Voraussetzung, daß die Erfü</w:t>
      </w:r>
      <w:r>
        <w:rPr>
          <w:rFonts w:cs="Arial"/>
        </w:rPr>
        <w:t xml:space="preserve">llung der übrigen in </w:t>
      </w:r>
      <w:r>
        <w:t>diesem Artikel festgelegten Aufgaben durch solche Tä</w:t>
      </w:r>
      <w:r>
        <w:rPr>
          <w:rFonts w:cs="Arial"/>
        </w:rPr>
        <w:t xml:space="preserve">tigkeiten nicht beeinträchtigt </w:t>
      </w:r>
      <w:r>
        <w:t>wird. Eine solche Beratung kann auf besonderes Ersuchen der Mitgliedstaaten eine Evaluierung durch Gutachter einschließen;</w:t>
      </w:r>
    </w:p>
    <w:p>
      <w:pPr>
        <w:pStyle w:val="GesAbsatz"/>
        <w:tabs>
          <w:tab w:val="clear" w:pos="425"/>
        </w:tabs>
        <w:ind w:left="426" w:hanging="426"/>
      </w:pPr>
      <w:r>
        <w:t>iii)</w:t>
      </w:r>
      <w:r>
        <w:tab/>
        <w:t>Erfassung, Zusammenstellung und Bewertung von Daten ü</w:t>
      </w:r>
      <w:r>
        <w:rPr>
          <w:rFonts w:cs="Arial"/>
        </w:rPr>
        <w:t xml:space="preserve">ber den Zustand der Umwelt, </w:t>
      </w:r>
      <w:r>
        <w:t>Erstellung von Sachverstä</w:t>
      </w:r>
      <w:r>
        <w:rPr>
          <w:rFonts w:cs="Arial"/>
        </w:rPr>
        <w:t xml:space="preserve">ndigengutachten über die Qualität, die Empfindlichkeit und die </w:t>
      </w:r>
      <w:r>
        <w:t>Belastungen der Umwelt im Gebiet der Gemeinschaft, Aufstellung einheitlicher Bewertungskriterien fü</w:t>
      </w:r>
      <w:r>
        <w:rPr>
          <w:rFonts w:cs="Arial"/>
        </w:rPr>
        <w:t xml:space="preserve">r Umweltdaten, die in </w:t>
      </w:r>
      <w:r>
        <w:t>allen Mitgliedstaaten anzuwenden sind, sowie Ausbau und Weiterfü</w:t>
      </w:r>
      <w:r>
        <w:rPr>
          <w:rFonts w:cs="Arial"/>
        </w:rPr>
        <w:t xml:space="preserve">hrung eines Referenzzentrums </w:t>
      </w:r>
      <w:r>
        <w:t>fü</w:t>
      </w:r>
      <w:r>
        <w:rPr>
          <w:rFonts w:cs="Arial"/>
        </w:rPr>
        <w:t xml:space="preserve">r Umweltinformationen. Die </w:t>
      </w:r>
      <w:r>
        <w:t>Kommission macht von diesen Informationen im Rahmen ihrer Aufgabe Gebrauch, fü</w:t>
      </w:r>
      <w:r>
        <w:rPr>
          <w:rFonts w:cs="Arial"/>
        </w:rPr>
        <w:t xml:space="preserve">r die </w:t>
      </w:r>
      <w:r>
        <w:t>Durchfü</w:t>
      </w:r>
      <w:r>
        <w:rPr>
          <w:rFonts w:cs="Arial"/>
        </w:rPr>
        <w:t xml:space="preserve">hrung der Rechtsvorschriften der </w:t>
      </w:r>
      <w:r>
        <w:t>Gemeinschaft im Bereich der Umwelt Sorge zu tragen;</w:t>
      </w:r>
    </w:p>
    <w:p>
      <w:pPr>
        <w:pStyle w:val="GesAbsatz"/>
        <w:tabs>
          <w:tab w:val="clear" w:pos="425"/>
        </w:tabs>
        <w:ind w:left="426" w:hanging="426"/>
      </w:pPr>
      <w:r>
        <w:t>iv)</w:t>
      </w:r>
      <w:r>
        <w:tab/>
        <w:t>Förderung der Vergleichbarkeit der Umweltdaten auf europäischer Ebene sowie erforderlichenfalls Förderung einer stärkeren Harmonisierung der Meßverfahren auf geeignetem Wege;</w:t>
      </w:r>
    </w:p>
    <w:p>
      <w:pPr>
        <w:pStyle w:val="GesAbsatz"/>
        <w:tabs>
          <w:tab w:val="clear" w:pos="425"/>
        </w:tabs>
        <w:ind w:left="426" w:hanging="426"/>
      </w:pPr>
      <w:r>
        <w:t>v)</w:t>
      </w:r>
      <w:r>
        <w:tab/>
        <w:t>Förderung einer Berücksichtigung europäischer Umweltinformationen in internationalen Umweltüberwachungsprogrammen wie denjenigen, die im Rahmen der Vereinten Nationen und ihrer Sonderorganisationen durchgeführt werden;</w:t>
      </w:r>
    </w:p>
    <w:p>
      <w:pPr>
        <w:pStyle w:val="GesAbsatz"/>
        <w:tabs>
          <w:tab w:val="clear" w:pos="425"/>
        </w:tabs>
        <w:ind w:left="426" w:hanging="426"/>
      </w:pPr>
      <w:r>
        <w:t>vi)</w:t>
      </w:r>
      <w:r>
        <w:tab/>
        <w:t>alle fü</w:t>
      </w:r>
      <w:r>
        <w:rPr>
          <w:rFonts w:cs="Arial"/>
        </w:rPr>
        <w:t>nf Jahre Veröffent</w:t>
      </w:r>
      <w:r>
        <w:t>lichung eines Berichts ü</w:t>
      </w:r>
      <w:r>
        <w:rPr>
          <w:rFonts w:cs="Arial"/>
        </w:rPr>
        <w:t xml:space="preserve">ber den Zustand der sowie die </w:t>
      </w:r>
      <w:r>
        <w:t>Tendenzen und Aussichten fü</w:t>
      </w:r>
      <w:r>
        <w:rPr>
          <w:rFonts w:cs="Arial"/>
        </w:rPr>
        <w:t xml:space="preserve">r die Umwelt, </w:t>
      </w:r>
      <w:r>
        <w:t>ergä</w:t>
      </w:r>
      <w:r>
        <w:rPr>
          <w:rFonts w:cs="Arial"/>
        </w:rPr>
        <w:t xml:space="preserve">nzt durch Berichte über allgemeine </w:t>
      </w:r>
      <w:r>
        <w:t>Entwicklungen mit spezifischen Schwerpunktthemen;</w:t>
      </w:r>
    </w:p>
    <w:p>
      <w:pPr>
        <w:pStyle w:val="GesAbsatz"/>
        <w:tabs>
          <w:tab w:val="clear" w:pos="425"/>
        </w:tabs>
        <w:ind w:left="426" w:hanging="426"/>
      </w:pPr>
      <w:r>
        <w:t>vii)</w:t>
      </w:r>
      <w:r>
        <w:tab/>
        <w:t>Förderung der Entwicklung und der Anwendung von Verfahren zur Vorhersage im Umweltbereich, damit rechtzeitig geeignete Vorsorgemaßnahmen getroffen werden können;</w:t>
      </w:r>
    </w:p>
    <w:p>
      <w:pPr>
        <w:pStyle w:val="GesAbsatz"/>
        <w:tabs>
          <w:tab w:val="clear" w:pos="425"/>
        </w:tabs>
        <w:ind w:left="426" w:hanging="426"/>
      </w:pPr>
      <w:r>
        <w:t>viii)</w:t>
      </w:r>
      <w:r>
        <w:tab/>
        <w:t>Förderung der Entwicklung von Methoden zur Bewertung der Kosten von Umweltschäden sowie der Kosten für Vorsorge-, Schutz- und Sanierungsmaßnahmen im Bereich der Umwelt;</w:t>
      </w:r>
    </w:p>
    <w:p>
      <w:pPr>
        <w:pStyle w:val="GesAbsatz"/>
        <w:tabs>
          <w:tab w:val="clear" w:pos="425"/>
        </w:tabs>
        <w:ind w:left="426" w:hanging="426"/>
      </w:pPr>
      <w:r>
        <w:t>ix)</w:t>
      </w:r>
      <w:r>
        <w:tab/>
        <w:t>Förderung des Informationsaustausches über die besten verfügbaren Technologien zur Verhütung oder Verringerung von Umweltschäden;</w:t>
      </w:r>
    </w:p>
    <w:p>
      <w:pPr>
        <w:pStyle w:val="GesAbsatz"/>
        <w:tabs>
          <w:tab w:val="clear" w:pos="425"/>
        </w:tabs>
        <w:ind w:left="426" w:hanging="426"/>
      </w:pPr>
      <w:r>
        <w:t>x)</w:t>
      </w:r>
      <w:r>
        <w:tab/>
        <w:t>Zusammenarbeit mit den in Artikel 15 genannten Einrichtungen und Programmen.</w:t>
      </w:r>
    </w:p>
    <w:p>
      <w:pPr>
        <w:pStyle w:val="GesAbsatz"/>
        <w:tabs>
          <w:tab w:val="clear" w:pos="425"/>
        </w:tabs>
        <w:ind w:left="426" w:hanging="426"/>
      </w:pPr>
      <w:r>
        <w:t>xi)</w:t>
      </w:r>
      <w:r>
        <w:tab/>
        <w:t>umfassende Verbreitung von an die Ö</w:t>
      </w:r>
      <w:r>
        <w:rPr>
          <w:rFonts w:cs="Arial"/>
        </w:rPr>
        <w:t xml:space="preserve">ffentlichkeit </w:t>
      </w:r>
      <w:r>
        <w:t>gerichteten zuverlä</w:t>
      </w:r>
      <w:r>
        <w:rPr>
          <w:rFonts w:cs="Arial"/>
        </w:rPr>
        <w:t xml:space="preserve">ssigen und </w:t>
      </w:r>
      <w:r>
        <w:t>vergleichbaren Umweltinformationen, insbesondere ü</w:t>
      </w:r>
      <w:r>
        <w:rPr>
          <w:rFonts w:cs="Arial"/>
        </w:rPr>
        <w:t xml:space="preserve">ber den Zustand der Umwelt, und </w:t>
      </w:r>
      <w:r>
        <w:t>Fö</w:t>
      </w:r>
      <w:r>
        <w:rPr>
          <w:rFonts w:cs="Arial"/>
        </w:rPr>
        <w:t xml:space="preserve">rderung des Einsatzes fortgeschrittener </w:t>
      </w:r>
      <w:r>
        <w:t>Telematik-Technologie zu diesem Zweck;</w:t>
      </w:r>
    </w:p>
    <w:p>
      <w:pPr>
        <w:pStyle w:val="GesAbsatz"/>
        <w:tabs>
          <w:tab w:val="clear" w:pos="425"/>
        </w:tabs>
        <w:ind w:left="426" w:hanging="426"/>
      </w:pPr>
      <w:r>
        <w:t>xii)</w:t>
      </w:r>
      <w:r>
        <w:tab/>
        <w:t>Unterstü</w:t>
      </w:r>
      <w:r>
        <w:rPr>
          <w:rFonts w:cs="Arial"/>
        </w:rPr>
        <w:t xml:space="preserve">tzung der Kommission beim </w:t>
      </w:r>
      <w:r>
        <w:t>Austausch von Informationen ü</w:t>
      </w:r>
      <w:r>
        <w:rPr>
          <w:rFonts w:cs="Arial"/>
        </w:rPr>
        <w:t xml:space="preserve">ber die </w:t>
      </w:r>
      <w:r>
        <w:t>Entwicklung der Verfahren und bewä</w:t>
      </w:r>
      <w:r>
        <w:rPr>
          <w:rFonts w:cs="Arial"/>
        </w:rPr>
        <w:t xml:space="preserve">hrtesten </w:t>
      </w:r>
      <w:r>
        <w:t>Praktiken fü</w:t>
      </w:r>
      <w:r>
        <w:rPr>
          <w:rFonts w:cs="Arial"/>
        </w:rPr>
        <w:t>r Umweltverträglichkeitsprü</w:t>
      </w:r>
      <w:r>
        <w:t>fungen;</w:t>
      </w:r>
    </w:p>
    <w:p>
      <w:pPr>
        <w:pStyle w:val="GesAbsatz"/>
        <w:tabs>
          <w:tab w:val="clear" w:pos="425"/>
        </w:tabs>
        <w:ind w:left="426" w:hanging="426"/>
      </w:pPr>
      <w:r>
        <w:t>xiii)</w:t>
      </w:r>
      <w:r>
        <w:tab/>
        <w:t>Unterstü</w:t>
      </w:r>
      <w:r>
        <w:rPr>
          <w:rFonts w:cs="Arial"/>
        </w:rPr>
        <w:t xml:space="preserve">tzung der Kommission bei der </w:t>
      </w:r>
      <w:r>
        <w:t>Verbreitung von Informationen ü</w:t>
      </w:r>
      <w:r>
        <w:rPr>
          <w:rFonts w:cs="Arial"/>
        </w:rPr>
        <w:t xml:space="preserve">ber die </w:t>
      </w:r>
      <w:r>
        <w:t>Ergebnisse einschlä</w:t>
      </w:r>
      <w:r>
        <w:rPr>
          <w:rFonts w:cs="Arial"/>
        </w:rPr>
        <w:t xml:space="preserve">giger Umweltforschungen </w:t>
      </w:r>
      <w:r>
        <w:t>in einer Form, die von größ</w:t>
      </w:r>
      <w:r>
        <w:rPr>
          <w:rFonts w:cs="Arial"/>
        </w:rPr>
        <w:t xml:space="preserve">tmöglichem </w:t>
      </w:r>
      <w:r>
        <w:t>Nutzen fü</w:t>
      </w:r>
      <w:r>
        <w:rPr>
          <w:rFonts w:cs="Arial"/>
        </w:rPr>
        <w:t xml:space="preserve">r die Formulierung einer Politik </w:t>
      </w:r>
      <w:r>
        <w:t>ist.</w:t>
      </w:r>
    </w:p>
    <w:p>
      <w:pPr>
        <w:pStyle w:val="berschrift2"/>
      </w:pPr>
      <w:bookmarkStart w:id="11" w:name="_Toc414168802"/>
      <w:bookmarkStart w:id="12" w:name="_Toc419087050"/>
      <w:bookmarkStart w:id="13" w:name="_Toc113252601"/>
      <w:r>
        <w:t>Artikel 3</w:t>
      </w:r>
      <w:bookmarkEnd w:id="11"/>
      <w:bookmarkEnd w:id="12"/>
      <w:bookmarkEnd w:id="13"/>
    </w:p>
    <w:p>
      <w:pPr>
        <w:pStyle w:val="GesAbsatz"/>
      </w:pPr>
      <w:r>
        <w:t>(1) Die wichtigsten Tätigkeiten der Agentur sollen so weit wie möglich die Erfassung aller Informationen zur Beschreibung des derzeitigen und voraussichtlichen Zustandes der Umwelt unter folgenden Gesichtspunkten ermöglichen:</w:t>
      </w:r>
    </w:p>
    <w:p>
      <w:pPr>
        <w:pStyle w:val="GesAbsatz"/>
      </w:pPr>
      <w:r>
        <w:t>i)</w:t>
      </w:r>
      <w:r>
        <w:tab/>
        <w:t>Umweltqualität,</w:t>
      </w:r>
    </w:p>
    <w:p>
      <w:pPr>
        <w:pStyle w:val="GesAbsatz"/>
      </w:pPr>
      <w:r>
        <w:t xml:space="preserve">ii) </w:t>
      </w:r>
      <w:r>
        <w:tab/>
        <w:t>Umweltbelastungen,</w:t>
      </w:r>
    </w:p>
    <w:p>
      <w:pPr>
        <w:pStyle w:val="GesAbsatz"/>
      </w:pPr>
      <w:r>
        <w:t xml:space="preserve">iii) </w:t>
      </w:r>
      <w:r>
        <w:tab/>
        <w:t>Umweltempfindlichkeit</w:t>
      </w:r>
    </w:p>
    <w:p>
      <w:pPr>
        <w:pStyle w:val="GesAbsatz"/>
      </w:pPr>
      <w:r>
        <w:t>wobei diese Gesichtspunkte in den Rahmen der nachhaltigen Entwicklung zu stellen sind.</w:t>
      </w:r>
    </w:p>
    <w:p>
      <w:pPr>
        <w:pStyle w:val="GesAbsatz"/>
      </w:pPr>
      <w:r>
        <w:t>(2) Die Agentur liefert Informationen, die unmittelbar zur Durchführung der Umweltpolitik der Gemeinschaft verwendet werden können.</w:t>
      </w:r>
    </w:p>
    <w:p>
      <w:pPr>
        <w:pStyle w:val="GesAbsatz"/>
      </w:pPr>
      <w:r>
        <w:t>Folgende Gebiete haben Vorrang:</w:t>
      </w:r>
    </w:p>
    <w:p>
      <w:pPr>
        <w:pStyle w:val="GesAbsatz"/>
      </w:pPr>
      <w:r>
        <w:t>-</w:t>
      </w:r>
      <w:r>
        <w:tab/>
        <w:t>Luftqualität und atmosphärische Emissionen,</w:t>
      </w:r>
    </w:p>
    <w:p>
      <w:pPr>
        <w:pStyle w:val="GesAbsatz"/>
      </w:pPr>
      <w:r>
        <w:t>-</w:t>
      </w:r>
      <w:r>
        <w:tab/>
        <w:t>Wasserqualität, Schadstoffe und Wasserressourcen,</w:t>
      </w:r>
    </w:p>
    <w:p>
      <w:pPr>
        <w:pStyle w:val="GesAbsatz"/>
      </w:pPr>
      <w:r>
        <w:t>-</w:t>
      </w:r>
      <w:r>
        <w:tab/>
        <w:t>Zustand des Bodens, der Tier- und Pflanzenarten und der Biotope,</w:t>
      </w:r>
    </w:p>
    <w:p>
      <w:pPr>
        <w:pStyle w:val="GesAbsatz"/>
      </w:pPr>
      <w:r>
        <w:t>-</w:t>
      </w:r>
      <w:r>
        <w:tab/>
        <w:t>Nutzung des Bodens und der natürlichen Hilfsquellen,</w:t>
      </w:r>
    </w:p>
    <w:p>
      <w:pPr>
        <w:pStyle w:val="GesAbsatz"/>
      </w:pPr>
      <w:r>
        <w:t>-</w:t>
      </w:r>
      <w:r>
        <w:tab/>
        <w:t>Abfallbewirtschaftung,</w:t>
      </w:r>
    </w:p>
    <w:p>
      <w:pPr>
        <w:pStyle w:val="GesAbsatz"/>
      </w:pPr>
      <w:r>
        <w:t>-</w:t>
      </w:r>
      <w:r>
        <w:tab/>
        <w:t>Geräuschemissionen,</w:t>
      </w:r>
    </w:p>
    <w:p>
      <w:pPr>
        <w:pStyle w:val="GesAbsatz"/>
      </w:pPr>
      <w:r>
        <w:lastRenderedPageBreak/>
        <w:t>-</w:t>
      </w:r>
      <w:r>
        <w:tab/>
        <w:t>umweltgefährdende Chemikalien,</w:t>
      </w:r>
    </w:p>
    <w:p>
      <w:pPr>
        <w:pStyle w:val="GesAbsatz"/>
      </w:pPr>
      <w:r>
        <w:t>-</w:t>
      </w:r>
      <w:r>
        <w:tab/>
        <w:t>Schutz der Küstengebiete und der Meere.</w:t>
      </w:r>
    </w:p>
    <w:p>
      <w:pPr>
        <w:pStyle w:val="GesAbsatz"/>
      </w:pPr>
      <w:r>
        <w:t>Es werden insbesondere Phänomene erfaßt, die grenzüberschreitenden Charakter haben, mehrere Länder betreffen und weltweit zu beobachten sind.</w:t>
      </w:r>
    </w:p>
    <w:p>
      <w:pPr>
        <w:pStyle w:val="GesAbsatz"/>
      </w:pPr>
      <w:r>
        <w:t>Ferner wird der sozio-ökonomischen Dimension Rechnung getragen.</w:t>
      </w:r>
    </w:p>
    <w:p>
      <w:pPr>
        <w:pStyle w:val="GesAbsatz"/>
      </w:pPr>
      <w:r>
        <w:t>(3) Darüber hinaus kann die Agentur beim Austausch von Informationen mit anderen Einrichtungen, auch mit dem IMPEL-Netz, zusammenarbeiten.</w:t>
      </w:r>
    </w:p>
    <w:p>
      <w:pPr>
        <w:pStyle w:val="GesAbsatz"/>
      </w:pPr>
      <w:r>
        <w:t>Bei ihrer Tätigkeit vermeidet die Agentur Überschneidungen mit Tätigkeiten, die bereits von anderen Stellen und Einrichtungen in Angriff genommen worden sind.</w:t>
      </w:r>
    </w:p>
    <w:p>
      <w:pPr>
        <w:pStyle w:val="berschrift2"/>
      </w:pPr>
      <w:bookmarkStart w:id="14" w:name="_Toc414168803"/>
      <w:bookmarkStart w:id="15" w:name="_Toc419087051"/>
      <w:bookmarkStart w:id="16" w:name="_Toc113252602"/>
      <w:r>
        <w:t>Artikel 4</w:t>
      </w:r>
      <w:bookmarkEnd w:id="14"/>
      <w:bookmarkEnd w:id="15"/>
      <w:bookmarkEnd w:id="16"/>
    </w:p>
    <w:p>
      <w:pPr>
        <w:pStyle w:val="GesAbsatz"/>
      </w:pPr>
      <w:r>
        <w:t>(1) Das Netz umfaßt</w:t>
      </w:r>
    </w:p>
    <w:p>
      <w:pPr>
        <w:pStyle w:val="GesAbsatz"/>
      </w:pPr>
      <w:r>
        <w:t>-</w:t>
      </w:r>
      <w:r>
        <w:tab/>
        <w:t>die wichtigsten Bestandteile der einzelstaatlichen Informationsnetze;</w:t>
      </w:r>
    </w:p>
    <w:p>
      <w:pPr>
        <w:pStyle w:val="GesAbsatz"/>
      </w:pPr>
      <w:r>
        <w:t>-</w:t>
      </w:r>
      <w:r>
        <w:tab/>
        <w:t>die innerstaatlichen Anlaufstellen;</w:t>
      </w:r>
    </w:p>
    <w:p>
      <w:pPr>
        <w:pStyle w:val="GesAbsatz"/>
      </w:pPr>
      <w:r>
        <w:t>-</w:t>
      </w:r>
      <w:r>
        <w:tab/>
        <w:t>die themenspezifischen Ansprechstellen.</w:t>
      </w:r>
    </w:p>
    <w:p>
      <w:pPr>
        <w:pStyle w:val="GesAbsatz"/>
      </w:pPr>
      <w:r>
        <w:t>(2) Im Hinblick auf eine möglichst rasche und wirksame Einführung des Netzes teilen die Mitgliedstaaten der Agentur binnen sechs Monaten nach Inkrafttreten dieser Verordnung die wichtigsten Bestandteile ihres innerstaatlichen Umweltinformationsnetzes - insbesondere in den in Artikel 3 Absatz 2 genannten vorrangigen Bereichen - einschließlich der zuständigen Stellen mit, die ihres Erachtens zur Tätigkeit der Agentur ihren Beitrag leisten könnten, und zwar unter Berücksichtigung der Notwendigkeit einer möglichst vollständigen geographischen Erfassung ihres Hoheitsgebiets.</w:t>
      </w:r>
    </w:p>
    <w:p>
      <w:pPr>
        <w:pStyle w:val="GesAbsatz"/>
      </w:pPr>
      <w:r>
        <w:t>Die Mitgliedstaaten unterrichten die Agentur regelmäß</w:t>
      </w:r>
      <w:r>
        <w:rPr>
          <w:rFonts w:cs="Arial"/>
        </w:rPr>
        <w:t xml:space="preserve">ig über die wichtigsten Bestandteile ihrer </w:t>
      </w:r>
      <w:r>
        <w:t>innerstaatlichen Umweltinformationsnetze. Die Mitgliedstaaten arbeiten in entsprechender Weise mit der Agentur zusammen und beteiligen sich gemäß</w:t>
      </w:r>
      <w:r>
        <w:rPr>
          <w:rFonts w:cs="Arial"/>
        </w:rPr>
        <w:t xml:space="preserve"> dem Arbeitsprogramm der Agentur an den </w:t>
      </w:r>
      <w:r>
        <w:t>Arbeiten des Europä</w:t>
      </w:r>
      <w:r>
        <w:rPr>
          <w:rFonts w:cs="Arial"/>
        </w:rPr>
        <w:t xml:space="preserve">ischen Umweltinformations- und </w:t>
      </w:r>
      <w:r>
        <w:t>Umweltbeobachtungsnetzes, indem sie landesweit Daten sammeln, zusammenfassen und analysieren. Die Mitgliedstaaten kö</w:t>
      </w:r>
      <w:r>
        <w:rPr>
          <w:rFonts w:cs="Arial"/>
        </w:rPr>
        <w:t xml:space="preserve">nnen sich auch </w:t>
      </w:r>
      <w:r>
        <w:t>zusammenschließen, um bei diesen Tä</w:t>
      </w:r>
      <w:r>
        <w:rPr>
          <w:rFonts w:cs="Arial"/>
        </w:rPr>
        <w:t xml:space="preserve">tigkeiten </w:t>
      </w:r>
      <w:r>
        <w:t>grenzü</w:t>
      </w:r>
      <w:r>
        <w:rPr>
          <w:rFonts w:cs="Arial"/>
        </w:rPr>
        <w:t>berschreitend zusammenzuarbeiten.</w:t>
      </w:r>
    </w:p>
    <w:p>
      <w:pPr>
        <w:pStyle w:val="GesAbsatz"/>
      </w:pPr>
      <w:r>
        <w:t>(3) Die Mitgliedstaaten können insbesondere unter den Stellen gemäß Absatz 2 oder sonstigen Einrichtungen in ihrem Hoheitsgebiet eine “innerstaatliche Anlaufstelle” benennen, die mit der Koordinierung und/oder Weitergabe der Informationen beauftragt ist, die auf innerstaatlicher Ebene der Agentur, den dem Netz angeschlossenen Stellen oder sonstigen Einrichtungen, einschließlich der in Absatz 4 genannten themenspezifischen Ansprechstellen, zu übermitteln sind.</w:t>
      </w:r>
    </w:p>
    <w:p>
      <w:pPr>
        <w:pStyle w:val="GesAbsatz"/>
      </w:pPr>
      <w:r>
        <w:t>(4) Die Mitgliedstaaten können ferner innerhalb der in Absatz 2 vorgesehenen Frist festlegen, welche Stellen oder sonstigen Einrichtungen in ihrem Hoheitsgebiet eigens damit betraut werden könnten, mit der Agentur hinsichtlich bestimmter Themen von besonderem Interesse zusammenzuarbeiten. Eine auf diese Weise bestimmte Stelle sollte mit der Agentur eine Vereinbarung darüber treffen können, daß sie als themenspezifische Ansprechstelle des Netzes besondere Aufgaben wahrnimmt. Diese Stellen arbeiten mit anderen an das Netz angeschlossenen Einrichtungen zusammen.</w:t>
      </w:r>
    </w:p>
    <w:p>
      <w:pPr>
        <w:pStyle w:val="GesAbsatz"/>
      </w:pPr>
      <w:r>
        <w:t>(5) Die Agentur bestätigt binnen sechs Monaten nach Erhalt der in Absatz 2 erwähnten Informationen auf der Grundlage eines Beschlusses des Verwaltungsrates und der Vereinbarungen nach Artikel 5 die wichtigsten Bestandteile des Netzes.</w:t>
      </w:r>
    </w:p>
    <w:p>
      <w:pPr>
        <w:pStyle w:val="GesAbsatz"/>
      </w:pPr>
      <w:r>
        <w:t>Die themenspezifischen Ansprechstellen werden vom Verwaltungsrat nach Artikel 8 Absatz 1 fü</w:t>
      </w:r>
      <w:r>
        <w:rPr>
          <w:rFonts w:cs="Arial"/>
        </w:rPr>
        <w:t xml:space="preserve">r </w:t>
      </w:r>
      <w:r>
        <w:t>einen Zeitraum benannt, der nicht lä</w:t>
      </w:r>
      <w:r>
        <w:rPr>
          <w:rFonts w:cs="Arial"/>
        </w:rPr>
        <w:t xml:space="preserve">nger sein darf </w:t>
      </w:r>
      <w:r>
        <w:t>als die Laufzeit des Mehrjahres-Arbeitsprogramms nach Artikel 8 Absatz 4. Diese Benennungen kö</w:t>
      </w:r>
      <w:r>
        <w:rPr>
          <w:rFonts w:cs="Arial"/>
        </w:rPr>
        <w:t>nnen jedoch verlängert werden.</w:t>
      </w:r>
    </w:p>
    <w:p>
      <w:pPr>
        <w:pStyle w:val="GesAbsatz"/>
      </w:pPr>
      <w:r>
        <w:t>(6) Die Zuweisung von besonderen Aufgaben an die themenspezifischen Ansprechstellen muß in dem in Artikel 8 Absatz 4 genannten Mehrjahres-Arbeitsprogramm der Agentur angegeben werden.</w:t>
      </w:r>
    </w:p>
    <w:p>
      <w:pPr>
        <w:pStyle w:val="GesAbsatz"/>
      </w:pPr>
      <w:r>
        <w:t>(7) Die Agentur überprüft insbesondere anhand des Mehrjahres-Arbeitsprogramms in regelmäßigen Abständen die wichtigsten Bestandteile des Netzes gemäß Absatz 2 und nimmt daran die Änderungen vor, die der Verwaltungsrat gegebenenfalls unter Berücksichtigung neuer Mitteilungen seitens der Mitgliedstaaten beschlossen hat.</w:t>
      </w:r>
    </w:p>
    <w:p>
      <w:pPr>
        <w:pStyle w:val="berschrift2"/>
      </w:pPr>
      <w:bookmarkStart w:id="17" w:name="_Toc414168804"/>
      <w:bookmarkStart w:id="18" w:name="_Toc419087052"/>
      <w:bookmarkStart w:id="19" w:name="_Toc113252603"/>
      <w:r>
        <w:lastRenderedPageBreak/>
        <w:t>Artikel 5</w:t>
      </w:r>
      <w:bookmarkEnd w:id="17"/>
      <w:bookmarkEnd w:id="18"/>
      <w:bookmarkEnd w:id="19"/>
    </w:p>
    <w:p>
      <w:pPr>
        <w:pStyle w:val="GesAbsatz"/>
      </w:pPr>
      <w:r>
        <w:t>Die Agentur kann mit den nach Artikel 4 zum Netz gehörenden Stellen oder Einrichtungen Vereinbarungen treffen und insbesondere Verträge schließen, die für die Durchführung der ihnen von ihr übertragenen Aufgaben erforderlich sind. Jeder Mitgliedstaat kann vorsehen, daß im Fall der innerstaatlichen Stellen oder Einrichtungen in seinem Hoheitsgebiet solche Vereinbarungen mit der Agentur im Einvernehmen mit der innerstaatlichen Anlaufstelle zu treffen sind.</w:t>
      </w:r>
    </w:p>
    <w:p>
      <w:pPr>
        <w:pStyle w:val="berschrift2"/>
      </w:pPr>
      <w:bookmarkStart w:id="20" w:name="_Toc414168805"/>
      <w:bookmarkStart w:id="21" w:name="_Toc419087053"/>
      <w:bookmarkStart w:id="22" w:name="_Toc113252604"/>
      <w:r>
        <w:t>Artikel 6</w:t>
      </w:r>
      <w:bookmarkEnd w:id="20"/>
      <w:bookmarkEnd w:id="21"/>
      <w:bookmarkEnd w:id="22"/>
    </w:p>
    <w:p>
      <w:pPr>
        <w:pStyle w:val="GesAbsatz"/>
      </w:pPr>
      <w:r>
        <w:t>(1) Die Verordnung (EG) Nr. 1049/2001 des Europäischen Parlaments und des Rates vom 30. Mai 2001 über den Zugang der Öffentlichkeit zu Dokumenten des Europäischen Parlaments, des Rates und der Kommission</w:t>
      </w:r>
      <w:r>
        <w:rPr>
          <w:rStyle w:val="Funotenzeichen"/>
        </w:rPr>
        <w:footnoteReference w:customMarkFollows="1" w:id="5"/>
        <w:t>*)</w:t>
      </w:r>
      <w:r>
        <w:t xml:space="preserve"> findet Anwendung auf die Dokumente der Agentur.</w:t>
      </w:r>
    </w:p>
    <w:p>
      <w:pPr>
        <w:pStyle w:val="GesAbsatz"/>
      </w:pPr>
      <w:r>
        <w:t>(2) Der Verwaltungsrat erlässt innerhalb von sechs Monaten nach Inkrafttreten der Verordnung (EG) Nr. 1641/2003 des Europäischen Parlaments und des Rates vom 22. Juli 2003 zur Änderung der Verordnung (EWG) Nr. 1210/90 des Rates zur Errichtung einer Europäischen Umweltagentur und eines Europäischen Umweltinformations- und Umweltbeobachtungsnetzes</w:t>
      </w:r>
      <w:r>
        <w:rPr>
          <w:rStyle w:val="Funotenzeichen"/>
        </w:rPr>
        <w:footnoteReference w:customMarkFollows="1" w:id="6"/>
        <w:t>**)</w:t>
      </w:r>
      <w:r>
        <w:t xml:space="preserve"> die praktischen Durchführungsbestimmungen für die Verordnung (EG) Nr. 1049/2001.</w:t>
      </w:r>
    </w:p>
    <w:p>
      <w:pPr>
        <w:pStyle w:val="GesAbsatz"/>
      </w:pPr>
      <w:r>
        <w:t>(3) Gegen die Entscheidungen der Agentur gemäß Artikel 8 der Verordnung (EG) Nr. 1049/2001 kann Beschwerde beim Bürgerbeauftragten oder Klage beim Gerichtshof nach Maßgabe von Artikel 195 bzw. 230 des Vertrags erhoben werden.</w:t>
      </w:r>
    </w:p>
    <w:p>
      <w:pPr>
        <w:pStyle w:val="berschrift2"/>
      </w:pPr>
      <w:bookmarkStart w:id="23" w:name="_Toc414168806"/>
      <w:bookmarkStart w:id="24" w:name="_Toc419087054"/>
      <w:bookmarkStart w:id="25" w:name="_Toc113252605"/>
      <w:r>
        <w:t>Artikel 7</w:t>
      </w:r>
      <w:bookmarkEnd w:id="23"/>
      <w:bookmarkEnd w:id="24"/>
      <w:bookmarkEnd w:id="25"/>
    </w:p>
    <w:p>
      <w:pPr>
        <w:pStyle w:val="GesAbsatz"/>
      </w:pPr>
      <w:r>
        <w:t>Die Agentur besitzt Rechtspersönlichkeit. Sie besitzt in jedem Mitgliedstaat die weitestgehende Rechts- und Geschäftsfähigkeit, die juristischen Personen nach dessen Rechtsvorschriften zuerkannt ist.</w:t>
      </w:r>
    </w:p>
    <w:p>
      <w:pPr>
        <w:pStyle w:val="berschrift2"/>
      </w:pPr>
      <w:bookmarkStart w:id="26" w:name="_Toc414168807"/>
      <w:bookmarkStart w:id="27" w:name="_Toc419087055"/>
      <w:bookmarkStart w:id="28" w:name="_Toc113252606"/>
      <w:r>
        <w:t>Artikel 8</w:t>
      </w:r>
      <w:bookmarkEnd w:id="26"/>
      <w:bookmarkEnd w:id="27"/>
      <w:bookmarkEnd w:id="28"/>
    </w:p>
    <w:p>
      <w:pPr>
        <w:pStyle w:val="GesAbsatz"/>
      </w:pPr>
      <w:r>
        <w:t>(1) Dem Verwaltungsrat der Agentur gehö</w:t>
      </w:r>
      <w:r>
        <w:rPr>
          <w:rFonts w:cs="Arial"/>
        </w:rPr>
        <w:t xml:space="preserve">ren </w:t>
      </w:r>
      <w:r>
        <w:t>je ein Vertreter der Mitgliedstaaten und zwei Vertreter der Kommission an. Außerdem kö</w:t>
      </w:r>
      <w:r>
        <w:rPr>
          <w:rFonts w:cs="Arial"/>
        </w:rPr>
        <w:t xml:space="preserve">nnen </w:t>
      </w:r>
      <w:r>
        <w:t>die anderen an der Agentur beteiligten Lä</w:t>
      </w:r>
      <w:r>
        <w:rPr>
          <w:rFonts w:cs="Arial"/>
        </w:rPr>
        <w:t xml:space="preserve">nder </w:t>
      </w:r>
      <w:r>
        <w:t>nach Maßgabe der einschlä</w:t>
      </w:r>
      <w:r>
        <w:rPr>
          <w:rFonts w:cs="Arial"/>
        </w:rPr>
        <w:t xml:space="preserve">gigen Bestimmungen je </w:t>
      </w:r>
      <w:r>
        <w:t>einen Vertreter in den Verwaltungsrat entsenden.</w:t>
      </w:r>
    </w:p>
    <w:p>
      <w:pPr>
        <w:pStyle w:val="GesAbsatz"/>
      </w:pPr>
      <w:r>
        <w:t>Ferner benennt das Europäische Parlament zwei auf dem Gebiet des Umweltschutzes besonders qualifizierte wissenschaftliche Persönlichkeiten als Mitglieder des Verwaltungsrats, die auf der Grundlage des persönlichen Beitrags, den sie zu den Arbeiten der Agentur leisten können, ausgewählt werden.</w:t>
      </w:r>
    </w:p>
    <w:p>
      <w:pPr>
        <w:pStyle w:val="GesAbsatz"/>
      </w:pPr>
      <w:r>
        <w:t>Jedes Mitglied des Verwaltungsrates kann sich vertreten lassen.</w:t>
      </w:r>
    </w:p>
    <w:p>
      <w:pPr>
        <w:pStyle w:val="GesAbsatz"/>
      </w:pPr>
      <w:r>
        <w:t>(2) Der Verwaltungsrat wählt unter seinen Mitgliedern für den Zeitraum von drei Jahren einen Vorsitzenden und gibt sich eine Geschäftsordnung. Jedes Mitglied des Verwaltungsrates hat eine Stimme.</w:t>
      </w:r>
    </w:p>
    <w:p>
      <w:pPr>
        <w:pStyle w:val="GesAbsatz"/>
      </w:pPr>
      <w:r>
        <w:t>Der Verwaltungsrat wä</w:t>
      </w:r>
      <w:r>
        <w:rPr>
          <w:rFonts w:cs="Arial"/>
        </w:rPr>
        <w:t xml:space="preserve">hlt ein Büro, an das er </w:t>
      </w:r>
      <w:r>
        <w:t>nach den von ihm festzulegenden Regeln bestimmte Durchfü</w:t>
      </w:r>
      <w:r>
        <w:rPr>
          <w:rFonts w:cs="Arial"/>
        </w:rPr>
        <w:t xml:space="preserve">hrungsaufgaben delegieren </w:t>
      </w:r>
      <w:r>
        <w:t>kann.</w:t>
      </w:r>
    </w:p>
    <w:p>
      <w:pPr>
        <w:pStyle w:val="GesAbsatz"/>
      </w:pPr>
      <w:r>
        <w:t>(3) Der Verwaltungsrat faßt seine Beschlü</w:t>
      </w:r>
      <w:r>
        <w:rPr>
          <w:rFonts w:cs="Arial"/>
        </w:rPr>
        <w:t xml:space="preserve">sse </w:t>
      </w:r>
      <w:r>
        <w:t>mit Zweidrittelmehrheit der Mitglieder.</w:t>
      </w:r>
    </w:p>
    <w:p>
      <w:pPr>
        <w:pStyle w:val="GesAbsatz"/>
      </w:pPr>
      <w:r>
        <w:t>(4) Der Verwaltungsrat verabschiedet ein auf den vorrangigen Gebieten gemäß</w:t>
      </w:r>
      <w:r>
        <w:rPr>
          <w:rFonts w:cs="Arial"/>
        </w:rPr>
        <w:t xml:space="preserve"> Artikel 3 Absatz </w:t>
      </w:r>
      <w:r>
        <w:t>2 beruhendes Mehrjahres-Arbeitsprogramm auf der Grundlage eines Entwurfs, der nach Anhö</w:t>
      </w:r>
      <w:r>
        <w:rPr>
          <w:rFonts w:cs="Arial"/>
        </w:rPr>
        <w:t xml:space="preserve">rung </w:t>
      </w:r>
      <w:r>
        <w:t>des in Artikel 10 genannten wissenschaftlichen Beirats und nach Stellungnahme der Kommission von dem in Artikel 9 genannten Exekutivdirektor vorgelegt worden ist. Das Mehrjahres-Arbeitsprogramm enthä</w:t>
      </w:r>
      <w:r>
        <w:rPr>
          <w:rFonts w:cs="Arial"/>
        </w:rPr>
        <w:t xml:space="preserve">lt - unbeschadet des jährlichen </w:t>
      </w:r>
      <w:r>
        <w:t>Haushaltsverfahrens der Gemeinschaft - den Entwurf eines mehrjä</w:t>
      </w:r>
      <w:r>
        <w:rPr>
          <w:rFonts w:cs="Arial"/>
        </w:rPr>
        <w:t>hrigen Haushaltsvorschlags.</w:t>
      </w:r>
    </w:p>
    <w:p>
      <w:pPr>
        <w:pStyle w:val="GesAbsatz"/>
      </w:pPr>
      <w:r>
        <w:t>(5) Der Verwaltungsrat verabschiedet im Rahmen des Mehrjahresprogramms alljährlich das Arbeitsprogramm der Agentur auf der Grundlage eines nach Anhörung des wissenschaftlichen Beirats und nach Stellungnahme der Kommission vom Exekutivdirektor vorgelegten Entwurfs. Dieses Programm kann im Laufe des Jahres nach dem gleichen Verfahren angepaßt werden.</w:t>
      </w:r>
    </w:p>
    <w:p>
      <w:pPr>
        <w:pStyle w:val="GesAbsatz"/>
      </w:pPr>
      <w:r>
        <w:t>(6) Der Verwaltungsrat nimmt den Jahresbericht über die Tätigkeit der Agentur an und übermittelt ihn spätestens am 15. Juni dem Europäischen Parlament, dem Rat, der Kommission, dem Rechnungshof und den Mitgliedstaaten.</w:t>
      </w:r>
    </w:p>
    <w:p>
      <w:pPr>
        <w:pStyle w:val="GesAbsatz"/>
      </w:pPr>
      <w:r>
        <w:t>(7) Die Agentur übermittelt der Haushaltsbehörde jährlich alle einschlägigen Informationen zu den Ergebnissen der Bewertungsverfahren.</w:t>
      </w:r>
    </w:p>
    <w:p>
      <w:pPr>
        <w:pStyle w:val="berschrift2"/>
      </w:pPr>
      <w:bookmarkStart w:id="29" w:name="_Toc414168808"/>
      <w:bookmarkStart w:id="30" w:name="_Toc419087056"/>
      <w:bookmarkStart w:id="31" w:name="_Toc113252607"/>
      <w:r>
        <w:lastRenderedPageBreak/>
        <w:t>Artikel 9</w:t>
      </w:r>
      <w:bookmarkEnd w:id="29"/>
      <w:bookmarkEnd w:id="30"/>
      <w:bookmarkEnd w:id="31"/>
    </w:p>
    <w:p>
      <w:pPr>
        <w:pStyle w:val="GesAbsatz"/>
      </w:pPr>
      <w:r>
        <w:t>(1) Die Agentur wird von einem Exekutivdirektor geleitet, der auf Vorschlag der Kommission vom Verwaltungsrat für fünf Jahre ernannt wird; Wiederernennung ist möglich. Der Exekutivdirektor ist der rechtliche Vertreter der Agentur. Ihm obliegen:</w:t>
      </w:r>
    </w:p>
    <w:p>
      <w:pPr>
        <w:pStyle w:val="GesAbsatz"/>
        <w:ind w:left="426" w:hanging="426"/>
      </w:pPr>
      <w:r>
        <w:t>-</w:t>
      </w:r>
      <w:r>
        <w:tab/>
        <w:t>die sachgerechte Ausarbeitung und Durchführung der vom Verwaltungsrat gefaßten Beschlüsse und angenommenen Programme,</w:t>
      </w:r>
    </w:p>
    <w:p>
      <w:pPr>
        <w:pStyle w:val="GesAbsatz"/>
        <w:ind w:left="426" w:hanging="426"/>
      </w:pPr>
      <w:r>
        <w:t>-</w:t>
      </w:r>
      <w:r>
        <w:tab/>
        <w:t>die laufende Verwaltung der Agentur,</w:t>
      </w:r>
    </w:p>
    <w:p>
      <w:pPr>
        <w:pStyle w:val="GesAbsatz"/>
        <w:ind w:left="426" w:hanging="426"/>
      </w:pPr>
      <w:r>
        <w:t>-</w:t>
      </w:r>
      <w:r>
        <w:tab/>
        <w:t>die Durchführung der in den Artikeln 12 und 13 genannten Aufgaben,</w:t>
      </w:r>
    </w:p>
    <w:p>
      <w:pPr>
        <w:pStyle w:val="GesAbsatz"/>
        <w:ind w:left="426" w:hanging="426"/>
      </w:pPr>
      <w:r>
        <w:t>-</w:t>
      </w:r>
      <w:r>
        <w:tab/>
        <w:t>die Erstellung und Veröffentlichung der in Artikel 2 Ziffer vi) genannten Berichte,</w:t>
      </w:r>
    </w:p>
    <w:p>
      <w:pPr>
        <w:pStyle w:val="GesAbsatz"/>
        <w:ind w:left="426" w:hanging="426"/>
      </w:pPr>
      <w:r>
        <w:t>-</w:t>
      </w:r>
      <w:r>
        <w:tab/>
        <w:t xml:space="preserve">alle Entscheidungen in Personalfragen sowie </w:t>
      </w:r>
    </w:p>
    <w:p>
      <w:pPr>
        <w:pStyle w:val="GesAbsatz"/>
        <w:ind w:left="426" w:hanging="426"/>
      </w:pPr>
      <w:r>
        <w:t>-</w:t>
      </w:r>
      <w:r>
        <w:tab/>
        <w:t>die Durchführung der in Artikel 8 Absätze 4 und 5 genannten Aufgaben.</w:t>
      </w:r>
    </w:p>
    <w:p>
      <w:pPr>
        <w:pStyle w:val="GesAbsatz"/>
      </w:pPr>
      <w:r>
        <w:t>Vor der Einstellung des wissenschaftlichen Personals der Agentur holt er die Stellungnahme des wissenschaftlichen Beirats gemäß Artikel 10 ein.</w:t>
      </w:r>
    </w:p>
    <w:p>
      <w:pPr>
        <w:pStyle w:val="GesAbsatz"/>
      </w:pPr>
      <w:r>
        <w:t>(2) Der Exekutivdirektor legt dem Verwaltungsrat Rechenschaft über seine Tätigkeit ab.</w:t>
      </w:r>
    </w:p>
    <w:p>
      <w:pPr>
        <w:pStyle w:val="berschrift2"/>
      </w:pPr>
      <w:bookmarkStart w:id="32" w:name="_Toc414168809"/>
      <w:bookmarkStart w:id="33" w:name="_Toc419087057"/>
      <w:bookmarkStart w:id="34" w:name="_Toc113252608"/>
      <w:r>
        <w:t>Artikel 10</w:t>
      </w:r>
      <w:bookmarkEnd w:id="32"/>
      <w:bookmarkEnd w:id="33"/>
      <w:bookmarkEnd w:id="34"/>
    </w:p>
    <w:p>
      <w:pPr>
        <w:pStyle w:val="GesAbsatz"/>
      </w:pPr>
      <w:r>
        <w:t>(1) Der Verwaltungsrat und der Exekutivdirektor werden von einem wissenschaftlichen Beirat unterstützt, dem es obliegt, in den in dieser Verordnung vorgesehenen Fällen und zu jeder wissenschaftlichen Frage im Zusammenhang mit den Tätigkeiten der Agentur, die ihm der Verwaltungsrat oder der Exekutivdirektor vorlegt, Stellung zu nehmen.</w:t>
      </w:r>
    </w:p>
    <w:p>
      <w:pPr>
        <w:pStyle w:val="GesAbsatz"/>
      </w:pPr>
      <w:r>
        <w:t>Die Stellungnahmen des wissenschaftlichen Beirates werden veröffentlicht.</w:t>
      </w:r>
    </w:p>
    <w:p>
      <w:pPr>
        <w:pStyle w:val="GesAbsatz"/>
      </w:pPr>
      <w:r>
        <w:t>(2) Der wissenschaftliche Beirat besteht aus im Umweltbereich besonders qualifizierten Mitgliedern, die vom Verwaltungsrat für einen Zeitraum von vier Jahren ernannt werden; einmalige Wiederernennung ist zulässig. Bei der Ernennung werden unter anderem die wissenschaftlichen Bereiche berücksichtigt, die im Beirat abgedeckt sein müssen, damit die Agentur in ihren Tätigkeitsbereichen unterstützt werden kann. Die in Artikel 8 Absatz 2 genannte Geschäftsordnung gilt auch für den Beirat.</w:t>
      </w:r>
    </w:p>
    <w:p>
      <w:pPr>
        <w:pStyle w:val="berschrift2"/>
      </w:pPr>
      <w:bookmarkStart w:id="35" w:name="_Toc414168810"/>
      <w:bookmarkStart w:id="36" w:name="_Toc419087058"/>
      <w:bookmarkStart w:id="37" w:name="_Toc113252609"/>
      <w:r>
        <w:t>Artikel 11</w:t>
      </w:r>
      <w:bookmarkEnd w:id="35"/>
      <w:bookmarkEnd w:id="36"/>
      <w:bookmarkEnd w:id="37"/>
    </w:p>
    <w:p>
      <w:pPr>
        <w:pStyle w:val="GesAbsatz"/>
      </w:pPr>
      <w:r>
        <w:t>(1) Sämtliche Einnahmen und Ausgaben der Agentur werden für jedes Haushaltsjahr, das dem Kalenderjahr entsprechen muß, veranschlagt und im Haushaltsplan der Agentur eingesetzt.</w:t>
      </w:r>
    </w:p>
    <w:p>
      <w:pPr>
        <w:pStyle w:val="GesAbsatz"/>
      </w:pPr>
      <w:r>
        <w:t>(2) Der Haushaltsplan ist in Einnahmen und Ausgaben auszugleichen.</w:t>
      </w:r>
    </w:p>
    <w:p>
      <w:pPr>
        <w:pStyle w:val="GesAbsatz"/>
      </w:pPr>
      <w:r>
        <w:t>(3) Die Einnahmen der Agentur umfassen unbeschadet anderer Einkünfte einen im Gesamthaushaltsplan der Europäischen Gemeinschaften veranschlagten Zuschuß der Gemeinschaft sowie Zahlungen für geleistete Dienste.</w:t>
      </w:r>
    </w:p>
    <w:p>
      <w:pPr>
        <w:pStyle w:val="GesAbsatz"/>
      </w:pPr>
      <w:r>
        <w:t>(4) Die Ausgaben der Agentur umfassen insbesondere die Personal-, Verwaltungs-, Infrastruktur- und Betriebsaufwendungen sowie die Aufwendungen im Zusammenhang mit Verträgen, die mit an das Netz angeschlossenen Stellen oder Einrichtungen sowie mit Dritten geschlossen wurden.</w:t>
      </w:r>
    </w:p>
    <w:p>
      <w:pPr>
        <w:pStyle w:val="berschrift2"/>
      </w:pPr>
      <w:bookmarkStart w:id="38" w:name="_Toc414168811"/>
      <w:bookmarkStart w:id="39" w:name="_Toc419087059"/>
      <w:bookmarkStart w:id="40" w:name="_Toc113252610"/>
      <w:r>
        <w:t>Artikel 12</w:t>
      </w:r>
      <w:bookmarkEnd w:id="38"/>
      <w:bookmarkEnd w:id="39"/>
      <w:bookmarkEnd w:id="40"/>
    </w:p>
    <w:p>
      <w:pPr>
        <w:pStyle w:val="GesAbsatz"/>
      </w:pPr>
      <w:r>
        <w:t>(1) Auf der Grundlage eines Entwurfs des Exekutivdirektors stellt der Verwaltungsrat jedes Jahr den Voranschlag der Einnahmen und Ausgaben der Agentur für das folgende Haushaltsjahr auf. Dieser Voranschlag umfasst auch einen vorläufigen Stellenplan und wird der Kommission spätestens am 31. März durch den Verwaltungsrat zugeleitet.</w:t>
      </w:r>
    </w:p>
    <w:p>
      <w:pPr>
        <w:pStyle w:val="GesAbsatz"/>
      </w:pPr>
      <w:r>
        <w:t>(2) Die Kommission übermittelt den Voranschlag zusammen mit dem Vorentwurf des Gesamthaushaltsplans der Europäischen Union dem Europäischen Parlament und dem Rat (nachstehend ‚Haushaltsbehörde‘ genannt).</w:t>
      </w:r>
    </w:p>
    <w:p>
      <w:pPr>
        <w:pStyle w:val="GesAbsatz"/>
      </w:pPr>
      <w:r>
        <w:t>(3) Die Kommission setzt auf der Grundlage des Voranschlags die von ihr für erforderlich erachteten Mittelansätze für den Stellenplan und den Betrag des Zuschusses aus dem Gesamthaushaltsplan in den Vorentwurf des Gesamthaushaltsplans der Europäischen Union ein, den sie gemäß Artikel 272 des Vertrags der Haushaltsbehörde vorlegt.</w:t>
      </w:r>
    </w:p>
    <w:p>
      <w:pPr>
        <w:pStyle w:val="GesAbsatz"/>
      </w:pPr>
      <w:r>
        <w:t>(4) Die Haushaltsbehörde bewilligt die Mittel für den Zuschuss für die Agentur. Die Haushaltsbehörde stellt den Stellenplan der Agentur fest.</w:t>
      </w:r>
    </w:p>
    <w:p>
      <w:pPr>
        <w:pStyle w:val="GesAbsatz"/>
      </w:pPr>
      <w:r>
        <w:lastRenderedPageBreak/>
        <w:t>(5) Der Haushaltsplan wird vom Verwaltungsrat festgestellt. Er wird endgültig, wenn der Gesamthaushaltsplan der Europäischen Union endgültig festgestellt ist. Er wird gegebenenfalls entsprechend angepasst.</w:t>
      </w:r>
    </w:p>
    <w:p>
      <w:pPr>
        <w:pStyle w:val="GesAbsatz"/>
      </w:pPr>
      <w:r>
        <w:t>(6) Der Verwaltungsrat unterrichtet die Haushaltsbehörde schnellstmöglich über alle von ihm geplanten Vorhaben, die erhebliche finanzielle Auswirkungen auf die Finanzierung des Haushaltsplans haben könnten, was insbesondere für Immobilienvorhaben wie die Anmietung oder den Erwerb von Gebäuden gilt. Er setzt die Kommission von diesen Vorhaben in Kenntnis.</w:t>
      </w:r>
    </w:p>
    <w:p>
      <w:pPr>
        <w:pStyle w:val="GesAbsatz"/>
      </w:pPr>
      <w:r>
        <w:t>Hat ein Teil der Haushaltsbehörde mitgeteilt, dass er eine Stellungnahme abgeben will, übermittelt er diese Stellungnahme dem Verwaltungsrat innerhalb von sechs Wochen nach der Unterrichtung über das Vorhaben.</w:t>
      </w:r>
    </w:p>
    <w:p>
      <w:pPr>
        <w:pStyle w:val="berschrift2"/>
      </w:pPr>
      <w:bookmarkStart w:id="41" w:name="_Toc414168812"/>
      <w:bookmarkStart w:id="42" w:name="_Toc419087060"/>
      <w:bookmarkStart w:id="43" w:name="_Toc113252611"/>
      <w:r>
        <w:t>Artikel 13</w:t>
      </w:r>
      <w:bookmarkEnd w:id="41"/>
      <w:bookmarkEnd w:id="42"/>
      <w:bookmarkEnd w:id="43"/>
    </w:p>
    <w:p>
      <w:pPr>
        <w:pStyle w:val="GesAbsatz"/>
      </w:pPr>
      <w:r>
        <w:t>(1) Der Exekutivdirektor führt den Haushaltsplan der Agentur aus.</w:t>
      </w:r>
    </w:p>
    <w:p>
      <w:pPr>
        <w:pStyle w:val="GesAbsatz"/>
      </w:pPr>
      <w:r>
        <w:t>(2) Spätestens zum 1. März nach dem Ende des Haushaltsjahrs übermittelt der Rechnungsführer der Agentur dem Rechnungsführer der Kommission die vorläufigen Rechnungen zusammen mit dem Bericht über die Haushaltsführung und das Finanzmanagement für das abgeschlossene Haushaltsjahr. Der Rechnungsführer der Kommission konsolidiert die vorläufigen Rechnungen der Organe und dezentralisierten Einrichtungen gemäß Artikel 128 der Haushaltsordnung.</w:t>
      </w:r>
    </w:p>
    <w:p>
      <w:pPr>
        <w:pStyle w:val="GesAbsatz"/>
      </w:pPr>
      <w:r>
        <w:t>(3) Spätestens am 31. März nach dem Ende des Haushaltsjahrs übermittelt der Rechnungsführer der Kommission dem Rechnungshof die vorläufigen Rechnungen der Agentur zusammen mit dem Bericht über die Haushaltsführung und das Finanzmanagement für das abgeschlossene Haushaltsjahr. Dieser Bericht geht auch dem Europäischen Parlament und dem Rat zu.</w:t>
      </w:r>
    </w:p>
    <w:p>
      <w:pPr>
        <w:pStyle w:val="GesAbsatz"/>
      </w:pPr>
      <w:r>
        <w:t>(4) Nach Eingang der Bemerkungen des Rechnungshofes zu den vorläufigen Rechnungen der Agentur gemäß Artikel 129 der Haushaltsordnung stellt der Exekutivdirektor in eigener Verantwortung die endgültigen Jahresabschlüsse der Agentur auf und legt sie dem Verwaltungsrat zur Stellungnahme vor.</w:t>
      </w:r>
    </w:p>
    <w:p>
      <w:pPr>
        <w:pStyle w:val="GesAbsatz"/>
      </w:pPr>
      <w:r>
        <w:t>(5) Der Verwaltungsrat gibt eine Stellungnahme zu den endgültigen Jahresabschlüssen der Agentur ab.</w:t>
      </w:r>
    </w:p>
    <w:p>
      <w:pPr>
        <w:pStyle w:val="GesAbsatz"/>
      </w:pPr>
      <w:r>
        <w:t>(6) Der Exekutivdirektor leitet diese endgültigen Jahresabschlüsse zusammen mit der Stellungnahme des Verwaltungsrats spätestens am 1. Juli nach dem Ende des Haushaltsjahrs dem Europäischen Parlament, dem Rat, der Kommission und dem Rechnungshof zu.</w:t>
      </w:r>
    </w:p>
    <w:p>
      <w:pPr>
        <w:pStyle w:val="GesAbsatz"/>
      </w:pPr>
      <w:r>
        <w:t>(7) Die endgültigen Jahresabschlüsse werden veröffentlicht.</w:t>
      </w:r>
    </w:p>
    <w:p>
      <w:pPr>
        <w:pStyle w:val="GesAbsatz"/>
      </w:pPr>
      <w:r>
        <w:t>(8) Der Exekutivdirektor übermittelt dem Rechnungshof spätestens am 30. September eine Antwort auf seine Bemerkungen. Diese Antwort geht auch dem Verwaltungsrat zu.</w:t>
      </w:r>
    </w:p>
    <w:p>
      <w:pPr>
        <w:pStyle w:val="GesAbsatz"/>
      </w:pPr>
      <w:r>
        <w:t>(9) Der Exekutivdirektor unterbreitet dem Europäischen Parlament auf dessen Anfrage hin gemäß Artikel 146 Absatz 3 der Haushaltsordnung alle Informationen, die für die ordnungsgemäße Abwicklung des Entlastungsverfahrens für das betreffende Haushaltsjahr erforderlich sind.</w:t>
      </w:r>
    </w:p>
    <w:p>
      <w:pPr>
        <w:pStyle w:val="GesAbsatz"/>
      </w:pPr>
      <w:r>
        <w:t>(10) Auf Empfehlung des Rates, der mit qualifizierter Mehrheit beschließt, erteilt das Europäische Parlament dem Exekutivdirektor vor dem 30. April des Jahres n + 2 Entlastung zur Ausführung des Haushaltsplans für das Jahr n.</w:t>
      </w:r>
    </w:p>
    <w:p>
      <w:pPr>
        <w:pStyle w:val="berschrift2"/>
      </w:pPr>
      <w:bookmarkStart w:id="44" w:name="_Toc414168813"/>
      <w:bookmarkStart w:id="45" w:name="_Toc419087061"/>
      <w:bookmarkStart w:id="46" w:name="_Toc113252612"/>
      <w:r>
        <w:t>Artikel 14</w:t>
      </w:r>
      <w:bookmarkEnd w:id="44"/>
      <w:bookmarkEnd w:id="45"/>
      <w:bookmarkEnd w:id="46"/>
    </w:p>
    <w:p>
      <w:pPr>
        <w:pStyle w:val="GesAbsatz"/>
      </w:pPr>
      <w:r>
        <w:t>Der Verwaltungsrat erlässt nach Konsultation der Kommission die für die Agentur geltende Finanzregelung. Diese darf von der Verordnung (EG, Euratom) Nr. 2343/2002 der Kommission vom 19. November 2002 betreffend die Rahmenfinanzregelung für Einrichtungen gemäß Artikel 185 der Verordnung (EG, Euratom) Nr. 1605/2002 des Rates über die Haushaltsordnung für den Gesamthaushaltsplan der Europäischen Gemeinschaften</w:t>
      </w:r>
      <w:r>
        <w:rPr>
          <w:rStyle w:val="Funotenzeichen"/>
        </w:rPr>
        <w:footnoteReference w:customMarkFollows="1" w:id="7"/>
        <w:t>***)</w:t>
      </w:r>
      <w:r>
        <w:t xml:space="preserve"> nur abweichen, wenn besondere Merkmale der Funktionsweise der Agentur es erfordern und nachdem die Kommission dem zugestimmt hat.</w:t>
      </w:r>
    </w:p>
    <w:p>
      <w:pPr>
        <w:pStyle w:val="berschrift2"/>
      </w:pPr>
      <w:bookmarkStart w:id="47" w:name="_Toc414168814"/>
      <w:bookmarkStart w:id="48" w:name="_Toc419087062"/>
      <w:bookmarkStart w:id="49" w:name="_Toc113252613"/>
      <w:r>
        <w:t>Artikel 15</w:t>
      </w:r>
      <w:bookmarkEnd w:id="47"/>
      <w:bookmarkEnd w:id="48"/>
      <w:bookmarkEnd w:id="49"/>
    </w:p>
    <w:p>
      <w:pPr>
        <w:pStyle w:val="GesAbsatz"/>
      </w:pPr>
      <w:r>
        <w:t>(1) Die Agentur arbeitet aktiv mit sonstigen Stellen und Programmen der Gemeinschaft zusammen, insbesondere mit der Gemeinsamen Forschungsstelle, dem Statistischen Amt und den Umweltforschungs- und Entwicklungsprogrammen der Europäischen Gemeinschaften.</w:t>
      </w:r>
    </w:p>
    <w:p>
      <w:pPr>
        <w:pStyle w:val="GesAbsatz"/>
      </w:pPr>
      <w:r>
        <w:t>Insbesondere soll</w:t>
      </w:r>
    </w:p>
    <w:p>
      <w:pPr>
        <w:pStyle w:val="GesAbsatz"/>
        <w:ind w:left="426" w:hanging="426"/>
      </w:pPr>
      <w:r>
        <w:t>-</w:t>
      </w:r>
      <w:r>
        <w:tab/>
        <w:t>die Zusammenarbeit mit der Gemeinsamen Forschungssstelle die unter Buchstabe A des Anhangs genannten Aufgaben umfassen;</w:t>
      </w:r>
    </w:p>
    <w:p>
      <w:pPr>
        <w:pStyle w:val="GesAbsatz"/>
        <w:ind w:left="426" w:hanging="426"/>
      </w:pPr>
      <w:r>
        <w:lastRenderedPageBreak/>
        <w:t>-</w:t>
      </w:r>
      <w:r>
        <w:tab/>
        <w:t>die Koordinierung mit dem Statistischen Amt der Europäischen Gemeinschaften (EUROSTAT) und dem Statistischen Programm der Europäischen Gemeinschaften nach den Leitlinien gemäß Buchstabe B des Anhangs erfolgen.</w:t>
      </w:r>
    </w:p>
    <w:p>
      <w:pPr>
        <w:pStyle w:val="GesAbsatz"/>
      </w:pPr>
      <w:r>
        <w:t>(2) Die Agentur arbeitet ferner aktiv mit anderen Stellen wie der Europäischen Weltraumorganisation, der Organisation für wirtschaftliche Zusammenarbeit und Entwicklung (OECD), dem Europarat, der Internationalen Energieagentur sowie den Vereinten Nationen und ihren Fachorganisationen, insbesondere dem Umweltprogramm der Vereinten Nationen (UNEP), der Weltorganisation für Meteorologie und der Internationalen Atomenergie-Organisation (IAEO) zusammen.</w:t>
      </w:r>
    </w:p>
    <w:p>
      <w:pPr>
        <w:pStyle w:val="GesAbsatz"/>
      </w:pPr>
      <w:r>
        <w:t>(2a) In Bereichen von gemeinsamem Interesse kann die Agentur mit Einrichtungen in Lä</w:t>
      </w:r>
      <w:r>
        <w:rPr>
          <w:rFonts w:cs="Arial"/>
        </w:rPr>
        <w:t xml:space="preserve">ndern </w:t>
      </w:r>
      <w:r>
        <w:t>zusammenarbeiten, die nicht Mitglied der Europäischen Gemeinschaften sind und die Daten, Informationen und Sachkenntnisse sowie Verfahren fü</w:t>
      </w:r>
      <w:r>
        <w:rPr>
          <w:rFonts w:cs="Arial"/>
        </w:rPr>
        <w:t xml:space="preserve">r </w:t>
      </w:r>
      <w:r>
        <w:t>die Sammlung Analyse und Bewertung von Daten von gemeinsamem Interesse anbieten kö</w:t>
      </w:r>
      <w:r>
        <w:rPr>
          <w:rFonts w:cs="Arial"/>
        </w:rPr>
        <w:t xml:space="preserve">nnen, die </w:t>
      </w:r>
      <w:r>
        <w:t>fü</w:t>
      </w:r>
      <w:r>
        <w:rPr>
          <w:rFonts w:cs="Arial"/>
        </w:rPr>
        <w:t xml:space="preserve">r die erfolgreiche Durchführung der Arbeiten </w:t>
      </w:r>
      <w:r>
        <w:t>der Agentur erforderlich sind.</w:t>
      </w:r>
    </w:p>
    <w:p>
      <w:pPr>
        <w:pStyle w:val="GesAbsatz"/>
      </w:pPr>
      <w:r>
        <w:t>(3) Bei der Zusammenarbeit gemäß</w:t>
      </w:r>
      <w:r>
        <w:rPr>
          <w:rFonts w:cs="Arial"/>
        </w:rPr>
        <w:t xml:space="preserve"> den </w:t>
      </w:r>
      <w:r>
        <w:t>Absä</w:t>
      </w:r>
      <w:r>
        <w:rPr>
          <w:rFonts w:cs="Arial"/>
        </w:rPr>
        <w:t xml:space="preserve">tzen 1, 2 und 2a ist insbesondere zu berücksichtigen, </w:t>
      </w:r>
      <w:r>
        <w:t>daß jegliche Doppelarbeit vermieden werden muß.</w:t>
      </w:r>
    </w:p>
    <w:p>
      <w:pPr>
        <w:pStyle w:val="berschrift2"/>
      </w:pPr>
      <w:bookmarkStart w:id="50" w:name="_Toc414168815"/>
      <w:bookmarkStart w:id="51" w:name="_Toc419087063"/>
      <w:bookmarkStart w:id="52" w:name="_Toc113252614"/>
      <w:r>
        <w:t>Artikel 16</w:t>
      </w:r>
      <w:bookmarkEnd w:id="50"/>
      <w:bookmarkEnd w:id="51"/>
      <w:bookmarkEnd w:id="52"/>
    </w:p>
    <w:p>
      <w:pPr>
        <w:pStyle w:val="GesAbsatz"/>
      </w:pPr>
      <w:r>
        <w:t>Das Protokoll über die Vorrechte und Befreiungen der Europäischen Gemeinschaften gilt auch für die Agentur.</w:t>
      </w:r>
    </w:p>
    <w:p>
      <w:pPr>
        <w:pStyle w:val="berschrift2"/>
      </w:pPr>
      <w:bookmarkStart w:id="53" w:name="_Toc414168816"/>
      <w:bookmarkStart w:id="54" w:name="_Toc419087064"/>
      <w:bookmarkStart w:id="55" w:name="_Toc113252615"/>
      <w:r>
        <w:t>Artikel 17</w:t>
      </w:r>
      <w:bookmarkEnd w:id="53"/>
      <w:bookmarkEnd w:id="54"/>
      <w:bookmarkEnd w:id="55"/>
    </w:p>
    <w:p>
      <w:pPr>
        <w:pStyle w:val="GesAbsatz"/>
      </w:pPr>
      <w:r>
        <w:t>Das Personal der Agentur unterliegt den Verordnungen und Regelungen für die Beamten und sonstigen Bediensteten bei den Europäischen Gemeinschaften.</w:t>
      </w:r>
    </w:p>
    <w:p>
      <w:pPr>
        <w:pStyle w:val="GesAbsatz"/>
      </w:pPr>
      <w:r>
        <w:t>Die Agentur übt gegenüber ihrem Personal die der Anstellungsbehörde übertragenen Befugnisse aus.</w:t>
      </w:r>
    </w:p>
    <w:p>
      <w:pPr>
        <w:pStyle w:val="GesAbsatz"/>
      </w:pPr>
      <w:r>
        <w:t>Der Verwaltungsrat erläßt im Einvernehmen mit der Kommission die erforderlichen Durchführungsbestimmungen.</w:t>
      </w:r>
    </w:p>
    <w:p>
      <w:pPr>
        <w:pStyle w:val="berschrift2"/>
      </w:pPr>
      <w:bookmarkStart w:id="56" w:name="_Toc414168817"/>
      <w:bookmarkStart w:id="57" w:name="_Toc419087065"/>
      <w:bookmarkStart w:id="58" w:name="_Toc113252616"/>
      <w:r>
        <w:t>Artikel 18</w:t>
      </w:r>
      <w:bookmarkEnd w:id="56"/>
      <w:bookmarkEnd w:id="57"/>
      <w:bookmarkEnd w:id="58"/>
    </w:p>
    <w:p>
      <w:pPr>
        <w:pStyle w:val="GesAbsatz"/>
      </w:pPr>
      <w:r>
        <w:t>(1) Die vertragliche Haftung der Agentur bestimmt sich nach dem Recht, das auf den betreffenden Vertrag anzuwenden ist. In Streitfällen entscheidet der Gerichtshof der Europäischen Gemeinschaften aufgrund der Schiedsklausel, die in den von der Agentur geschlossenen Verträgen enthalten ist.</w:t>
      </w:r>
    </w:p>
    <w:p>
      <w:pPr>
        <w:pStyle w:val="GesAbsatz"/>
      </w:pPr>
      <w:r>
        <w:t>(2) Im Bereich der außervertraglichen Haftung ersetzt die Agentur den von ihr oder ihren Bediensteten in Ausübung ihrer Amtstätigkeit verursachten Schaden nach den allgemeinen Rechtsgrundsätzen, die den Rechtsordnungen der Mitgliedstaaten gemeinsam sind. Der Gerichtshof entscheidet in allen Streitsachen über die Höhe solcher Ersatzansprüche.</w:t>
      </w:r>
    </w:p>
    <w:p>
      <w:pPr>
        <w:pStyle w:val="GesAbsatz"/>
      </w:pPr>
      <w:r>
        <w:t>(3) Die persönliche Haftung der Bediensteten gegenüber der Agentur bestimmt sich nach den für das Personal der Agentur geltenden Vorschriften.</w:t>
      </w:r>
    </w:p>
    <w:p>
      <w:pPr>
        <w:pStyle w:val="berschrift2"/>
      </w:pPr>
      <w:bookmarkStart w:id="59" w:name="_Toc414168818"/>
      <w:bookmarkStart w:id="60" w:name="_Toc419087066"/>
      <w:bookmarkStart w:id="61" w:name="_Toc113252617"/>
      <w:r>
        <w:t>Artikel 19</w:t>
      </w:r>
      <w:bookmarkEnd w:id="59"/>
      <w:bookmarkEnd w:id="60"/>
      <w:bookmarkEnd w:id="61"/>
    </w:p>
    <w:p>
      <w:pPr>
        <w:pStyle w:val="GesAbsatz"/>
      </w:pPr>
      <w:r>
        <w:t>Die Agentur steht Nichtmitgliedern der Europäischen Gemeinschaften, die mit diesen und den Mitgliedstaaten ein gemeinsames Interesse an der Verwirklichung der Ziele der Agentur haben, aufgrund von Abkommen, die sie nach dem Verfahren des Artikels 228 des Vertrages mit der Gemeinschaft geschlossen haben, offen.</w:t>
      </w:r>
    </w:p>
    <w:p>
      <w:pPr>
        <w:pStyle w:val="berschrift2"/>
      </w:pPr>
      <w:bookmarkStart w:id="62" w:name="_Toc414168819"/>
      <w:bookmarkStart w:id="63" w:name="_Toc419087067"/>
      <w:bookmarkStart w:id="64" w:name="_Toc113252618"/>
      <w:r>
        <w:t>Artikel 20</w:t>
      </w:r>
      <w:bookmarkEnd w:id="62"/>
      <w:bookmarkEnd w:id="63"/>
      <w:bookmarkEnd w:id="64"/>
    </w:p>
    <w:p>
      <w:pPr>
        <w:pStyle w:val="GesAbsatz"/>
      </w:pPr>
      <w:r>
        <w:t>(1) Die Agentur fü</w:t>
      </w:r>
      <w:r>
        <w:rPr>
          <w:rFonts w:cs="Arial"/>
        </w:rPr>
        <w:t xml:space="preserve">hrt vor dem 15. September </w:t>
      </w:r>
      <w:r>
        <w:t>1999 eine Bewertung ihrer Leistungen und ihrer Effizienz durch und legt dem Verwaltungsrat, der Kommission, dem Rat und dem Europä</w:t>
      </w:r>
      <w:r>
        <w:rPr>
          <w:rFonts w:cs="Arial"/>
        </w:rPr>
        <w:t xml:space="preserve">ischen Parlament </w:t>
      </w:r>
      <w:r>
        <w:t>einen Bericht vor.</w:t>
      </w:r>
    </w:p>
    <w:p>
      <w:pPr>
        <w:pStyle w:val="GesAbsatz"/>
      </w:pPr>
      <w:r>
        <w:t>(2) Der Rat ü</w:t>
      </w:r>
      <w:r>
        <w:rPr>
          <w:rFonts w:cs="Arial"/>
        </w:rPr>
        <w:t xml:space="preserve">berprüft spätestens </w:t>
      </w:r>
      <w:r>
        <w:t>bis zum 31. Dezember 2003 anhand eines Berichts der Kommission und im Zusammenhang mit der Gesamtpolitik der Gemeinschaft auf dem Gebiet der Umwelt den Stand der Arbeiten der Agentur und die von ihr ausgefü</w:t>
      </w:r>
      <w:r>
        <w:rPr>
          <w:rFonts w:cs="Arial"/>
        </w:rPr>
        <w:t>hrten Aufgaben.</w:t>
      </w:r>
    </w:p>
    <w:p>
      <w:pPr>
        <w:pStyle w:val="berschrift2"/>
      </w:pPr>
      <w:bookmarkStart w:id="65" w:name="_Toc414168820"/>
      <w:bookmarkStart w:id="66" w:name="_Toc419087068"/>
      <w:bookmarkStart w:id="67" w:name="_Toc113252619"/>
      <w:r>
        <w:t>Artikel 21</w:t>
      </w:r>
      <w:bookmarkEnd w:id="65"/>
      <w:bookmarkEnd w:id="66"/>
      <w:bookmarkEnd w:id="67"/>
    </w:p>
    <w:p>
      <w:pPr>
        <w:pStyle w:val="GesAbsatz"/>
      </w:pPr>
      <w:r>
        <w:t>Diese Verordnung tritt am Tag nach der Entscheidung der zuständigen Stellen über den Sitz der Agentur in Kraft</w:t>
      </w:r>
      <w:r>
        <w:rPr>
          <w:rStyle w:val="Funotenzeichen"/>
        </w:rPr>
        <w:footnoteReference w:customMarkFollows="1" w:id="8"/>
        <w:t>(1)</w:t>
      </w:r>
      <w:r>
        <w:t xml:space="preserve"> .</w:t>
      </w:r>
    </w:p>
    <w:p>
      <w:pPr>
        <w:pStyle w:val="GesAbsatz"/>
      </w:pPr>
      <w:r>
        <w:lastRenderedPageBreak/>
        <w:t>Diese Verordnung ist in allen ihren Teilen verbindlich und gilt unmittelbar in jedem Mitgliedstaat.</w:t>
      </w:r>
    </w:p>
    <w:p>
      <w:pPr>
        <w:pStyle w:val="berschrift2"/>
        <w:jc w:val="left"/>
      </w:pPr>
      <w:bookmarkStart w:id="68" w:name="_Toc414168821"/>
      <w:bookmarkStart w:id="69" w:name="_Toc419087069"/>
      <w:bookmarkStart w:id="70" w:name="_Toc113252620"/>
      <w:r>
        <w:t>ANHANG</w:t>
      </w:r>
      <w:bookmarkEnd w:id="68"/>
      <w:bookmarkEnd w:id="69"/>
      <w:bookmarkEnd w:id="70"/>
    </w:p>
    <w:p>
      <w:pPr>
        <w:pStyle w:val="GesAbsatz"/>
        <w:rPr>
          <w:b/>
        </w:rPr>
      </w:pPr>
      <w:r>
        <w:rPr>
          <w:b/>
        </w:rPr>
        <w:t>A. Zusammenarbeit mit der Gemeinsamen Forschungsstelle</w:t>
      </w:r>
    </w:p>
    <w:p>
      <w:pPr>
        <w:pStyle w:val="GesAbsatz"/>
      </w:pPr>
      <w:r>
        <w:t>-</w:t>
      </w:r>
      <w:r>
        <w:tab/>
        <w:t>Harmonisierung der Methoden zur Messung der Umweltparameter</w:t>
      </w:r>
      <w:r>
        <w:rPr>
          <w:rStyle w:val="Funotenzeichen"/>
        </w:rPr>
        <w:footnoteReference w:customMarkFollows="1" w:id="9"/>
        <w:t>(1)</w:t>
      </w:r>
      <w:r>
        <w:t>,</w:t>
      </w:r>
    </w:p>
    <w:p>
      <w:pPr>
        <w:pStyle w:val="GesAbsatz"/>
      </w:pPr>
      <w:r>
        <w:t>-</w:t>
      </w:r>
      <w:r>
        <w:tab/>
        <w:t>gegenseitige Abstimmung der Meßinstrumente</w:t>
      </w:r>
      <w:r>
        <w:rPr>
          <w:vertAlign w:val="superscript"/>
        </w:rPr>
        <w:t>(1)</w:t>
      </w:r>
      <w:r>
        <w:t>,</w:t>
      </w:r>
    </w:p>
    <w:p>
      <w:pPr>
        <w:pStyle w:val="GesAbsatz"/>
      </w:pPr>
      <w:r>
        <w:t>-</w:t>
      </w:r>
      <w:r>
        <w:tab/>
        <w:t>Normung der Datenformate,</w:t>
      </w:r>
    </w:p>
    <w:p>
      <w:pPr>
        <w:pStyle w:val="GesAbsatz"/>
      </w:pPr>
      <w:r>
        <w:t>-</w:t>
      </w:r>
      <w:r>
        <w:tab/>
        <w:t>Entwicklung neuer Methoden und neuer Instrumente zur Messung der Umweltparameter,</w:t>
      </w:r>
    </w:p>
    <w:p>
      <w:pPr>
        <w:pStyle w:val="GesAbsatz"/>
        <w:ind w:left="426" w:hanging="426"/>
      </w:pPr>
      <w:r>
        <w:t>-</w:t>
      </w:r>
      <w:r>
        <w:tab/>
        <w:t>sonstige Aufgaben gemäß Übereinkunft zwischen dem Exekutivdirektor der Agentur und dem Generaldirektor der Gemeinsamen Forschungsstelle.</w:t>
      </w:r>
    </w:p>
    <w:p>
      <w:pPr>
        <w:pStyle w:val="GesAbsatz"/>
        <w:rPr>
          <w:b/>
        </w:rPr>
      </w:pPr>
      <w:r>
        <w:rPr>
          <w:b/>
        </w:rPr>
        <w:t>B. Zusammenarbeit mit EUROSTAT</w:t>
      </w:r>
    </w:p>
    <w:p>
      <w:pPr>
        <w:pStyle w:val="GesAbsatz"/>
        <w:ind w:left="426" w:hanging="426"/>
      </w:pPr>
      <w:r>
        <w:t>1.</w:t>
      </w:r>
      <w:r>
        <w:tab/>
        <w:t>Die Agentur nutzt soweit wie mö</w:t>
      </w:r>
      <w:r>
        <w:rPr>
          <w:rFonts w:cs="Arial"/>
        </w:rPr>
        <w:t xml:space="preserve">glich Informationen, </w:t>
      </w:r>
      <w:r>
        <w:t>die im Rahmen der offiziellen statistischen Dienste der Gemeinschaft gesammelt werden. Grundlage dieses Systems sind die Arbeiten von Eurostat und der einzelstaatlichen statistischen Dienste im Zusammenhang mit der Sammlung, Validierung und Verbreitung von Gesellschafts- und Wirtschaftsstatistiken, einschließlich volkswirtschaftlicher Gesamtrechnungen und damit zusammenhä</w:t>
      </w:r>
      <w:r>
        <w:rPr>
          <w:rFonts w:cs="Arial"/>
        </w:rPr>
        <w:t xml:space="preserve">ngender Informationen. </w:t>
      </w:r>
      <w:r>
        <w:t>Die Agentur wird insbesondere die Arbeiten von Eurostat und der einzelstaatlichen statistischen Ä</w:t>
      </w:r>
      <w:r>
        <w:rPr>
          <w:rFonts w:cs="Arial"/>
        </w:rPr>
        <w:t xml:space="preserve">mter im Rahmen der Entscheidung </w:t>
      </w:r>
      <w:r>
        <w:t>94/808/EWG</w:t>
      </w:r>
      <w:r>
        <w:rPr>
          <w:rStyle w:val="Funotenzeichen"/>
        </w:rPr>
        <w:footnoteReference w:id="10"/>
      </w:r>
      <w:r>
        <w:t xml:space="preserve"> ü</w:t>
      </w:r>
      <w:r>
        <w:rPr>
          <w:rFonts w:cs="Arial"/>
        </w:rPr>
        <w:t xml:space="preserve">ber a) Umweltbelastungen, die </w:t>
      </w:r>
      <w:r>
        <w:t>durch Tä</w:t>
      </w:r>
      <w:r>
        <w:rPr>
          <w:rFonts w:cs="Arial"/>
        </w:rPr>
        <w:t xml:space="preserve">tigkeiten des Menschen verursacht </w:t>
      </w:r>
      <w:r>
        <w:t>werden, und b) Reaktionen von Wirtschaft und Gesellschaft auf derartige Umweltbelastungen nutzen.</w:t>
      </w:r>
    </w:p>
    <w:p>
      <w:pPr>
        <w:pStyle w:val="GesAbsatz"/>
        <w:ind w:left="426" w:hanging="426"/>
      </w:pPr>
      <w:r>
        <w:t>2.</w:t>
      </w:r>
      <w:r>
        <w:tab/>
        <w:t>Das statistische Programm im Umweltbereich wird vom Exekutivdirektor der Agentur mit dem Generaldirektor von EUROSTAT vereinbart und dem Verwaltungsrat der Agentur sowie dem Ausschuß “Statistisches Programm” zur Annahme vorgelegt.</w:t>
      </w:r>
    </w:p>
    <w:p>
      <w:pPr>
        <w:pStyle w:val="GesAbsatz"/>
        <w:ind w:left="426" w:hanging="426"/>
      </w:pPr>
      <w:r>
        <w:t>3.</w:t>
      </w:r>
      <w:r>
        <w:tab/>
        <w:t>Das statistische Programm wird in dem von den internationalen statistischen Stellen wie der Statistischen Kommission der Vereinten Nationen, der Konferenz Europäischer Statistiker (CES) und der OECD festgelegten Rahmen erarbeitet und durchgeführt.</w:t>
      </w:r>
    </w:p>
    <w:p/>
    <w:sectPr>
      <w:headerReference w:type="default"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07.05.1990 (ABl. L 120 S. 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22.07.2003 (ABl. L 245 v. 29.09.2003 S.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vertAlign w:val="superscript"/>
        </w:rPr>
        <w:t>(1)</w:t>
      </w:r>
      <w:r>
        <w:t xml:space="preserve"> ABl. Nr. C 217 vom 23.8.1989, S. 7.</w:t>
      </w:r>
    </w:p>
  </w:footnote>
  <w:footnote w:id="2">
    <w:p>
      <w:pPr>
        <w:pStyle w:val="Funotentext"/>
      </w:pPr>
      <w:r>
        <w:rPr>
          <w:vertAlign w:val="superscript"/>
        </w:rPr>
        <w:t>(2)</w:t>
      </w:r>
      <w:r>
        <w:t xml:space="preserve"> ABl. Nr. C 96 vom 17.4.1990.</w:t>
      </w:r>
    </w:p>
  </w:footnote>
  <w:footnote w:id="3">
    <w:p>
      <w:pPr>
        <w:pStyle w:val="Funotentext"/>
      </w:pPr>
      <w:r>
        <w:rPr>
          <w:vertAlign w:val="superscript"/>
        </w:rPr>
        <w:t>(3)</w:t>
      </w:r>
      <w:r>
        <w:t xml:space="preserve"> ABl Nr. C 56 vom 7.3.1990, S. 20.</w:t>
      </w:r>
    </w:p>
  </w:footnote>
  <w:footnote w:id="4">
    <w:p>
      <w:pPr>
        <w:pStyle w:val="Funotentext"/>
      </w:pPr>
      <w:r>
        <w:rPr>
          <w:rStyle w:val="Funotenzeichen"/>
        </w:rPr>
        <w:t>(4)</w:t>
      </w:r>
      <w:r>
        <w:t xml:space="preserve"> ABl. Nr. L 176 vom 6.7.1985, S. 14</w:t>
      </w:r>
    </w:p>
  </w:footnote>
  <w:footnote w:id="5">
    <w:p>
      <w:pPr>
        <w:pStyle w:val="Funotentext"/>
      </w:pPr>
      <w:r>
        <w:rPr>
          <w:rStyle w:val="Funotenzeichen"/>
        </w:rPr>
        <w:t>*)</w:t>
      </w:r>
      <w:r>
        <w:t xml:space="preserve"> ABl. L 145 vom 31.5.2001, S. 43.</w:t>
      </w:r>
    </w:p>
  </w:footnote>
  <w:footnote w:id="6">
    <w:p>
      <w:pPr>
        <w:pStyle w:val="Funotentext"/>
      </w:pPr>
      <w:r>
        <w:rPr>
          <w:rStyle w:val="Funotenzeichen"/>
        </w:rPr>
        <w:t>**)</w:t>
      </w:r>
      <w:r>
        <w:t xml:space="preserve"> ABl. L 245 vom 29.9.2003, S. 1.</w:t>
      </w:r>
    </w:p>
  </w:footnote>
  <w:footnote w:id="7">
    <w:p>
      <w:pPr>
        <w:pStyle w:val="Funotentext"/>
      </w:pPr>
      <w:r>
        <w:rPr>
          <w:rStyle w:val="Funotenzeichen"/>
        </w:rPr>
        <w:t>***)</w:t>
      </w:r>
      <w:r>
        <w:t xml:space="preserve"> ABl. L 357 vom 31.12.2002, S. 72. Berichtigt in ABl. L 2 vom 7.1.2003, S. 39.</w:t>
      </w:r>
    </w:p>
  </w:footnote>
  <w:footnote w:id="8">
    <w:p>
      <w:pPr>
        <w:pStyle w:val="Funotentext"/>
        <w:numPr>
          <w:ilvl w:val="12"/>
          <w:numId w:val="0"/>
        </w:numPr>
      </w:pPr>
      <w:r>
        <w:rPr>
          <w:rStyle w:val="Funotenzeichen"/>
        </w:rPr>
        <w:t>(1)</w:t>
      </w:r>
      <w:r>
        <w:t xml:space="preserve"> Der Zeitpunkt des Inkrafttretens der Verordnung wird im Amtsblatt veröffentlich.</w:t>
      </w:r>
    </w:p>
  </w:footnote>
  <w:footnote w:id="9">
    <w:p>
      <w:pPr>
        <w:pStyle w:val="Funotentext"/>
        <w:ind w:left="284" w:hanging="284"/>
      </w:pPr>
      <w:r>
        <w:rPr>
          <w:rStyle w:val="Funotenzeichen"/>
        </w:rPr>
        <w:t>(1)</w:t>
      </w:r>
      <w:r>
        <w:tab/>
        <w:t xml:space="preserve">Die Zusammenarbeit auf diesen Gebieten soll den Arbeiten des Referenzbüros der Gemeinschaft Rechnung tragen. </w:t>
      </w:r>
    </w:p>
  </w:footnote>
  <w:footnote w:id="10">
    <w:p>
      <w:pPr>
        <w:pStyle w:val="Funotentext"/>
        <w:rPr>
          <w:szCs w:val="16"/>
        </w:rPr>
      </w:pPr>
      <w:r>
        <w:rPr>
          <w:rStyle w:val="Funotenzeichen"/>
          <w:szCs w:val="16"/>
        </w:rPr>
        <w:footnoteRef/>
      </w:r>
      <w:r>
        <w:rPr>
          <w:szCs w:val="16"/>
        </w:rPr>
        <w:t xml:space="preserve"> Entscheidung 94/808/EG des Rates vom 15. Dezember 1994 ü</w:t>
      </w:r>
      <w:r>
        <w:rPr>
          <w:rFonts w:cs="Arial"/>
          <w:szCs w:val="16"/>
        </w:rPr>
        <w:t xml:space="preserve">ber die Annahme eines </w:t>
      </w:r>
      <w:r>
        <w:rPr>
          <w:szCs w:val="16"/>
        </w:rPr>
        <w:t>Entwicklungsprogramms mit vierjä</w:t>
      </w:r>
      <w:r>
        <w:rPr>
          <w:rFonts w:cs="Arial"/>
          <w:szCs w:val="16"/>
        </w:rPr>
        <w:t xml:space="preserve">hriger Laufzeit </w:t>
      </w:r>
      <w:r>
        <w:rPr>
          <w:szCs w:val="16"/>
        </w:rPr>
        <w:t>(1994-1997) fü</w:t>
      </w:r>
      <w:r>
        <w:rPr>
          <w:rFonts w:cs="Arial"/>
          <w:szCs w:val="16"/>
        </w:rPr>
        <w:t xml:space="preserve">r die Umweltkomponente in den </w:t>
      </w:r>
      <w:r>
        <w:rPr>
          <w:szCs w:val="16"/>
        </w:rPr>
        <w:t>gemeinschaftlichen Statistiken (ABl. L 328 vom 20.12.1994, S. 58).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Archiv3.38</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147DA4"/>
    <w:lvl w:ilvl="0">
      <w:numFmt w:val="decimal"/>
      <w:lvlText w:val="*"/>
      <w:lvlJc w:val="left"/>
    </w:lvl>
  </w:abstractNum>
  <w:abstractNum w:abstractNumId="1" w15:restartNumberingAfterBreak="0">
    <w:nsid w:val="31DB5399"/>
    <w:multiLevelType w:val="singleLevel"/>
    <w:tmpl w:val="B36A832E"/>
    <w:lvl w:ilvl="0">
      <w:start w:val="1"/>
      <w:numFmt w:val="decimal"/>
      <w:lvlText w:val="%1."/>
      <w:legacy w:legacy="1" w:legacySpace="0" w:legacyIndent="397"/>
      <w:lvlJc w:val="left"/>
      <w:pPr>
        <w:ind w:left="681" w:hanging="397"/>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683397-9B69-4BCE-846B-F3EF1813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1999/933/o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europa.eu/eli/reg/1990/1210/o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ata.europa.eu/eli/reg/2003/1641/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9</Pages>
  <Words>3876</Words>
  <Characters>27153</Characters>
  <Application>Microsoft Office Word</Application>
  <DocSecurity>0</DocSecurity>
  <Lines>226</Lines>
  <Paragraphs>61</Paragraphs>
  <ScaleCrop>false</ScaleCrop>
  <HeadingPairs>
    <vt:vector size="2" baseType="variant">
      <vt:variant>
        <vt:lpstr>Titel</vt:lpstr>
      </vt:variant>
      <vt:variant>
        <vt:i4>1</vt:i4>
      </vt:variant>
    </vt:vector>
  </HeadingPairs>
  <TitlesOfParts>
    <vt:vector size="1" baseType="lpstr">
      <vt:lpstr>EG-Verordnung zur Errichtung einer Europäischen Umweltagentur und eines Europäischen Umweltinformations- und Umweltbeobachtungsnetzes (1210/90/EWG)</vt:lpstr>
    </vt:vector>
  </TitlesOfParts>
  <Company>LANUV NRW</Company>
  <LinksUpToDate>false</LinksUpToDate>
  <CharactersWithSpaces>30968</CharactersWithSpaces>
  <SharedDoc>false</SharedDoc>
  <HLinks>
    <vt:vector size="18" baseType="variant">
      <vt:variant>
        <vt:i4>852043</vt:i4>
      </vt:variant>
      <vt:variant>
        <vt:i4>6</vt:i4>
      </vt:variant>
      <vt:variant>
        <vt:i4>0</vt:i4>
      </vt:variant>
      <vt:variant>
        <vt:i4>5</vt:i4>
      </vt:variant>
      <vt:variant>
        <vt:lpwstr>http://europa.eu.int/eur-lex/pri/de/oj/dat/2003/l_245/l_24520030929de00010003.pdf</vt:lpwstr>
      </vt:variant>
      <vt:variant>
        <vt:lpwstr/>
      </vt:variant>
      <vt:variant>
        <vt:i4>983116</vt:i4>
      </vt:variant>
      <vt:variant>
        <vt:i4>3</vt:i4>
      </vt:variant>
      <vt:variant>
        <vt:i4>0</vt:i4>
      </vt:variant>
      <vt:variant>
        <vt:i4>5</vt:i4>
      </vt:variant>
      <vt:variant>
        <vt:lpwstr>http://europa.eu.int/eur-lex/pri/de/oj/dat/1999/l_117/l_11719990505de00010004.pdf</vt:lpwstr>
      </vt:variant>
      <vt:variant>
        <vt:lpwstr/>
      </vt:variant>
      <vt:variant>
        <vt:i4>2883643</vt:i4>
      </vt:variant>
      <vt:variant>
        <vt:i4>0</vt:i4>
      </vt:variant>
      <vt:variant>
        <vt:i4>0</vt:i4>
      </vt:variant>
      <vt:variant>
        <vt:i4>5</vt:i4>
      </vt:variant>
      <vt:variant>
        <vt:lpwstr>http://eur-lex.europa.eu/smartapi/cgi/sga_doc?smartapi!celexplus!prod!DocNumber&amp;lg=de&amp;type_doc=Regulation&amp;an_doc=1990&amp;nu_doc=1210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EG-Verordnung zur Errichtung einer Europäischen Umweltagentur und eines Europäischen Umweltinformations- und Umweltbeobachtungsnetzes (1210/90/EWG)</dc:title>
  <dc:creator>LANUV NRW</dc:creator>
  <cp:lastModifiedBy>Rüter, Dr., Ingo</cp:lastModifiedBy>
  <cp:revision>5</cp:revision>
  <cp:lastPrinted>1997-10-01T03:03:00Z</cp:lastPrinted>
  <dcterms:created xsi:type="dcterms:W3CDTF">2015-02-26T09:06:00Z</dcterms:created>
  <dcterms:modified xsi:type="dcterms:W3CDTF">2024-05-17T08:42:00Z</dcterms:modified>
</cp:coreProperties>
</file>