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berschrift1"/>
      </w:pPr>
      <w:bookmarkStart w:id="0" w:name="_Toc465434164"/>
      <w:r>
        <w:t>Verordnung über die Reisekostenvergütung bei Auslandsdienstreisen</w:t>
      </w:r>
      <w:r>
        <w:br/>
        <w:t>Auslandsreisekostenverordnung - ARVO</w:t>
      </w:r>
      <w:bookmarkEnd w:id="0"/>
    </w:p>
    <w:p>
      <w:pPr>
        <w:pStyle w:val="GesAbsatz"/>
        <w:jc w:val="center"/>
      </w:pPr>
      <w:r>
        <w:t>vom 22. Dezember 1998</w:t>
      </w:r>
    </w:p>
    <w:p>
      <w:pPr>
        <w:pStyle w:val="GesAbsatz"/>
        <w:rPr>
          <w:b/>
          <w:i/>
          <w:color w:val="FF0000"/>
          <w:sz w:val="22"/>
          <w:szCs w:val="22"/>
        </w:rPr>
      </w:pPr>
      <w:r>
        <w:rPr>
          <w:b/>
          <w:i/>
          <w:color w:val="FF0000"/>
          <w:sz w:val="22"/>
          <w:szCs w:val="22"/>
        </w:rPr>
        <w:t>Aufgehoben durch VO vom 18. Mai 2009 (GV. NRW. S. 411), in Kraft getreten am 25.07.2009.</w:t>
      </w:r>
    </w:p>
    <w:p>
      <w:pPr>
        <w:pStyle w:val="GesAbsatz"/>
      </w:pPr>
      <w:hyperlink r:id="rId7" w:history="1">
        <w:r>
          <w:rPr>
            <w:rStyle w:val="Hyperlink"/>
          </w:rPr>
          <w:t>Link zur Vorschrift im SGV. NR</w:t>
        </w:r>
        <w:bookmarkStart w:id="1" w:name="_GoBack"/>
        <w:bookmarkEnd w:id="1"/>
        <w:r>
          <w:rPr>
            <w:rStyle w:val="Hyperlink"/>
          </w:rPr>
          <w:t>W</w:t>
        </w:r>
        <w:r>
          <w:rPr>
            <w:rStyle w:val="Hyperlink"/>
          </w:rPr>
          <w:t>. 20320:</w:t>
        </w:r>
      </w:hyperlink>
    </w:p>
    <w:p>
      <w:pPr>
        <w:pStyle w:val="GesAbsatz"/>
        <w:jc w:val="center"/>
        <w:rPr>
          <w:b/>
          <w:sz w:val="22"/>
          <w:szCs w:val="22"/>
        </w:rPr>
      </w:pPr>
      <w:r>
        <w:rPr>
          <w:b/>
          <w:sz w:val="22"/>
          <w:szCs w:val="22"/>
        </w:rPr>
        <w:t>Inhalt:</w:t>
      </w:r>
    </w:p>
    <w:p>
      <w:pPr>
        <w:pStyle w:val="Verzeichnis1"/>
        <w:rPr>
          <w:rFonts w:asciiTheme="minorHAnsi" w:eastAsiaTheme="minorEastAsia" w:hAnsiTheme="minorHAnsi" w:cstheme="minorBidi"/>
          <w:b w:val="0"/>
          <w:caps w:val="0"/>
          <w:noProof/>
          <w:sz w:val="22"/>
          <w:szCs w:val="22"/>
        </w:rPr>
      </w:pPr>
      <w:r>
        <w:rPr>
          <w:b w:val="0"/>
          <w:sz w:val="22"/>
          <w:szCs w:val="22"/>
        </w:rPr>
        <w:fldChar w:fldCharType="begin"/>
      </w:r>
      <w:r>
        <w:rPr>
          <w:b w:val="0"/>
          <w:sz w:val="22"/>
          <w:szCs w:val="22"/>
        </w:rPr>
        <w:instrText xml:space="preserve"> TOC \o "1-3" \h \z \u </w:instrText>
      </w:r>
      <w:r>
        <w:rPr>
          <w:b w:val="0"/>
          <w:sz w:val="22"/>
          <w:szCs w:val="22"/>
        </w:rPr>
        <w:fldChar w:fldCharType="separate"/>
      </w:r>
      <w:hyperlink w:anchor="_Toc465434164" w:history="1">
        <w:r>
          <w:rPr>
            <w:rStyle w:val="Hyperlink"/>
            <w:noProof/>
          </w:rPr>
          <w:t>Auslandsreisekostenverordnung - ARVO</w:t>
        </w:r>
        <w:r>
          <w:rPr>
            <w:noProof/>
            <w:webHidden/>
          </w:rPr>
          <w:tab/>
        </w:r>
        <w:r>
          <w:rPr>
            <w:noProof/>
            <w:webHidden/>
          </w:rPr>
          <w:fldChar w:fldCharType="begin"/>
        </w:r>
        <w:r>
          <w:rPr>
            <w:noProof/>
            <w:webHidden/>
          </w:rPr>
          <w:instrText xml:space="preserve"> PAGEREF _Toc465434164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65" w:history="1">
        <w:r>
          <w:rPr>
            <w:rStyle w:val="Hyperlink"/>
            <w:noProof/>
          </w:rPr>
          <w:t>§ 1 Geltung des Landesreisekostengesetzes, Dienstreiseanordnung und - genehmigjung</w:t>
        </w:r>
        <w:r>
          <w:rPr>
            <w:noProof/>
            <w:webHidden/>
          </w:rPr>
          <w:tab/>
        </w:r>
        <w:r>
          <w:rPr>
            <w:noProof/>
            <w:webHidden/>
          </w:rPr>
          <w:fldChar w:fldCharType="begin"/>
        </w:r>
        <w:r>
          <w:rPr>
            <w:noProof/>
            <w:webHidden/>
          </w:rPr>
          <w:instrText xml:space="preserve"> PAGEREF _Toc465434165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66" w:history="1">
        <w:r>
          <w:rPr>
            <w:rStyle w:val="Hyperlink"/>
            <w:noProof/>
          </w:rPr>
          <w:t>§ 2 Flugreisen</w:t>
        </w:r>
        <w:r>
          <w:rPr>
            <w:noProof/>
            <w:webHidden/>
          </w:rPr>
          <w:tab/>
        </w:r>
        <w:r>
          <w:rPr>
            <w:noProof/>
            <w:webHidden/>
          </w:rPr>
          <w:fldChar w:fldCharType="begin"/>
        </w:r>
        <w:r>
          <w:rPr>
            <w:noProof/>
            <w:webHidden/>
          </w:rPr>
          <w:instrText xml:space="preserve"> PAGEREF _Toc465434166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67" w:history="1">
        <w:r>
          <w:rPr>
            <w:rStyle w:val="Hyperlink"/>
            <w:noProof/>
          </w:rPr>
          <w:t>§ 3 Auslandstagegeld, Auslandsübernachtungsgeld</w:t>
        </w:r>
        <w:r>
          <w:rPr>
            <w:noProof/>
            <w:webHidden/>
          </w:rPr>
          <w:tab/>
        </w:r>
        <w:r>
          <w:rPr>
            <w:noProof/>
            <w:webHidden/>
          </w:rPr>
          <w:fldChar w:fldCharType="begin"/>
        </w:r>
        <w:r>
          <w:rPr>
            <w:noProof/>
            <w:webHidden/>
          </w:rPr>
          <w:instrText xml:space="preserve"> PAGEREF _Toc465434167 \h </w:instrText>
        </w:r>
        <w:r>
          <w:rPr>
            <w:noProof/>
            <w:webHidden/>
          </w:rPr>
        </w:r>
        <w:r>
          <w:rPr>
            <w:noProof/>
            <w:webHidden/>
          </w:rPr>
          <w:fldChar w:fldCharType="separate"/>
        </w:r>
        <w:r>
          <w:rPr>
            <w:noProof/>
            <w:webHidden/>
          </w:rPr>
          <w:t>1</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68" w:history="1">
        <w:r>
          <w:rPr>
            <w:rStyle w:val="Hyperlink"/>
            <w:noProof/>
          </w:rPr>
          <w:t>§ 4 Grenzübertritt</w:t>
        </w:r>
        <w:r>
          <w:rPr>
            <w:noProof/>
            <w:webHidden/>
          </w:rPr>
          <w:tab/>
        </w:r>
        <w:r>
          <w:rPr>
            <w:noProof/>
            <w:webHidden/>
          </w:rPr>
          <w:fldChar w:fldCharType="begin"/>
        </w:r>
        <w:r>
          <w:rPr>
            <w:noProof/>
            <w:webHidden/>
          </w:rPr>
          <w:instrText xml:space="preserve"> PAGEREF _Toc465434168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69" w:history="1">
        <w:r>
          <w:rPr>
            <w:rStyle w:val="Hyperlink"/>
            <w:noProof/>
          </w:rPr>
          <w:t>§ 5 Reisekostenvergütung bei längerem Aufenthalt am Geschäftsort</w:t>
        </w:r>
        <w:r>
          <w:rPr>
            <w:noProof/>
            <w:webHidden/>
          </w:rPr>
          <w:tab/>
        </w:r>
        <w:r>
          <w:rPr>
            <w:noProof/>
            <w:webHidden/>
          </w:rPr>
          <w:fldChar w:fldCharType="begin"/>
        </w:r>
        <w:r>
          <w:rPr>
            <w:noProof/>
            <w:webHidden/>
          </w:rPr>
          <w:instrText xml:space="preserve"> PAGEREF _Toc465434169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70" w:history="1">
        <w:r>
          <w:rPr>
            <w:rStyle w:val="Hyperlink"/>
            <w:noProof/>
          </w:rPr>
          <w:t>§ 6 Erkrankung während der Auslandsdienstreise</w:t>
        </w:r>
        <w:r>
          <w:rPr>
            <w:noProof/>
            <w:webHidden/>
          </w:rPr>
          <w:tab/>
        </w:r>
        <w:r>
          <w:rPr>
            <w:noProof/>
            <w:webHidden/>
          </w:rPr>
          <w:fldChar w:fldCharType="begin"/>
        </w:r>
        <w:r>
          <w:rPr>
            <w:noProof/>
            <w:webHidden/>
          </w:rPr>
          <w:instrText xml:space="preserve"> PAGEREF _Toc465434170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71" w:history="1">
        <w:r>
          <w:rPr>
            <w:rStyle w:val="Hyperlink"/>
            <w:noProof/>
          </w:rPr>
          <w:t>§ 7 Übertragungsbefugnis bei Gemeinden, Gemeindeverbänden und sonstigen Körperschaften des öffentlichen Rechts</w:t>
        </w:r>
        <w:r>
          <w:rPr>
            <w:noProof/>
            <w:webHidden/>
          </w:rPr>
          <w:tab/>
        </w:r>
        <w:r>
          <w:rPr>
            <w:noProof/>
            <w:webHidden/>
          </w:rPr>
          <w:fldChar w:fldCharType="begin"/>
        </w:r>
        <w:r>
          <w:rPr>
            <w:noProof/>
            <w:webHidden/>
          </w:rPr>
          <w:instrText xml:space="preserve"> PAGEREF _Toc465434171 \h </w:instrText>
        </w:r>
        <w:r>
          <w:rPr>
            <w:noProof/>
            <w:webHidden/>
          </w:rPr>
        </w:r>
        <w:r>
          <w:rPr>
            <w:noProof/>
            <w:webHidden/>
          </w:rPr>
          <w:fldChar w:fldCharType="separate"/>
        </w:r>
        <w:r>
          <w:rPr>
            <w:noProof/>
            <w:webHidden/>
          </w:rPr>
          <w:t>2</w:t>
        </w:r>
        <w:r>
          <w:rPr>
            <w:noProof/>
            <w:webHidden/>
          </w:rPr>
          <w:fldChar w:fldCharType="end"/>
        </w:r>
      </w:hyperlink>
    </w:p>
    <w:p>
      <w:pPr>
        <w:pStyle w:val="Verzeichnis3"/>
        <w:rPr>
          <w:rFonts w:asciiTheme="minorHAnsi" w:eastAsiaTheme="minorEastAsia" w:hAnsiTheme="minorHAnsi" w:cstheme="minorBidi"/>
          <w:i w:val="0"/>
          <w:noProof/>
          <w:sz w:val="22"/>
          <w:szCs w:val="22"/>
        </w:rPr>
      </w:pPr>
      <w:hyperlink w:anchor="_Toc465434172" w:history="1">
        <w:r>
          <w:rPr>
            <w:rStyle w:val="Hyperlink"/>
            <w:noProof/>
          </w:rPr>
          <w:t>§ 8 In-Kraft-Treten, Außer-Kraft-Treten</w:t>
        </w:r>
        <w:r>
          <w:rPr>
            <w:noProof/>
            <w:webHidden/>
          </w:rPr>
          <w:tab/>
        </w:r>
        <w:r>
          <w:rPr>
            <w:noProof/>
            <w:webHidden/>
          </w:rPr>
          <w:fldChar w:fldCharType="begin"/>
        </w:r>
        <w:r>
          <w:rPr>
            <w:noProof/>
            <w:webHidden/>
          </w:rPr>
          <w:instrText xml:space="preserve"> PAGEREF _Toc465434172 \h </w:instrText>
        </w:r>
        <w:r>
          <w:rPr>
            <w:noProof/>
            <w:webHidden/>
          </w:rPr>
        </w:r>
        <w:r>
          <w:rPr>
            <w:noProof/>
            <w:webHidden/>
          </w:rPr>
          <w:fldChar w:fldCharType="separate"/>
        </w:r>
        <w:r>
          <w:rPr>
            <w:noProof/>
            <w:webHidden/>
          </w:rPr>
          <w:t>2</w:t>
        </w:r>
        <w:r>
          <w:rPr>
            <w:noProof/>
            <w:webHidden/>
          </w:rPr>
          <w:fldChar w:fldCharType="end"/>
        </w:r>
      </w:hyperlink>
    </w:p>
    <w:p>
      <w:pPr>
        <w:pStyle w:val="Verzeichnis2"/>
        <w:rPr>
          <w:rFonts w:asciiTheme="minorHAnsi" w:eastAsiaTheme="minorEastAsia" w:hAnsiTheme="minorHAnsi" w:cstheme="minorBidi"/>
          <w:smallCaps w:val="0"/>
          <w:noProof/>
          <w:sz w:val="22"/>
          <w:szCs w:val="22"/>
        </w:rPr>
      </w:pPr>
      <w:hyperlink w:anchor="_Toc465434173" w:history="1">
        <w:r>
          <w:rPr>
            <w:rStyle w:val="Hyperlink"/>
            <w:noProof/>
          </w:rPr>
          <w:t>Anlage zu § 3 Abs. 1 Auslandstage- und Übernachtungsgeld</w:t>
        </w:r>
        <w:r>
          <w:rPr>
            <w:noProof/>
            <w:webHidden/>
          </w:rPr>
          <w:tab/>
        </w:r>
        <w:r>
          <w:rPr>
            <w:noProof/>
            <w:webHidden/>
          </w:rPr>
          <w:fldChar w:fldCharType="begin"/>
        </w:r>
        <w:r>
          <w:rPr>
            <w:noProof/>
            <w:webHidden/>
          </w:rPr>
          <w:instrText xml:space="preserve"> PAGEREF _Toc465434173 \h </w:instrText>
        </w:r>
        <w:r>
          <w:rPr>
            <w:noProof/>
            <w:webHidden/>
          </w:rPr>
        </w:r>
        <w:r>
          <w:rPr>
            <w:noProof/>
            <w:webHidden/>
          </w:rPr>
          <w:fldChar w:fldCharType="separate"/>
        </w:r>
        <w:r>
          <w:rPr>
            <w:noProof/>
            <w:webHidden/>
          </w:rPr>
          <w:t>3</w:t>
        </w:r>
        <w:r>
          <w:rPr>
            <w:noProof/>
            <w:webHidden/>
          </w:rPr>
          <w:fldChar w:fldCharType="end"/>
        </w:r>
      </w:hyperlink>
    </w:p>
    <w:p>
      <w:pPr>
        <w:pStyle w:val="GesAbsatz"/>
      </w:pPr>
      <w:r>
        <w:rPr>
          <w:b/>
          <w:sz w:val="22"/>
          <w:szCs w:val="22"/>
        </w:rPr>
        <w:fldChar w:fldCharType="end"/>
      </w:r>
    </w:p>
    <w:p>
      <w:pPr>
        <w:pStyle w:val="GesAbsatz"/>
      </w:pPr>
      <w:r>
        <w:t>Auf Grund des § 16 Abs. 2 des Landesreisekostengesetzes (LRKG) vom 16. Dezember 1998 (GV. NRW. 738) wird im Einvernehmen mit dem Ministerium für Inneres und Justiz verordnet:</w:t>
      </w:r>
    </w:p>
    <w:p>
      <w:pPr>
        <w:pStyle w:val="berschrift3"/>
      </w:pPr>
      <w:bookmarkStart w:id="2" w:name="_Toc465434165"/>
      <w:r>
        <w:t>§ 1</w:t>
      </w:r>
      <w:r>
        <w:br/>
        <w:t>Geltung des Landesreisekostengesetzes, Dienstreiseanordnung und - genehmigjung</w:t>
      </w:r>
      <w:bookmarkEnd w:id="2"/>
    </w:p>
    <w:p>
      <w:pPr>
        <w:pStyle w:val="GesAbsatz"/>
      </w:pPr>
      <w:r>
        <w:t>(1) Für Auslandsdienstreisen gelten die Vorschriften des Landesreisekostengesetzes, soweit in dieser Verordnung nichts Abweichendes bestimmt ist.</w:t>
      </w:r>
    </w:p>
    <w:p>
      <w:pPr>
        <w:pStyle w:val="GesAbsatz"/>
      </w:pPr>
      <w:r>
        <w:t>(2) Auslandsdienstreisen bedürfen der schriftlichen Anordnung oder Genehmigung der obersten Dienstbehörde oder der von ihr ermächtigten Behörde. Dies gilt nicht für Auslandsdienstreisen von Richterinnen und Richtern zur Wahrnehmung richterlicher Amtsgeschäfte.</w:t>
      </w:r>
    </w:p>
    <w:p>
      <w:pPr>
        <w:pStyle w:val="berschrift3"/>
      </w:pPr>
      <w:bookmarkStart w:id="3" w:name="_Toc465434166"/>
      <w:r>
        <w:t>§ 2</w:t>
      </w:r>
      <w:r>
        <w:br/>
        <w:t>Flugreisen</w:t>
      </w:r>
      <w:bookmarkEnd w:id="3"/>
    </w:p>
    <w:p>
      <w:pPr>
        <w:pStyle w:val="GesAbsatz"/>
      </w:pPr>
      <w:r>
        <w:t>Abweichend von § 5 Abs. 1 Satz 4 Landesreisekostengesetz können bei Flugreisen in außereuropäische Länder sowie in den asiatischen Teil der Russischen Föderation die Kosten für das Benutzen der Business- oder einer vergleichbaren Klasse nur erstattet werden, wenn dies aus dienstlichen oder zwingenden persönlichen Gründen erforderlich ist und die mit der Reisedauer verbundenen Beeinträchtigungen nicht durch eine zusätzliche Übernachtung am Zielort ausgeglichen werden können. Die oberste Dienstbehörde kann bei Dienstreisenden des Landes mit Zustimmung des Finanzministeriums bei Flugreisen in Europa sowie bei anderen Flugreisen insbesondere wegen der Flugdauer eine abweichende Regelung zulassen.</w:t>
      </w:r>
    </w:p>
    <w:p>
      <w:pPr>
        <w:pStyle w:val="berschrift3"/>
      </w:pPr>
      <w:bookmarkStart w:id="4" w:name="_Toc465434167"/>
      <w:r>
        <w:t>§ 3</w:t>
      </w:r>
      <w:r>
        <w:br/>
        <w:t>Auslandstagegeld, Auslandsübernachtungsgeld</w:t>
      </w:r>
      <w:bookmarkEnd w:id="4"/>
    </w:p>
    <w:p>
      <w:pPr>
        <w:pStyle w:val="GesAbsatz"/>
      </w:pPr>
      <w:r>
        <w:t>(1) Die Auslandstage- und Auslandsübernachtungsgelder werden abweichend von § 7 Abs. 1 und § 8 Abs. 1 LRKG in der Höhe gezahlt, wie sie sich aus der Anlage ergeben; bei Übernachtungen ohne belegmüßigen Nachweis beträgt das Auslandsübernachtungsgeld einheitlich 30 Euro je Übernachtung. § 7 Abs. 2 und § 8 Abs. 1 Satz 4 LRKG gelten mit der Maßgabe, daß für Frühstückskosten ein Betrag von 20 vom Hundert des jeweils zustehenden Auslandstagegeldes in Abzug zu bringen ist. In begründeten Ausnahmefällen kann von Satz 1 hinsichtlich des Auslandsübernachtungsgeldes abgewichen werden, wenn die nachgewiesenen Übernachtungskosten das Auslandsübernachtungsgeld für die gesamte Auslandsdienstreise übersteigen. § 7 Abs. 3 und § 15 LRKG gelten entsprechend.</w:t>
      </w:r>
    </w:p>
    <w:p>
      <w:pPr>
        <w:pStyle w:val="GesAbsatz"/>
      </w:pPr>
      <w:r>
        <w:t>(2) Für die in der Anlage nicht aufgeführten Übersee- und Außengebiete eines Landes ist das Auslandstage- und Auslandsübernachtungsgeld des Mutterlandes maßgebend. Für die in der Anlage und in Satz 1 nicht erfassten Gebiete oder Länder ist das Auslandstage- und Auslandsübernachtungsgeld von Luxemburg maßgebend.</w:t>
      </w:r>
    </w:p>
    <w:p>
      <w:pPr>
        <w:pStyle w:val="berschrift3"/>
      </w:pPr>
      <w:bookmarkStart w:id="5" w:name="_Toc465434168"/>
      <w:r>
        <w:lastRenderedPageBreak/>
        <w:t>§ 4</w:t>
      </w:r>
      <w:r>
        <w:br/>
        <w:t>Grenzübertritt</w:t>
      </w:r>
      <w:bookmarkEnd w:id="5"/>
    </w:p>
    <w:p>
      <w:pPr>
        <w:pStyle w:val="GesAbsatz"/>
      </w:pPr>
      <w:r>
        <w:t>(1) Für den Tag des Grenzübertritts richtet sich das Tage- und Übernachtungsgeld nach dem Land, das die Dienstreisenden vor 24.00 Uhr Ortszeit zuletzt erreichen. Bei Flugreisen gilt ein Land in dem Zeitpunkt als erreicht, in dem das Flugzeug dort landet; Zwischenlandungen bleiben unberücksichtigt, es sei denn, daß durch sie Übernachtungen notwendig werden.</w:t>
      </w:r>
    </w:p>
    <w:p>
      <w:pPr>
        <w:pStyle w:val="GesAbsatz"/>
      </w:pPr>
      <w:r>
        <w:t xml:space="preserve">(2) Bei einer mehrtägigen Auslandsdienstreise wird abweichend von Absatz 1 für den Tag des Grenzübertritts zum Inland Auslandstagegeld nach dem Land des letzten Geschäftsortes, Dienstortes oder des dem vorübergehenden Aufenthalt dienenden Ortes im Ausland gewährt, wenn nach </w:t>
      </w:r>
      <w:smartTag w:uri="urn:schemas-microsoft-com:office:smarttags" w:element="time">
        <w:smartTagPr>
          <w:attr w:name="Hour" w:val="16"/>
          <w:attr w:name="Minute" w:val="00"/>
        </w:smartTagPr>
        <w:r>
          <w:t>16.00</w:t>
        </w:r>
      </w:smartTag>
      <w:r>
        <w:t xml:space="preserve"> Uhr der Grenzübertritt stattfindet oder der erste Flughafen im Inland erreicht wird.</w:t>
      </w:r>
    </w:p>
    <w:p>
      <w:pPr>
        <w:pStyle w:val="GesAbsatz"/>
      </w:pPr>
      <w:r>
        <w:t>(3) Bei eintägigen Auslandsdienstreisen wird abweichend von Absatz 1 Tagegeld nach dem Land des letzten Geschäftsortes gezahlt.</w:t>
      </w:r>
    </w:p>
    <w:p>
      <w:pPr>
        <w:pStyle w:val="berschrift3"/>
      </w:pPr>
      <w:bookmarkStart w:id="6" w:name="_Toc465434169"/>
      <w:r>
        <w:t>§ 5</w:t>
      </w:r>
      <w:r>
        <w:br/>
        <w:t>Reisekostenvergütung bei längerem Aufenthalt am Geschäftsort</w:t>
      </w:r>
      <w:bookmarkEnd w:id="6"/>
    </w:p>
    <w:p>
      <w:pPr>
        <w:pStyle w:val="GesAbsatz"/>
      </w:pPr>
      <w:r>
        <w:t>Dauert der Aufenthalt an demselben ausländischen Geschäftsort ohne Hin- und Rückreisetage länger als 14 Tage, ist das Auslandstagegeld nach § 3 vom 15. Tag an um 10 vom Hundert zu ermäßigen. Die oberste Dienstbehörde kann hiervon in begründeten Ausnahmefällen absehen.</w:t>
      </w:r>
    </w:p>
    <w:p>
      <w:pPr>
        <w:pStyle w:val="berschrift3"/>
      </w:pPr>
      <w:bookmarkStart w:id="7" w:name="_Toc465434170"/>
      <w:r>
        <w:t>§ 6</w:t>
      </w:r>
      <w:r>
        <w:br/>
        <w:t>Erkrankung während der Auslandsdienstreise</w:t>
      </w:r>
      <w:bookmarkEnd w:id="7"/>
    </w:p>
    <w:p>
      <w:pPr>
        <w:pStyle w:val="GesAbsatz"/>
      </w:pPr>
      <w:r>
        <w:t>Dienstreisende, die wegen einer Erkrankung in ein ausländisches Krankenhaus aufgenommen werden, erhalten für jeden vollen Kalendertag des Krankenhausaufenthaltes Ersatz der notwendigen Auslagen für das Beibehalten der Unterkunft am Geschäftsort und 10 vom Hundert des bisherigen Auslandstagegeldes.</w:t>
      </w:r>
    </w:p>
    <w:p>
      <w:pPr>
        <w:pStyle w:val="berschrift3"/>
      </w:pPr>
      <w:bookmarkStart w:id="8" w:name="_Toc465434171"/>
      <w:r>
        <w:t>§ 7</w:t>
      </w:r>
      <w:r>
        <w:br/>
        <w:t>Übertragungsbefugnis bei Gemeinden, Gemeindeverbänden</w:t>
      </w:r>
      <w:r>
        <w:br/>
        <w:t>und sonstigen Körperschaften des öffentlichen Rechts</w:t>
      </w:r>
      <w:bookmarkEnd w:id="8"/>
    </w:p>
    <w:p>
      <w:pPr>
        <w:pStyle w:val="GesAbsatz"/>
      </w:pPr>
      <w:r>
        <w:t>Soweit nach dieser Verordnung durch die oberste Dienstbehörde abweichende Regelungen getroffen werden können, gelten bei den Gemeinden und Gemeindeverbänden die Vorschriften des kommunalen Verfassungsrechts. Dies gilt entsprechend für die sonstigen der Aufsicht des Landes unterstehenden Körperschaften, Anstalten und Stiftungen des öffentlichen Rechts.</w:t>
      </w:r>
    </w:p>
    <w:p>
      <w:pPr>
        <w:pStyle w:val="berschrift3"/>
      </w:pPr>
      <w:bookmarkStart w:id="9" w:name="_Toc465434172"/>
      <w:r>
        <w:t>§ 8</w:t>
      </w:r>
      <w:r>
        <w:br/>
        <w:t>In-Kraft-Treten, Außer-Kraft-Treten</w:t>
      </w:r>
      <w:bookmarkEnd w:id="9"/>
    </w:p>
    <w:p>
      <w:pPr>
        <w:pStyle w:val="GesAbsatz"/>
      </w:pPr>
      <w:r>
        <w:t>Diese Verordnung tritt am 01. Januar 1999 in Kraft. Diese Verordnung tritt am 31. Dezember 2009 außer Kraft.</w:t>
      </w:r>
    </w:p>
    <w:p/>
    <w:p>
      <w:pPr>
        <w:pStyle w:val="berschrift2"/>
        <w:jc w:val="left"/>
      </w:pPr>
      <w:r>
        <w:br w:type="page"/>
      </w:r>
      <w:bookmarkStart w:id="10" w:name="_Toc465434173"/>
      <w:r>
        <w:lastRenderedPageBreak/>
        <w:t>Anlage zu § 3 Abs. 1</w:t>
      </w:r>
      <w:r>
        <w:br/>
        <w:t>Auslandstage- und Übernachtungsgeld</w:t>
      </w:r>
      <w:bookmarkEnd w:id="10"/>
    </w:p>
    <w:p>
      <w:r>
        <w:rPr>
          <w:noProof/>
        </w:rPr>
        <w:drawing>
          <wp:inline distT="0" distB="0" distL="0" distR="0">
            <wp:extent cx="6111240" cy="8061960"/>
            <wp:effectExtent l="0" t="0" r="0" b="0"/>
            <wp:docPr id="1" name="Bild 1" descr="21408anl_Se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408anl_Seite_1"/>
                    <pic:cNvPicPr>
                      <a:picLocks noChangeAspect="1" noChangeArrowheads="1"/>
                    </pic:cNvPicPr>
                  </pic:nvPicPr>
                  <pic:blipFill>
                    <a:blip r:embed="rId8"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p>
      <w:r>
        <w:br w:type="page"/>
      </w:r>
      <w:r>
        <w:rPr>
          <w:noProof/>
        </w:rPr>
        <w:lastRenderedPageBreak/>
        <w:drawing>
          <wp:inline distT="0" distB="0" distL="0" distR="0">
            <wp:extent cx="6111240" cy="8061960"/>
            <wp:effectExtent l="0" t="0" r="0" b="0"/>
            <wp:docPr id="2" name="Bild 2" descr="21408anl_Sei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408anl_Seite_2"/>
                    <pic:cNvPicPr>
                      <a:picLocks noChangeAspect="1" noChangeArrowheads="1"/>
                    </pic:cNvPicPr>
                  </pic:nvPicPr>
                  <pic:blipFill>
                    <a:blip r:embed="rId9"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p>
      <w:r>
        <w:br w:type="page"/>
      </w:r>
      <w:r>
        <w:rPr>
          <w:noProof/>
        </w:rPr>
        <w:lastRenderedPageBreak/>
        <w:drawing>
          <wp:inline distT="0" distB="0" distL="0" distR="0">
            <wp:extent cx="6111240" cy="8061960"/>
            <wp:effectExtent l="0" t="0" r="0" b="0"/>
            <wp:docPr id="3" name="Bild 3" descr="21408anl_Seit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408anl_Seite_3"/>
                    <pic:cNvPicPr>
                      <a:picLocks noChangeAspect="1" noChangeArrowheads="1"/>
                    </pic:cNvPicPr>
                  </pic:nvPicPr>
                  <pic:blipFill>
                    <a:blip r:embed="rId10"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p>
      <w:r>
        <w:br w:type="page"/>
      </w:r>
      <w:r>
        <w:rPr>
          <w:noProof/>
        </w:rPr>
        <w:lastRenderedPageBreak/>
        <w:drawing>
          <wp:inline distT="0" distB="0" distL="0" distR="0">
            <wp:extent cx="6111240" cy="8061960"/>
            <wp:effectExtent l="0" t="0" r="0" b="0"/>
            <wp:docPr id="4" name="Bild 4" descr="21408anl_Seit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1408anl_Seite_4"/>
                    <pic:cNvPicPr>
                      <a:picLocks noChangeAspect="1" noChangeArrowheads="1"/>
                    </pic:cNvPicPr>
                  </pic:nvPicPr>
                  <pic:blipFill>
                    <a:blip r:embed="rId11"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p>
      <w:r>
        <w:br w:type="page"/>
      </w:r>
      <w:r>
        <w:rPr>
          <w:noProof/>
        </w:rPr>
        <w:lastRenderedPageBreak/>
        <w:drawing>
          <wp:inline distT="0" distB="0" distL="0" distR="0">
            <wp:extent cx="6111240" cy="8061960"/>
            <wp:effectExtent l="0" t="0" r="0" b="0"/>
            <wp:docPr id="5" name="Bild 5" descr="21408anl_Seit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1408anl_Seite_5"/>
                    <pic:cNvPicPr>
                      <a:picLocks noChangeAspect="1" noChangeArrowheads="1"/>
                    </pic:cNvPicPr>
                  </pic:nvPicPr>
                  <pic:blipFill>
                    <a:blip r:embed="rId12"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p>
      <w:r>
        <w:br w:type="page"/>
      </w:r>
      <w:r>
        <w:rPr>
          <w:noProof/>
        </w:rPr>
        <w:lastRenderedPageBreak/>
        <w:drawing>
          <wp:inline distT="0" distB="0" distL="0" distR="0">
            <wp:extent cx="6111240" cy="8061960"/>
            <wp:effectExtent l="0" t="0" r="0" b="0"/>
            <wp:docPr id="6" name="Bild 6" descr="21408anl_Seit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1408anl_Seite_6"/>
                    <pic:cNvPicPr>
                      <a:picLocks noChangeAspect="1" noChangeArrowheads="1"/>
                    </pic:cNvPicPr>
                  </pic:nvPicPr>
                  <pic:blipFill>
                    <a:blip r:embed="rId13"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p>
      <w:r>
        <w:br w:type="page"/>
      </w:r>
      <w:r>
        <w:rPr>
          <w:noProof/>
        </w:rPr>
        <w:lastRenderedPageBreak/>
        <w:drawing>
          <wp:inline distT="0" distB="0" distL="0" distR="0">
            <wp:extent cx="6111240" cy="8061960"/>
            <wp:effectExtent l="0" t="0" r="0" b="0"/>
            <wp:docPr id="7" name="Bild 7" descr="21408anl_Seit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1408anl_Seite_7"/>
                    <pic:cNvPicPr>
                      <a:picLocks noChangeAspect="1" noChangeArrowheads="1"/>
                    </pic:cNvPicPr>
                  </pic:nvPicPr>
                  <pic:blipFill>
                    <a:blip r:embed="rId14"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p>
      <w:r>
        <w:br w:type="page"/>
      </w:r>
      <w:r>
        <w:rPr>
          <w:noProof/>
        </w:rPr>
        <w:lastRenderedPageBreak/>
        <w:drawing>
          <wp:inline distT="0" distB="0" distL="0" distR="0">
            <wp:extent cx="6111240" cy="8061960"/>
            <wp:effectExtent l="0" t="0" r="0" b="0"/>
            <wp:docPr id="8" name="Bild 8" descr="21408anl_Seit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1408anl_Seite_8"/>
                    <pic:cNvPicPr>
                      <a:picLocks noChangeAspect="1" noChangeArrowheads="1"/>
                    </pic:cNvPicPr>
                  </pic:nvPicPr>
                  <pic:blipFill>
                    <a:blip r:embed="rId15" cstate="print">
                      <a:extLst>
                        <a:ext uri="{28A0092B-C50C-407E-A947-70E740481C1C}">
                          <a14:useLocalDpi xmlns:a14="http://schemas.microsoft.com/office/drawing/2010/main" val="0"/>
                        </a:ext>
                      </a:extLst>
                    </a:blip>
                    <a:srcRect t="6732"/>
                    <a:stretch>
                      <a:fillRect/>
                    </a:stretch>
                  </pic:blipFill>
                  <pic:spPr bwMode="auto">
                    <a:xfrm>
                      <a:off x="0" y="0"/>
                      <a:ext cx="6111240" cy="8061960"/>
                    </a:xfrm>
                    <a:prstGeom prst="rect">
                      <a:avLst/>
                    </a:prstGeom>
                    <a:noFill/>
                    <a:ln>
                      <a:noFill/>
                    </a:ln>
                  </pic:spPr>
                </pic:pic>
              </a:graphicData>
            </a:graphic>
          </wp:inline>
        </w:drawing>
      </w:r>
    </w:p>
    <w:sectPr>
      <w:headerReference w:type="default" r:id="rId16"/>
      <w:footerReference w:type="default" r:id="rId17"/>
      <w:pgSz w:w="11907" w:h="16840"/>
      <w:pgMar w:top="1134" w:right="851" w:bottom="1134" w:left="1418"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rPr>
        <w:rStyle w:val="Seitenzahl"/>
      </w:rPr>
    </w:pPr>
    <w:r>
      <w:tab/>
      <w:t>22.12.1998 (GV. NRW. S. 743 / SGV NRW. 20320)</w:t>
    </w:r>
    <w:r>
      <w:tab/>
      <w:t xml:space="preserve">Seite </w:t>
    </w: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p>
    <w:pPr>
      <w:pStyle w:val="Fuzeile"/>
      <w:rPr>
        <w:lang w:val="en-GB"/>
      </w:rPr>
    </w:pPr>
    <w:r>
      <w:rPr>
        <w:rStyle w:val="Seitenzahl"/>
      </w:rPr>
      <w:tab/>
      <w:t xml:space="preserve">Stand </w:t>
    </w:r>
    <w:r>
      <w:t>23.06.2006 (GV. NRW. S. 340</w:t>
    </w:r>
    <w:r>
      <w:rPr>
        <w:rStyle w:val="Seitenzahl"/>
        <w:lang w:val="en-GB"/>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0"/>
    </w:pPr>
    <w:r>
      <w:t>Archiv2.17</w:t>
    </w:r>
  </w:p>
  <w:p>
    <w:pPr>
      <w:pStyle w:val="Kopfzeile"/>
    </w:pPr>
    <w:r>
      <w:t>ARVO</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5:docId w15:val="{7944753B-EE0F-4B1E-9A61-8F0FE1E83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tabs>
        <w:tab w:val="left" w:pos="425"/>
      </w:tabs>
      <w:overflowPunct w:val="0"/>
      <w:autoSpaceDE w:val="0"/>
      <w:autoSpaceDN w:val="0"/>
      <w:adjustRightInd w:val="0"/>
      <w:spacing w:before="60" w:after="60"/>
      <w:jc w:val="both"/>
      <w:textAlignment w:val="baseline"/>
    </w:pPr>
    <w:rPr>
      <w:rFonts w:ascii="Arial" w:hAnsi="Arial"/>
    </w:rPr>
  </w:style>
  <w:style w:type="paragraph" w:styleId="berschrift1">
    <w:name w:val="heading 1"/>
    <w:basedOn w:val="Standard"/>
    <w:next w:val="GesAbsatz"/>
    <w:qFormat/>
    <w:pPr>
      <w:keepNext/>
      <w:spacing w:after="120"/>
      <w:jc w:val="center"/>
      <w:outlineLvl w:val="0"/>
    </w:pPr>
    <w:rPr>
      <w:b/>
      <w:kern w:val="28"/>
      <w:sz w:val="28"/>
    </w:rPr>
  </w:style>
  <w:style w:type="paragraph" w:styleId="berschrift2">
    <w:name w:val="heading 2"/>
    <w:basedOn w:val="Standard"/>
    <w:next w:val="GesAbsatz"/>
    <w:qFormat/>
    <w:pPr>
      <w:keepNext/>
      <w:spacing w:before="240"/>
      <w:jc w:val="center"/>
      <w:outlineLvl w:val="1"/>
    </w:pPr>
    <w:rPr>
      <w:b/>
      <w:sz w:val="24"/>
    </w:rPr>
  </w:style>
  <w:style w:type="paragraph" w:styleId="berschrift3">
    <w:name w:val="heading 3"/>
    <w:basedOn w:val="Standard"/>
    <w:next w:val="GesAbsatz"/>
    <w:qFormat/>
    <w:pPr>
      <w:keepNext/>
      <w:spacing w:before="240" w:after="180"/>
      <w:jc w:val="center"/>
      <w:outlineLvl w:val="2"/>
    </w:pPr>
    <w:rPr>
      <w:b/>
    </w:rPr>
  </w:style>
  <w:style w:type="paragraph" w:styleId="berschrift4">
    <w:name w:val="heading 4"/>
    <w:basedOn w:val="Standard"/>
    <w:next w:val="Standard"/>
    <w:pPr>
      <w:keepNext/>
      <w:spacing w:before="240"/>
      <w:outlineLvl w:val="3"/>
    </w:pPr>
  </w:style>
  <w:style w:type="paragraph" w:styleId="berschrift5">
    <w:name w:val="heading 5"/>
    <w:basedOn w:val="Standard"/>
    <w:next w:val="Standard"/>
    <w:link w:val="berschrift5Zchn"/>
    <w:pPr>
      <w:spacing w:before="120"/>
      <w:ind w:left="709" w:hanging="709"/>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qFormat/>
    <w:pPr>
      <w:tabs>
        <w:tab w:val="center" w:pos="4536"/>
        <w:tab w:val="right" w:pos="9072"/>
      </w:tabs>
      <w:spacing w:before="0" w:after="120"/>
      <w:jc w:val="right"/>
    </w:pPr>
  </w:style>
  <w:style w:type="paragraph" w:styleId="Fuzeile">
    <w:name w:val="footer"/>
    <w:basedOn w:val="Standard"/>
    <w:qFormat/>
    <w:pPr>
      <w:tabs>
        <w:tab w:val="clear" w:pos="425"/>
        <w:tab w:val="right" w:pos="8505"/>
        <w:tab w:val="right" w:pos="9639"/>
      </w:tabs>
      <w:spacing w:before="0" w:after="0"/>
      <w:jc w:val="left"/>
    </w:pPr>
    <w:rPr>
      <w:sz w:val="16"/>
    </w:rPr>
  </w:style>
  <w:style w:type="character" w:styleId="Seitenzahl">
    <w:name w:val="page number"/>
    <w:rPr>
      <w:rFonts w:ascii="Arial" w:hAnsi="Arial"/>
      <w:sz w:val="16"/>
    </w:rPr>
  </w:style>
  <w:style w:type="paragraph" w:styleId="Verzeichnis2">
    <w:name w:val="toc 2"/>
    <w:basedOn w:val="Standard"/>
    <w:next w:val="Standard"/>
    <w:uiPriority w:val="39"/>
    <w:pPr>
      <w:tabs>
        <w:tab w:val="clear" w:pos="425"/>
        <w:tab w:val="right" w:leader="dot" w:pos="9638"/>
      </w:tabs>
      <w:spacing w:before="0" w:after="0"/>
      <w:jc w:val="left"/>
    </w:pPr>
    <w:rPr>
      <w:rFonts w:ascii="Times New Roman" w:hAnsi="Times New Roman"/>
      <w:smallCaps/>
    </w:rPr>
  </w:style>
  <w:style w:type="paragraph" w:customStyle="1" w:styleId="Kopfzeile0">
    <w:name w:val="Kopfzeile0"/>
    <w:basedOn w:val="Standard"/>
    <w:next w:val="Kopfzeile"/>
    <w:qFormat/>
    <w:pPr>
      <w:spacing w:before="0" w:after="0"/>
      <w:jc w:val="right"/>
    </w:pPr>
    <w:rPr>
      <w:b/>
      <w:sz w:val="24"/>
    </w:rPr>
  </w:style>
  <w:style w:type="paragraph" w:styleId="Verzeichnis3">
    <w:name w:val="toc 3"/>
    <w:basedOn w:val="Standard"/>
    <w:next w:val="Standard"/>
    <w:uiPriority w:val="39"/>
    <w:pPr>
      <w:tabs>
        <w:tab w:val="clear" w:pos="425"/>
        <w:tab w:val="right" w:leader="dot" w:pos="9638"/>
      </w:tabs>
      <w:spacing w:before="0" w:after="0"/>
      <w:ind w:left="200"/>
      <w:jc w:val="left"/>
    </w:pPr>
    <w:rPr>
      <w:rFonts w:ascii="Times New Roman" w:hAnsi="Times New Roman"/>
      <w:i/>
    </w:rPr>
  </w:style>
  <w:style w:type="paragraph" w:styleId="Funotentext">
    <w:name w:val="footnote text"/>
    <w:basedOn w:val="Standard"/>
    <w:qFormat/>
    <w:pPr>
      <w:spacing w:before="0" w:after="0"/>
    </w:pPr>
    <w:rPr>
      <w:sz w:val="16"/>
    </w:rPr>
  </w:style>
  <w:style w:type="paragraph" w:styleId="Verzeichnis1">
    <w:name w:val="toc 1"/>
    <w:basedOn w:val="Verzeichnis3"/>
    <w:next w:val="Standard"/>
    <w:uiPriority w:val="39"/>
    <w:pPr>
      <w:spacing w:before="120" w:after="120"/>
      <w:ind w:left="0"/>
    </w:pPr>
    <w:rPr>
      <w:b/>
      <w:i w:val="0"/>
      <w:caps/>
    </w:rPr>
  </w:style>
  <w:style w:type="character" w:customStyle="1" w:styleId="berschrift5Zchn">
    <w:name w:val="Überschrift 5 Zchn"/>
    <w:basedOn w:val="Absatz-Standardschriftart"/>
    <w:link w:val="berschrift5"/>
    <w:rPr>
      <w:rFonts w:ascii="Arial" w:hAnsi="Arial"/>
    </w:rPr>
  </w:style>
  <w:style w:type="paragraph" w:customStyle="1" w:styleId="GesAbsatz">
    <w:name w:val="GesAbsatz"/>
    <w:basedOn w:val="Standard"/>
    <w:qFormat/>
    <w:pPr>
      <w:spacing w:before="100"/>
    </w:pPr>
    <w:rPr>
      <w:color w:val="000000"/>
    </w:rPr>
  </w:style>
  <w:style w:type="paragraph" w:styleId="Verzeichnis4">
    <w:name w:val="toc 4"/>
    <w:basedOn w:val="Standard"/>
    <w:next w:val="Standard"/>
    <w:semiHidden/>
    <w:pPr>
      <w:tabs>
        <w:tab w:val="clear" w:pos="425"/>
        <w:tab w:val="right" w:leader="dot" w:pos="9638"/>
      </w:tabs>
      <w:spacing w:before="0" w:after="0"/>
      <w:ind w:left="400"/>
      <w:jc w:val="left"/>
    </w:pPr>
    <w:rPr>
      <w:rFonts w:ascii="Times New Roman" w:hAnsi="Times New Roman"/>
      <w:sz w:val="18"/>
    </w:rPr>
  </w:style>
  <w:style w:type="paragraph" w:styleId="Verzeichnis5">
    <w:name w:val="toc 5"/>
    <w:basedOn w:val="Standard"/>
    <w:next w:val="Standard"/>
    <w:semiHidden/>
    <w:pPr>
      <w:tabs>
        <w:tab w:val="clear" w:pos="425"/>
        <w:tab w:val="right" w:leader="dot" w:pos="9638"/>
      </w:tabs>
      <w:spacing w:before="0" w:after="0"/>
      <w:ind w:left="600"/>
      <w:jc w:val="left"/>
    </w:pPr>
    <w:rPr>
      <w:rFonts w:ascii="Times New Roman" w:hAnsi="Times New Roman"/>
      <w:sz w:val="18"/>
    </w:rPr>
  </w:style>
  <w:style w:type="paragraph" w:styleId="Verzeichnis6">
    <w:name w:val="toc 6"/>
    <w:basedOn w:val="Standard"/>
    <w:next w:val="Standard"/>
    <w:semiHidden/>
    <w:pPr>
      <w:tabs>
        <w:tab w:val="clear" w:pos="425"/>
        <w:tab w:val="right" w:leader="dot" w:pos="9638"/>
      </w:tabs>
      <w:spacing w:before="0" w:after="0"/>
      <w:ind w:left="800"/>
      <w:jc w:val="left"/>
    </w:pPr>
    <w:rPr>
      <w:rFonts w:ascii="Times New Roman" w:hAnsi="Times New Roman"/>
      <w:sz w:val="18"/>
    </w:rPr>
  </w:style>
  <w:style w:type="paragraph" w:styleId="Verzeichnis7">
    <w:name w:val="toc 7"/>
    <w:basedOn w:val="Standard"/>
    <w:next w:val="Standard"/>
    <w:semiHidden/>
    <w:pPr>
      <w:tabs>
        <w:tab w:val="clear" w:pos="425"/>
        <w:tab w:val="right" w:leader="dot" w:pos="9638"/>
      </w:tabs>
      <w:spacing w:before="0" w:after="0"/>
      <w:ind w:left="1000"/>
      <w:jc w:val="left"/>
    </w:pPr>
    <w:rPr>
      <w:rFonts w:ascii="Times New Roman" w:hAnsi="Times New Roman"/>
      <w:sz w:val="18"/>
    </w:rPr>
  </w:style>
  <w:style w:type="paragraph" w:styleId="Verzeichnis8">
    <w:name w:val="toc 8"/>
    <w:basedOn w:val="Standard"/>
    <w:next w:val="Standard"/>
    <w:semiHidden/>
    <w:pPr>
      <w:tabs>
        <w:tab w:val="clear" w:pos="425"/>
        <w:tab w:val="right" w:leader="dot" w:pos="9638"/>
      </w:tabs>
      <w:spacing w:before="0" w:after="0"/>
      <w:ind w:left="1200"/>
      <w:jc w:val="left"/>
    </w:pPr>
    <w:rPr>
      <w:rFonts w:ascii="Times New Roman" w:hAnsi="Times New Roman"/>
      <w:sz w:val="18"/>
    </w:rPr>
  </w:style>
  <w:style w:type="paragraph" w:styleId="Verzeichnis9">
    <w:name w:val="toc 9"/>
    <w:basedOn w:val="Standard"/>
    <w:next w:val="Standard"/>
    <w:semiHidden/>
    <w:pPr>
      <w:tabs>
        <w:tab w:val="clear" w:pos="425"/>
        <w:tab w:val="right" w:leader="dot" w:pos="9638"/>
      </w:tabs>
      <w:spacing w:before="0" w:after="0"/>
      <w:ind w:left="1400"/>
      <w:jc w:val="left"/>
    </w:pPr>
    <w:rPr>
      <w:rFonts w:ascii="Times New Roman" w:hAnsi="Times New Roman"/>
      <w:sz w:val="18"/>
    </w:rPr>
  </w:style>
  <w:style w:type="character" w:styleId="Funotenzeichen">
    <w:name w:val="footnote reference"/>
    <w:qFormat/>
    <w:rPr>
      <w:sz w:val="20"/>
      <w:szCs w:val="20"/>
      <w:vertAlign w:val="superscript"/>
    </w:rPr>
  </w:style>
  <w:style w:type="character" w:styleId="Hyperlink">
    <w:name w:val="Hyperlink"/>
    <w:uiPriority w:val="99"/>
    <w:rPr>
      <w:color w:val="0000FF"/>
      <w:u w:val="single"/>
    </w:rPr>
  </w:style>
  <w:style w:type="character" w:styleId="BesuchterLink">
    <w:name w:val="FollowedHyperlink"/>
    <w:basedOn w:val="Absatz-Standardschriftar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echt.nrw.de/lmi/owa/br_bes_text?anw_nr=2&amp;gld_nr=2&amp;ugl_nr=20320&amp;bes_id=4786&amp;aufgehoben=J&amp;menu=1&amp;sg=0"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rueter\AppData\Roaming\Microsoft\Templates\VTU.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2220E-5B38-4E66-9B28-68A63796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VTU.dotx</Template>
  <TotalTime>0</TotalTime>
  <Pages>10</Pages>
  <Words>739</Words>
  <Characters>5588</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Verordnung über die Reisekostenvergütung bei Auslandsdienstreisen</vt:lpstr>
    </vt:vector>
  </TitlesOfParts>
  <Company>LANUV NRW</Company>
  <LinksUpToDate>false</LinksUpToDate>
  <CharactersWithSpaces>6315</CharactersWithSpaces>
  <SharedDoc>false</SharedDoc>
  <HLinks>
    <vt:vector size="66" baseType="variant">
      <vt:variant>
        <vt:i4>1769521</vt:i4>
      </vt:variant>
      <vt:variant>
        <vt:i4>59</vt:i4>
      </vt:variant>
      <vt:variant>
        <vt:i4>0</vt:i4>
      </vt:variant>
      <vt:variant>
        <vt:i4>5</vt:i4>
      </vt:variant>
      <vt:variant>
        <vt:lpwstr/>
      </vt:variant>
      <vt:variant>
        <vt:lpwstr>_Toc255912728</vt:lpwstr>
      </vt:variant>
      <vt:variant>
        <vt:i4>1769521</vt:i4>
      </vt:variant>
      <vt:variant>
        <vt:i4>53</vt:i4>
      </vt:variant>
      <vt:variant>
        <vt:i4>0</vt:i4>
      </vt:variant>
      <vt:variant>
        <vt:i4>5</vt:i4>
      </vt:variant>
      <vt:variant>
        <vt:lpwstr/>
      </vt:variant>
      <vt:variant>
        <vt:lpwstr>_Toc255912727</vt:lpwstr>
      </vt:variant>
      <vt:variant>
        <vt:i4>1769521</vt:i4>
      </vt:variant>
      <vt:variant>
        <vt:i4>47</vt:i4>
      </vt:variant>
      <vt:variant>
        <vt:i4>0</vt:i4>
      </vt:variant>
      <vt:variant>
        <vt:i4>5</vt:i4>
      </vt:variant>
      <vt:variant>
        <vt:lpwstr/>
      </vt:variant>
      <vt:variant>
        <vt:lpwstr>_Toc255912726</vt:lpwstr>
      </vt:variant>
      <vt:variant>
        <vt:i4>1769521</vt:i4>
      </vt:variant>
      <vt:variant>
        <vt:i4>41</vt:i4>
      </vt:variant>
      <vt:variant>
        <vt:i4>0</vt:i4>
      </vt:variant>
      <vt:variant>
        <vt:i4>5</vt:i4>
      </vt:variant>
      <vt:variant>
        <vt:lpwstr/>
      </vt:variant>
      <vt:variant>
        <vt:lpwstr>_Toc255912725</vt:lpwstr>
      </vt:variant>
      <vt:variant>
        <vt:i4>1769521</vt:i4>
      </vt:variant>
      <vt:variant>
        <vt:i4>35</vt:i4>
      </vt:variant>
      <vt:variant>
        <vt:i4>0</vt:i4>
      </vt:variant>
      <vt:variant>
        <vt:i4>5</vt:i4>
      </vt:variant>
      <vt:variant>
        <vt:lpwstr/>
      </vt:variant>
      <vt:variant>
        <vt:lpwstr>_Toc255912724</vt:lpwstr>
      </vt:variant>
      <vt:variant>
        <vt:i4>1769521</vt:i4>
      </vt:variant>
      <vt:variant>
        <vt:i4>29</vt:i4>
      </vt:variant>
      <vt:variant>
        <vt:i4>0</vt:i4>
      </vt:variant>
      <vt:variant>
        <vt:i4>5</vt:i4>
      </vt:variant>
      <vt:variant>
        <vt:lpwstr/>
      </vt:variant>
      <vt:variant>
        <vt:lpwstr>_Toc255912723</vt:lpwstr>
      </vt:variant>
      <vt:variant>
        <vt:i4>1769521</vt:i4>
      </vt:variant>
      <vt:variant>
        <vt:i4>23</vt:i4>
      </vt:variant>
      <vt:variant>
        <vt:i4>0</vt:i4>
      </vt:variant>
      <vt:variant>
        <vt:i4>5</vt:i4>
      </vt:variant>
      <vt:variant>
        <vt:lpwstr/>
      </vt:variant>
      <vt:variant>
        <vt:lpwstr>_Toc255912722</vt:lpwstr>
      </vt:variant>
      <vt:variant>
        <vt:i4>1769521</vt:i4>
      </vt:variant>
      <vt:variant>
        <vt:i4>17</vt:i4>
      </vt:variant>
      <vt:variant>
        <vt:i4>0</vt:i4>
      </vt:variant>
      <vt:variant>
        <vt:i4>5</vt:i4>
      </vt:variant>
      <vt:variant>
        <vt:lpwstr/>
      </vt:variant>
      <vt:variant>
        <vt:lpwstr>_Toc255912721</vt:lpwstr>
      </vt:variant>
      <vt:variant>
        <vt:i4>1769521</vt:i4>
      </vt:variant>
      <vt:variant>
        <vt:i4>11</vt:i4>
      </vt:variant>
      <vt:variant>
        <vt:i4>0</vt:i4>
      </vt:variant>
      <vt:variant>
        <vt:i4>5</vt:i4>
      </vt:variant>
      <vt:variant>
        <vt:lpwstr/>
      </vt:variant>
      <vt:variant>
        <vt:lpwstr>_Toc255912720</vt:lpwstr>
      </vt:variant>
      <vt:variant>
        <vt:i4>1572913</vt:i4>
      </vt:variant>
      <vt:variant>
        <vt:i4>5</vt:i4>
      </vt:variant>
      <vt:variant>
        <vt:i4>0</vt:i4>
      </vt:variant>
      <vt:variant>
        <vt:i4>5</vt:i4>
      </vt:variant>
      <vt:variant>
        <vt:lpwstr/>
      </vt:variant>
      <vt:variant>
        <vt:lpwstr>_Toc255912719</vt:lpwstr>
      </vt:variant>
      <vt:variant>
        <vt:i4>4063340</vt:i4>
      </vt:variant>
      <vt:variant>
        <vt:i4>0</vt:i4>
      </vt:variant>
      <vt:variant>
        <vt:i4>0</vt:i4>
      </vt:variant>
      <vt:variant>
        <vt:i4>5</vt:i4>
      </vt:variant>
      <vt:variant>
        <vt:lpwstr>https://lv.recht.nrw.de/lmi/owa/br_bes_text?anw_nr=2&amp;gld_nr=2&amp;ugl_nr=20320&amp;bes_id=4786&amp;aufgehoben=J&amp;menu=1&amp;sg=0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Verordnung über die Reisekostenvergütung bei Auslandsdienstreisen</dc:title>
  <dc:creator>LANUV NRW</dc:creator>
  <dc:description>neu 8.2006</dc:description>
  <cp:lastModifiedBy>Rüter, Dr., Ingo</cp:lastModifiedBy>
  <cp:revision>4</cp:revision>
  <cp:lastPrinted>2010-03-09T14:44:00Z</cp:lastPrinted>
  <dcterms:created xsi:type="dcterms:W3CDTF">2015-02-20T07:46:00Z</dcterms:created>
  <dcterms:modified xsi:type="dcterms:W3CDTF">2024-05-16T07:54:00Z</dcterms:modified>
</cp:coreProperties>
</file>