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3976406"/>
      <w:bookmarkStart w:id="1" w:name="_Toc451136279"/>
      <w:bookmarkStart w:id="2" w:name="_Toc218391780"/>
      <w:bookmarkStart w:id="3" w:name="_Toc413646431"/>
      <w:r>
        <w:t>Verordnun</w:t>
      </w:r>
      <w:bookmarkStart w:id="4" w:name="_GoBack"/>
      <w:bookmarkEnd w:id="4"/>
      <w:r>
        <w:t>g über Sicherheit und Gesundheitsschutz bei der Arbeit an Bildschirmgeräten - Bildschirmarbeitsverordnung - BildscharbV</w:t>
      </w:r>
      <w:bookmarkEnd w:id="0"/>
      <w:bookmarkEnd w:id="1"/>
      <w:bookmarkEnd w:id="2"/>
    </w:p>
    <w:p>
      <w:pPr>
        <w:pStyle w:val="GesAbsatz"/>
        <w:jc w:val="center"/>
      </w:pPr>
      <w:r>
        <w:t>vom 4. Dezember 1996</w:t>
      </w:r>
      <w:bookmarkEnd w:id="3"/>
    </w:p>
    <w:p>
      <w:pPr>
        <w:pStyle w:val="GesAbsatz"/>
        <w:jc w:val="left"/>
        <w:rPr>
          <w:b/>
          <w:i/>
          <w:iCs/>
          <w:color w:val="FF0000"/>
          <w:sz w:val="22"/>
          <w:szCs w:val="22"/>
        </w:rPr>
      </w:pPr>
      <w:r>
        <w:rPr>
          <w:b/>
          <w:i/>
          <w:color w:val="FF0000"/>
          <w:sz w:val="22"/>
          <w:szCs w:val="22"/>
        </w:rPr>
        <w:t>Gültig bis 02.12.2016.</w:t>
      </w:r>
    </w:p>
    <w:p>
      <w:pPr>
        <w:pStyle w:val="GesAbsatz"/>
      </w:pPr>
      <w:hyperlink w:anchor="Gesetzeshistorie" w:history="1">
        <w:r>
          <w:rPr>
            <w:rStyle w:val="Hyperlink"/>
          </w:rPr>
          <w:t>Gesetzeshistorie</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w:instrText>
      </w:r>
      <w:r>
        <w:fldChar w:fldCharType="separate"/>
      </w:r>
      <w:r>
        <w:rPr>
          <w:noProof/>
        </w:rPr>
        <w:t>Bildschirmarbeitsverordnung - BildscharbV</w:t>
      </w:r>
      <w:r>
        <w:rPr>
          <w:noProof/>
        </w:rPr>
        <w:tab/>
      </w:r>
      <w:r>
        <w:rPr>
          <w:noProof/>
        </w:rPr>
        <w:fldChar w:fldCharType="begin"/>
      </w:r>
      <w:r>
        <w:rPr>
          <w:noProof/>
        </w:rPr>
        <w:instrText xml:space="preserve"> PAGEREF _Toc218391780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1 Anwendungsbereich</w:t>
      </w:r>
      <w:r>
        <w:rPr>
          <w:noProof/>
        </w:rPr>
        <w:tab/>
      </w:r>
      <w:r>
        <w:rPr>
          <w:noProof/>
        </w:rPr>
        <w:fldChar w:fldCharType="begin"/>
      </w:r>
      <w:r>
        <w:rPr>
          <w:noProof/>
        </w:rPr>
        <w:instrText xml:space="preserve"> PAGEREF _Toc218391781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2 Begriffsbestimmungen</w:t>
      </w:r>
      <w:r>
        <w:rPr>
          <w:noProof/>
        </w:rPr>
        <w:tab/>
      </w:r>
      <w:r>
        <w:rPr>
          <w:noProof/>
        </w:rPr>
        <w:fldChar w:fldCharType="begin"/>
      </w:r>
      <w:r>
        <w:rPr>
          <w:noProof/>
        </w:rPr>
        <w:instrText xml:space="preserve"> PAGEREF _Toc218391782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3 Beurteilung der Arbeitsbedingungen</w:t>
      </w:r>
      <w:r>
        <w:rPr>
          <w:noProof/>
        </w:rPr>
        <w:tab/>
      </w:r>
      <w:r>
        <w:rPr>
          <w:noProof/>
        </w:rPr>
        <w:fldChar w:fldCharType="begin"/>
      </w:r>
      <w:r>
        <w:rPr>
          <w:noProof/>
        </w:rPr>
        <w:instrText xml:space="preserve"> PAGEREF _Toc218391783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4 Anforderungen an die Gestaltung</w:t>
      </w:r>
      <w:r>
        <w:rPr>
          <w:noProof/>
        </w:rPr>
        <w:tab/>
      </w:r>
      <w:r>
        <w:rPr>
          <w:noProof/>
        </w:rPr>
        <w:fldChar w:fldCharType="begin"/>
      </w:r>
      <w:r>
        <w:rPr>
          <w:noProof/>
        </w:rPr>
        <w:instrText xml:space="preserve"> PAGEREF _Toc218391784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5 Täglicher Arbeitsablauf</w:t>
      </w:r>
      <w:r>
        <w:rPr>
          <w:noProof/>
        </w:rPr>
        <w:tab/>
      </w:r>
      <w:r>
        <w:rPr>
          <w:noProof/>
        </w:rPr>
        <w:fldChar w:fldCharType="begin"/>
      </w:r>
      <w:r>
        <w:rPr>
          <w:noProof/>
        </w:rPr>
        <w:instrText xml:space="preserve"> PAGEREF _Toc218391785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6 Untersuchung der Augen und des Sehvermögens</w:t>
      </w:r>
      <w:r>
        <w:rPr>
          <w:noProof/>
        </w:rPr>
        <w:tab/>
      </w:r>
      <w:r>
        <w:rPr>
          <w:noProof/>
        </w:rPr>
        <w:fldChar w:fldCharType="begin"/>
      </w:r>
      <w:r>
        <w:rPr>
          <w:noProof/>
        </w:rPr>
        <w:instrText xml:space="preserve"> PAGEREF _Toc218391786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7 (aufgehoben)</w:t>
      </w:r>
      <w:r>
        <w:rPr>
          <w:noProof/>
        </w:rPr>
        <w:tab/>
      </w:r>
      <w:r>
        <w:rPr>
          <w:noProof/>
        </w:rPr>
        <w:fldChar w:fldCharType="begin"/>
      </w:r>
      <w:r>
        <w:rPr>
          <w:noProof/>
        </w:rPr>
        <w:instrText xml:space="preserve"> PAGEREF _Toc218391787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Anhang über an Bildschirmarbeitsplätze zu stellende Anforderungen</w:t>
      </w:r>
      <w:r>
        <w:rPr>
          <w:noProof/>
        </w:rPr>
        <w:tab/>
      </w:r>
      <w:r>
        <w:rPr>
          <w:noProof/>
        </w:rPr>
        <w:fldChar w:fldCharType="begin"/>
      </w:r>
      <w:r>
        <w:rPr>
          <w:noProof/>
        </w:rPr>
        <w:instrText xml:space="preserve"> PAGEREF _Toc218391788 \h </w:instrText>
      </w:r>
      <w:r>
        <w:rPr>
          <w:noProof/>
        </w:rPr>
      </w:r>
      <w:r>
        <w:rPr>
          <w:noProof/>
        </w:rPr>
        <w:fldChar w:fldCharType="separate"/>
      </w:r>
      <w:r>
        <w:rPr>
          <w:noProof/>
        </w:rPr>
        <w:t>2</w:t>
      </w:r>
      <w:r>
        <w:rPr>
          <w:noProof/>
        </w:rPr>
        <w:fldChar w:fldCharType="end"/>
      </w:r>
    </w:p>
    <w:p>
      <w:pPr>
        <w:pStyle w:val="GesAbsatz"/>
      </w:pPr>
      <w:r>
        <w:fldChar w:fldCharType="end"/>
      </w:r>
    </w:p>
    <w:p>
      <w:pPr>
        <w:pStyle w:val="berschrift3"/>
      </w:pPr>
      <w:bookmarkStart w:id="5" w:name="_Toc413646435"/>
      <w:bookmarkStart w:id="6" w:name="_Toc443976407"/>
      <w:bookmarkStart w:id="7" w:name="_Toc451136280"/>
      <w:bookmarkStart w:id="8" w:name="_Toc218391781"/>
      <w:r>
        <w:t>§ 1</w:t>
      </w:r>
      <w:r>
        <w:br/>
        <w:t>Anwendungsbereich</w:t>
      </w:r>
      <w:bookmarkEnd w:id="5"/>
      <w:bookmarkEnd w:id="6"/>
      <w:bookmarkEnd w:id="7"/>
      <w:bookmarkEnd w:id="8"/>
    </w:p>
    <w:p>
      <w:pPr>
        <w:pStyle w:val="GesAbsatz"/>
      </w:pPr>
      <w:r>
        <w:t>(1) Diese Verordnung gilt für die Arbeit an Bildschirmgeräten.</w:t>
      </w:r>
    </w:p>
    <w:p>
      <w:pPr>
        <w:pStyle w:val="GesAbsatz"/>
      </w:pPr>
      <w:r>
        <w:t>(2) Diese Verordnung gilt nicht für die Arbeit an</w:t>
      </w:r>
    </w:p>
    <w:p>
      <w:pPr>
        <w:pStyle w:val="GesAbsatz"/>
        <w:ind w:left="426" w:hanging="426"/>
      </w:pPr>
      <w:r>
        <w:t>1.</w:t>
      </w:r>
      <w:r>
        <w:tab/>
        <w:t>Bedienerplätzen von Maschinen oder an Fahrerplätzen von Fahrzeugen mit Bildschirmgeräten,</w:t>
      </w:r>
    </w:p>
    <w:p>
      <w:pPr>
        <w:pStyle w:val="GesAbsatz"/>
        <w:ind w:left="426" w:hanging="426"/>
      </w:pPr>
      <w:r>
        <w:t>2.</w:t>
      </w:r>
      <w:r>
        <w:tab/>
        <w:t xml:space="preserve">Bildschirmgeräten an Bord von Verkehrsmitteln, </w:t>
      </w:r>
    </w:p>
    <w:p>
      <w:pPr>
        <w:pStyle w:val="GesAbsatz"/>
        <w:ind w:left="426" w:hanging="426"/>
      </w:pPr>
      <w:r>
        <w:t>3.</w:t>
      </w:r>
      <w:r>
        <w:tab/>
        <w:t>Datenverarbeitungsanlagen, die hauptsächlich zur Benutzung durch die Öffentlichkeit bestimmt sind,</w:t>
      </w:r>
    </w:p>
    <w:p>
      <w:pPr>
        <w:pStyle w:val="GesAbsatz"/>
        <w:ind w:left="426" w:hanging="426"/>
      </w:pPr>
      <w:r>
        <w:t>4.</w:t>
      </w:r>
      <w:r>
        <w:tab/>
        <w:t>Bildschirmgeräten für den ortsveränderlichen Gebrauch, sofern sie nicht regelmäßig an einem Arbeitsplatz eingesetzt werden,</w:t>
      </w:r>
    </w:p>
    <w:p>
      <w:pPr>
        <w:pStyle w:val="GesAbsatz"/>
        <w:ind w:left="426" w:hanging="426"/>
      </w:pPr>
      <w:r>
        <w:t>5.</w:t>
      </w:r>
      <w:r>
        <w:tab/>
        <w:t xml:space="preserve">Rechenmaschinen, Registrierkassen oder anderen Arbeitsmitteln mit einer kleinen Daten- oder </w:t>
      </w:r>
      <w:proofErr w:type="spellStart"/>
      <w:r>
        <w:t>Meßwertanzeigevorrichtung</w:t>
      </w:r>
      <w:proofErr w:type="spellEnd"/>
      <w:r>
        <w:t>, die zur unmittelbaren Benutzung des Arbeitsmittels erforderlich ist, sowie</w:t>
      </w:r>
    </w:p>
    <w:p>
      <w:pPr>
        <w:pStyle w:val="GesAbsatz"/>
        <w:ind w:left="426" w:hanging="426"/>
      </w:pPr>
      <w:r>
        <w:t>6.</w:t>
      </w:r>
      <w:r>
        <w:tab/>
        <w:t>Schreibmaschinen klassischer Bauart mit einem Display.</w:t>
      </w:r>
    </w:p>
    <w:p>
      <w:pPr>
        <w:pStyle w:val="GesAbsatz"/>
      </w:pPr>
      <w:r>
        <w:t>(3) Die Verordnung gilt nicht in Betrieben, die dem Bundesberggesetz unterliegen.</w:t>
      </w:r>
    </w:p>
    <w:p>
      <w:pPr>
        <w:pStyle w:val="GesAbsatz"/>
      </w:pPr>
      <w:r>
        <w:t xml:space="preserve">(4) Das Bundeskanzleramt, das Bundesministerium des Innern, das Bundesministerium für Verkehr und digitale Infrastruktur, das Bundesministerium der Verteidigung oder das Bundesministerium der Finanzen können, soweit sie hierfür jeweils zuständig sind, im Einvernehmen mit dem Bundesministerium für Arbeit und Soziales und, soweit nicht das Bundesministerium des Innern selbst zuständig ist, im Einvernehmen mit dem Bundesministerium des Innern bestimmen, </w:t>
      </w:r>
      <w:proofErr w:type="spellStart"/>
      <w:r>
        <w:t>daß</w:t>
      </w:r>
      <w:proofErr w:type="spellEnd"/>
      <w:r>
        <w:t xml:space="preserve"> für bestimmte Tätigkeiten im öffentlichen Dienst des Bundes, insbesondere bei der Bundeswehr, der Polizei, den Zivil- und Katastrophenschutzdiensten, dem Zoll oder den Nachrichtendiensten, Vorschriften dieser Verordnung ganz oder zum Teil nicht anzuwenden sind, soweit öffentliche Belange dies zwingend erfordern, insbesondere zur Aufrechterhaltung oder Wiederherstellung der öffentlichen Sicherheit. In diesem Fall ist gleichzeitig festzulegen, wie die Sicherheit und der Gesundheitsschutz der Beschäftigten nach dieser Verordnung auf andere Weise gewährleistet werden.</w:t>
      </w:r>
    </w:p>
    <w:p>
      <w:pPr>
        <w:pStyle w:val="berschrift3"/>
      </w:pPr>
      <w:bookmarkStart w:id="9" w:name="_Toc413646436"/>
      <w:bookmarkStart w:id="10" w:name="_Toc443976408"/>
      <w:bookmarkStart w:id="11" w:name="_Toc451136281"/>
      <w:bookmarkStart w:id="12" w:name="_Toc218391782"/>
      <w:r>
        <w:t>§ 2</w:t>
      </w:r>
      <w:r>
        <w:br/>
        <w:t>Begriffsbestimmungen</w:t>
      </w:r>
      <w:bookmarkEnd w:id="9"/>
      <w:bookmarkEnd w:id="10"/>
      <w:bookmarkEnd w:id="11"/>
      <w:bookmarkEnd w:id="12"/>
    </w:p>
    <w:p>
      <w:pPr>
        <w:pStyle w:val="GesAbsatz"/>
      </w:pPr>
      <w:r>
        <w:t>(1) Bildschirmgerät im Sinne dieser Verordnung ist ein Bildschirm zur Darstellung alphanumerischer Zeichen oder zur Grafikdarstellung, ungeachtet des Darstellungsverfahrens.</w:t>
      </w:r>
    </w:p>
    <w:p>
      <w:pPr>
        <w:pStyle w:val="GesAbsatz"/>
      </w:pPr>
      <w:r>
        <w:t>(2) Bildschirmarbeitsplatz im Sinne dieser Verordnung ist ein Arbeitsplatz mit einem Bildschirmgerät, der ausgestattet sein kann mit</w:t>
      </w:r>
    </w:p>
    <w:p>
      <w:pPr>
        <w:pStyle w:val="GesAbsatz"/>
      </w:pPr>
      <w:r>
        <w:t>1.</w:t>
      </w:r>
      <w:r>
        <w:tab/>
        <w:t>Einrichtungen zur Erfassung von Daten,</w:t>
      </w:r>
    </w:p>
    <w:p>
      <w:pPr>
        <w:pStyle w:val="GesAbsatz"/>
      </w:pPr>
      <w:r>
        <w:t>2.</w:t>
      </w:r>
      <w:r>
        <w:tab/>
        <w:t xml:space="preserve">Software, die den Beschäftigten bei der Ausführung ihrer Arbeitsaufgaben zur Verfügung steht, </w:t>
      </w:r>
    </w:p>
    <w:p>
      <w:pPr>
        <w:pStyle w:val="GesAbsatz"/>
      </w:pPr>
      <w:r>
        <w:t>3.</w:t>
      </w:r>
      <w:r>
        <w:tab/>
        <w:t xml:space="preserve">Zusatzgeräten und Elementen, die zum Betreiben oder Benutzen des Bildschirmgerätes gehören, oder </w:t>
      </w:r>
    </w:p>
    <w:p>
      <w:pPr>
        <w:pStyle w:val="GesAbsatz"/>
      </w:pPr>
      <w:r>
        <w:lastRenderedPageBreak/>
        <w:t>4.</w:t>
      </w:r>
      <w:r>
        <w:tab/>
        <w:t xml:space="preserve">sonstigen Arbeitsmitteln, </w:t>
      </w:r>
    </w:p>
    <w:p>
      <w:pPr>
        <w:pStyle w:val="GesAbsatz"/>
      </w:pPr>
      <w:r>
        <w:t xml:space="preserve">sowie die unmittelbare Arbeitsumgebung. </w:t>
      </w:r>
    </w:p>
    <w:p>
      <w:pPr>
        <w:pStyle w:val="GesAbsatz"/>
      </w:pPr>
      <w:r>
        <w:t xml:space="preserve">(3) Beschäftigte im Sinne dieser Verordnung sind Beschäftigte, die gewöhnlich bei einem nicht unwesentlichen Teil ihrer normalen Arbeit ein Bildschirmgerät benutzen. </w:t>
      </w:r>
    </w:p>
    <w:p>
      <w:pPr>
        <w:pStyle w:val="berschrift3"/>
      </w:pPr>
      <w:bookmarkStart w:id="13" w:name="_Toc413646437"/>
      <w:bookmarkStart w:id="14" w:name="_Toc443976409"/>
      <w:bookmarkStart w:id="15" w:name="_Toc451136282"/>
      <w:bookmarkStart w:id="16" w:name="_Toc218391783"/>
      <w:r>
        <w:t>§ 3</w:t>
      </w:r>
      <w:r>
        <w:br/>
        <w:t>Beurteilung der Arbeitsbedingungen</w:t>
      </w:r>
      <w:bookmarkEnd w:id="13"/>
      <w:bookmarkEnd w:id="14"/>
      <w:bookmarkEnd w:id="15"/>
      <w:bookmarkEnd w:id="16"/>
    </w:p>
    <w:p>
      <w:pPr>
        <w:pStyle w:val="GesAbsatz"/>
      </w:pPr>
      <w:r>
        <w:t xml:space="preserve">Bei der Beurteilung der Arbeitsbedingungen nach § 5 des Arbeitsschutzgesetzes hat der Arbeitgeber bei Bildschirmarbeitsplätzen die Sicherheits- und Gesundheitsbedingungen insbesondere hinsichtlich einer möglichen Gefährdung des Sehvermögens sowie körperlicher Probleme und psychischer Belastungen zu ermitteln und zu beurteilen. </w:t>
      </w:r>
    </w:p>
    <w:p>
      <w:pPr>
        <w:pStyle w:val="berschrift3"/>
      </w:pPr>
      <w:bookmarkStart w:id="17" w:name="_Toc413646438"/>
      <w:bookmarkStart w:id="18" w:name="_Toc443976410"/>
      <w:bookmarkStart w:id="19" w:name="_Toc451136283"/>
      <w:bookmarkStart w:id="20" w:name="_Toc218391784"/>
      <w:r>
        <w:t>§ 4</w:t>
      </w:r>
      <w:r>
        <w:br/>
        <w:t>Anforderungen an die Gestaltung</w:t>
      </w:r>
      <w:bookmarkEnd w:id="17"/>
      <w:bookmarkEnd w:id="18"/>
      <w:bookmarkEnd w:id="19"/>
      <w:bookmarkEnd w:id="20"/>
    </w:p>
    <w:p>
      <w:pPr>
        <w:pStyle w:val="GesAbsatz"/>
      </w:pPr>
      <w:r>
        <w:t xml:space="preserve">(1) Der Arbeitgeber hat geeignete Maßnahmen zu treffen, damit die Bildschirmarbeitsplätze den Anforderungen des Anhangs und sonstiger Rechtsvorschriften entsprechen. </w:t>
      </w:r>
    </w:p>
    <w:p>
      <w:pPr>
        <w:pStyle w:val="GesAbsatz"/>
      </w:pPr>
      <w:r>
        <w:t xml:space="preserve">(2) Bei Bildschirmarbeitsplätzen, die bis zum 20. Dezember 1996 in Betrieb sind, hat der Arbeitgeber die geeigneten Maßnahmen nach Absatz 1 dann zu treffen, </w:t>
      </w:r>
    </w:p>
    <w:p>
      <w:pPr>
        <w:pStyle w:val="GesAbsatz"/>
        <w:tabs>
          <w:tab w:val="clear" w:pos="425"/>
        </w:tabs>
        <w:ind w:left="426" w:hanging="426"/>
      </w:pPr>
      <w:r>
        <w:t>1.</w:t>
      </w:r>
      <w:r>
        <w:tab/>
        <w:t>wenn diese Arbeitsplätze wesentlich geändert werden oder</w:t>
      </w:r>
    </w:p>
    <w:p>
      <w:pPr>
        <w:pStyle w:val="GesAbsatz"/>
        <w:tabs>
          <w:tab w:val="clear" w:pos="425"/>
        </w:tabs>
        <w:ind w:left="426" w:hanging="426"/>
      </w:pPr>
      <w:r>
        <w:t>2.</w:t>
      </w:r>
      <w:r>
        <w:tab/>
        <w:t xml:space="preserve">wenn die Beurteilung der Arbeitsbedingungen nach § 3 ergibt, </w:t>
      </w:r>
      <w:proofErr w:type="spellStart"/>
      <w:r>
        <w:t>daß</w:t>
      </w:r>
      <w:proofErr w:type="spellEnd"/>
      <w:r>
        <w:t xml:space="preserve"> durch die Arbeit an diesen Arbeitsplätzen Leben oder Gesundheit der Beschäftigten gefährdet ist,</w:t>
      </w:r>
    </w:p>
    <w:p>
      <w:pPr>
        <w:pStyle w:val="GesAbsatz"/>
      </w:pPr>
      <w:r>
        <w:t xml:space="preserve">spätestens jedoch bis zum 31. Dezember 1999. </w:t>
      </w:r>
    </w:p>
    <w:p>
      <w:pPr>
        <w:pStyle w:val="GesAbsatz"/>
      </w:pPr>
      <w:r>
        <w:t>(3) Von den Anforderungen des Anhangs darf abgewichen werden, wenn</w:t>
      </w:r>
    </w:p>
    <w:p>
      <w:pPr>
        <w:pStyle w:val="GesAbsatz"/>
        <w:ind w:left="426" w:hanging="426"/>
      </w:pPr>
      <w:r>
        <w:t>1.</w:t>
      </w:r>
      <w:r>
        <w:tab/>
        <w:t>die spezifischen Erfordernisse des Bildschirmarbeitsplatzes oder Merkmale der Tätigkeit diesen Anforderungen entgegenstehen oder</w:t>
      </w:r>
    </w:p>
    <w:p>
      <w:pPr>
        <w:pStyle w:val="GesAbsatz"/>
        <w:ind w:left="426" w:hanging="426"/>
      </w:pPr>
      <w:r>
        <w:t>2.</w:t>
      </w:r>
      <w:r>
        <w:tab/>
        <w:t xml:space="preserve">der Bildschirmarbeitsplatz entsprechend den jeweiligen Fähigkeiten der daran tätigen Behinderten unter Berücksichtigung von Art und Schwere der Behinderung gestaltet wird </w:t>
      </w:r>
    </w:p>
    <w:p>
      <w:pPr>
        <w:pStyle w:val="GesAbsatz"/>
      </w:pPr>
      <w:r>
        <w:t xml:space="preserve">und dabei Sicherheit und Gesundheitsschutz auf andere Weise gewährleistet sind. </w:t>
      </w:r>
    </w:p>
    <w:p>
      <w:pPr>
        <w:pStyle w:val="berschrift3"/>
      </w:pPr>
      <w:bookmarkStart w:id="21" w:name="_Toc413646439"/>
      <w:bookmarkStart w:id="22" w:name="_Toc443976411"/>
      <w:bookmarkStart w:id="23" w:name="_Toc451136284"/>
      <w:bookmarkStart w:id="24" w:name="_Toc218391785"/>
      <w:r>
        <w:t>§ 5</w:t>
      </w:r>
      <w:r>
        <w:br/>
        <w:t>Täglicher Arbeitsablauf</w:t>
      </w:r>
      <w:bookmarkEnd w:id="21"/>
      <w:bookmarkEnd w:id="22"/>
      <w:bookmarkEnd w:id="23"/>
      <w:bookmarkEnd w:id="24"/>
    </w:p>
    <w:p>
      <w:pPr>
        <w:pStyle w:val="GesAbsatz"/>
      </w:pPr>
      <w:r>
        <w:t xml:space="preserve">Der Arbeitgeber hat die Tätigkeit der Beschäftigten so zu organisieren, </w:t>
      </w:r>
      <w:proofErr w:type="spellStart"/>
      <w:r>
        <w:t>daß</w:t>
      </w:r>
      <w:proofErr w:type="spellEnd"/>
      <w:r>
        <w:t xml:space="preserve"> die tägliche Arbeit an Bildschirmgeräten regelmäßig durch andere Tätigkeiten oder durch Pausen unterbrochen wird, die jeweils die Belastung durch die Arbeit am Bildschirmgerät verringern. </w:t>
      </w:r>
    </w:p>
    <w:p>
      <w:pPr>
        <w:pStyle w:val="berschrift3"/>
      </w:pPr>
      <w:bookmarkStart w:id="25" w:name="_Toc413646440"/>
      <w:bookmarkStart w:id="26" w:name="_Toc443976412"/>
      <w:bookmarkStart w:id="27" w:name="_Toc451136285"/>
      <w:bookmarkStart w:id="28" w:name="_Toc218391786"/>
      <w:r>
        <w:t>§ 6</w:t>
      </w:r>
      <w:r>
        <w:br/>
        <w:t>Untersuchung der Augen und des Sehvermögens</w:t>
      </w:r>
      <w:bookmarkEnd w:id="25"/>
      <w:bookmarkEnd w:id="26"/>
      <w:bookmarkEnd w:id="27"/>
      <w:bookmarkEnd w:id="28"/>
    </w:p>
    <w:p>
      <w:pPr>
        <w:pStyle w:val="GesAbsatz"/>
      </w:pPr>
      <w:r>
        <w:t>Für die Untersuchung der Augen und des Sehvermögens einschließlich des Zurverfügungstellens von speziellen Sehhilfen gilt die Verordnung zur arbeitsmedizinischen Vorsorge vom 18. Dezember 2008 (BGBl. I S. 2768), die im Anhang Teil 4 einen Anlass für Angebotsuntersuchungen enthält, in der jeweils geltenden Fassung.</w:t>
      </w:r>
    </w:p>
    <w:p>
      <w:pPr>
        <w:pStyle w:val="berschrift3"/>
      </w:pPr>
      <w:bookmarkStart w:id="29" w:name="_Toc413646441"/>
      <w:bookmarkStart w:id="30" w:name="_Toc443976413"/>
      <w:bookmarkStart w:id="31" w:name="_Toc451136286"/>
      <w:bookmarkStart w:id="32" w:name="_Toc218391787"/>
      <w:r>
        <w:t>§ 7</w:t>
      </w:r>
      <w:r>
        <w:br/>
      </w:r>
      <w:bookmarkEnd w:id="29"/>
      <w:bookmarkEnd w:id="30"/>
      <w:bookmarkEnd w:id="31"/>
      <w:r>
        <w:t>(aufgehoben)</w:t>
      </w:r>
      <w:bookmarkEnd w:id="32"/>
    </w:p>
    <w:p>
      <w:pPr>
        <w:pStyle w:val="GesAbsatz"/>
      </w:pPr>
    </w:p>
    <w:p>
      <w:pPr>
        <w:pStyle w:val="berschrift2"/>
        <w:jc w:val="left"/>
      </w:pPr>
      <w:bookmarkStart w:id="33" w:name="_Toc413646442"/>
      <w:bookmarkStart w:id="34" w:name="_Toc443976414"/>
      <w:bookmarkStart w:id="35" w:name="_Toc451136287"/>
      <w:bookmarkStart w:id="36" w:name="_Toc218391788"/>
      <w:r>
        <w:t>Anhang über an Bildschirmarbeitsplätze zu stellende Anforderungen</w:t>
      </w:r>
      <w:bookmarkEnd w:id="33"/>
      <w:bookmarkEnd w:id="34"/>
      <w:bookmarkEnd w:id="35"/>
      <w:bookmarkEnd w:id="36"/>
    </w:p>
    <w:p>
      <w:pPr>
        <w:pStyle w:val="GesAbsatz"/>
        <w:rPr>
          <w:b/>
        </w:rPr>
      </w:pPr>
      <w:r>
        <w:rPr>
          <w:b/>
        </w:rPr>
        <w:t>Bildschirmgerät und Tastatur</w:t>
      </w:r>
    </w:p>
    <w:p>
      <w:pPr>
        <w:pStyle w:val="GesAbsatz"/>
        <w:ind w:left="426" w:hanging="426"/>
      </w:pPr>
      <w:r>
        <w:t>1.</w:t>
      </w:r>
      <w:r>
        <w:tab/>
        <w:t xml:space="preserve">Die auf dem Bildschirm dargestellten Zeichen müssen scharf, deutlich und ausreichend groß sein sowie einen angemessenen Zeichen- und Zeilenabstand haben. </w:t>
      </w:r>
    </w:p>
    <w:p>
      <w:pPr>
        <w:pStyle w:val="GesAbsatz"/>
        <w:ind w:left="426" w:hanging="426"/>
      </w:pPr>
      <w:r>
        <w:t>2.</w:t>
      </w:r>
      <w:r>
        <w:tab/>
        <w:t xml:space="preserve">Das auf dem Bildschirm dargestellte Bild </w:t>
      </w:r>
      <w:proofErr w:type="spellStart"/>
      <w:r>
        <w:t>muß</w:t>
      </w:r>
      <w:proofErr w:type="spellEnd"/>
      <w:r>
        <w:t xml:space="preserve"> stabil und frei von Flimmern sein; es darf keine Verzerrungen aufweisen. </w:t>
      </w:r>
    </w:p>
    <w:p>
      <w:pPr>
        <w:pStyle w:val="GesAbsatz"/>
        <w:ind w:left="426" w:hanging="426"/>
      </w:pPr>
      <w:r>
        <w:lastRenderedPageBreak/>
        <w:t>3.</w:t>
      </w:r>
      <w:r>
        <w:tab/>
        <w:t xml:space="preserve">Die Helligkeit der Bildschirmanzeige und der Kontrast zwischen Zeichen und Zeichenuntergrund auf dem Bildschirm müssen einfach einstellbar sein und den Verhältnissen der Arbeitsumgebung </w:t>
      </w:r>
      <w:proofErr w:type="spellStart"/>
      <w:r>
        <w:t>angepaßt</w:t>
      </w:r>
      <w:proofErr w:type="spellEnd"/>
      <w:r>
        <w:t xml:space="preserve"> werden können. </w:t>
      </w:r>
    </w:p>
    <w:p>
      <w:pPr>
        <w:pStyle w:val="GesAbsatz"/>
        <w:ind w:left="426" w:hanging="426"/>
      </w:pPr>
      <w:r>
        <w:t>4.</w:t>
      </w:r>
      <w:r>
        <w:tab/>
        <w:t xml:space="preserve">Der Bildschirm </w:t>
      </w:r>
      <w:proofErr w:type="spellStart"/>
      <w:r>
        <w:t>muß</w:t>
      </w:r>
      <w:proofErr w:type="spellEnd"/>
      <w:r>
        <w:t xml:space="preserve"> frei von störenden Reflexionen und Blendungen sein. </w:t>
      </w:r>
    </w:p>
    <w:p>
      <w:pPr>
        <w:pStyle w:val="GesAbsatz"/>
        <w:ind w:left="426" w:hanging="426"/>
      </w:pPr>
      <w:r>
        <w:t>5.</w:t>
      </w:r>
      <w:r>
        <w:tab/>
        <w:t xml:space="preserve">Das Bildschirmgerät </w:t>
      </w:r>
      <w:proofErr w:type="spellStart"/>
      <w:r>
        <w:t>muß</w:t>
      </w:r>
      <w:proofErr w:type="spellEnd"/>
      <w:r>
        <w:t xml:space="preserve"> frei und leicht drehbar und neigbar sein. </w:t>
      </w:r>
    </w:p>
    <w:p>
      <w:pPr>
        <w:pStyle w:val="GesAbsatz"/>
        <w:ind w:left="426" w:hanging="426"/>
      </w:pPr>
      <w:r>
        <w:t>6.</w:t>
      </w:r>
      <w:r>
        <w:tab/>
        <w:t xml:space="preserve">Die Tastatur </w:t>
      </w:r>
      <w:proofErr w:type="spellStart"/>
      <w:r>
        <w:t>muß</w:t>
      </w:r>
      <w:proofErr w:type="spellEnd"/>
      <w:r>
        <w:t xml:space="preserve"> vom Bildschirmgerät getrennt und neigbar sein, damit die Benutzer eine ergonomisch günstige Arbeitshaltung einnehmen können. </w:t>
      </w:r>
    </w:p>
    <w:p>
      <w:pPr>
        <w:pStyle w:val="GesAbsatz"/>
        <w:ind w:left="426" w:hanging="426"/>
      </w:pPr>
      <w:r>
        <w:t>7.</w:t>
      </w:r>
      <w:r>
        <w:tab/>
        <w:t xml:space="preserve">Die Tastatur und die sonstigen Eingabemittel müssen auf der Arbeitsfläche variabel angeordnet werden können. Die Arbeitsfläche vor der Tastatur </w:t>
      </w:r>
      <w:proofErr w:type="spellStart"/>
      <w:r>
        <w:t>muß</w:t>
      </w:r>
      <w:proofErr w:type="spellEnd"/>
      <w:r>
        <w:t xml:space="preserve"> ein Auflegen der Hände ermöglichen. </w:t>
      </w:r>
    </w:p>
    <w:p>
      <w:pPr>
        <w:pStyle w:val="GesAbsatz"/>
        <w:ind w:left="426" w:hanging="426"/>
      </w:pPr>
      <w:r>
        <w:t>8.</w:t>
      </w:r>
      <w:r>
        <w:tab/>
        <w:t xml:space="preserve">Die Tastatur </w:t>
      </w:r>
      <w:proofErr w:type="spellStart"/>
      <w:r>
        <w:t>muß</w:t>
      </w:r>
      <w:proofErr w:type="spellEnd"/>
      <w:r>
        <w:t xml:space="preserve"> eine reflexionsarme Oberfläche haben. </w:t>
      </w:r>
    </w:p>
    <w:p>
      <w:pPr>
        <w:pStyle w:val="GesAbsatz"/>
        <w:ind w:left="426" w:hanging="426"/>
      </w:pPr>
      <w:r>
        <w:t>9.</w:t>
      </w:r>
      <w:r>
        <w:tab/>
        <w:t xml:space="preserve">Form und Anschlag der Tasten müssen eine ergonomische Bedienung der Tastatur ermöglichen. Die Beschriftung der Tasten </w:t>
      </w:r>
      <w:proofErr w:type="spellStart"/>
      <w:r>
        <w:t>muß</w:t>
      </w:r>
      <w:proofErr w:type="spellEnd"/>
      <w:r>
        <w:t xml:space="preserve"> sich vom Untergrund deutlich abheben und bei normaler Arbeitshaltung lesbar sein. </w:t>
      </w:r>
    </w:p>
    <w:p/>
    <w:p>
      <w:pPr>
        <w:pStyle w:val="GesAbsatz"/>
        <w:rPr>
          <w:b/>
        </w:rPr>
      </w:pPr>
      <w:r>
        <w:rPr>
          <w:b/>
        </w:rPr>
        <w:t>Sonstige Arbeitsmittel</w:t>
      </w:r>
    </w:p>
    <w:p>
      <w:pPr>
        <w:pStyle w:val="GesAbsatz"/>
        <w:ind w:left="426" w:hanging="426"/>
      </w:pPr>
      <w:r>
        <w:t>10.</w:t>
      </w:r>
      <w:r>
        <w:tab/>
        <w:t xml:space="preserve">Der Arbeitstisch beziehungsweise die Arbeitsfläche </w:t>
      </w:r>
      <w:proofErr w:type="spellStart"/>
      <w:r>
        <w:t>muß</w:t>
      </w:r>
      <w:proofErr w:type="spellEnd"/>
      <w:r>
        <w:t xml:space="preserve"> eine ausreichend große und reflexionsarme Oberfläche besitzen und eine flexible Anordnung des Bildschirmgeräts, der Tastatur, des Schriftguts und der sonstigen Arbeitsmittel ermöglichen. Ausreichender Raum für eine ergonomisch günstige Arbeitshaltung </w:t>
      </w:r>
      <w:proofErr w:type="spellStart"/>
      <w:r>
        <w:t>muß</w:t>
      </w:r>
      <w:proofErr w:type="spellEnd"/>
      <w:r>
        <w:t xml:space="preserve"> vorhanden sein. Ein separater Ständer für das Bildschirmgerät kann verwendet werden. </w:t>
      </w:r>
    </w:p>
    <w:p>
      <w:pPr>
        <w:pStyle w:val="GesAbsatz"/>
        <w:ind w:left="426" w:hanging="426"/>
      </w:pPr>
      <w:r>
        <w:t>11.</w:t>
      </w:r>
      <w:r>
        <w:tab/>
        <w:t xml:space="preserve">Der Arbeitsstuhl </w:t>
      </w:r>
      <w:proofErr w:type="spellStart"/>
      <w:r>
        <w:t>muß</w:t>
      </w:r>
      <w:proofErr w:type="spellEnd"/>
      <w:r>
        <w:t xml:space="preserve"> ergonomisch gestaltet und standsicher sein. </w:t>
      </w:r>
    </w:p>
    <w:p>
      <w:pPr>
        <w:pStyle w:val="GesAbsatz"/>
        <w:ind w:left="426" w:hanging="426"/>
      </w:pPr>
      <w:r>
        <w:t>12.</w:t>
      </w:r>
      <w:r>
        <w:tab/>
        <w:t xml:space="preserve">Der Vorlagenhalter </w:t>
      </w:r>
      <w:proofErr w:type="spellStart"/>
      <w:r>
        <w:t>muß</w:t>
      </w:r>
      <w:proofErr w:type="spellEnd"/>
      <w:r>
        <w:t xml:space="preserve"> stabil und verstellbar sein, sowie so angeordnet werden können, </w:t>
      </w:r>
      <w:proofErr w:type="spellStart"/>
      <w:r>
        <w:t>daß</w:t>
      </w:r>
      <w:proofErr w:type="spellEnd"/>
      <w:r>
        <w:t xml:space="preserve"> unbequeme Kopf- und Augenbewegungen soweit wie möglich eingeschränkt werden. </w:t>
      </w:r>
    </w:p>
    <w:p>
      <w:pPr>
        <w:pStyle w:val="GesAbsatz"/>
        <w:ind w:left="426" w:hanging="426"/>
      </w:pPr>
      <w:r>
        <w:t>13.</w:t>
      </w:r>
      <w:r>
        <w:tab/>
        <w:t xml:space="preserve">Eine Fußstütze ist auf Wunsch zur Verfügung zu stellen, wenn eine ergonomisch günstige Arbeitshaltung ohne Fußstütze nicht erreicht werden kann. </w:t>
      </w:r>
    </w:p>
    <w:p/>
    <w:p>
      <w:pPr>
        <w:pStyle w:val="GesAbsatz"/>
        <w:rPr>
          <w:b/>
        </w:rPr>
      </w:pPr>
      <w:r>
        <w:rPr>
          <w:b/>
        </w:rPr>
        <w:t xml:space="preserve">Arbeitsumgebung </w:t>
      </w:r>
    </w:p>
    <w:p>
      <w:pPr>
        <w:pStyle w:val="GesAbsatz"/>
        <w:ind w:left="426" w:hanging="426"/>
      </w:pPr>
      <w:r>
        <w:t>14.</w:t>
      </w:r>
      <w:r>
        <w:tab/>
        <w:t xml:space="preserve">Am Bildschirmarbeitsplatz </w:t>
      </w:r>
      <w:proofErr w:type="spellStart"/>
      <w:r>
        <w:t>muß</w:t>
      </w:r>
      <w:proofErr w:type="spellEnd"/>
      <w:r>
        <w:t xml:space="preserve"> ausreichender Raum für wechselnde Arbeitshaltungen und -bewegungen vorhanden sein. </w:t>
      </w:r>
    </w:p>
    <w:p>
      <w:pPr>
        <w:pStyle w:val="GesAbsatz"/>
        <w:ind w:left="426" w:hanging="426"/>
      </w:pPr>
      <w:r>
        <w:t>15.</w:t>
      </w:r>
      <w:r>
        <w:tab/>
        <w:t xml:space="preserve">Die Beleuchtung </w:t>
      </w:r>
      <w:proofErr w:type="spellStart"/>
      <w:r>
        <w:t>muß</w:t>
      </w:r>
      <w:proofErr w:type="spellEnd"/>
      <w:r>
        <w:t xml:space="preserve"> der Art der Sehaufgabe entsprechen und an das Sehvermögen der Benutzer </w:t>
      </w:r>
      <w:proofErr w:type="spellStart"/>
      <w:r>
        <w:t>angepaßt</w:t>
      </w:r>
      <w:proofErr w:type="spellEnd"/>
      <w:r>
        <w:t xml:space="preserve"> sein; dabei ist ein angemessener Kontrast zwischen Bildschirm und Arbeitsumgebung zu gewährleisten. Durch die Gestaltung des Bildschirmarbeitsplatzes sowie Auslegung und Anordnung der Beleuchtung sind störende Blendwirkungen, Reflexionen oder Spiegelungen auf dem Bildschirm und den sonstigen Arbeitsmitteln zu vermeiden. </w:t>
      </w:r>
    </w:p>
    <w:p>
      <w:pPr>
        <w:pStyle w:val="GesAbsatz"/>
        <w:tabs>
          <w:tab w:val="clear" w:pos="425"/>
        </w:tabs>
        <w:ind w:left="426" w:hanging="426"/>
      </w:pPr>
      <w:r>
        <w:t>16.</w:t>
      </w:r>
      <w:r>
        <w:tab/>
        <w:t xml:space="preserve">Bildschirmarbeitsplätze sind so einzurichten, </w:t>
      </w:r>
      <w:proofErr w:type="spellStart"/>
      <w:r>
        <w:t>daß</w:t>
      </w:r>
      <w:proofErr w:type="spellEnd"/>
      <w:r>
        <w:t xml:space="preserve"> leuchtende oder beleuchtete Flächen keine Blendung verursachen und Reflexionen auf dem Bildschirm soweit wie möglich vermieden werden. Die Fenster müssen mit einer geeigneten verstellbaren Lichtschutzvorrichtung ausgestattet sein, durch die sich die Stärke des Tageslichteinfalls auf den Bildschirmarbeitsplatz vermindern </w:t>
      </w:r>
      <w:proofErr w:type="spellStart"/>
      <w:r>
        <w:t>läßt</w:t>
      </w:r>
      <w:proofErr w:type="spellEnd"/>
      <w:r>
        <w:t xml:space="preserve">. </w:t>
      </w:r>
    </w:p>
    <w:p>
      <w:pPr>
        <w:pStyle w:val="GesAbsatz"/>
        <w:tabs>
          <w:tab w:val="clear" w:pos="425"/>
        </w:tabs>
        <w:ind w:left="426" w:hanging="426"/>
      </w:pPr>
      <w:r>
        <w:t>17.</w:t>
      </w:r>
      <w:r>
        <w:tab/>
        <w:t xml:space="preserve">Bei der Gestaltung des Bildschirmarbeitsplatzes ist dem Lärm der durch die zum Bildschirmarbeitsplatz gehörenden Arbeitsmittel verursacht wird, Rechnung zu tragen, insbesondere um eine Beeinträchtigung der Konzentration und der Sprachverständlichkeit zu vermeiden. </w:t>
      </w:r>
    </w:p>
    <w:p>
      <w:pPr>
        <w:pStyle w:val="GesAbsatz"/>
        <w:tabs>
          <w:tab w:val="clear" w:pos="425"/>
        </w:tabs>
        <w:ind w:left="426" w:hanging="426"/>
      </w:pPr>
      <w:r>
        <w:t>18.</w:t>
      </w:r>
      <w:r>
        <w:tab/>
        <w:t xml:space="preserve">Die Arbeitsmittel dürfen nicht zu einer erhöhten Wärmebelastung am Bildschirmarbeitsplatz führen, die unzuträglich ist. Es ist für eine ausreichende Luftfeuchtigkeit zu sorgen. </w:t>
      </w:r>
    </w:p>
    <w:p>
      <w:pPr>
        <w:pStyle w:val="GesAbsatz"/>
        <w:tabs>
          <w:tab w:val="clear" w:pos="425"/>
        </w:tabs>
        <w:ind w:left="426" w:hanging="426"/>
      </w:pPr>
      <w:r>
        <w:t>19.</w:t>
      </w:r>
      <w:r>
        <w:tab/>
        <w:t xml:space="preserve">Die Strahlung </w:t>
      </w:r>
      <w:proofErr w:type="spellStart"/>
      <w:r>
        <w:t>muß</w:t>
      </w:r>
      <w:proofErr w:type="spellEnd"/>
      <w:r>
        <w:t xml:space="preserve"> - mit Ausnahme des sichtbaren Teils des elektromagnetischen Spektrums - so niedrig gehalten werden, </w:t>
      </w:r>
      <w:proofErr w:type="spellStart"/>
      <w:r>
        <w:t>daß</w:t>
      </w:r>
      <w:proofErr w:type="spellEnd"/>
      <w:r>
        <w:t xml:space="preserve"> sie für Sicherheit und Gesundheit der Benutzer des Bildschirmgerätes unerheblich ist. </w:t>
      </w:r>
    </w:p>
    <w:p>
      <w:pPr>
        <w:pStyle w:val="GesAbsatz"/>
      </w:pPr>
    </w:p>
    <w:p>
      <w:pPr>
        <w:pStyle w:val="GesAbsatz"/>
        <w:rPr>
          <w:b/>
        </w:rPr>
      </w:pPr>
      <w:r>
        <w:rPr>
          <w:b/>
        </w:rPr>
        <w:t>Zusammenwirken Mensch - Arbeitsmittel</w:t>
      </w:r>
    </w:p>
    <w:p>
      <w:pPr>
        <w:pStyle w:val="GesAbsatz"/>
        <w:tabs>
          <w:tab w:val="clear" w:pos="425"/>
        </w:tabs>
        <w:ind w:left="567" w:hanging="567"/>
      </w:pPr>
      <w:r>
        <w:t>20.</w:t>
      </w:r>
      <w:r>
        <w:tab/>
        <w:t xml:space="preserve">Die Grundsätze der Ergonomie sind insbesondere auf die Verarbeitung von Informationen durch den Menschen anzuwenden. </w:t>
      </w:r>
    </w:p>
    <w:p>
      <w:pPr>
        <w:pStyle w:val="GesAbsatz"/>
        <w:tabs>
          <w:tab w:val="clear" w:pos="425"/>
        </w:tabs>
        <w:ind w:left="567" w:hanging="567"/>
      </w:pPr>
      <w:r>
        <w:t>21.</w:t>
      </w:r>
      <w:r>
        <w:tab/>
        <w:t>Bei Entwicklung, Auswahl, Erwerb und Änderung von Software sowie bei der Gestaltung der Tätigkeit an Bildschirmgeräten hat der Arbeitgeber den folgenden Grundsätzen insbesondere im Hinblick auf die Benutzerfreundlichkeit Rechnung zu tragen:</w:t>
      </w:r>
    </w:p>
    <w:p>
      <w:pPr>
        <w:pStyle w:val="GesAbsatz"/>
        <w:tabs>
          <w:tab w:val="clear" w:pos="425"/>
        </w:tabs>
        <w:ind w:left="567" w:hanging="567"/>
      </w:pPr>
      <w:r>
        <w:lastRenderedPageBreak/>
        <w:t>21.1</w:t>
      </w:r>
      <w:r>
        <w:tab/>
        <w:t xml:space="preserve">Die Software </w:t>
      </w:r>
      <w:proofErr w:type="spellStart"/>
      <w:r>
        <w:t>muß</w:t>
      </w:r>
      <w:proofErr w:type="spellEnd"/>
      <w:r>
        <w:t xml:space="preserve"> an die auszuführende Aufgabe </w:t>
      </w:r>
      <w:proofErr w:type="spellStart"/>
      <w:r>
        <w:t>angepaßt</w:t>
      </w:r>
      <w:proofErr w:type="spellEnd"/>
      <w:r>
        <w:t xml:space="preserve"> sein.</w:t>
      </w:r>
    </w:p>
    <w:p>
      <w:pPr>
        <w:pStyle w:val="GesAbsatz"/>
        <w:tabs>
          <w:tab w:val="clear" w:pos="425"/>
        </w:tabs>
        <w:ind w:left="567" w:hanging="567"/>
      </w:pPr>
      <w:r>
        <w:t>21.2</w:t>
      </w:r>
      <w:r>
        <w:tab/>
        <w:t xml:space="preserve">Die Systeme müssen den Benutzern Angaben über die jeweiligen Dialogabläufe unmittelbar oder auf Verlangen machen. </w:t>
      </w:r>
    </w:p>
    <w:p>
      <w:pPr>
        <w:pStyle w:val="GesAbsatz"/>
        <w:tabs>
          <w:tab w:val="clear" w:pos="425"/>
        </w:tabs>
        <w:ind w:left="567" w:hanging="567"/>
      </w:pPr>
      <w:r>
        <w:t>21.3</w:t>
      </w:r>
      <w:r>
        <w:tab/>
        <w:t xml:space="preserve">Die Systeme müssen den Benutzern die Beeinflussung der jeweiligen Dialogabläufe ermöglichen sowie eventuelle Fehler bei der Handhabung beschreiben und deren Beseitigung mit begrenztem Arbeitsaufwand erlauben. </w:t>
      </w:r>
    </w:p>
    <w:p>
      <w:pPr>
        <w:pStyle w:val="GesAbsatz"/>
        <w:tabs>
          <w:tab w:val="clear" w:pos="425"/>
        </w:tabs>
        <w:ind w:left="567" w:hanging="567"/>
      </w:pPr>
      <w:r>
        <w:t>21.4</w:t>
      </w:r>
      <w:r>
        <w:tab/>
        <w:t xml:space="preserve">Die Software </w:t>
      </w:r>
      <w:proofErr w:type="spellStart"/>
      <w:r>
        <w:t>muß</w:t>
      </w:r>
      <w:proofErr w:type="spellEnd"/>
      <w:r>
        <w:t xml:space="preserve"> entsprechend den Kenntnissen und Erfahrungen der Benutzer im Hinblick auf die auszuführende Aufgabe </w:t>
      </w:r>
      <w:proofErr w:type="spellStart"/>
      <w:r>
        <w:t>angepaßt</w:t>
      </w:r>
      <w:proofErr w:type="spellEnd"/>
      <w:r>
        <w:t xml:space="preserve"> werden können. </w:t>
      </w:r>
    </w:p>
    <w:p>
      <w:pPr>
        <w:pStyle w:val="GesAbsatz"/>
        <w:tabs>
          <w:tab w:val="clear" w:pos="425"/>
        </w:tabs>
        <w:ind w:left="567" w:hanging="567"/>
      </w:pPr>
      <w:r>
        <w:t>22.</w:t>
      </w:r>
      <w:r>
        <w:tab/>
        <w:t xml:space="preserve">Ohne Wissen der Benutzer darf keine Vorrichtung zur qualitativen oder quantitativen Kontrolle verwendet werden. </w:t>
      </w:r>
    </w:p>
    <w:p>
      <w:pPr>
        <w:pStyle w:val="GesAbsatz"/>
      </w:pPr>
    </w:p>
    <w:p>
      <w:pPr>
        <w:pStyle w:val="GesAbsatz"/>
      </w:pPr>
    </w:p>
    <w:p>
      <w:pPr>
        <w:pStyle w:val="GesAbsatz"/>
      </w:pPr>
    </w:p>
    <w:p>
      <w:pPr>
        <w:pStyle w:val="GesAbsatz"/>
      </w:pPr>
    </w:p>
    <w:p>
      <w:pPr>
        <w:pStyle w:val="GesAbsatz"/>
        <w:rPr>
          <w:b/>
          <w:sz w:val="22"/>
          <w:szCs w:val="22"/>
        </w:rPr>
      </w:pPr>
      <w:bookmarkStart w:id="37" w:name="Gesetzeshistorie"/>
      <w:bookmarkEnd w:id="37"/>
      <w:r>
        <w:rPr>
          <w:b/>
          <w:sz w:val="22"/>
          <w:szCs w:val="22"/>
        </w:rPr>
        <w:t>Änderungen:</w:t>
      </w:r>
    </w:p>
    <w:p>
      <w:pPr>
        <w:pStyle w:val="GesAbsatz"/>
        <w:tabs>
          <w:tab w:val="clear" w:pos="425"/>
          <w:tab w:val="left" w:pos="2268"/>
        </w:tabs>
      </w:pPr>
      <w:r>
        <w:t>29.10.2001</w:t>
      </w:r>
      <w:r>
        <w:tab/>
        <w:t>BGBl. I Nr. 55 S. 2785, 2865</w:t>
      </w:r>
    </w:p>
    <w:p>
      <w:pPr>
        <w:pStyle w:val="GesAbsatz"/>
        <w:tabs>
          <w:tab w:val="clear" w:pos="425"/>
          <w:tab w:val="left" w:pos="2268"/>
        </w:tabs>
      </w:pPr>
      <w:r>
        <w:t>25.11.2003</w:t>
      </w:r>
      <w:r>
        <w:tab/>
        <w:t>BGBl. I Nr. 56 S. 2304, 2342</w:t>
      </w:r>
    </w:p>
    <w:p>
      <w:pPr>
        <w:pStyle w:val="GesAbsatz"/>
        <w:tabs>
          <w:tab w:val="clear" w:pos="425"/>
          <w:tab w:val="left" w:pos="2268"/>
        </w:tabs>
      </w:pPr>
      <w:r>
        <w:t>31.10.2006</w:t>
      </w:r>
      <w:r>
        <w:tab/>
        <w:t>BGBl. I Nr. 50 S. 2407, 2463 Inkrafttreten 08.11.2006</w:t>
      </w:r>
    </w:p>
    <w:p>
      <w:pPr>
        <w:pStyle w:val="GesAbsatz"/>
        <w:tabs>
          <w:tab w:val="clear" w:pos="425"/>
          <w:tab w:val="left" w:pos="2268"/>
        </w:tabs>
        <w:rPr>
          <w:rFonts w:cs="Arial"/>
        </w:rPr>
      </w:pPr>
      <w:r>
        <w:rPr>
          <w:rFonts w:cs="Arial"/>
        </w:rPr>
        <w:t>18.12.</w:t>
      </w:r>
      <w:r>
        <w:rPr>
          <w:lang w:val="it-IT"/>
        </w:rPr>
        <w:t>2008</w:t>
      </w:r>
      <w:r>
        <w:rPr>
          <w:rFonts w:cs="Arial"/>
        </w:rPr>
        <w:tab/>
        <w:t>BGBl. I Nr. 62 S. 2768, 2779 Inkrafttreten 24.12.2008</w:t>
      </w:r>
    </w:p>
    <w:p>
      <w:pPr>
        <w:pStyle w:val="GesAbsatz"/>
        <w:tabs>
          <w:tab w:val="clear" w:pos="425"/>
          <w:tab w:val="left" w:pos="2268"/>
        </w:tabs>
        <w:rPr>
          <w:lang w:val="pl-PL"/>
        </w:rPr>
      </w:pPr>
      <w:r>
        <w:rPr>
          <w:lang w:val="pl-PL"/>
        </w:rPr>
        <w:t>31.08.2015</w:t>
      </w:r>
      <w:r>
        <w:rPr>
          <w:lang w:val="pl-PL"/>
        </w:rPr>
        <w:tab/>
      </w:r>
      <w:hyperlink r:id="rId7" w:history="1">
        <w:r>
          <w:rPr>
            <w:rStyle w:val="Hyperlink"/>
            <w:lang w:val="pl-PL"/>
          </w:rPr>
          <w:t>BGBl. I Nr. 35 S. 1474, 1537</w:t>
        </w:r>
      </w:hyperlink>
      <w:r>
        <w:rPr>
          <w:lang w:val="pl-PL"/>
        </w:rPr>
        <w:t xml:space="preserve"> Inkrafttreten 08.09.2015</w:t>
      </w:r>
    </w:p>
    <w:p>
      <w:pPr>
        <w:tabs>
          <w:tab w:val="left" w:pos="3402"/>
        </w:tabs>
        <w:rPr>
          <w:lang w:val="pl-PL"/>
        </w:rPr>
      </w:pPr>
    </w:p>
    <w:p>
      <w:pPr>
        <w:tabs>
          <w:tab w:val="left" w:pos="3402"/>
        </w:tabs>
        <w:rPr>
          <w:lang w:val="it-IT"/>
        </w:rPr>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04.12.1996 (BGBl. I. S. 1841 / FNA 805-3-3)</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Stand</w:t>
    </w:r>
    <w:r>
      <w:rPr>
        <w:lang w:val="en-GB"/>
      </w:rPr>
      <w:t xml:space="preserve"> 31.08.2015 (BGBl. I S. 1537)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Archiv14.03</w:t>
    </w:r>
  </w:p>
  <w:p>
    <w:pPr>
      <w:pStyle w:val="Kopfzeile"/>
    </w:pPr>
    <w:r>
      <w:t>BildscharbV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52F4"/>
    <w:multiLevelType w:val="singleLevel"/>
    <w:tmpl w:val="56186DEE"/>
    <w:lvl w:ilvl="0">
      <w:start w:val="1"/>
      <w:numFmt w:val="decimal"/>
      <w:lvlText w:val="%1."/>
      <w:legacy w:legacy="1" w:legacySpace="0" w:legacyIndent="284"/>
      <w:lvlJc w:val="left"/>
      <w:pPr>
        <w:ind w:left="284" w:hanging="284"/>
      </w:pPr>
    </w:lvl>
  </w:abstractNum>
  <w:abstractNum w:abstractNumId="1" w15:restartNumberingAfterBreak="0">
    <w:nsid w:val="08A85750"/>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26960C2C"/>
    <w:multiLevelType w:val="singleLevel"/>
    <w:tmpl w:val="63A6317E"/>
    <w:lvl w:ilvl="0">
      <w:start w:val="1"/>
      <w:numFmt w:val="decimal"/>
      <w:lvlText w:val="%1."/>
      <w:legacy w:legacy="1" w:legacySpace="0" w:legacyIndent="284"/>
      <w:lvlJc w:val="left"/>
      <w:pPr>
        <w:ind w:left="284" w:hanging="284"/>
      </w:pPr>
    </w:lvl>
  </w:abstractNum>
  <w:abstractNum w:abstractNumId="3" w15:restartNumberingAfterBreak="0">
    <w:nsid w:val="4F32796A"/>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5BC85B24"/>
    <w:multiLevelType w:val="singleLevel"/>
    <w:tmpl w:val="70B8E686"/>
    <w:lvl w:ilvl="0">
      <w:start w:val="1"/>
      <w:numFmt w:val="decimal"/>
      <w:lvlText w:val="%1."/>
      <w:legacy w:legacy="1" w:legacySpace="0" w:legacyIndent="284"/>
      <w:lvlJc w:val="left"/>
      <w:pPr>
        <w:ind w:left="284" w:hanging="284"/>
      </w:pPr>
    </w:lvl>
  </w:abstractNum>
  <w:abstractNum w:abstractNumId="5" w15:restartNumberingAfterBreak="0">
    <w:nsid w:val="7A8F0628"/>
    <w:multiLevelType w:val="singleLevel"/>
    <w:tmpl w:val="9EA6ED0E"/>
    <w:lvl w:ilvl="0">
      <w:start w:val="1"/>
      <w:numFmt w:val="decimal"/>
      <w:lvlText w:val="%1."/>
      <w:legacy w:legacy="1" w:legacySpace="0" w:legacyIndent="284"/>
      <w:lvlJc w:val="left"/>
      <w:pPr>
        <w:ind w:left="284" w:hanging="284"/>
      </w:pPr>
    </w:lvl>
  </w:abstractNum>
  <w:num w:numId="1">
    <w:abstractNumId w:val="0"/>
  </w:num>
  <w:num w:numId="2">
    <w:abstractNumId w:val="0"/>
    <w:lvlOverride w:ilvl="0">
      <w:lvl w:ilvl="0">
        <w:start w:val="1"/>
        <w:numFmt w:val="decimal"/>
        <w:lvlText w:val="%1."/>
        <w:legacy w:legacy="1" w:legacySpace="0" w:legacyIndent="284"/>
        <w:lvlJc w:val="left"/>
        <w:pPr>
          <w:ind w:left="284" w:hanging="284"/>
        </w:pPr>
      </w:lvl>
    </w:lvlOverride>
  </w:num>
  <w:num w:numId="3">
    <w:abstractNumId w:val="0"/>
    <w:lvlOverride w:ilvl="0">
      <w:lvl w:ilvl="0">
        <w:start w:val="1"/>
        <w:numFmt w:val="decimal"/>
        <w:lvlText w:val="%1."/>
        <w:legacy w:legacy="1" w:legacySpace="0" w:legacyIndent="284"/>
        <w:lvlJc w:val="left"/>
        <w:pPr>
          <w:ind w:left="284" w:hanging="284"/>
        </w:pPr>
      </w:lvl>
    </w:lvlOverride>
  </w:num>
  <w:num w:numId="4">
    <w:abstractNumId w:val="0"/>
    <w:lvlOverride w:ilvl="0">
      <w:lvl w:ilvl="0">
        <w:start w:val="1"/>
        <w:numFmt w:val="decimal"/>
        <w:lvlText w:val="%1."/>
        <w:legacy w:legacy="1" w:legacySpace="0" w:legacyIndent="284"/>
        <w:lvlJc w:val="left"/>
        <w:pPr>
          <w:ind w:left="284" w:hanging="284"/>
        </w:pPr>
      </w:lvl>
    </w:lvlOverride>
  </w:num>
  <w:num w:numId="5">
    <w:abstractNumId w:val="0"/>
    <w:lvlOverride w:ilvl="0">
      <w:lvl w:ilvl="0">
        <w:start w:val="1"/>
        <w:numFmt w:val="decimal"/>
        <w:lvlText w:val="%1."/>
        <w:legacy w:legacy="1" w:legacySpace="0" w:legacyIndent="284"/>
        <w:lvlJc w:val="left"/>
        <w:pPr>
          <w:ind w:left="284" w:hanging="284"/>
        </w:pPr>
      </w:lvl>
    </w:lvlOverride>
  </w:num>
  <w:num w:numId="6">
    <w:abstractNumId w:val="0"/>
    <w:lvlOverride w:ilvl="0">
      <w:lvl w:ilvl="0">
        <w:start w:val="1"/>
        <w:numFmt w:val="decimal"/>
        <w:lvlText w:val="%1."/>
        <w:legacy w:legacy="1" w:legacySpace="0" w:legacyIndent="284"/>
        <w:lvlJc w:val="left"/>
        <w:pPr>
          <w:ind w:left="284" w:hanging="284"/>
        </w:pPr>
      </w:lvl>
    </w:lvlOverride>
  </w:num>
  <w:num w:numId="7">
    <w:abstractNumId w:val="4"/>
  </w:num>
  <w:num w:numId="8">
    <w:abstractNumId w:val="4"/>
    <w:lvlOverride w:ilvl="0">
      <w:lvl w:ilvl="0">
        <w:start w:val="1"/>
        <w:numFmt w:val="decimal"/>
        <w:lvlText w:val="%1."/>
        <w:legacy w:legacy="1" w:legacySpace="0" w:legacyIndent="284"/>
        <w:lvlJc w:val="left"/>
        <w:pPr>
          <w:ind w:left="284" w:hanging="284"/>
        </w:pPr>
      </w:lvl>
    </w:lvlOverride>
  </w:num>
  <w:num w:numId="9">
    <w:abstractNumId w:val="4"/>
    <w:lvlOverride w:ilvl="0">
      <w:lvl w:ilvl="0">
        <w:start w:val="1"/>
        <w:numFmt w:val="decimal"/>
        <w:lvlText w:val="%1."/>
        <w:legacy w:legacy="1" w:legacySpace="0" w:legacyIndent="284"/>
        <w:lvlJc w:val="left"/>
        <w:pPr>
          <w:ind w:left="284" w:hanging="284"/>
        </w:pPr>
      </w:lvl>
    </w:lvlOverride>
  </w:num>
  <w:num w:numId="10">
    <w:abstractNumId w:val="4"/>
    <w:lvlOverride w:ilvl="0">
      <w:lvl w:ilvl="0">
        <w:start w:val="1"/>
        <w:numFmt w:val="decimal"/>
        <w:lvlText w:val="%1."/>
        <w:legacy w:legacy="1" w:legacySpace="0" w:legacyIndent="284"/>
        <w:lvlJc w:val="left"/>
        <w:pPr>
          <w:ind w:left="284" w:hanging="284"/>
        </w:pPr>
      </w:lvl>
    </w:lvlOverride>
  </w:num>
  <w:num w:numId="11">
    <w:abstractNumId w:val="2"/>
  </w:num>
  <w:num w:numId="12">
    <w:abstractNumId w:val="2"/>
    <w:lvlOverride w:ilvl="0">
      <w:lvl w:ilvl="0">
        <w:start w:val="1"/>
        <w:numFmt w:val="decimal"/>
        <w:lvlText w:val="%1."/>
        <w:legacy w:legacy="1" w:legacySpace="0" w:legacyIndent="284"/>
        <w:lvlJc w:val="left"/>
        <w:pPr>
          <w:ind w:left="284" w:hanging="284"/>
        </w:pPr>
      </w:lvl>
    </w:lvlOverride>
  </w:num>
  <w:num w:numId="13">
    <w:abstractNumId w:val="5"/>
  </w:num>
  <w:num w:numId="14">
    <w:abstractNumId w:val="5"/>
    <w:lvlOverride w:ilvl="0">
      <w:lvl w:ilvl="0">
        <w:start w:val="1"/>
        <w:numFmt w:val="decimal"/>
        <w:lvlText w:val="%1."/>
        <w:legacy w:legacy="1" w:legacySpace="0" w:legacyIndent="284"/>
        <w:lvlJc w:val="left"/>
        <w:pPr>
          <w:ind w:left="284" w:hanging="284"/>
        </w:pPr>
      </w:lvl>
    </w:lvlOverride>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104EB71E-F1F5-4056-A113-4897CC81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15s1474.pdf'%5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1349</Words>
  <Characters>9580</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BildscharbV</vt:lpstr>
    </vt:vector>
  </TitlesOfParts>
  <Company>LANUV NRW</Company>
  <LinksUpToDate>false</LinksUpToDate>
  <CharactersWithSpaces>10908</CharactersWithSpaces>
  <SharedDoc>false</SharedDoc>
  <HLinks>
    <vt:vector size="18" baseType="variant">
      <vt:variant>
        <vt:i4>393285</vt:i4>
      </vt:variant>
      <vt:variant>
        <vt:i4>36</vt:i4>
      </vt:variant>
      <vt:variant>
        <vt:i4>0</vt:i4>
      </vt:variant>
      <vt:variant>
        <vt:i4>5</vt:i4>
      </vt:variant>
      <vt:variant>
        <vt:lpwstr>http://www.bgblportal.de/BGBL/bgbl1f/bgbl108s2768.pdf</vt:lpwstr>
      </vt:variant>
      <vt:variant>
        <vt:lpwstr/>
      </vt:variant>
      <vt:variant>
        <vt:i4>917577</vt:i4>
      </vt:variant>
      <vt:variant>
        <vt:i4>33</vt:i4>
      </vt:variant>
      <vt:variant>
        <vt:i4>0</vt:i4>
      </vt:variant>
      <vt:variant>
        <vt:i4>5</vt:i4>
      </vt:variant>
      <vt:variant>
        <vt:lpwstr>http://www.bgblportal.de/BGBL/bgbl1f/bgbl106s2407.pdf</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BildscharbV</dc:title>
  <dc:creator>Natrop</dc:creator>
  <dc:description>durchgesehen 1.2006</dc:description>
  <cp:lastModifiedBy>Rüter, Dr., Ingo</cp:lastModifiedBy>
  <cp:revision>4</cp:revision>
  <cp:lastPrinted>2004-01-12T06:59:00Z</cp:lastPrinted>
  <dcterms:created xsi:type="dcterms:W3CDTF">2016-12-02T10:14:00Z</dcterms:created>
  <dcterms:modified xsi:type="dcterms:W3CDTF">2024-06-26T10:37:00Z</dcterms:modified>
</cp:coreProperties>
</file>