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8755826"/>
      <w:r>
        <w:t>Richtlinie</w:t>
      </w:r>
      <w:r>
        <w:br/>
        <w:t>über den baulichen Brandschutz im Industriebau</w:t>
      </w:r>
      <w:r>
        <w:rPr>
          <w:vertAlign w:val="superscript"/>
        </w:rPr>
        <w:footnoteReference w:id="1"/>
      </w:r>
      <w:r>
        <w:br/>
        <w:t>- Industriebau</w:t>
      </w:r>
      <w:bookmarkStart w:id="1" w:name="_GoBack"/>
      <w:bookmarkEnd w:id="1"/>
      <w:r>
        <w:t>richtlinie - IndBauR NRW</w:t>
      </w:r>
      <w:bookmarkEnd w:id="0"/>
    </w:p>
    <w:p>
      <w:pPr>
        <w:pStyle w:val="GesAbsatz"/>
        <w:jc w:val="center"/>
      </w:pPr>
      <w:r>
        <w:t xml:space="preserve">RdErl. d. Ministeriums für Bauen, Wohnen, Stadtentwicklung und Verkehr – VI.1 – 190 </w:t>
      </w:r>
      <w:r>
        <w:br/>
        <w:t>v. 04.02.2015</w:t>
      </w:r>
    </w:p>
    <w:p>
      <w:pPr>
        <w:pStyle w:val="GesAbsatz"/>
        <w:jc w:val="left"/>
        <w:rPr>
          <w:b/>
          <w:i/>
          <w:color w:val="FF0000"/>
          <w:sz w:val="22"/>
          <w:szCs w:val="22"/>
        </w:rPr>
      </w:pPr>
      <w:r>
        <w:rPr>
          <w:b/>
          <w:i/>
          <w:color w:val="FF0000"/>
          <w:sz w:val="22"/>
          <w:szCs w:val="22"/>
        </w:rPr>
        <w:t>Obsolet durch Fristablauf am 07.04.2020</w:t>
      </w:r>
    </w:p>
    <w:p>
      <w:pPr>
        <w:pStyle w:val="GesAbsatz"/>
      </w:pPr>
      <w:hyperlink r:id="rId8" w:history="1">
        <w:r>
          <w:rPr>
            <w:rStyle w:val="Hyperlink"/>
          </w:rPr>
          <w:t>Link zur Vorschrift im SMBl. NRW. 23236:</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18755826" w:history="1">
        <w:r>
          <w:rPr>
            <w:rStyle w:val="Hyperlink"/>
            <w:noProof/>
          </w:rPr>
          <w:t>Industriebaurichtlinie – IndBauR NRW -</w:t>
        </w:r>
        <w:r>
          <w:rPr>
            <w:noProof/>
            <w:webHidden/>
          </w:rPr>
          <w:tab/>
        </w:r>
        <w:r>
          <w:rPr>
            <w:noProof/>
            <w:webHidden/>
          </w:rPr>
          <w:fldChar w:fldCharType="begin"/>
        </w:r>
        <w:r>
          <w:rPr>
            <w:noProof/>
            <w:webHidden/>
          </w:rPr>
          <w:instrText xml:space="preserve"> PAGEREF _Toc418755826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5827" w:history="1">
        <w:r>
          <w:rPr>
            <w:rStyle w:val="Hyperlink"/>
            <w:noProof/>
          </w:rPr>
          <w:t>1 Ziel</w:t>
        </w:r>
        <w:r>
          <w:rPr>
            <w:noProof/>
            <w:webHidden/>
          </w:rPr>
          <w:tab/>
        </w:r>
        <w:r>
          <w:rPr>
            <w:noProof/>
            <w:webHidden/>
          </w:rPr>
          <w:fldChar w:fldCharType="begin"/>
        </w:r>
        <w:r>
          <w:rPr>
            <w:noProof/>
            <w:webHidden/>
          </w:rPr>
          <w:instrText xml:space="preserve"> PAGEREF _Toc418755827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5828" w:history="1">
        <w:r>
          <w:rPr>
            <w:rStyle w:val="Hyperlink"/>
            <w:noProof/>
          </w:rPr>
          <w:t>2 Anwendungsbereich</w:t>
        </w:r>
        <w:r>
          <w:rPr>
            <w:noProof/>
            <w:webHidden/>
          </w:rPr>
          <w:tab/>
        </w:r>
        <w:r>
          <w:rPr>
            <w:noProof/>
            <w:webHidden/>
          </w:rPr>
          <w:fldChar w:fldCharType="begin"/>
        </w:r>
        <w:r>
          <w:rPr>
            <w:noProof/>
            <w:webHidden/>
          </w:rPr>
          <w:instrText xml:space="preserve"> PAGEREF _Toc418755828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5829" w:history="1">
        <w:r>
          <w:rPr>
            <w:rStyle w:val="Hyperlink"/>
            <w:noProof/>
          </w:rPr>
          <w:t>3 Begriffe</w:t>
        </w:r>
        <w:r>
          <w:rPr>
            <w:noProof/>
            <w:webHidden/>
          </w:rPr>
          <w:tab/>
        </w:r>
        <w:r>
          <w:rPr>
            <w:noProof/>
            <w:webHidden/>
          </w:rPr>
          <w:fldChar w:fldCharType="begin"/>
        </w:r>
        <w:r>
          <w:rPr>
            <w:noProof/>
            <w:webHidden/>
          </w:rPr>
          <w:instrText xml:space="preserve"> PAGEREF _Toc418755829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30" w:history="1">
        <w:r>
          <w:rPr>
            <w:rStyle w:val="Hyperlink"/>
            <w:noProof/>
          </w:rPr>
          <w:t>3.1 Industriebauten</w:t>
        </w:r>
        <w:r>
          <w:rPr>
            <w:noProof/>
            <w:webHidden/>
          </w:rPr>
          <w:tab/>
        </w:r>
        <w:r>
          <w:rPr>
            <w:noProof/>
            <w:webHidden/>
          </w:rPr>
          <w:fldChar w:fldCharType="begin"/>
        </w:r>
        <w:r>
          <w:rPr>
            <w:noProof/>
            <w:webHidden/>
          </w:rPr>
          <w:instrText xml:space="preserve"> PAGEREF _Toc418755830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31" w:history="1">
        <w:r>
          <w:rPr>
            <w:rStyle w:val="Hyperlink"/>
            <w:noProof/>
          </w:rPr>
          <w:t>3.2 Brandabschnitt</w:t>
        </w:r>
        <w:r>
          <w:rPr>
            <w:noProof/>
            <w:webHidden/>
          </w:rPr>
          <w:tab/>
        </w:r>
        <w:r>
          <w:rPr>
            <w:noProof/>
            <w:webHidden/>
          </w:rPr>
          <w:fldChar w:fldCharType="begin"/>
        </w:r>
        <w:r>
          <w:rPr>
            <w:noProof/>
            <w:webHidden/>
          </w:rPr>
          <w:instrText xml:space="preserve"> PAGEREF _Toc418755831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32" w:history="1">
        <w:r>
          <w:rPr>
            <w:rStyle w:val="Hyperlink"/>
            <w:noProof/>
          </w:rPr>
          <w:t>3.3 Brandabschnittsfläche</w:t>
        </w:r>
        <w:r>
          <w:rPr>
            <w:noProof/>
            <w:webHidden/>
          </w:rPr>
          <w:tab/>
        </w:r>
        <w:r>
          <w:rPr>
            <w:noProof/>
            <w:webHidden/>
          </w:rPr>
          <w:fldChar w:fldCharType="begin"/>
        </w:r>
        <w:r>
          <w:rPr>
            <w:noProof/>
            <w:webHidden/>
          </w:rPr>
          <w:instrText xml:space="preserve"> PAGEREF _Toc418755832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33" w:history="1">
        <w:r>
          <w:rPr>
            <w:rStyle w:val="Hyperlink"/>
            <w:noProof/>
          </w:rPr>
          <w:t>3.4 Brandbekämpfungsabschnitt</w:t>
        </w:r>
        <w:r>
          <w:rPr>
            <w:noProof/>
            <w:webHidden/>
          </w:rPr>
          <w:tab/>
        </w:r>
        <w:r>
          <w:rPr>
            <w:noProof/>
            <w:webHidden/>
          </w:rPr>
          <w:fldChar w:fldCharType="begin"/>
        </w:r>
        <w:r>
          <w:rPr>
            <w:noProof/>
            <w:webHidden/>
          </w:rPr>
          <w:instrText xml:space="preserve"> PAGEREF _Toc418755833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34" w:history="1">
        <w:r>
          <w:rPr>
            <w:rStyle w:val="Hyperlink"/>
            <w:noProof/>
          </w:rPr>
          <w:t>3.5 Grundfläche des Brandbekämpfungsabschnitts</w:t>
        </w:r>
        <w:r>
          <w:rPr>
            <w:noProof/>
            <w:webHidden/>
          </w:rPr>
          <w:tab/>
        </w:r>
        <w:r>
          <w:rPr>
            <w:noProof/>
            <w:webHidden/>
          </w:rPr>
          <w:fldChar w:fldCharType="begin"/>
        </w:r>
        <w:r>
          <w:rPr>
            <w:noProof/>
            <w:webHidden/>
          </w:rPr>
          <w:instrText xml:space="preserve"> PAGEREF _Toc418755834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35" w:history="1">
        <w:r>
          <w:rPr>
            <w:rStyle w:val="Hyperlink"/>
            <w:noProof/>
          </w:rPr>
          <w:t>3.6 Brandbekämpfungsabschnittsfläche</w:t>
        </w:r>
        <w:r>
          <w:rPr>
            <w:noProof/>
            <w:webHidden/>
          </w:rPr>
          <w:tab/>
        </w:r>
        <w:r>
          <w:rPr>
            <w:noProof/>
            <w:webHidden/>
          </w:rPr>
          <w:fldChar w:fldCharType="begin"/>
        </w:r>
        <w:r>
          <w:rPr>
            <w:noProof/>
            <w:webHidden/>
          </w:rPr>
          <w:instrText xml:space="preserve"> PAGEREF _Toc418755835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36" w:history="1">
        <w:r>
          <w:rPr>
            <w:rStyle w:val="Hyperlink"/>
            <w:noProof/>
          </w:rPr>
          <w:t>3.7 Geschoss</w:t>
        </w:r>
        <w:r>
          <w:rPr>
            <w:noProof/>
            <w:webHidden/>
          </w:rPr>
          <w:tab/>
        </w:r>
        <w:r>
          <w:rPr>
            <w:noProof/>
            <w:webHidden/>
          </w:rPr>
          <w:fldChar w:fldCharType="begin"/>
        </w:r>
        <w:r>
          <w:rPr>
            <w:noProof/>
            <w:webHidden/>
          </w:rPr>
          <w:instrText xml:space="preserve"> PAGEREF _Toc418755836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37" w:history="1">
        <w:r>
          <w:rPr>
            <w:rStyle w:val="Hyperlink"/>
            <w:noProof/>
          </w:rPr>
          <w:t>3.8 Ebene</w:t>
        </w:r>
        <w:r>
          <w:rPr>
            <w:noProof/>
            <w:webHidden/>
          </w:rPr>
          <w:tab/>
        </w:r>
        <w:r>
          <w:rPr>
            <w:noProof/>
            <w:webHidden/>
          </w:rPr>
          <w:fldChar w:fldCharType="begin"/>
        </w:r>
        <w:r>
          <w:rPr>
            <w:noProof/>
            <w:webHidden/>
          </w:rPr>
          <w:instrText xml:space="preserve"> PAGEREF _Toc418755837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38" w:history="1">
        <w:r>
          <w:rPr>
            <w:rStyle w:val="Hyperlink"/>
            <w:noProof/>
          </w:rPr>
          <w:t>3.9 Einbauten</w:t>
        </w:r>
        <w:r>
          <w:rPr>
            <w:noProof/>
            <w:webHidden/>
          </w:rPr>
          <w:tab/>
        </w:r>
        <w:r>
          <w:rPr>
            <w:noProof/>
            <w:webHidden/>
          </w:rPr>
          <w:fldChar w:fldCharType="begin"/>
        </w:r>
        <w:r>
          <w:rPr>
            <w:noProof/>
            <w:webHidden/>
          </w:rPr>
          <w:instrText xml:space="preserve"> PAGEREF _Toc418755838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39" w:history="1">
        <w:r>
          <w:rPr>
            <w:rStyle w:val="Hyperlink"/>
            <w:noProof/>
          </w:rPr>
          <w:t>3.10 Erdgeschossige Industriebauten</w:t>
        </w:r>
        <w:r>
          <w:rPr>
            <w:noProof/>
            <w:webHidden/>
          </w:rPr>
          <w:tab/>
        </w:r>
        <w:r>
          <w:rPr>
            <w:noProof/>
            <w:webHidden/>
          </w:rPr>
          <w:fldChar w:fldCharType="begin"/>
        </w:r>
        <w:r>
          <w:rPr>
            <w:noProof/>
            <w:webHidden/>
          </w:rPr>
          <w:instrText xml:space="preserve"> PAGEREF _Toc418755839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40" w:history="1">
        <w:r>
          <w:rPr>
            <w:rStyle w:val="Hyperlink"/>
            <w:noProof/>
          </w:rPr>
          <w:t>3.11 Brandsicherheitsklassen</w:t>
        </w:r>
        <w:r>
          <w:rPr>
            <w:noProof/>
            <w:webHidden/>
          </w:rPr>
          <w:tab/>
        </w:r>
        <w:r>
          <w:rPr>
            <w:noProof/>
            <w:webHidden/>
          </w:rPr>
          <w:fldChar w:fldCharType="begin"/>
        </w:r>
        <w:r>
          <w:rPr>
            <w:noProof/>
            <w:webHidden/>
          </w:rPr>
          <w:instrText xml:space="preserve"> PAGEREF _Toc418755840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41" w:history="1">
        <w:r>
          <w:rPr>
            <w:rStyle w:val="Hyperlink"/>
            <w:noProof/>
          </w:rPr>
          <w:t>3.12 Sicherheitskategorien</w:t>
        </w:r>
        <w:r>
          <w:rPr>
            <w:noProof/>
            <w:webHidden/>
          </w:rPr>
          <w:tab/>
        </w:r>
        <w:r>
          <w:rPr>
            <w:noProof/>
            <w:webHidden/>
          </w:rPr>
          <w:fldChar w:fldCharType="begin"/>
        </w:r>
        <w:r>
          <w:rPr>
            <w:noProof/>
            <w:webHidden/>
          </w:rPr>
          <w:instrText xml:space="preserve"> PAGEREF _Toc418755841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42" w:history="1">
        <w:r>
          <w:rPr>
            <w:rStyle w:val="Hyperlink"/>
            <w:noProof/>
          </w:rPr>
          <w:t>3.13 Werkfeuerwehr</w:t>
        </w:r>
        <w:r>
          <w:rPr>
            <w:noProof/>
            <w:webHidden/>
          </w:rPr>
          <w:tab/>
        </w:r>
        <w:r>
          <w:rPr>
            <w:noProof/>
            <w:webHidden/>
          </w:rPr>
          <w:fldChar w:fldCharType="begin"/>
        </w:r>
        <w:r>
          <w:rPr>
            <w:noProof/>
            <w:webHidden/>
          </w:rPr>
          <w:instrText xml:space="preserve"> PAGEREF _Toc418755842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5843" w:history="1">
        <w:r>
          <w:rPr>
            <w:rStyle w:val="Hyperlink"/>
            <w:noProof/>
          </w:rPr>
          <w:t>4 Verfahren</w:t>
        </w:r>
        <w:r>
          <w:rPr>
            <w:noProof/>
            <w:webHidden/>
          </w:rPr>
          <w:tab/>
        </w:r>
        <w:r>
          <w:rPr>
            <w:noProof/>
            <w:webHidden/>
          </w:rPr>
          <w:fldChar w:fldCharType="begin"/>
        </w:r>
        <w:r>
          <w:rPr>
            <w:noProof/>
            <w:webHidden/>
          </w:rPr>
          <w:instrText xml:space="preserve"> PAGEREF _Toc418755843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44" w:history="1">
        <w:r>
          <w:rPr>
            <w:rStyle w:val="Hyperlink"/>
            <w:noProof/>
          </w:rPr>
          <w:t>4.1</w:t>
        </w:r>
        <w:r>
          <w:rPr>
            <w:noProof/>
            <w:webHidden/>
          </w:rPr>
          <w:tab/>
        </w:r>
        <w:r>
          <w:rPr>
            <w:noProof/>
            <w:webHidden/>
          </w:rPr>
          <w:fldChar w:fldCharType="begin"/>
        </w:r>
        <w:r>
          <w:rPr>
            <w:noProof/>
            <w:webHidden/>
          </w:rPr>
          <w:instrText xml:space="preserve"> PAGEREF _Toc418755844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45" w:history="1">
        <w:r>
          <w:rPr>
            <w:rStyle w:val="Hyperlink"/>
            <w:noProof/>
          </w:rPr>
          <w:t>4.2</w:t>
        </w:r>
        <w:r>
          <w:rPr>
            <w:noProof/>
            <w:webHidden/>
          </w:rPr>
          <w:tab/>
        </w:r>
        <w:r>
          <w:rPr>
            <w:noProof/>
            <w:webHidden/>
          </w:rPr>
          <w:fldChar w:fldCharType="begin"/>
        </w:r>
        <w:r>
          <w:rPr>
            <w:noProof/>
            <w:webHidden/>
          </w:rPr>
          <w:instrText xml:space="preserve"> PAGEREF _Toc418755845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46" w:history="1">
        <w:r>
          <w:rPr>
            <w:rStyle w:val="Hyperlink"/>
            <w:noProof/>
          </w:rPr>
          <w:t>4.3</w:t>
        </w:r>
        <w:r>
          <w:rPr>
            <w:noProof/>
            <w:webHidden/>
          </w:rPr>
          <w:tab/>
        </w:r>
        <w:r>
          <w:rPr>
            <w:noProof/>
            <w:webHidden/>
          </w:rPr>
          <w:fldChar w:fldCharType="begin"/>
        </w:r>
        <w:r>
          <w:rPr>
            <w:noProof/>
            <w:webHidden/>
          </w:rPr>
          <w:instrText xml:space="preserve"> PAGEREF _Toc418755846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5847" w:history="1">
        <w:r>
          <w:rPr>
            <w:rStyle w:val="Hyperlink"/>
            <w:noProof/>
          </w:rPr>
          <w:t>5 Allgemeine Anforderungen</w:t>
        </w:r>
        <w:r>
          <w:rPr>
            <w:noProof/>
            <w:webHidden/>
          </w:rPr>
          <w:tab/>
        </w:r>
        <w:r>
          <w:rPr>
            <w:noProof/>
            <w:webHidden/>
          </w:rPr>
          <w:fldChar w:fldCharType="begin"/>
        </w:r>
        <w:r>
          <w:rPr>
            <w:noProof/>
            <w:webHidden/>
          </w:rPr>
          <w:instrText xml:space="preserve"> PAGEREF _Toc418755847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48" w:history="1">
        <w:r>
          <w:rPr>
            <w:rStyle w:val="Hyperlink"/>
            <w:noProof/>
          </w:rPr>
          <w:t>5.1 Löschwasserbedarf</w:t>
        </w:r>
        <w:r>
          <w:rPr>
            <w:noProof/>
            <w:webHidden/>
          </w:rPr>
          <w:tab/>
        </w:r>
        <w:r>
          <w:rPr>
            <w:noProof/>
            <w:webHidden/>
          </w:rPr>
          <w:fldChar w:fldCharType="begin"/>
        </w:r>
        <w:r>
          <w:rPr>
            <w:noProof/>
            <w:webHidden/>
          </w:rPr>
          <w:instrText xml:space="preserve"> PAGEREF _Toc418755848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49" w:history="1">
        <w:r>
          <w:rPr>
            <w:rStyle w:val="Hyperlink"/>
            <w:noProof/>
          </w:rPr>
          <w:t>5.2 Lage und Zugänglichkeit</w:t>
        </w:r>
        <w:r>
          <w:rPr>
            <w:noProof/>
            <w:webHidden/>
          </w:rPr>
          <w:tab/>
        </w:r>
        <w:r>
          <w:rPr>
            <w:noProof/>
            <w:webHidden/>
          </w:rPr>
          <w:fldChar w:fldCharType="begin"/>
        </w:r>
        <w:r>
          <w:rPr>
            <w:noProof/>
            <w:webHidden/>
          </w:rPr>
          <w:instrText xml:space="preserve"> PAGEREF _Toc418755849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50" w:history="1">
        <w:r>
          <w:rPr>
            <w:rStyle w:val="Hyperlink"/>
            <w:noProof/>
          </w:rPr>
          <w:t>5.3 Zweigeschossige Industriebauten mit Zufahrten</w:t>
        </w:r>
        <w:r>
          <w:rPr>
            <w:noProof/>
            <w:webHidden/>
          </w:rPr>
          <w:tab/>
        </w:r>
        <w:r>
          <w:rPr>
            <w:noProof/>
            <w:webHidden/>
          </w:rPr>
          <w:fldChar w:fldCharType="begin"/>
        </w:r>
        <w:r>
          <w:rPr>
            <w:noProof/>
            <w:webHidden/>
          </w:rPr>
          <w:instrText xml:space="preserve"> PAGEREF _Toc418755850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51" w:history="1">
        <w:r>
          <w:rPr>
            <w:rStyle w:val="Hyperlink"/>
            <w:noProof/>
          </w:rPr>
          <w:t>5.4 Geschosse und Ebenen unter der Geländeoberfläche</w:t>
        </w:r>
        <w:r>
          <w:rPr>
            <w:noProof/>
            <w:webHidden/>
          </w:rPr>
          <w:tab/>
        </w:r>
        <w:r>
          <w:rPr>
            <w:noProof/>
            <w:webHidden/>
          </w:rPr>
          <w:fldChar w:fldCharType="begin"/>
        </w:r>
        <w:r>
          <w:rPr>
            <w:noProof/>
            <w:webHidden/>
          </w:rPr>
          <w:instrText xml:space="preserve"> PAGEREF _Toc418755851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52" w:history="1">
        <w:r>
          <w:rPr>
            <w:rStyle w:val="Hyperlink"/>
            <w:noProof/>
          </w:rPr>
          <w:t>5.5 Einbauten</w:t>
        </w:r>
        <w:r>
          <w:rPr>
            <w:noProof/>
            <w:webHidden/>
          </w:rPr>
          <w:tab/>
        </w:r>
        <w:r>
          <w:rPr>
            <w:noProof/>
            <w:webHidden/>
          </w:rPr>
          <w:fldChar w:fldCharType="begin"/>
        </w:r>
        <w:r>
          <w:rPr>
            <w:noProof/>
            <w:webHidden/>
          </w:rPr>
          <w:instrText xml:space="preserve"> PAGEREF _Toc418755852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53" w:history="1">
        <w:r>
          <w:rPr>
            <w:rStyle w:val="Hyperlink"/>
            <w:noProof/>
          </w:rPr>
          <w:t>5.6 Rettungswege</w:t>
        </w:r>
        <w:r>
          <w:rPr>
            <w:noProof/>
            <w:webHidden/>
          </w:rPr>
          <w:tab/>
        </w:r>
        <w:r>
          <w:rPr>
            <w:noProof/>
            <w:webHidden/>
          </w:rPr>
          <w:fldChar w:fldCharType="begin"/>
        </w:r>
        <w:r>
          <w:rPr>
            <w:noProof/>
            <w:webHidden/>
          </w:rPr>
          <w:instrText xml:space="preserve"> PAGEREF _Toc418755853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54" w:history="1">
        <w:r>
          <w:rPr>
            <w:rStyle w:val="Hyperlink"/>
            <w:noProof/>
          </w:rPr>
          <w:t>5.7 Rauchableitung</w:t>
        </w:r>
        <w:r>
          <w:rPr>
            <w:noProof/>
            <w:webHidden/>
          </w:rPr>
          <w:tab/>
        </w:r>
        <w:r>
          <w:rPr>
            <w:noProof/>
            <w:webHidden/>
          </w:rPr>
          <w:fldChar w:fldCharType="begin"/>
        </w:r>
        <w:r>
          <w:rPr>
            <w:noProof/>
            <w:webHidden/>
          </w:rPr>
          <w:instrText xml:space="preserve"> PAGEREF _Toc418755854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55" w:history="1">
        <w:r>
          <w:rPr>
            <w:rStyle w:val="Hyperlink"/>
            <w:noProof/>
          </w:rPr>
          <w:t>5.8 Feuerlöschanlagen</w:t>
        </w:r>
        <w:r>
          <w:rPr>
            <w:noProof/>
            <w:webHidden/>
          </w:rPr>
          <w:tab/>
        </w:r>
        <w:r>
          <w:rPr>
            <w:noProof/>
            <w:webHidden/>
          </w:rPr>
          <w:fldChar w:fldCharType="begin"/>
        </w:r>
        <w:r>
          <w:rPr>
            <w:noProof/>
            <w:webHidden/>
          </w:rPr>
          <w:instrText xml:space="preserve"> PAGEREF _Toc418755855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56" w:history="1">
        <w:r>
          <w:rPr>
            <w:rStyle w:val="Hyperlink"/>
            <w:noProof/>
          </w:rPr>
          <w:t>5.9 Brandmeldeanlagen</w:t>
        </w:r>
        <w:r>
          <w:rPr>
            <w:noProof/>
            <w:webHidden/>
          </w:rPr>
          <w:tab/>
        </w:r>
        <w:r>
          <w:rPr>
            <w:noProof/>
            <w:webHidden/>
          </w:rPr>
          <w:fldChar w:fldCharType="begin"/>
        </w:r>
        <w:r>
          <w:rPr>
            <w:noProof/>
            <w:webHidden/>
          </w:rPr>
          <w:instrText xml:space="preserve"> PAGEREF _Toc418755856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57" w:history="1">
        <w:r>
          <w:rPr>
            <w:rStyle w:val="Hyperlink"/>
            <w:noProof/>
          </w:rPr>
          <w:t>5.10 Brandwände und Wände zur Trennung von Brandbekämpfungsabschnitten</w:t>
        </w:r>
        <w:r>
          <w:rPr>
            <w:noProof/>
            <w:webHidden/>
          </w:rPr>
          <w:tab/>
        </w:r>
        <w:r>
          <w:rPr>
            <w:noProof/>
            <w:webHidden/>
          </w:rPr>
          <w:fldChar w:fldCharType="begin"/>
        </w:r>
        <w:r>
          <w:rPr>
            <w:noProof/>
            <w:webHidden/>
          </w:rPr>
          <w:instrText xml:space="preserve"> PAGEREF _Toc418755857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58" w:history="1">
        <w:r>
          <w:rPr>
            <w:rStyle w:val="Hyperlink"/>
            <w:noProof/>
          </w:rPr>
          <w:t>5.11 Feuerüberschlagsweg</w:t>
        </w:r>
        <w:r>
          <w:rPr>
            <w:noProof/>
            <w:webHidden/>
          </w:rPr>
          <w:tab/>
        </w:r>
        <w:r>
          <w:rPr>
            <w:noProof/>
            <w:webHidden/>
          </w:rPr>
          <w:fldChar w:fldCharType="begin"/>
        </w:r>
        <w:r>
          <w:rPr>
            <w:noProof/>
            <w:webHidden/>
          </w:rPr>
          <w:instrText xml:space="preserve"> PAGEREF _Toc418755858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59" w:history="1">
        <w:r>
          <w:rPr>
            <w:rStyle w:val="Hyperlink"/>
            <w:noProof/>
          </w:rPr>
          <w:t>5.12 Außenwände und Außenwandbekleidungen</w:t>
        </w:r>
        <w:r>
          <w:rPr>
            <w:noProof/>
            <w:webHidden/>
          </w:rPr>
          <w:tab/>
        </w:r>
        <w:r>
          <w:rPr>
            <w:noProof/>
            <w:webHidden/>
          </w:rPr>
          <w:fldChar w:fldCharType="begin"/>
        </w:r>
        <w:r>
          <w:rPr>
            <w:noProof/>
            <w:webHidden/>
          </w:rPr>
          <w:instrText xml:space="preserve"> PAGEREF _Toc418755859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60" w:history="1">
        <w:r>
          <w:rPr>
            <w:rStyle w:val="Hyperlink"/>
            <w:noProof/>
          </w:rPr>
          <w:t>5.13 Dächer</w:t>
        </w:r>
        <w:r>
          <w:rPr>
            <w:noProof/>
            <w:webHidden/>
          </w:rPr>
          <w:tab/>
        </w:r>
        <w:r>
          <w:rPr>
            <w:noProof/>
            <w:webHidden/>
          </w:rPr>
          <w:fldChar w:fldCharType="begin"/>
        </w:r>
        <w:r>
          <w:rPr>
            <w:noProof/>
            <w:webHidden/>
          </w:rPr>
          <w:instrText xml:space="preserve"> PAGEREF _Toc418755860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61" w:history="1">
        <w:r>
          <w:rPr>
            <w:rStyle w:val="Hyperlink"/>
            <w:noProof/>
          </w:rPr>
          <w:t>5.14 Sonstige Brandschutzmaßnahmen, Gefahrenverhütung</w:t>
        </w:r>
        <w:r>
          <w:rPr>
            <w:noProof/>
            <w:webHidden/>
          </w:rPr>
          <w:tab/>
        </w:r>
        <w:r>
          <w:rPr>
            <w:noProof/>
            <w:webHidden/>
          </w:rPr>
          <w:fldChar w:fldCharType="begin"/>
        </w:r>
        <w:r>
          <w:rPr>
            <w:noProof/>
            <w:webHidden/>
          </w:rPr>
          <w:instrText xml:space="preserve"> PAGEREF _Toc418755861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5862" w:history="1">
        <w:r>
          <w:rPr>
            <w:rStyle w:val="Hyperlink"/>
            <w:noProof/>
          </w:rPr>
          <w:t>6 Anforderungen an Baustoffe und Bauteile sowie an die Größe der Brandabschnitte im Verfahren ohne Brandlastermittlung</w:t>
        </w:r>
        <w:r>
          <w:rPr>
            <w:noProof/>
            <w:webHidden/>
          </w:rPr>
          <w:tab/>
        </w:r>
        <w:r>
          <w:rPr>
            <w:noProof/>
            <w:webHidden/>
          </w:rPr>
          <w:fldChar w:fldCharType="begin"/>
        </w:r>
        <w:r>
          <w:rPr>
            <w:noProof/>
            <w:webHidden/>
          </w:rPr>
          <w:instrText xml:space="preserve"> PAGEREF _Toc418755862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63" w:history="1">
        <w:r>
          <w:rPr>
            <w:rStyle w:val="Hyperlink"/>
            <w:noProof/>
          </w:rPr>
          <w:t>6.1 Grundsätze des Nachweises</w:t>
        </w:r>
        <w:r>
          <w:rPr>
            <w:noProof/>
            <w:webHidden/>
          </w:rPr>
          <w:tab/>
        </w:r>
        <w:r>
          <w:rPr>
            <w:noProof/>
            <w:webHidden/>
          </w:rPr>
          <w:fldChar w:fldCharType="begin"/>
        </w:r>
        <w:r>
          <w:rPr>
            <w:noProof/>
            <w:webHidden/>
          </w:rPr>
          <w:instrText xml:space="preserve"> PAGEREF _Toc418755863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64" w:history="1">
        <w:r>
          <w:rPr>
            <w:rStyle w:val="Hyperlink"/>
            <w:noProof/>
          </w:rPr>
          <w:t>6.2 Zulässige Größe der Brandabschnittsfläche</w:t>
        </w:r>
        <w:r>
          <w:rPr>
            <w:noProof/>
            <w:webHidden/>
          </w:rPr>
          <w:tab/>
        </w:r>
        <w:r>
          <w:rPr>
            <w:noProof/>
            <w:webHidden/>
          </w:rPr>
          <w:fldChar w:fldCharType="begin"/>
        </w:r>
        <w:r>
          <w:rPr>
            <w:noProof/>
            <w:webHidden/>
          </w:rPr>
          <w:instrText xml:space="preserve"> PAGEREF _Toc418755864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65" w:history="1">
        <w:r>
          <w:rPr>
            <w:rStyle w:val="Hyperlink"/>
            <w:noProof/>
          </w:rPr>
          <w:t>6.3 Anforderungen an die Baustoffe und Bauteile</w:t>
        </w:r>
        <w:r>
          <w:rPr>
            <w:noProof/>
            <w:webHidden/>
          </w:rPr>
          <w:tab/>
        </w:r>
        <w:r>
          <w:rPr>
            <w:noProof/>
            <w:webHidden/>
          </w:rPr>
          <w:fldChar w:fldCharType="begin"/>
        </w:r>
        <w:r>
          <w:rPr>
            <w:noProof/>
            <w:webHidden/>
          </w:rPr>
          <w:instrText xml:space="preserve"> PAGEREF _Toc418755865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66" w:history="1">
        <w:r>
          <w:rPr>
            <w:rStyle w:val="Hyperlink"/>
            <w:noProof/>
          </w:rPr>
          <w:t>6.4 Besondere Anforderungen an Lagergebäude und an Gebäude mit zusammenhängenden Lagerbereichen</w:t>
        </w:r>
        <w:r>
          <w:rPr>
            <w:noProof/>
            <w:webHidden/>
          </w:rPr>
          <w:tab/>
        </w:r>
        <w:r>
          <w:rPr>
            <w:noProof/>
            <w:webHidden/>
          </w:rPr>
          <w:fldChar w:fldCharType="begin"/>
        </w:r>
        <w:r>
          <w:rPr>
            <w:noProof/>
            <w:webHidden/>
          </w:rPr>
          <w:instrText xml:space="preserve"> PAGEREF _Toc418755866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5867" w:history="1">
        <w:r>
          <w:rPr>
            <w:rStyle w:val="Hyperlink"/>
            <w:noProof/>
          </w:rPr>
          <w:t>7 Anforderungen an Baustoffe und Bauteile sowie an die Größe der Brandbekämpfungsabschnitte unter Verwendung des Rechenverfahrens nach DIN 18230-1</w:t>
        </w:r>
        <w:r>
          <w:rPr>
            <w:noProof/>
            <w:webHidden/>
          </w:rPr>
          <w:tab/>
        </w:r>
        <w:r>
          <w:rPr>
            <w:noProof/>
            <w:webHidden/>
          </w:rPr>
          <w:fldChar w:fldCharType="begin"/>
        </w:r>
        <w:r>
          <w:rPr>
            <w:noProof/>
            <w:webHidden/>
          </w:rPr>
          <w:instrText xml:space="preserve"> PAGEREF _Toc418755867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68" w:history="1">
        <w:r>
          <w:rPr>
            <w:rStyle w:val="Hyperlink"/>
            <w:noProof/>
          </w:rPr>
          <w:t>7.1 Grundsätze des Nachweises</w:t>
        </w:r>
        <w:r>
          <w:rPr>
            <w:noProof/>
            <w:webHidden/>
          </w:rPr>
          <w:tab/>
        </w:r>
        <w:r>
          <w:rPr>
            <w:noProof/>
            <w:webHidden/>
          </w:rPr>
          <w:fldChar w:fldCharType="begin"/>
        </w:r>
        <w:r>
          <w:rPr>
            <w:noProof/>
            <w:webHidden/>
          </w:rPr>
          <w:instrText xml:space="preserve"> PAGEREF _Toc418755868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69" w:history="1">
        <w:r>
          <w:rPr>
            <w:rStyle w:val="Hyperlink"/>
            <w:noProof/>
          </w:rPr>
          <w:t>7.2 Brandsicherheitsklassen</w:t>
        </w:r>
        <w:r>
          <w:rPr>
            <w:noProof/>
            <w:webHidden/>
          </w:rPr>
          <w:tab/>
        </w:r>
        <w:r>
          <w:rPr>
            <w:noProof/>
            <w:webHidden/>
          </w:rPr>
          <w:fldChar w:fldCharType="begin"/>
        </w:r>
        <w:r>
          <w:rPr>
            <w:noProof/>
            <w:webHidden/>
          </w:rPr>
          <w:instrText xml:space="preserve"> PAGEREF _Toc418755869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70" w:history="1">
        <w:r>
          <w:rPr>
            <w:rStyle w:val="Hyperlink"/>
            <w:noProof/>
          </w:rPr>
          <w:t>7.3 Anforderungen an Bauteile zur Trennung von Brandbekämpfungsabschnitten</w:t>
        </w:r>
        <w:r>
          <w:rPr>
            <w:noProof/>
            <w:webHidden/>
          </w:rPr>
          <w:tab/>
        </w:r>
        <w:r>
          <w:rPr>
            <w:noProof/>
            <w:webHidden/>
          </w:rPr>
          <w:fldChar w:fldCharType="begin"/>
        </w:r>
        <w:r>
          <w:rPr>
            <w:noProof/>
            <w:webHidden/>
          </w:rPr>
          <w:instrText xml:space="preserve"> PAGEREF _Toc418755870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71" w:history="1">
        <w:r>
          <w:rPr>
            <w:rStyle w:val="Hyperlink"/>
            <w:noProof/>
          </w:rPr>
          <w:t>7.4 Zulässige Größen von Brandbekämpfungsabschnitten</w:t>
        </w:r>
        <w:r>
          <w:rPr>
            <w:noProof/>
            <w:webHidden/>
          </w:rPr>
          <w:tab/>
        </w:r>
        <w:r>
          <w:rPr>
            <w:noProof/>
            <w:webHidden/>
          </w:rPr>
          <w:fldChar w:fldCharType="begin"/>
        </w:r>
        <w:r>
          <w:rPr>
            <w:noProof/>
            <w:webHidden/>
          </w:rPr>
          <w:instrText xml:space="preserve"> PAGEREF _Toc418755871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72" w:history="1">
        <w:r>
          <w:rPr>
            <w:rStyle w:val="Hyperlink"/>
            <w:noProof/>
          </w:rPr>
          <w:t>7.5 Zusätzliche Anforderungen an Brandbekämpfungsabschnittsflächen mit einer Größe von mehr als 60 000 m²</w:t>
        </w:r>
        <w:r>
          <w:rPr>
            <w:noProof/>
            <w:webHidden/>
          </w:rPr>
          <w:tab/>
        </w:r>
        <w:r>
          <w:rPr>
            <w:noProof/>
            <w:webHidden/>
          </w:rPr>
          <w:fldChar w:fldCharType="begin"/>
        </w:r>
        <w:r>
          <w:rPr>
            <w:noProof/>
            <w:webHidden/>
          </w:rPr>
          <w:instrText xml:space="preserve"> PAGEREF _Toc418755872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73" w:history="1">
        <w:r>
          <w:rPr>
            <w:rStyle w:val="Hyperlink"/>
            <w:noProof/>
          </w:rPr>
          <w:t>7.6 Anforderungen an die Bauteile</w:t>
        </w:r>
        <w:r>
          <w:rPr>
            <w:noProof/>
            <w:webHidden/>
          </w:rPr>
          <w:tab/>
        </w:r>
        <w:r>
          <w:rPr>
            <w:noProof/>
            <w:webHidden/>
          </w:rPr>
          <w:fldChar w:fldCharType="begin"/>
        </w:r>
        <w:r>
          <w:rPr>
            <w:noProof/>
            <w:webHidden/>
          </w:rPr>
          <w:instrText xml:space="preserve"> PAGEREF _Toc418755873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74" w:history="1">
        <w:r>
          <w:rPr>
            <w:rStyle w:val="Hyperlink"/>
            <w:noProof/>
          </w:rPr>
          <w:t>7.7 Sonstige Anforderungen</w:t>
        </w:r>
        <w:r>
          <w:rPr>
            <w:noProof/>
            <w:webHidden/>
          </w:rPr>
          <w:tab/>
        </w:r>
        <w:r>
          <w:rPr>
            <w:noProof/>
            <w:webHidden/>
          </w:rPr>
          <w:fldChar w:fldCharType="begin"/>
        </w:r>
        <w:r>
          <w:rPr>
            <w:noProof/>
            <w:webHidden/>
          </w:rPr>
          <w:instrText xml:space="preserve"> PAGEREF _Toc418755874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5875" w:history="1">
        <w:r>
          <w:rPr>
            <w:rStyle w:val="Hyperlink"/>
            <w:noProof/>
          </w:rPr>
          <w:t>8 Zusätzliche Bauvorlagen</w:t>
        </w:r>
        <w:r>
          <w:rPr>
            <w:noProof/>
            <w:webHidden/>
          </w:rPr>
          <w:tab/>
        </w:r>
        <w:r>
          <w:rPr>
            <w:noProof/>
            <w:webHidden/>
          </w:rPr>
          <w:fldChar w:fldCharType="begin"/>
        </w:r>
        <w:r>
          <w:rPr>
            <w:noProof/>
            <w:webHidden/>
          </w:rPr>
          <w:instrText xml:space="preserve"> PAGEREF _Toc418755875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8755876" w:history="1">
        <w:r>
          <w:rPr>
            <w:rStyle w:val="Hyperlink"/>
            <w:noProof/>
          </w:rPr>
          <w:t>9 Pflichten der Betreiber</w:t>
        </w:r>
        <w:r>
          <w:rPr>
            <w:noProof/>
            <w:webHidden/>
          </w:rPr>
          <w:tab/>
        </w:r>
        <w:r>
          <w:rPr>
            <w:noProof/>
            <w:webHidden/>
          </w:rPr>
          <w:fldChar w:fldCharType="begin"/>
        </w:r>
        <w:r>
          <w:rPr>
            <w:noProof/>
            <w:webHidden/>
          </w:rPr>
          <w:instrText xml:space="preserve"> PAGEREF _Toc418755876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5877" w:history="1">
        <w:r>
          <w:rPr>
            <w:rStyle w:val="Hyperlink"/>
            <w:noProof/>
          </w:rPr>
          <w:t>10 Inkrafttreten, Außerkrafttreten</w:t>
        </w:r>
        <w:r>
          <w:rPr>
            <w:noProof/>
            <w:webHidden/>
          </w:rPr>
          <w:tab/>
        </w:r>
        <w:r>
          <w:rPr>
            <w:noProof/>
            <w:webHidden/>
          </w:rPr>
          <w:fldChar w:fldCharType="begin"/>
        </w:r>
        <w:r>
          <w:rPr>
            <w:noProof/>
            <w:webHidden/>
          </w:rPr>
          <w:instrText xml:space="preserve"> PAGEREF _Toc418755877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5878" w:history="1">
        <w:r>
          <w:rPr>
            <w:rStyle w:val="Hyperlink"/>
            <w:noProof/>
          </w:rPr>
          <w:t>Anhang 1</w:t>
        </w:r>
        <w:r>
          <w:rPr>
            <w:noProof/>
            <w:webHidden/>
          </w:rPr>
          <w:tab/>
        </w:r>
        <w:r>
          <w:rPr>
            <w:noProof/>
            <w:webHidden/>
          </w:rPr>
          <w:fldChar w:fldCharType="begin"/>
        </w:r>
        <w:r>
          <w:rPr>
            <w:noProof/>
            <w:webHidden/>
          </w:rPr>
          <w:instrText xml:space="preserve"> PAGEREF _Toc418755878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8755879" w:history="1">
        <w:r>
          <w:rPr>
            <w:rStyle w:val="Hyperlink"/>
            <w:noProof/>
          </w:rPr>
          <w:t>Anhang 2</w:t>
        </w:r>
        <w:r>
          <w:rPr>
            <w:noProof/>
            <w:webHidden/>
          </w:rPr>
          <w:tab/>
        </w:r>
        <w:r>
          <w:rPr>
            <w:noProof/>
            <w:webHidden/>
          </w:rPr>
          <w:fldChar w:fldCharType="begin"/>
        </w:r>
        <w:r>
          <w:rPr>
            <w:noProof/>
            <w:webHidden/>
          </w:rPr>
          <w:instrText xml:space="preserve"> PAGEREF _Toc418755879 \h </w:instrText>
        </w:r>
        <w:r>
          <w:rPr>
            <w:noProof/>
            <w:webHidden/>
          </w:rPr>
        </w:r>
        <w:r>
          <w:rPr>
            <w:noProof/>
            <w:webHidden/>
          </w:rPr>
          <w:fldChar w:fldCharType="separate"/>
        </w:r>
        <w:r>
          <w:rPr>
            <w:noProof/>
            <w:webHidden/>
          </w:rPr>
          <w:t>26</w:t>
        </w:r>
        <w:r>
          <w:rPr>
            <w:noProof/>
            <w:webHidden/>
          </w:rPr>
          <w:fldChar w:fldCharType="end"/>
        </w:r>
      </w:hyperlink>
    </w:p>
    <w:p>
      <w:pPr>
        <w:pStyle w:val="GesAbsatz"/>
      </w:pPr>
      <w:r>
        <w:fldChar w:fldCharType="end"/>
      </w:r>
    </w:p>
    <w:p>
      <w:pPr>
        <w:pStyle w:val="berschrift2"/>
      </w:pPr>
      <w:bookmarkStart w:id="2" w:name="_Toc418755827"/>
      <w:r>
        <w:t>1</w:t>
      </w:r>
      <w:r>
        <w:br/>
        <w:t>Ziel</w:t>
      </w:r>
      <w:bookmarkEnd w:id="2"/>
    </w:p>
    <w:p>
      <w:pPr>
        <w:pStyle w:val="GesAbsatz"/>
      </w:pPr>
      <w:r>
        <w:t>Ziel dieser Richtlinie ist es, die Mindestanforderungen an den Brandschutz von Industriebauten zu regeln, insbesondere an</w:t>
      </w:r>
    </w:p>
    <w:p>
      <w:pPr>
        <w:pStyle w:val="GesAbsatz"/>
      </w:pPr>
      <w:r>
        <w:t>a)</w:t>
      </w:r>
      <w:r>
        <w:tab/>
        <w:t>die Feuerwiderstandsfähigkeit der Bauteile,</w:t>
      </w:r>
    </w:p>
    <w:p>
      <w:pPr>
        <w:pStyle w:val="GesAbsatz"/>
      </w:pPr>
      <w:r>
        <w:t>b)</w:t>
      </w:r>
      <w:r>
        <w:tab/>
        <w:t>die Brennbarkeit der Baustoffe,</w:t>
      </w:r>
    </w:p>
    <w:p>
      <w:pPr>
        <w:pStyle w:val="GesAbsatz"/>
      </w:pPr>
      <w:r>
        <w:t>c)</w:t>
      </w:r>
      <w:r>
        <w:tab/>
        <w:t>die Größe der Brandabschnitte beziehungsweise Brandbekämpfungsabschnitte und</w:t>
      </w:r>
    </w:p>
    <w:p>
      <w:pPr>
        <w:pStyle w:val="GesAbsatz"/>
      </w:pPr>
      <w:r>
        <w:t>d)</w:t>
      </w:r>
      <w:r>
        <w:tab/>
        <w:t>die Anordnung, Lage und Länge der Rettungswege.</w:t>
      </w:r>
    </w:p>
    <w:p>
      <w:pPr>
        <w:pStyle w:val="GesAbsatz"/>
      </w:pPr>
      <w:r>
        <w:t>Industriebauten, die den Anforderungen dieser Richtlinie entsprechen, erfüllen die Schutzziele des § 17 Absatz 1 Landesbauordnung.</w:t>
      </w:r>
    </w:p>
    <w:p>
      <w:pPr>
        <w:pStyle w:val="berschrift2"/>
      </w:pPr>
      <w:bookmarkStart w:id="3" w:name="_Toc418755828"/>
      <w:r>
        <w:t>2</w:t>
      </w:r>
      <w:r>
        <w:br/>
        <w:t>Anwendungsbereich</w:t>
      </w:r>
      <w:bookmarkEnd w:id="3"/>
    </w:p>
    <w:p>
      <w:pPr>
        <w:pStyle w:val="GesAbsatz"/>
      </w:pPr>
      <w:r>
        <w:t>Diese Richtlinie gilt für Industriebauten nach Abschnitt 3.1, die keine Aufenthaltsräume in einer Höhe von mehr als 22 m im Sinne von § 2 Absatz 3 Satz 3 Landesbauordnung haben.</w:t>
      </w:r>
    </w:p>
    <w:p>
      <w:pPr>
        <w:pStyle w:val="GesAbsatz"/>
      </w:pPr>
      <w:r>
        <w:t>Diese Richtlinie gilt nicht für Reinraumgebäude.</w:t>
      </w:r>
    </w:p>
    <w:p>
      <w:pPr>
        <w:pStyle w:val="GesAbsatz"/>
      </w:pPr>
      <w:r>
        <w:t>Für Industriebauten mit geringeren Brandgefahren, wie</w:t>
      </w:r>
    </w:p>
    <w:p>
      <w:pPr>
        <w:pStyle w:val="GesAbsatz"/>
        <w:ind w:left="426" w:hanging="426"/>
      </w:pPr>
      <w:r>
        <w:t>a)</w:t>
      </w:r>
      <w:r>
        <w:tab/>
        <w:t>Industriebauten, die überwiegend offen sind, wie überdachte Freianlagen oder Freilager oder die aufgrund ihres Verhaltens im Brandfall diesen gleichgestellt werden können oder</w:t>
      </w:r>
    </w:p>
    <w:p>
      <w:pPr>
        <w:pStyle w:val="GesAbsatz"/>
        <w:ind w:left="426" w:hanging="426"/>
      </w:pPr>
      <w:r>
        <w:t>b)</w:t>
      </w:r>
      <w:r>
        <w:tab/>
        <w:t>Industriebauten, die lediglich der Aufstellung technischer Anlagen dienen und die nur vorübergehend zu Wartungs- und Kontrollzwecken begangen werden, (Einhausungen, zum Beispiel aus Gründen des Witterungs- oder Immissionsschutzes),</w:t>
      </w:r>
    </w:p>
    <w:p>
      <w:pPr>
        <w:pStyle w:val="GesAbsatz"/>
      </w:pPr>
      <w:r>
        <w:t>können Erleichterungen gestattet werden, wenn die bauordnungsrechtlichen Schutzziele erfüllt sind.</w:t>
      </w:r>
    </w:p>
    <w:p>
      <w:pPr>
        <w:pStyle w:val="GesAbsatz"/>
      </w:pPr>
      <w:r>
        <w:t>Weitergehende Anforderungen können gestellt werden zum Beispiel für Regallager mit brennbarem Lagergut und einer Oberkante Lagerguthöhe von mehr als 9,0 m.</w:t>
      </w:r>
    </w:p>
    <w:p>
      <w:pPr>
        <w:pStyle w:val="berschrift2"/>
      </w:pPr>
      <w:bookmarkStart w:id="4" w:name="_Toc418755829"/>
      <w:r>
        <w:t>3</w:t>
      </w:r>
      <w:r>
        <w:br/>
        <w:t>Begriffe</w:t>
      </w:r>
      <w:bookmarkEnd w:id="4"/>
    </w:p>
    <w:p>
      <w:pPr>
        <w:pStyle w:val="berschrift3"/>
      </w:pPr>
      <w:bookmarkStart w:id="5" w:name="_Toc418755830"/>
      <w:r>
        <w:t>3.1</w:t>
      </w:r>
      <w:r>
        <w:br/>
        <w:t>Industriebauten</w:t>
      </w:r>
      <w:bookmarkEnd w:id="5"/>
    </w:p>
    <w:p>
      <w:pPr>
        <w:pStyle w:val="GesAbsatz"/>
      </w:pPr>
      <w:r>
        <w:t>Industriebauten sind Gebäude oder Gebäudeteile im Bereich der Industrie und des Gewerbes, die der Produktion (Herstellung, Behandlung, Verwertung, Verteilung)  oder Lagerung von Produkten oder Gütern dienen. Im Sinne dieser Richtlinie ist die Grundfläche</w:t>
      </w:r>
    </w:p>
    <w:p>
      <w:pPr>
        <w:pStyle w:val="GesAbsatz"/>
      </w:pPr>
      <w:r>
        <w:t>a)</w:t>
      </w:r>
      <w:r>
        <w:tab/>
        <w:t>eines Industriebaus die Fläche zwischen den aufgehenden Umfassungsbauteilen und</w:t>
      </w:r>
    </w:p>
    <w:p>
      <w:pPr>
        <w:pStyle w:val="GesAbsatz"/>
      </w:pPr>
      <w:r>
        <w:t>b)</w:t>
      </w:r>
      <w:r>
        <w:tab/>
        <w:t>von Räumen innerhalb eines Industriebaus die Fläche zwischen deren Umfassungswänden.</w:t>
      </w:r>
    </w:p>
    <w:p>
      <w:pPr>
        <w:pStyle w:val="berschrift3"/>
      </w:pPr>
      <w:bookmarkStart w:id="6" w:name="_Toc418755831"/>
      <w:r>
        <w:lastRenderedPageBreak/>
        <w:t>3.2</w:t>
      </w:r>
      <w:r>
        <w:br/>
        <w:t>Brandabschnitt</w:t>
      </w:r>
      <w:bookmarkEnd w:id="6"/>
    </w:p>
    <w:p>
      <w:pPr>
        <w:pStyle w:val="GesAbsatz"/>
      </w:pPr>
      <w:r>
        <w:t>Ein Brandabschnitt ist der Bereich eines Gebäudes zwischen seinen Außenwänden und/oder den Wänden, die als Brandwände über alle Geschosse ausgebildet sind.</w:t>
      </w:r>
    </w:p>
    <w:p>
      <w:pPr>
        <w:pStyle w:val="berschrift3"/>
      </w:pPr>
      <w:bookmarkStart w:id="7" w:name="_Toc418755832"/>
      <w:r>
        <w:t>3.3</w:t>
      </w:r>
      <w:r>
        <w:br/>
        <w:t>Brandabschnittsfläche</w:t>
      </w:r>
      <w:bookmarkEnd w:id="7"/>
    </w:p>
    <w:p>
      <w:pPr>
        <w:pStyle w:val="GesAbsatz"/>
      </w:pPr>
      <w:r>
        <w:t>Die Brandabschnittsfläche ist die Grundfläche des Geschosses mit der größten Ausdehnung eines Brandabschnitts zwischen den aufgehenden Umfassungsbauteilen.</w:t>
      </w:r>
    </w:p>
    <w:p>
      <w:pPr>
        <w:pStyle w:val="berschrift3"/>
      </w:pPr>
      <w:bookmarkStart w:id="8" w:name="_Toc418755833"/>
      <w:r>
        <w:t>3.4</w:t>
      </w:r>
      <w:r>
        <w:br/>
        <w:t>Brandbekämpfungsabschnitt</w:t>
      </w:r>
      <w:bookmarkEnd w:id="8"/>
    </w:p>
    <w:p>
      <w:pPr>
        <w:pStyle w:val="GesAbsatz"/>
      </w:pPr>
      <w:r>
        <w:t>Ein Brandbekämpfungsabschnitt ist ein auf das kritische Brandereignis normativ bemessener, gegenüber anderen Gebäudebereichen brandschutztechnisch abgetrennter Gebäudebereich mit spezifischen Anforderungen an Wände und Decken, die diesen Brandbekämpfungsabschnitt begrenzen.</w:t>
      </w:r>
    </w:p>
    <w:p>
      <w:pPr>
        <w:pStyle w:val="berschrift3"/>
      </w:pPr>
      <w:bookmarkStart w:id="9" w:name="_Toc418755834"/>
      <w:r>
        <w:t>3.5</w:t>
      </w:r>
      <w:r>
        <w:br/>
        <w:t>Grundfläche des Brandbekämpfungsabschnitts</w:t>
      </w:r>
      <w:bookmarkEnd w:id="9"/>
    </w:p>
    <w:p>
      <w:pPr>
        <w:pStyle w:val="GesAbsatz"/>
      </w:pPr>
      <w:r>
        <w:t>Die Grundfläche des Brandbekämpfungsabschnitts ist die Grundfläche des untersten oberirdischen Geschosses beziehungsweise der untersten Ebene des Brandbekämpfungsabschnitts, gemessen an der höchsten Stelle der Bodenplatte zwischen den aufgehenden Umfassungsbauteilen. Die Grundfläche tiefer liegender Bereiche, wie Gruben und Pressenkeller, werden der Grundfläche des Brandbekämpfungsabschnitts zugeschlagen.</w:t>
      </w:r>
    </w:p>
    <w:p>
      <w:pPr>
        <w:pStyle w:val="berschrift3"/>
      </w:pPr>
      <w:bookmarkStart w:id="10" w:name="_Toc418755835"/>
      <w:r>
        <w:t>3.6</w:t>
      </w:r>
      <w:r>
        <w:br/>
        <w:t>Brandbekämpfungsabschnittsfläche</w:t>
      </w:r>
      <w:bookmarkEnd w:id="10"/>
    </w:p>
    <w:p>
      <w:pPr>
        <w:pStyle w:val="GesAbsatz"/>
      </w:pPr>
      <w:r>
        <w:t>Die Brandbekämpfungsabschnittsfläche ist die Summe der Grundflächen von Geschossen und Ebenen des Brandbekämpfungsabschnitts zwischen den aufgehenden Umfassungsbauteilen.</w:t>
      </w:r>
    </w:p>
    <w:p>
      <w:pPr>
        <w:pStyle w:val="berschrift3"/>
      </w:pPr>
      <w:bookmarkStart w:id="11" w:name="_Toc418755836"/>
      <w:r>
        <w:t>3.7</w:t>
      </w:r>
      <w:r>
        <w:br/>
        <w:t>Geschoss</w:t>
      </w:r>
      <w:bookmarkEnd w:id="11"/>
    </w:p>
    <w:p>
      <w:pPr>
        <w:pStyle w:val="GesAbsatz"/>
      </w:pPr>
      <w:r>
        <w:t>Ein Geschoss umfasst alle auf gleicher Höhe liegenden, sowie in der Höhe versetzten Räume und Raumteile eines Brandabschnitts oder eines Brandbekämpfungsabschnitts. Geschosse werden durch Geschossdecken getrennt, die raumabschließend und standsicher sein müssen. Die Grundfläche eines Geschosses ist die Fläche zwischen den aufgehenden Umfassungsbauteilen oder Brandwänden eines Geschosses.</w:t>
      </w:r>
    </w:p>
    <w:p>
      <w:pPr>
        <w:pStyle w:val="berschrift3"/>
      </w:pPr>
      <w:bookmarkStart w:id="12" w:name="_Toc418755837"/>
      <w:r>
        <w:t>3.8</w:t>
      </w:r>
      <w:r>
        <w:br/>
        <w:t>Ebene</w:t>
      </w:r>
      <w:bookmarkEnd w:id="12"/>
    </w:p>
    <w:p>
      <w:pPr>
        <w:pStyle w:val="GesAbsatz"/>
      </w:pPr>
      <w:r>
        <w:t>Eine Ebene umfasst alle auf gleicher Höhe liegenden Räume oder Raumteile in einem Brandbekämpfungsabschnitt zwischen den Außenwänden oder den Wänden zur Trennung von Brandbekämpfungsabschnitten. Ebenen sind durch Decken getrennt, deren Standsicherheit brandschutztechnisch bemessen sein muss. Die Decken haben Öffnungen, nicht klassifizierte Abschlüsse oder Abschottungen. Bei der Ermittlung der Grundfläche der jeweiligen Ebene werden die Flächen von Öffnungen und nicht klassifizierte Abschlüsse oder Abschottungen nicht angerechnet.</w:t>
      </w:r>
    </w:p>
    <w:p>
      <w:pPr>
        <w:pStyle w:val="berschrift3"/>
      </w:pPr>
      <w:bookmarkStart w:id="13" w:name="_Toc418755838"/>
      <w:r>
        <w:t>3.9</w:t>
      </w:r>
      <w:r>
        <w:br/>
        <w:t>Einbauten</w:t>
      </w:r>
      <w:bookmarkEnd w:id="13"/>
    </w:p>
    <w:p>
      <w:pPr>
        <w:pStyle w:val="GesAbsatz"/>
      </w:pPr>
      <w:r>
        <w:t>Einbauten umfassen einzelne auf gleicher Höhe liegende begehbare Bauteile oberhalb des Fußbodens von Geschossen und Ebenen. Einbauten sind brandschutztechnisch nicht bemessen. Die Grundfläche von Einbauten ist die Fläche zwischen ihren Umfassungswänden beziehungsweise den freien Rändern.</w:t>
      </w:r>
    </w:p>
    <w:p>
      <w:pPr>
        <w:pStyle w:val="berschrift3"/>
      </w:pPr>
      <w:bookmarkStart w:id="14" w:name="_Toc418755839"/>
      <w:r>
        <w:t>3.10</w:t>
      </w:r>
      <w:r>
        <w:br/>
        <w:t>Erdgeschossige Industriebauten</w:t>
      </w:r>
      <w:bookmarkEnd w:id="14"/>
    </w:p>
    <w:p>
      <w:pPr>
        <w:pStyle w:val="GesAbsatz"/>
      </w:pPr>
      <w:r>
        <w:t>Erdgeschossige Industriebauten sind Gebäude mit nicht mehr als einem oberirdischem Geschoss ohne Ebenen, deren Fußböden an keiner Stelle mehr als 1,0 m unter der Geländeoberfläche liegen.</w:t>
      </w:r>
    </w:p>
    <w:p>
      <w:pPr>
        <w:pStyle w:val="berschrift3"/>
      </w:pPr>
      <w:bookmarkStart w:id="15" w:name="_Toc418755840"/>
      <w:r>
        <w:lastRenderedPageBreak/>
        <w:t>3.11</w:t>
      </w:r>
      <w:r>
        <w:br/>
        <w:t>Brandsicherheitsklassen</w:t>
      </w:r>
      <w:bookmarkEnd w:id="15"/>
    </w:p>
    <w:p>
      <w:pPr>
        <w:pStyle w:val="GesAbsatz"/>
      </w:pPr>
      <w:r>
        <w:t>Brandsicherheitsklassen sind Klassierungsstufen, mit denen die unterschiedliche brandschutztechnische Bedeutung von Bauteilen bewertet wird.</w:t>
      </w:r>
    </w:p>
    <w:p>
      <w:pPr>
        <w:pStyle w:val="berschrift3"/>
      </w:pPr>
      <w:bookmarkStart w:id="16" w:name="_Toc418755841"/>
      <w:r>
        <w:t>3.12</w:t>
      </w:r>
      <w:r>
        <w:br/>
        <w:t>Sicherheitskategorien</w:t>
      </w:r>
      <w:bookmarkEnd w:id="16"/>
    </w:p>
    <w:p>
      <w:pPr>
        <w:pStyle w:val="GesAbsatz"/>
      </w:pPr>
      <w:r>
        <w:t>Sicherheitskategorien sind Klassierungsstufen für die brandschutztechnische Infrastruktur. Sie ergeben sich aus den Vorkehrungen für die Brandmeldung, der Art der Feuerwehr und der Art einer Feuerlöschanlage. Sie werden wie folgt unterschieden:</w:t>
      </w:r>
    </w:p>
    <w:p>
      <w:pPr>
        <w:pStyle w:val="GesAbsatz"/>
      </w:pPr>
      <w:r>
        <w:t>a)</w:t>
      </w:r>
      <w:r>
        <w:tab/>
        <w:t>Sicherheitskategorie K 1:</w:t>
      </w:r>
    </w:p>
    <w:p>
      <w:pPr>
        <w:pStyle w:val="GesAbsatz"/>
        <w:ind w:left="426"/>
      </w:pPr>
      <w:r>
        <w:t>Brandabschnitte oder Brandbekämpfungsabschnitte ohne besondere Maßnahmen für Brandmeldung und Brandbekämpfung</w:t>
      </w:r>
    </w:p>
    <w:p>
      <w:pPr>
        <w:pStyle w:val="GesAbsatz"/>
      </w:pPr>
      <w:r>
        <w:t>b)</w:t>
      </w:r>
      <w:r>
        <w:tab/>
        <w:t>Sicherheitskategorie K 2:</w:t>
      </w:r>
    </w:p>
    <w:p>
      <w:pPr>
        <w:pStyle w:val="GesAbsatz"/>
        <w:ind w:left="426"/>
      </w:pPr>
      <w:r>
        <w:t>Brandabschnitte oder Brandbekämpfungsabschnitte mit selbsttätiger Brandmeldeanlage</w:t>
      </w:r>
    </w:p>
    <w:p>
      <w:pPr>
        <w:pStyle w:val="GesAbsatz"/>
      </w:pPr>
      <w:r>
        <w:t>c)</w:t>
      </w:r>
      <w:r>
        <w:tab/>
        <w:t>Sicherheitskategorie K 3.1:</w:t>
      </w:r>
    </w:p>
    <w:p>
      <w:pPr>
        <w:pStyle w:val="GesAbsatz"/>
        <w:ind w:left="426"/>
      </w:pPr>
      <w:r>
        <w:t>Brandabschnitte oder Brandbekämpfungsabschnitte mit selbsttätiger Brandmeldeanlage in Industriebauten mit Werkfeuerwehr in mindestens Staffelstärke; diese Staffel muss aus hauptberuflichen Kräften bestehen.</w:t>
      </w:r>
    </w:p>
    <w:p>
      <w:pPr>
        <w:pStyle w:val="GesAbsatz"/>
      </w:pPr>
      <w:r>
        <w:t>d)</w:t>
      </w:r>
      <w:r>
        <w:tab/>
        <w:t>Sicherheitskategorie K 3.2:</w:t>
      </w:r>
    </w:p>
    <w:p>
      <w:pPr>
        <w:pStyle w:val="GesAbsatz"/>
        <w:ind w:left="426"/>
      </w:pPr>
      <w:r>
        <w:t>Brandabschnitte oder Brandbekämpfungsabschnitte mit selbsttätiger Brandmeldeanlage in Industriebauten mit Werkfeuerwehr in mindestens Gruppenstärke</w:t>
      </w:r>
    </w:p>
    <w:p>
      <w:pPr>
        <w:pStyle w:val="GesAbsatz"/>
      </w:pPr>
      <w:r>
        <w:t>e)</w:t>
      </w:r>
      <w:r>
        <w:tab/>
        <w:t>Sicherheitskategorie K 3.3:</w:t>
      </w:r>
    </w:p>
    <w:p>
      <w:pPr>
        <w:pStyle w:val="GesAbsatz"/>
        <w:ind w:left="426"/>
      </w:pPr>
      <w:r>
        <w:t>Brandabschnitte oder Brandbekämpfungsabschnitte mit selbsttätiger Brandmeldeanlage in Industriebauten mit Werkfeuerwehr mit mindestens 2 Staffeln</w:t>
      </w:r>
    </w:p>
    <w:p>
      <w:pPr>
        <w:pStyle w:val="GesAbsatz"/>
      </w:pPr>
      <w:r>
        <w:t>f)</w:t>
      </w:r>
      <w:r>
        <w:tab/>
        <w:t>Sicherheitskategorie K 3.4:</w:t>
      </w:r>
    </w:p>
    <w:p>
      <w:pPr>
        <w:pStyle w:val="GesAbsatz"/>
        <w:ind w:left="426"/>
      </w:pPr>
      <w:r>
        <w:t>Brandabschnitte oder Brandbekämpfungsabschnitte mit selbsttätiger Brandmeldeanlage in Industriebauten mit Werkfeuerwehr mit mindestens 3 Staffeln</w:t>
      </w:r>
    </w:p>
    <w:p>
      <w:pPr>
        <w:pStyle w:val="GesAbsatz"/>
      </w:pPr>
      <w:r>
        <w:t>g)</w:t>
      </w:r>
      <w:r>
        <w:tab/>
        <w:t>Sicherheitskategorie K 4:</w:t>
      </w:r>
    </w:p>
    <w:p>
      <w:pPr>
        <w:pStyle w:val="GesAbsatz"/>
        <w:ind w:left="426"/>
      </w:pPr>
      <w:r>
        <w:t>Brandabschnitte oder Brandbekämpfungsabschnitte mit selbsttätiger Feuerlöschanlage</w:t>
      </w:r>
    </w:p>
    <w:p>
      <w:pPr>
        <w:pStyle w:val="GesAbsatz"/>
      </w:pPr>
      <w:r>
        <w:t>Bei Vorhandensein einer flächendeckenden halbstationären Feuerlöschanlage darf in den Sicherheitskategorien K 3.1 bis K 3.3 die jeweils nächsthöhere Kategorie angesetzt werden, wenn die Werkfeuerwehr der Verwendung der Feuerlöschanlage zugestimmt hat.</w:t>
      </w:r>
    </w:p>
    <w:p>
      <w:pPr>
        <w:pStyle w:val="berschrift3"/>
      </w:pPr>
      <w:bookmarkStart w:id="17" w:name="_Toc418755842"/>
      <w:r>
        <w:t>3.13</w:t>
      </w:r>
      <w:r>
        <w:br/>
        <w:t>Werkfeuerwehr</w:t>
      </w:r>
      <w:bookmarkEnd w:id="17"/>
    </w:p>
    <w:p>
      <w:pPr>
        <w:pStyle w:val="GesAbsatz"/>
      </w:pPr>
      <w:r>
        <w:t>Werkfeuerwehr im Sinne dieser Richtlinie ist eine nach § 15 Gesetz über den Feuerschutz und die Hilfeleistung staatlich anerkannte Werkfeuerwehr, die jederzeit in spätestens 5 Minuten nach ihrer Alarmierung die Einsatzstelle erreicht; Einsatzstelle ist die Stelle des Industriebaus, von der aus vor Ort erste Brandbekämpfungsmaßnahmen vorgetragen werden.</w:t>
      </w:r>
    </w:p>
    <w:p>
      <w:pPr>
        <w:pStyle w:val="berschrift2"/>
      </w:pPr>
      <w:bookmarkStart w:id="18" w:name="_Toc418755843"/>
      <w:r>
        <w:t>4</w:t>
      </w:r>
      <w:r>
        <w:br/>
        <w:t>Verfahren</w:t>
      </w:r>
      <w:bookmarkEnd w:id="18"/>
    </w:p>
    <w:p>
      <w:pPr>
        <w:pStyle w:val="berschrift3"/>
      </w:pPr>
      <w:bookmarkStart w:id="19" w:name="_Toc418755844"/>
      <w:r>
        <w:t>4.1</w:t>
      </w:r>
      <w:bookmarkEnd w:id="19"/>
    </w:p>
    <w:p>
      <w:pPr>
        <w:pStyle w:val="GesAbsatz"/>
      </w:pPr>
      <w:r>
        <w:t>Im Verfahren nach Abschnitt 6 wird in Abhängigkeit</w:t>
      </w:r>
    </w:p>
    <w:p>
      <w:pPr>
        <w:pStyle w:val="GesAbsatz"/>
      </w:pPr>
      <w:r>
        <w:t>a)</w:t>
      </w:r>
      <w:r>
        <w:tab/>
        <w:t>von der Feuerwiderstandsfähigkeit der tragenden und aussteifenden Bauteile,</w:t>
      </w:r>
    </w:p>
    <w:p>
      <w:pPr>
        <w:pStyle w:val="GesAbsatz"/>
        <w:ind w:left="426" w:hanging="426"/>
      </w:pPr>
      <w:r>
        <w:t>b)</w:t>
      </w:r>
      <w:r>
        <w:tab/>
        <w:t>von der brandschutztechnischen Infrastruktur der baulichen Anlage (ausgedrückt durch die Sicherheitskategorien)  und</w:t>
      </w:r>
    </w:p>
    <w:p>
      <w:pPr>
        <w:pStyle w:val="GesAbsatz"/>
      </w:pPr>
      <w:r>
        <w:t>c)</w:t>
      </w:r>
      <w:r>
        <w:tab/>
        <w:t>der Anzahl der oberirdischen Geschosse</w:t>
      </w:r>
    </w:p>
    <w:p>
      <w:pPr>
        <w:pStyle w:val="GesAbsatz"/>
      </w:pPr>
      <w:r>
        <w:t>die zulässige Brandabschnittsfläche für einen Brandabschnitt ermittelt.</w:t>
      </w:r>
    </w:p>
    <w:p>
      <w:pPr>
        <w:pStyle w:val="berschrift3"/>
      </w:pPr>
      <w:bookmarkStart w:id="20" w:name="_Toc418755845"/>
      <w:r>
        <w:lastRenderedPageBreak/>
        <w:t>4.2</w:t>
      </w:r>
      <w:bookmarkEnd w:id="20"/>
    </w:p>
    <w:p>
      <w:pPr>
        <w:pStyle w:val="GesAbsatz"/>
      </w:pPr>
      <w:r>
        <w:t>Im Verfahren nach Abschnitt 7 werden auf der Grundlage der Rechenverfahren nach DIN 18230-1</w:t>
      </w:r>
    </w:p>
    <w:p>
      <w:pPr>
        <w:pStyle w:val="GesAbsatz"/>
      </w:pPr>
      <w:r>
        <w:t>a)</w:t>
      </w:r>
      <w:r>
        <w:tab/>
        <w:t>die zulässige Fläche und</w:t>
      </w:r>
    </w:p>
    <w:p>
      <w:pPr>
        <w:pStyle w:val="GesAbsatz"/>
      </w:pPr>
      <w:r>
        <w:t>b)</w:t>
      </w:r>
      <w:r>
        <w:tab/>
        <w:t>die Anforderungen an die Bauteile nach den Brandsicherheitsklassen</w:t>
      </w:r>
    </w:p>
    <w:p>
      <w:pPr>
        <w:pStyle w:val="GesAbsatz"/>
      </w:pPr>
      <w:r>
        <w:t>für einen Brandbekämpfungsabschnitt bestimmt.</w:t>
      </w:r>
    </w:p>
    <w:p>
      <w:pPr>
        <w:pStyle w:val="berschrift3"/>
      </w:pPr>
      <w:bookmarkStart w:id="21" w:name="_Toc418755846"/>
      <w:r>
        <w:t>4.3</w:t>
      </w:r>
      <w:bookmarkEnd w:id="21"/>
    </w:p>
    <w:p>
      <w:pPr>
        <w:pStyle w:val="GesAbsatz"/>
      </w:pPr>
      <w:r>
        <w:t xml:space="preserve">Anstelle der Verfahren nach den Abschnitten 6 und 7 können auch Methoden des Brandschutzingenieurwesens eingesetzt werden zum Nachweis, dass die Ziele nach Abschnitt 1 erreicht werden (§ 3 Absatz 1 Satz 3 Landesbauordnung). Solche Nachweise sind nach </w:t>
      </w:r>
      <w:r>
        <w:rPr>
          <w:b/>
        </w:rPr>
        <w:t>Anhang 1</w:t>
      </w:r>
      <w:r>
        <w:t xml:space="preserve"> aufzustellen.</w:t>
      </w:r>
    </w:p>
    <w:p>
      <w:pPr>
        <w:pStyle w:val="berschrift2"/>
      </w:pPr>
      <w:bookmarkStart w:id="22" w:name="_Toc418755847"/>
      <w:r>
        <w:t>5</w:t>
      </w:r>
      <w:r>
        <w:br/>
        <w:t>Allgemeine Anforderungen</w:t>
      </w:r>
      <w:bookmarkEnd w:id="22"/>
    </w:p>
    <w:p>
      <w:pPr>
        <w:pStyle w:val="berschrift3"/>
      </w:pPr>
      <w:bookmarkStart w:id="23" w:name="_Toc418755848"/>
      <w:r>
        <w:t>5.1</w:t>
      </w:r>
      <w:r>
        <w:br/>
        <w:t>Löschwasserbedarf</w:t>
      </w:r>
      <w:bookmarkEnd w:id="23"/>
    </w:p>
    <w:p>
      <w:pPr>
        <w:pStyle w:val="GesAbsatz"/>
      </w:pPr>
      <w:r>
        <w:t>Für Industriebauten ist der Löschwasserbedarf im Benehmen mit der Brandschutzdienststelle unter Berücksichtigung der Flächen der Brandabschnitte oder Brandbekämpfungsabschnitte sowie der Brandlasten festzulegen. Hierbei ist auszugehen von einem Löschwasserbedarf über einen Zeitraum von zwei Stunden</w:t>
      </w:r>
    </w:p>
    <w:p>
      <w:pPr>
        <w:pStyle w:val="GesAbsatz"/>
      </w:pPr>
      <w:r>
        <w:t>a)</w:t>
      </w:r>
      <w:r>
        <w:tab/>
        <w:t>von mindestens 96 m³/h bei Abschnittsflächen bis zu 2 500 m² und</w:t>
      </w:r>
    </w:p>
    <w:p>
      <w:pPr>
        <w:pStyle w:val="GesAbsatz"/>
      </w:pPr>
      <w:r>
        <w:t>b)</w:t>
      </w:r>
      <w:r>
        <w:tab/>
        <w:t>von mindestens 192 m³/h bei Abschnittsflächen von mehr als 4 000 m².</w:t>
      </w:r>
    </w:p>
    <w:p>
      <w:pPr>
        <w:pStyle w:val="GesAbsatz"/>
      </w:pPr>
      <w:r>
        <w:t>Zwischenwerte können linear interpoliert werden.</w:t>
      </w:r>
    </w:p>
    <w:p>
      <w:pPr>
        <w:pStyle w:val="GesAbsatz"/>
      </w:pPr>
      <w:r>
        <w:t>Bei Industriebauten mit selbsttätiger Feuerlöschanlage genügt eine Löschwassermenge für Löscharbeiten der Feuerwehr von mindestens 96 m³/h über einen Zeitraum von einer Stunde.</w:t>
      </w:r>
    </w:p>
    <w:p>
      <w:pPr>
        <w:pStyle w:val="berschrift3"/>
      </w:pPr>
      <w:bookmarkStart w:id="24" w:name="_Toc418755849"/>
      <w:r>
        <w:t>5.2</w:t>
      </w:r>
      <w:r>
        <w:br/>
        <w:t>Lage und Zugänglichkeit</w:t>
      </w:r>
      <w:bookmarkEnd w:id="24"/>
    </w:p>
    <w:p>
      <w:pPr>
        <w:pStyle w:val="GesAbsatz"/>
      </w:pPr>
      <w:r>
        <w:t>5.2.1</w:t>
      </w:r>
    </w:p>
    <w:p>
      <w:pPr>
        <w:pStyle w:val="GesAbsatz"/>
      </w:pPr>
      <w:r>
        <w:t>Jeder Brandabschnitt und jeder Brandbekämpfungsabschnitt muss mit mindestens einer Seite an einer Außenwand liegen und von dort für die Feuerwehr zugänglich sein. Dies gilt nicht für Brandabschnitte und Brandbekämpfungsabschnitte, die eine selbsttätige Feuerlöschanlage haben.</w:t>
      </w:r>
    </w:p>
    <w:p>
      <w:pPr>
        <w:pStyle w:val="GesAbsatz"/>
      </w:pPr>
      <w:r>
        <w:t>5.2.2</w:t>
      </w:r>
    </w:p>
    <w:p>
      <w:pPr>
        <w:pStyle w:val="GesAbsatz"/>
      </w:pPr>
      <w:r>
        <w:t>Freistehende sowie aneinandergebaute Industriebauten mit einer Grundfläche von insgesamt mehr als 5 000 m² müssen eine für Feuerwehrfahrzeuge befahrbare Umfahrt haben. Umfahrten müssen die Anforderungen der Muster-Richtlinie über Flächen für die Feuerwehr erfüllen.</w:t>
      </w:r>
    </w:p>
    <w:p>
      <w:pPr>
        <w:pStyle w:val="GesAbsatz"/>
      </w:pPr>
      <w:r>
        <w:t>5.2.3</w:t>
      </w:r>
    </w:p>
    <w:p>
      <w:pPr>
        <w:pStyle w:val="GesAbsatz"/>
      </w:pPr>
      <w:r>
        <w:t>Über die nach § 5 Landesbauordnung für die Feuerwehr erforderlichen Zufahrten, Durchfahrten und Aufstell- und Bewegungsflächen hinaus, sind auch die Umfahrten nach Abschnitt 5.2.2 ständig freizuhalten. Hierauf ist dauerhaft und leicht erkennbar hinzuweisen (Kennzeichnung).</w:t>
      </w:r>
    </w:p>
    <w:p>
      <w:pPr>
        <w:pStyle w:val="berschrift3"/>
      </w:pPr>
      <w:bookmarkStart w:id="25" w:name="_Toc418755850"/>
      <w:r>
        <w:t>5.3</w:t>
      </w:r>
      <w:r>
        <w:br/>
        <w:t>Zweigeschossige Industriebauten mit Zufahrten</w:t>
      </w:r>
      <w:bookmarkEnd w:id="25"/>
    </w:p>
    <w:p>
      <w:pPr>
        <w:pStyle w:val="GesAbsatz"/>
      </w:pPr>
      <w:r>
        <w:t>Wird bei einem zweigeschossigen Industriebau das untere Geschoss mit Bauteilen einschließlich der Decken feuerbeständig und aus nichtbrennbaren Baustoffen hergestellt und werden für beide Geschosse Zufahrten für die Feuerwehr angeordnet, dann kann das obere Geschoss wie ein erdgeschossiger Industriebau behandelt werden.</w:t>
      </w:r>
    </w:p>
    <w:p>
      <w:pPr>
        <w:pStyle w:val="berschrift3"/>
      </w:pPr>
      <w:bookmarkStart w:id="26" w:name="_Toc418755851"/>
      <w:r>
        <w:t>5.4</w:t>
      </w:r>
      <w:r>
        <w:br/>
        <w:t>Geschosse und Ebenen unter der Geländeoberfläche</w:t>
      </w:r>
      <w:bookmarkEnd w:id="26"/>
    </w:p>
    <w:p>
      <w:pPr>
        <w:pStyle w:val="GesAbsatz"/>
      </w:pPr>
      <w:r>
        <w:t>5.4.1</w:t>
      </w:r>
    </w:p>
    <w:p>
      <w:pPr>
        <w:pStyle w:val="GesAbsatz"/>
      </w:pPr>
      <w:r>
        <w:lastRenderedPageBreak/>
        <w:t>Geschosse von Brandabschnitten, deren Fußböden ganz oder teilweise mehr als 1 m unter der Geländeoberfläche liegen, sind durch raumabschließende, feuerbeständige Wände aus nichtbrennbaren Baustoffen in Abschnitte zu unterteilen, deren Grundfläche im ersten Unter­geschoss nicht größer als 1 000 m² und in jedem tiefer gelegenen Geschoss nicht größer als 500 m² sein darf. Tragende und aussteifende Wände und Stützen sowie Decken müssen feuerbeständig sein.</w:t>
      </w:r>
    </w:p>
    <w:p>
      <w:pPr>
        <w:pStyle w:val="GesAbsatz"/>
      </w:pPr>
      <w:r>
        <w:t>5.4.2</w:t>
      </w:r>
    </w:p>
    <w:p>
      <w:pPr>
        <w:pStyle w:val="GesAbsatz"/>
      </w:pPr>
      <w:r>
        <w:t>Die Grundflächen von Brandbekämpfungsabschnitten, deren Fußböden ganz oder teilweise mehr als 1 m unter der Geländeoberfläche liegen, dürfen nicht größer als 1 000 m² im ersten unterirdischen Geschoss oder in der ersten unterirdischen Ebene und 500 m² in jedem tiefer gelegenen Geschoss oder Ebene sein.</w:t>
      </w:r>
    </w:p>
    <w:p>
      <w:pPr>
        <w:pStyle w:val="GesAbsatz"/>
      </w:pPr>
      <w:r>
        <w:t>5.4.3</w:t>
      </w:r>
    </w:p>
    <w:p>
      <w:pPr>
        <w:pStyle w:val="GesAbsatz"/>
      </w:pPr>
      <w:r>
        <w:t>Die Anforderungen nach Abschnitt 5.4.1 und 5.4.2 gelten nicht für Geschosse und Ebenen, wenn sie mindestens an einer Seite auf ganzer Länge für die Feuerwehr von außen ohne Hilfsmittel zugänglich sind.</w:t>
      </w:r>
    </w:p>
    <w:p>
      <w:pPr>
        <w:pStyle w:val="GesAbsatz"/>
      </w:pPr>
      <w:r>
        <w:t>5.4.4</w:t>
      </w:r>
    </w:p>
    <w:p>
      <w:pPr>
        <w:pStyle w:val="GesAbsatz"/>
      </w:pPr>
      <w:r>
        <w:t>Werden in Brandabschnitten nach Abschnitt 5.4.1 oder Brandbekämpfungsabschnitten nach Abschnitt 5.4.2 selbsttätige Feuerlöschanlagen angeordnet oder dienen diese Brandabschnitte oder Brandbekämpfungsabschnitte ausschließlich dem Betrieb von Wasserklär- oder Wasseraufbereitungsanlagen, dürfen die in den Abschnitten 5.4.1 und 5.4.2 festgelegten Flächenwerte auf das Dreieinhalbfache erhöht werden.</w:t>
      </w:r>
    </w:p>
    <w:p>
      <w:pPr>
        <w:pStyle w:val="berschrift3"/>
      </w:pPr>
      <w:bookmarkStart w:id="27" w:name="_Toc418755852"/>
      <w:r>
        <w:t>5.5</w:t>
      </w:r>
      <w:r>
        <w:br/>
        <w:t>Einbauten</w:t>
      </w:r>
      <w:bookmarkEnd w:id="27"/>
    </w:p>
    <w:p>
      <w:pPr>
        <w:pStyle w:val="GesAbsatz"/>
      </w:pPr>
      <w:r>
        <w:t>In Abhängigkeit der Sicherheitskategorie sind auf den Grundflächen von Geschossen und Ebenen maximal folgende Grundflächen von Einbauten zulässig:</w:t>
      </w:r>
    </w:p>
    <w:p>
      <w:pPr>
        <w:pStyle w:val="GesAbsatz"/>
        <w:tabs>
          <w:tab w:val="left" w:pos="1134"/>
        </w:tabs>
        <w:jc w:val="left"/>
        <w:rPr>
          <w:b/>
        </w:rPr>
      </w:pPr>
      <w:r>
        <w:rPr>
          <w:b/>
        </w:rPr>
        <w:t>Tabelle 1:</w:t>
      </w:r>
      <w:r>
        <w:rPr>
          <w:b/>
        </w:rPr>
        <w:tab/>
        <w:t>Max. Grundfläche einzelner Einbauten</w:t>
      </w:r>
    </w:p>
    <w:tbl>
      <w:tblPr>
        <w:tblStyle w:val="Tabellenraster"/>
        <w:tblW w:w="0" w:type="auto"/>
        <w:tblInd w:w="108" w:type="dxa"/>
        <w:tblLook w:val="04A0" w:firstRow="1" w:lastRow="0" w:firstColumn="1" w:lastColumn="0" w:noHBand="0" w:noVBand="1"/>
      </w:tblPr>
      <w:tblGrid>
        <w:gridCol w:w="2342"/>
        <w:gridCol w:w="837"/>
        <w:gridCol w:w="952"/>
        <w:gridCol w:w="1077"/>
        <w:gridCol w:w="1078"/>
        <w:gridCol w:w="1078"/>
        <w:gridCol w:w="1078"/>
        <w:gridCol w:w="1078"/>
      </w:tblGrid>
      <w:tr>
        <w:tc>
          <w:tcPr>
            <w:tcW w:w="2410" w:type="dxa"/>
          </w:tcPr>
          <w:p>
            <w:pPr>
              <w:pStyle w:val="GesAbsatz"/>
              <w:tabs>
                <w:tab w:val="clear" w:pos="425"/>
              </w:tabs>
            </w:pPr>
            <w:r>
              <w:t>Sicherheitskategorie</w:t>
            </w:r>
          </w:p>
        </w:tc>
        <w:tc>
          <w:tcPr>
            <w:tcW w:w="851" w:type="dxa"/>
          </w:tcPr>
          <w:p>
            <w:pPr>
              <w:pStyle w:val="GesAbsatz"/>
              <w:tabs>
                <w:tab w:val="clear" w:pos="425"/>
              </w:tabs>
              <w:jc w:val="center"/>
            </w:pPr>
            <w:r>
              <w:t>K 1</w:t>
            </w:r>
          </w:p>
        </w:tc>
        <w:tc>
          <w:tcPr>
            <w:tcW w:w="971" w:type="dxa"/>
          </w:tcPr>
          <w:p>
            <w:pPr>
              <w:pStyle w:val="GesAbsatz"/>
              <w:tabs>
                <w:tab w:val="clear" w:pos="425"/>
              </w:tabs>
              <w:jc w:val="center"/>
            </w:pPr>
            <w:r>
              <w:t>K 2</w:t>
            </w:r>
          </w:p>
        </w:tc>
        <w:tc>
          <w:tcPr>
            <w:tcW w:w="1102" w:type="dxa"/>
          </w:tcPr>
          <w:p>
            <w:pPr>
              <w:pStyle w:val="GesAbsatz"/>
              <w:tabs>
                <w:tab w:val="clear" w:pos="425"/>
              </w:tabs>
              <w:jc w:val="center"/>
            </w:pPr>
            <w:r>
              <w:t>K 3.1</w:t>
            </w:r>
          </w:p>
        </w:tc>
        <w:tc>
          <w:tcPr>
            <w:tcW w:w="1103" w:type="dxa"/>
          </w:tcPr>
          <w:p>
            <w:pPr>
              <w:pStyle w:val="GesAbsatz"/>
              <w:tabs>
                <w:tab w:val="clear" w:pos="425"/>
              </w:tabs>
              <w:jc w:val="center"/>
            </w:pPr>
            <w:r>
              <w:t>K 3.2</w:t>
            </w:r>
          </w:p>
        </w:tc>
        <w:tc>
          <w:tcPr>
            <w:tcW w:w="1103" w:type="dxa"/>
          </w:tcPr>
          <w:p>
            <w:pPr>
              <w:pStyle w:val="GesAbsatz"/>
              <w:tabs>
                <w:tab w:val="clear" w:pos="425"/>
              </w:tabs>
              <w:jc w:val="center"/>
            </w:pPr>
            <w:r>
              <w:t>K 3.3</w:t>
            </w:r>
          </w:p>
        </w:tc>
        <w:tc>
          <w:tcPr>
            <w:tcW w:w="1103" w:type="dxa"/>
          </w:tcPr>
          <w:p>
            <w:pPr>
              <w:pStyle w:val="GesAbsatz"/>
              <w:tabs>
                <w:tab w:val="clear" w:pos="425"/>
              </w:tabs>
              <w:jc w:val="center"/>
            </w:pPr>
            <w:r>
              <w:t>K 3.4</w:t>
            </w:r>
          </w:p>
        </w:tc>
        <w:tc>
          <w:tcPr>
            <w:tcW w:w="1103" w:type="dxa"/>
          </w:tcPr>
          <w:p>
            <w:pPr>
              <w:pStyle w:val="GesAbsatz"/>
              <w:tabs>
                <w:tab w:val="clear" w:pos="425"/>
              </w:tabs>
              <w:jc w:val="center"/>
            </w:pPr>
            <w:r>
              <w:t>K 4</w:t>
            </w:r>
          </w:p>
        </w:tc>
      </w:tr>
      <w:tr>
        <w:tc>
          <w:tcPr>
            <w:tcW w:w="2410" w:type="dxa"/>
          </w:tcPr>
          <w:p>
            <w:pPr>
              <w:pStyle w:val="GesAbsatz"/>
              <w:tabs>
                <w:tab w:val="clear" w:pos="425"/>
              </w:tabs>
            </w:pPr>
            <w:r>
              <w:t>max. Grundfläche in m²</w:t>
            </w:r>
          </w:p>
        </w:tc>
        <w:tc>
          <w:tcPr>
            <w:tcW w:w="851" w:type="dxa"/>
            <w:vAlign w:val="center"/>
          </w:tcPr>
          <w:p>
            <w:pPr>
              <w:pStyle w:val="GesAbsatz"/>
              <w:tabs>
                <w:tab w:val="clear" w:pos="425"/>
              </w:tabs>
              <w:jc w:val="center"/>
            </w:pPr>
            <w:r>
              <w:t>400</w:t>
            </w:r>
          </w:p>
        </w:tc>
        <w:tc>
          <w:tcPr>
            <w:tcW w:w="971" w:type="dxa"/>
            <w:vAlign w:val="center"/>
          </w:tcPr>
          <w:p>
            <w:pPr>
              <w:pStyle w:val="GesAbsatz"/>
              <w:tabs>
                <w:tab w:val="clear" w:pos="425"/>
              </w:tabs>
              <w:jc w:val="center"/>
            </w:pPr>
            <w:r>
              <w:t>600</w:t>
            </w:r>
          </w:p>
        </w:tc>
        <w:tc>
          <w:tcPr>
            <w:tcW w:w="1102" w:type="dxa"/>
            <w:vAlign w:val="center"/>
          </w:tcPr>
          <w:p>
            <w:pPr>
              <w:pStyle w:val="GesAbsatz"/>
              <w:tabs>
                <w:tab w:val="clear" w:pos="425"/>
              </w:tabs>
              <w:jc w:val="center"/>
            </w:pPr>
            <w:r>
              <w:t>720</w:t>
            </w:r>
          </w:p>
        </w:tc>
        <w:tc>
          <w:tcPr>
            <w:tcW w:w="1103" w:type="dxa"/>
            <w:vAlign w:val="center"/>
          </w:tcPr>
          <w:p>
            <w:pPr>
              <w:pStyle w:val="GesAbsatz"/>
              <w:tabs>
                <w:tab w:val="clear" w:pos="425"/>
              </w:tabs>
              <w:jc w:val="center"/>
            </w:pPr>
            <w:r>
              <w:t>800</w:t>
            </w:r>
          </w:p>
        </w:tc>
        <w:tc>
          <w:tcPr>
            <w:tcW w:w="1103" w:type="dxa"/>
            <w:vAlign w:val="center"/>
          </w:tcPr>
          <w:p>
            <w:pPr>
              <w:pStyle w:val="GesAbsatz"/>
              <w:tabs>
                <w:tab w:val="clear" w:pos="425"/>
              </w:tabs>
              <w:jc w:val="center"/>
            </w:pPr>
            <w:r>
              <w:t>920</w:t>
            </w:r>
          </w:p>
        </w:tc>
        <w:tc>
          <w:tcPr>
            <w:tcW w:w="1103" w:type="dxa"/>
            <w:vAlign w:val="center"/>
          </w:tcPr>
          <w:p>
            <w:pPr>
              <w:pStyle w:val="GesAbsatz"/>
              <w:tabs>
                <w:tab w:val="clear" w:pos="425"/>
              </w:tabs>
              <w:jc w:val="center"/>
            </w:pPr>
            <w:r>
              <w:t>1 000</w:t>
            </w:r>
          </w:p>
        </w:tc>
        <w:tc>
          <w:tcPr>
            <w:tcW w:w="1103" w:type="dxa"/>
            <w:vAlign w:val="center"/>
          </w:tcPr>
          <w:p>
            <w:pPr>
              <w:pStyle w:val="GesAbsatz"/>
              <w:tabs>
                <w:tab w:val="clear" w:pos="425"/>
              </w:tabs>
              <w:jc w:val="center"/>
            </w:pPr>
            <w:r>
              <w:t>1 400</w:t>
            </w:r>
          </w:p>
        </w:tc>
      </w:tr>
    </w:tbl>
    <w:p>
      <w:pPr>
        <w:pStyle w:val="GesAbsatz"/>
      </w:pPr>
    </w:p>
    <w:p>
      <w:pPr>
        <w:pStyle w:val="GesAbsatz"/>
      </w:pPr>
      <w:r>
        <w:t>Bei der Ermittlung der Grundfläche von Einbauten werden Öffnungen innerhalb des Einbaus nicht abgezogen. Einbauten nach Tabelle 1 dürfen mehrfach nebeneinander angeordnet werden, wenn sie durch brandlastfreie Zonen von mindestens 5 m Breite (Freistreifen) getrennt sind; sie dürfen nicht übereinander angeordnet werden. In Summe dürfen deren Flächen jeweils nicht mehr als 25%</w:t>
      </w:r>
    </w:p>
    <w:p>
      <w:pPr>
        <w:pStyle w:val="GesAbsatz"/>
      </w:pPr>
      <w:r>
        <w:t>a)</w:t>
      </w:r>
      <w:r>
        <w:tab/>
        <w:t>der Grundfläche des Geschosses,</w:t>
      </w:r>
    </w:p>
    <w:p>
      <w:pPr>
        <w:pStyle w:val="GesAbsatz"/>
      </w:pPr>
      <w:r>
        <w:t>b)</w:t>
      </w:r>
      <w:r>
        <w:tab/>
        <w:t>der Brandbekämpfungsabschnittsfläche,</w:t>
      </w:r>
    </w:p>
    <w:p>
      <w:pPr>
        <w:pStyle w:val="GesAbsatz"/>
      </w:pPr>
      <w:r>
        <w:t>c)</w:t>
      </w:r>
      <w:r>
        <w:tab/>
        <w:t>der Grundfläche der Ebene und</w:t>
      </w:r>
    </w:p>
    <w:p>
      <w:pPr>
        <w:pStyle w:val="GesAbsatz"/>
      </w:pPr>
      <w:r>
        <w:t>d)</w:t>
      </w:r>
      <w:r>
        <w:tab/>
        <w:t>des Teilabschnittes</w:t>
      </w:r>
    </w:p>
    <w:p>
      <w:pPr>
        <w:pStyle w:val="GesAbsatz"/>
      </w:pPr>
      <w:r>
        <w:t>betragen.</w:t>
      </w:r>
    </w:p>
    <w:p>
      <w:pPr>
        <w:pStyle w:val="GesAbsatz"/>
      </w:pPr>
      <w:r>
        <w:t>Einbauten sind so anzuordnen, dass die Feuerwehr geeignete Löschmaßnahmen von einem sicheren Standort aus vortragen kann.</w:t>
      </w:r>
    </w:p>
    <w:p>
      <w:pPr>
        <w:pStyle w:val="berschrift3"/>
      </w:pPr>
      <w:bookmarkStart w:id="28" w:name="_Toc418755853"/>
      <w:r>
        <w:t>5.6</w:t>
      </w:r>
      <w:r>
        <w:br/>
        <w:t>Rettungswege</w:t>
      </w:r>
      <w:bookmarkEnd w:id="28"/>
    </w:p>
    <w:p>
      <w:pPr>
        <w:pStyle w:val="GesAbsatz"/>
      </w:pPr>
      <w:r>
        <w:t>5.6.1</w:t>
      </w:r>
    </w:p>
    <w:p>
      <w:pPr>
        <w:pStyle w:val="GesAbsatz"/>
      </w:pPr>
      <w:r>
        <w:t>Zu den Rettungswegen in Industriebauten gehören insbesondere die Hauptgänge in den Produktions- und Lagerräumen, die Ausgänge aus diesen Räumen, die notwendigen Flure, die notwendigen Treppen und die Ausgänge ins Freie.</w:t>
      </w:r>
    </w:p>
    <w:p>
      <w:pPr>
        <w:pStyle w:val="GesAbsatz"/>
      </w:pPr>
      <w:r>
        <w:t>5.6.2</w:t>
      </w:r>
    </w:p>
    <w:p>
      <w:pPr>
        <w:pStyle w:val="GesAbsatz"/>
      </w:pPr>
      <w:r>
        <w:t>Für Industriebauten mit einer Grundfläche von mehr als 1 600 m² müssen in jedem Geschoss mindestens zwei möglichst entgegengesetzt liegende bauliche Rettungswege vorhanden sein. Dies gilt für Ebenen oder Einbauten mit einer Grundfläche von jeweils mehr als 200 m² entsprechend.</w:t>
      </w:r>
    </w:p>
    <w:p>
      <w:pPr>
        <w:pStyle w:val="GesAbsatz"/>
      </w:pPr>
      <w:r>
        <w:t>Jeder Raum mit einer Grundfläche von mehr als 200 m² muss mindestens zwei Ausgänge haben.</w:t>
      </w:r>
    </w:p>
    <w:p>
      <w:pPr>
        <w:pStyle w:val="GesAbsatz"/>
      </w:pPr>
      <w:r>
        <w:t>5.6.3</w:t>
      </w:r>
    </w:p>
    <w:p>
      <w:pPr>
        <w:pStyle w:val="GesAbsatz"/>
      </w:pPr>
      <w:r>
        <w:lastRenderedPageBreak/>
        <w:t>Einer der Rettungswege nach Abschnitt 5.6.2 Satz 1 darf zu anderen Brandabschnitten oder zu anderen Brandbekämpfungsabschnitten oder über eine Außentreppe, über offene Gänge und/oder über begehbare Dächer auf das Grundstück führen, wenn diese im Brandfall ausreichend lang standsicher sind und die Benutzer durch Feuer und Rauch nicht gefährdet werden können. Bei Ebenen darf der zweite Rettungsweg auch über eine notwendige Treppe ohne notwendigen Treppenraum in eine unmittelbar darunterliegende Ebene oder ein unmittelbar darunterliegendes Geschoss führen, sofern diese Ebene oder dieses Geschoss Ausgänge in mindestens zwei sichere Bereiche hat.</w:t>
      </w:r>
    </w:p>
    <w:p>
      <w:pPr>
        <w:pStyle w:val="GesAbsatz"/>
      </w:pPr>
      <w:r>
        <w:t>Die Rettungswege aus im Produktions- oder Lagerraum eingestellten Räumen, dürfen über den gleichen Produktions- oder Lagerraum führen. In diesem Fall sind die Räume oder Raumgruppen mit Aufenthaltsräumen offen auszuführen. Alternativ können sie durch Wände mit ausreichender Sichtverbindung abgetrennt werden. Bei geschlossenen Räumen mit mehr als 20 m² Grundfläche ist zusätzlich sicherzustellen, dass die dort anwesenden Personen im Brandfall rechtzeitig in geeigneter Weise gewarnt werden.</w:t>
      </w:r>
    </w:p>
    <w:p>
      <w:pPr>
        <w:pStyle w:val="GesAbsatz"/>
      </w:pPr>
      <w:r>
        <w:t>5.6.4</w:t>
      </w:r>
    </w:p>
    <w:p>
      <w:pPr>
        <w:pStyle w:val="GesAbsatz"/>
      </w:pPr>
      <w:r>
        <w:t>Von jeder Stelle eines Produktions- oder Lagerraumes soll mindestens ein Hauptgang nach höchstens 15 m Lauflänge erreichbar sein. Hauptgänge müssen mindestens 2 m breit sein. Sie sollen geradlinig auf kurzem Wege zu Ausgängen ins Freie, zu notwendigen Treppenräumen, zu Außentreppen, zu Treppen von Ebenen und Einbauten, zu offenen Gängen, über begehbare Dächer auf das Grundstück, zu anderen Brandabschnitten oder zu anderen Brandbekämpfungsabschnitten führen. Diese anderen Brandabschnitte oder Brandbekämpfungsabschnitte müssen Ausgänge unmittelbar ins Freie oder zu notwendigen Treppenräumen mit einem sicheren Ausgang ins Freie haben.</w:t>
      </w:r>
    </w:p>
    <w:p>
      <w:pPr>
        <w:pStyle w:val="GesAbsatz"/>
      </w:pPr>
      <w:r>
        <w:t>5.6.5</w:t>
      </w:r>
    </w:p>
    <w:p>
      <w:pPr>
        <w:pStyle w:val="GesAbsatz"/>
      </w:pPr>
      <w:r>
        <w:t>Von jeder Stelle eines Produktions- oder Lagerraumes muss mindestens ein Ausgang ins Freie, ein Zugang zu einem notwendigen Treppenraum, zu einer Außentreppe, zu einem offenen Gang oder zu einem begehbaren Dach, ein anderer Brandabschnitt oder ein anderer Brandbekämpfungsabschnitt</w:t>
      </w:r>
    </w:p>
    <w:p>
      <w:pPr>
        <w:pStyle w:val="GesAbsatz"/>
      </w:pPr>
      <w:r>
        <w:t>a)</w:t>
      </w:r>
      <w:r>
        <w:tab/>
        <w:t>bei einer mittleren lichten Höhe von bis zu 5 m in höchstens 35 m Entfernung oder</w:t>
      </w:r>
    </w:p>
    <w:p>
      <w:pPr>
        <w:pStyle w:val="GesAbsatz"/>
      </w:pPr>
      <w:r>
        <w:t>b)</w:t>
      </w:r>
      <w:r>
        <w:tab/>
        <w:t>bei einer mittleren lichten Höhe von mindestens 10 m in höchstens 50 m Entfernung</w:t>
      </w:r>
    </w:p>
    <w:p>
      <w:pPr>
        <w:pStyle w:val="GesAbsatz"/>
      </w:pPr>
      <w:r>
        <w:t>erreichbar sein.</w:t>
      </w:r>
    </w:p>
    <w:p>
      <w:pPr>
        <w:pStyle w:val="GesAbsatz"/>
      </w:pPr>
      <w:r>
        <w:t>Bei Vorhandensein einer Alarmierungseinrichtung für die Nutzer (Internalarm) ist es zulässig, dass der Ausgang nach Satz 1</w:t>
      </w:r>
    </w:p>
    <w:p>
      <w:pPr>
        <w:pStyle w:val="GesAbsatz"/>
      </w:pPr>
      <w:r>
        <w:t>a)</w:t>
      </w:r>
      <w:r>
        <w:tab/>
        <w:t>bei einer mittleren lichten Höhe von bis zu 5 m in höchstens 50 m Entfernung oder</w:t>
      </w:r>
    </w:p>
    <w:p>
      <w:pPr>
        <w:pStyle w:val="GesAbsatz"/>
      </w:pPr>
      <w:r>
        <w:t>b)</w:t>
      </w:r>
      <w:r>
        <w:tab/>
        <w:t>bei einer mittleren lichten Höhe von mindestens 10 m in höchstens 70 m Entfernung</w:t>
      </w:r>
    </w:p>
    <w:p>
      <w:pPr>
        <w:pStyle w:val="GesAbsatz"/>
      </w:pPr>
      <w:r>
        <w:t>erreicht wird.</w:t>
      </w:r>
    </w:p>
    <w:p>
      <w:pPr>
        <w:pStyle w:val="GesAbsatz"/>
      </w:pPr>
      <w:r>
        <w:t>Bei mittleren lichten Höhen zwischen 5 m und 10 m darf zur Ermittlung der zulässigen Entfernung zwischen den vorstehenden Werten interpoliert werden.</w:t>
      </w:r>
    </w:p>
    <w:p>
      <w:pPr>
        <w:pStyle w:val="GesAbsatz"/>
      </w:pPr>
      <w:r>
        <w:t>Die Auslösung von Alarmierungseinrichtungen muss erfolgen bei Auslösen</w:t>
      </w:r>
    </w:p>
    <w:p>
      <w:pPr>
        <w:pStyle w:val="GesAbsatz"/>
      </w:pPr>
      <w:r>
        <w:t>a)</w:t>
      </w:r>
      <w:r>
        <w:tab/>
        <w:t>einer selbsttätigen Brandmeldeanlage oder</w:t>
      </w:r>
    </w:p>
    <w:p>
      <w:pPr>
        <w:pStyle w:val="GesAbsatz"/>
      </w:pPr>
      <w:r>
        <w:t>b)</w:t>
      </w:r>
      <w:r>
        <w:tab/>
        <w:t>einer selbsttätigen Feuerlöschanlage.</w:t>
      </w:r>
    </w:p>
    <w:p>
      <w:pPr>
        <w:pStyle w:val="GesAbsatz"/>
      </w:pPr>
      <w:r>
        <w:t>Bei der selbsttätigen Feuerlöschanlage ist zusätzlich eine Handauslösung der Alarmierungseinrichtungen vorzusehen.</w:t>
      </w:r>
    </w:p>
    <w:p>
      <w:pPr>
        <w:pStyle w:val="GesAbsatz"/>
      </w:pPr>
      <w:r>
        <w:t>Liegt ein Ausgang ins Freie unter einem Vordach, beginnt das Freie erst am Rande des Vordachs. Unter mindestens zweiseitig offenen Vordächern ist eine zusätzliche Entfernung in der Tiefe des Vordachs, jedoch maximal 15 m, zulässig. Dies gilt nicht, wenn der Bereich unter dem Vordach einen eigenen Brandabschnitt oder Brandbekämpfungsabschnitt bildet.</w:t>
      </w:r>
    </w:p>
    <w:p>
      <w:pPr>
        <w:pStyle w:val="GesAbsatz"/>
      </w:pPr>
      <w:r>
        <w:t>5.6.6</w:t>
      </w:r>
    </w:p>
    <w:p>
      <w:pPr>
        <w:pStyle w:val="GesAbsatz"/>
      </w:pPr>
      <w:r>
        <w:t>Kontroll- und Wartungsgänge, die nur gelegentlich begangen werden und aus nicht brennbaren Baustoffen bestehen, dürfen über Steigleitern erschlossen werden. Die Steigleiter muss in einer Entfernung von maximal 100 m, bei nur einer Fluchtrichtung in maximal 50 m, erreicht werden können.</w:t>
      </w:r>
    </w:p>
    <w:p>
      <w:pPr>
        <w:pStyle w:val="GesAbsatz"/>
      </w:pPr>
      <w:r>
        <w:t>5.6.7</w:t>
      </w:r>
    </w:p>
    <w:p>
      <w:pPr>
        <w:pStyle w:val="GesAbsatz"/>
      </w:pPr>
      <w:r>
        <w:t>Die mittlere lichte Höhe einer Ebene ergibt sich als nach Flächenanteilen gewichtetes Mittel der lichten Höhe bis zur nächsten Decke oder dem Dach. Bei der Ermittlung der mittleren lichten Höhe nach Abschnitt 5.6.5 bleiben Einbauten sowie Ebenen mit einer maximalen Grundfläche nach Tabelle 1 unberücksichtigt.</w:t>
      </w:r>
    </w:p>
    <w:p>
      <w:pPr>
        <w:pStyle w:val="GesAbsatz"/>
      </w:pPr>
      <w:r>
        <w:t>Für Einbauten sowie Ebenen mit einer maximalen Grundfläche nach Tabelle 1, ist die mittlere lichte Höhe die der Ebene oder des Geschosses, über deren/dessen Fußboden sie angeordnet sind.</w:t>
      </w:r>
    </w:p>
    <w:p>
      <w:pPr>
        <w:pStyle w:val="GesAbsatz"/>
      </w:pPr>
      <w:r>
        <w:lastRenderedPageBreak/>
        <w:t>5.6.8</w:t>
      </w:r>
    </w:p>
    <w:p>
      <w:pPr>
        <w:pStyle w:val="GesAbsatz"/>
      </w:pPr>
      <w:r>
        <w:t>Die Entfernung nach Abschnitt 5.6.5 wird in der Luftlinie, jedoch nicht durch Bauteile gemessen. Die tatsächliche Lauflänge darf jedoch nicht mehr als das 1,5-fache der jeweiligen Entfernung betragen. Liegt eine Stelle des Produktions- oder Lagerraumes nicht auf der Höhe des Ausgangs oder Zugangs nach Abschnitt 5.6.5, so ist von der zulässigen Lauflänge das Doppelte der Höhendifferenz abzuziehen. Bei der Ermittlung der Entfernung nach Abschnitt 5.6.5 bleibt diese Höhendifferenz unberücksichtigt.</w:t>
      </w:r>
    </w:p>
    <w:p>
      <w:pPr>
        <w:pStyle w:val="GesAbsatz"/>
      </w:pPr>
      <w:r>
        <w:t>5.6.9</w:t>
      </w:r>
    </w:p>
    <w:p>
      <w:pPr>
        <w:pStyle w:val="GesAbsatz"/>
      </w:pPr>
      <w:r>
        <w:t>Bei Einbauten und Ebenen mit einer maximalen Grundfläche nach Tabelle 1 dürfen die Rettungswege über notwendige Treppen ohne notwendigen Treppenraum geführt werden, wenn sie in eine unmittelbar darunterliegende Ebene oder ein unmittelbar darunterliegendes Geschoss führen, sofern diese Ebene oder dieses Geschoss Ausgänge in mindestens zwei sichere Bereiche hat und ein Ausgang in Entfernung nach Abschnitt 5.6.5 erreicht wird. Die Lauflänge auf dem Einbau oder der Ebene bis zu einer Treppe darf in diesen Fällen höchstens</w:t>
      </w:r>
    </w:p>
    <w:p>
      <w:pPr>
        <w:pStyle w:val="GesAbsatz"/>
      </w:pPr>
      <w:r>
        <w:t>a)</w:t>
      </w:r>
      <w:r>
        <w:tab/>
        <w:t>bei Brandbelastung in Brandbekämpfungsabschnitten &lt; 15 kWh/m² 50 m,</w:t>
      </w:r>
    </w:p>
    <w:p>
      <w:pPr>
        <w:pStyle w:val="GesAbsatz"/>
        <w:ind w:left="426" w:hanging="426"/>
      </w:pPr>
      <w:r>
        <w:t>b)</w:t>
      </w:r>
      <w:r>
        <w:tab/>
        <w:t>bei Vorhandensein einer Alarmierungseinrichtung für die Nutzer, deren Auslösung über eine selbsttätige Brandmeldeanlage oder eine selbsttätige Feuerlöschanlage mit zusätzlicher Handauslösung der Alarmierungseinrichtung, 35 m oder</w:t>
      </w:r>
    </w:p>
    <w:p>
      <w:pPr>
        <w:pStyle w:val="GesAbsatz"/>
      </w:pPr>
      <w:r>
        <w:t>c)</w:t>
      </w:r>
      <w:r>
        <w:tab/>
        <w:t>im Übrigen 25 m</w:t>
      </w:r>
    </w:p>
    <w:p>
      <w:pPr>
        <w:pStyle w:val="GesAbsatz"/>
      </w:pPr>
      <w:r>
        <w:t>betragen.</w:t>
      </w:r>
    </w:p>
    <w:p>
      <w:pPr>
        <w:pStyle w:val="GesAbsatz"/>
      </w:pPr>
      <w:r>
        <w:t>5.6.10</w:t>
      </w:r>
    </w:p>
    <w:p>
      <w:pPr>
        <w:pStyle w:val="GesAbsatz"/>
      </w:pPr>
      <w:r>
        <w:t>Notwendige Treppen müssen aus nichtbrennbaren Baustoffen bestehen. Wände notwendiger Treppenräume müssen raumabschließend sein und in der Bauart von Brandwänden hergestellt werden.</w:t>
      </w:r>
    </w:p>
    <w:p>
      <w:pPr>
        <w:pStyle w:val="GesAbsatz"/>
      </w:pPr>
      <w:r>
        <w:t>5.6.11</w:t>
      </w:r>
    </w:p>
    <w:p>
      <w:pPr>
        <w:pStyle w:val="GesAbsatz"/>
      </w:pPr>
      <w:r>
        <w:t>Die Anforderungen des § 37 Absatz 4 Satz 2 Landesbauordnung an innenliegende notwendige Treppenräume sind erfüllt, wenn diese Treppenräume an der obersten Stelle eine Öffnung zur Rauchableitung haben.</w:t>
      </w:r>
    </w:p>
    <w:p>
      <w:pPr>
        <w:pStyle w:val="GesAbsatz"/>
      </w:pPr>
      <w:r>
        <w:t>In Gebäuden, bei denen die Fußbodenoberkante des höchstgelegenen Geschosses oder der höchstgelegenen Ebene, in dem oder in der ein Aufenthaltsraum möglich ist, mehr als 13 m über der Geländeoberfläche im Mittel liegt, sind besondere Vorkehrungen zu treffen, soweit dies zur Erfüllung der Anforderungen des § 37 Absatz 4 Satz 2 Landesbauordnung erforderlich ist.</w:t>
      </w:r>
    </w:p>
    <w:p>
      <w:pPr>
        <w:pStyle w:val="GesAbsatz"/>
      </w:pPr>
      <w:r>
        <w:t>Öffnungen zur Rauchableitung nach Satz 1 müssen in jedem Treppenraum einen freien Querschnitt von mindestens 1 m² und Vorrichtungen zum Öffnen ihrer Abschlüsse haben, die vom Erdgeschoss sowie vom obersten Treppenabsatz aus bedient werden können.</w:t>
      </w:r>
    </w:p>
    <w:p>
      <w:pPr>
        <w:pStyle w:val="GesAbsatz"/>
      </w:pPr>
      <w:r>
        <w:t>5.6.12</w:t>
      </w:r>
    </w:p>
    <w:p>
      <w:pPr>
        <w:pStyle w:val="GesAbsatz"/>
      </w:pPr>
      <w:r>
        <w:t>Innenliegende notwendige Treppenräume müssen in Gebäuden, bei denen die Fußbodenoberkante des höchstgelegenen Geschosses oder der höchstgelegenen Ebene, in dem oder in der ein Aufenthaltsraum möglich ist, mehr als 13 m über der Geländeoberfläche im Mittel liegt, eine Sicherheitsbeleuchtung haben.</w:t>
      </w:r>
    </w:p>
    <w:p>
      <w:pPr>
        <w:pStyle w:val="berschrift3"/>
      </w:pPr>
      <w:bookmarkStart w:id="29" w:name="_Toc418755854"/>
      <w:r>
        <w:t>5.7</w:t>
      </w:r>
      <w:r>
        <w:br/>
        <w:t>Rauchableitung</w:t>
      </w:r>
      <w:bookmarkEnd w:id="29"/>
    </w:p>
    <w:p>
      <w:pPr>
        <w:pStyle w:val="GesAbsatz"/>
      </w:pPr>
      <w:r>
        <w:t>Produktions-, Lagerräume und Ebenen mit jeweils mehr als 200 m² Grundfläche müssen zur Unterstützung der Brandbekämpfung entraucht werden können.</w:t>
      </w:r>
    </w:p>
    <w:p>
      <w:pPr>
        <w:pStyle w:val="GesAbsatz"/>
      </w:pPr>
      <w:r>
        <w:t>5.7.1</w:t>
      </w:r>
    </w:p>
    <w:p>
      <w:pPr>
        <w:pStyle w:val="GesAbsatz"/>
      </w:pPr>
      <w:r>
        <w:t>Rauchableitung aus Produktions- und Lagerräumen ohne Ebenen</w:t>
      </w:r>
    </w:p>
    <w:p>
      <w:pPr>
        <w:pStyle w:val="GesAbsatz"/>
      </w:pPr>
      <w:r>
        <w:t>5.7.1.1</w:t>
      </w:r>
    </w:p>
    <w:p>
      <w:pPr>
        <w:pStyle w:val="GesAbsatz"/>
      </w:pPr>
      <w:r>
        <w:t>Die Anforderung ist insbesondere erfüllt, wenn</w:t>
      </w:r>
    </w:p>
    <w:p>
      <w:pPr>
        <w:pStyle w:val="GesAbsatz"/>
        <w:ind w:left="426" w:hanging="426"/>
      </w:pPr>
      <w:r>
        <w:t>a)</w:t>
      </w:r>
      <w:r>
        <w:tab/>
        <w:t>diese Räume Rauchabzugsanlagen haben, bei denen je höchstens 400 m² der Grundfläche mindestens ein Rauchabzugsgerät im Dach oder im oberen Raumdrittel angeordnet wird,</w:t>
      </w:r>
    </w:p>
    <w:p>
      <w:pPr>
        <w:pStyle w:val="GesAbsatz"/>
        <w:ind w:left="426" w:hanging="426"/>
      </w:pPr>
      <w:r>
        <w:t>b)</w:t>
      </w:r>
      <w:r>
        <w:tab/>
        <w:t>die aerodynamisch wirksame Fläche dieser Rauchabzugsgeräte insgesamt mindestens 1,5 m² je 400 m² Grundfläche beträgt,</w:t>
      </w:r>
    </w:p>
    <w:p>
      <w:pPr>
        <w:pStyle w:val="GesAbsatz"/>
        <w:ind w:left="426" w:hanging="426"/>
      </w:pPr>
      <w:r>
        <w:t>c)</w:t>
      </w:r>
      <w:r>
        <w:tab/>
        <w:t>je höchstens 1 600 m² Grundfläche mindestens eine Auslösegruppe für die Rauchabzugsgeräte gebildet wird sowie</w:t>
      </w:r>
    </w:p>
    <w:p>
      <w:pPr>
        <w:pStyle w:val="GesAbsatz"/>
        <w:ind w:left="426" w:hanging="426"/>
      </w:pPr>
      <w:r>
        <w:lastRenderedPageBreak/>
        <w:t>d)</w:t>
      </w:r>
      <w:r>
        <w:tab/>
        <w:t>Zuluftflächen im unteren Raumdrittel von insgesamt mindestens 12 m² freiem Querschnitt vorhanden sind.</w:t>
      </w:r>
    </w:p>
    <w:p>
      <w:pPr>
        <w:pStyle w:val="GesAbsatz"/>
      </w:pPr>
      <w:r>
        <w:t>5.7.1.2</w:t>
      </w:r>
    </w:p>
    <w:p>
      <w:pPr>
        <w:pStyle w:val="GesAbsatz"/>
      </w:pPr>
      <w:r>
        <w:t>Die Anforderung ist insbesondere erfüllt für Produktions- und Lagerräume mit nicht mehr als 1 600 m² Grundfläche, wenn</w:t>
      </w:r>
    </w:p>
    <w:p>
      <w:pPr>
        <w:pStyle w:val="GesAbsatz"/>
        <w:ind w:left="426" w:hanging="426"/>
      </w:pPr>
      <w:r>
        <w:t>a)</w:t>
      </w:r>
      <w:r>
        <w:tab/>
        <w:t>diese Räume entweder an der obersten Stelle Öffnungen zur Rauchableitung mit einem freien Querschnitt von insgesamt 1 v. H. der Grundfläche oder</w:t>
      </w:r>
    </w:p>
    <w:p>
      <w:pPr>
        <w:pStyle w:val="GesAbsatz"/>
        <w:ind w:left="426" w:hanging="426"/>
      </w:pPr>
      <w:r>
        <w:t>b)</w:t>
      </w:r>
      <w:r>
        <w:tab/>
        <w:t>im oberen Drittel der Außenwände angeordnete Öffnungen, Türen oder Fenster mit einem freien Querschnitt von insgesamt 2 v. H. der Grundfläche haben</w:t>
      </w:r>
    </w:p>
    <w:p>
      <w:pPr>
        <w:pStyle w:val="GesAbsatz"/>
      </w:pPr>
      <w:r>
        <w:t>sowie Zuluftflächen in insgesamt gleicher Größe jedoch mit nicht mehr als 12 m² freiem Querschnitt vorhanden sind, die im unteren Raumdrittel angeordnet werden sollen.</w:t>
      </w:r>
    </w:p>
    <w:p>
      <w:pPr>
        <w:pStyle w:val="GesAbsatz"/>
      </w:pPr>
      <w:r>
        <w:t>5.7.1.3</w:t>
      </w:r>
    </w:p>
    <w:p>
      <w:pPr>
        <w:pStyle w:val="GesAbsatz"/>
      </w:pPr>
      <w:r>
        <w:t>Die Anforderung ist insbesondere auch erfüllt, wenn maschinelle Rauchabzugsanlagen vorhanden sind, bei denen je höchstens 400 m² der Grundfläche der Räume mindestens ein Rauchabzugsgerät oder eine Absaugstelle mit einem Luftvolumenstrom von 10 000 m³/h im oberen Raumdrittel angeordnet werden. Bei Räumen mit mehr als 1 600 m² Grundfläche genügt</w:t>
      </w:r>
    </w:p>
    <w:p>
      <w:pPr>
        <w:pStyle w:val="GesAbsatz"/>
        <w:ind w:left="426" w:hanging="426"/>
      </w:pPr>
      <w:r>
        <w:t>a)</w:t>
      </w:r>
      <w:r>
        <w:tab/>
        <w:t>zu dem Luftvolumenstrom von 40 000 m³/h für die Grundfläche von 1 600 m² ein zusätzlicher Luftvolumenstrom von 5 000 m³/h je angefangene weitere 400 m² Grundfläche; der sich ergebende Gesamtvolumenstrom je Raum ist gleichmäßig auf die nach Satz 1 anzuordnenden Absaugstellen oder Rauchabzugsgeräte zu verteilen, oder</w:t>
      </w:r>
    </w:p>
    <w:p>
      <w:pPr>
        <w:pStyle w:val="GesAbsatz"/>
        <w:ind w:left="426" w:hanging="426"/>
      </w:pPr>
      <w:r>
        <w:t>b)</w:t>
      </w:r>
      <w:r>
        <w:tab/>
        <w:t>ein Luftvolumenstrom von mindestens 40 000 m³/h je Raum, wenn sichergestellt ist, dass dieser Luftvolumenstrom im Bereich der Brandstelle auf einer Grundfläche von höchstens 1 600 m² von den nach Satz 1 anzuordnenden Absaugstellen oder Rauchabzugsgeräte gleichmäßig gefördert werden kann.</w:t>
      </w:r>
    </w:p>
    <w:p>
      <w:pPr>
        <w:pStyle w:val="GesAbsatz"/>
      </w:pPr>
      <w:r>
        <w:t>Die Zuluftflächen müssen im unteren Raumdrittel in solcher Größe und so angeordnet werden, dass eine maximale Strömungsgeschwindigkeit von 3 m/s nicht überschritten wird.</w:t>
      </w:r>
    </w:p>
    <w:p>
      <w:pPr>
        <w:pStyle w:val="GesAbsatz"/>
      </w:pPr>
      <w:r>
        <w:t>5.7.2</w:t>
      </w:r>
    </w:p>
    <w:p>
      <w:pPr>
        <w:pStyle w:val="GesAbsatz"/>
      </w:pPr>
      <w:r>
        <w:t>Rauchableitung aus Brandbekämpfungsabschnitten mit Ebenen in Produktions- und Lagerräumen</w:t>
      </w:r>
    </w:p>
    <w:p>
      <w:pPr>
        <w:pStyle w:val="GesAbsatz"/>
      </w:pPr>
      <w:r>
        <w:t>5.7.2.1</w:t>
      </w:r>
    </w:p>
    <w:p>
      <w:pPr>
        <w:pStyle w:val="GesAbsatz"/>
      </w:pPr>
      <w:r>
        <w:t>Die Anforderung ist insbesondere erfüllt, wenn</w:t>
      </w:r>
    </w:p>
    <w:p>
      <w:pPr>
        <w:pStyle w:val="GesAbsatz"/>
        <w:ind w:left="426" w:hanging="426"/>
      </w:pPr>
      <w:r>
        <w:t>a)</w:t>
      </w:r>
      <w:r>
        <w:tab/>
        <w:t>diese Räume Rauchabzugsanlagen haben, bei denen je höchstens 400 m² der Dachfläche mindestens ein Rauchabzugsgerät im Dach angeordnet wird,</w:t>
      </w:r>
    </w:p>
    <w:p>
      <w:pPr>
        <w:pStyle w:val="GesAbsatz"/>
        <w:ind w:left="426" w:hanging="426"/>
      </w:pPr>
      <w:r>
        <w:t>b)</w:t>
      </w:r>
      <w:r>
        <w:tab/>
        <w:t>die aerodynamisch wirksame Fläche dieser Rauchabzugsgeräte insgesamt mindestens 1,5 m² je 400 m² Brandbekämpfungsabschnittsfläche beträgt,</w:t>
      </w:r>
    </w:p>
    <w:p>
      <w:pPr>
        <w:pStyle w:val="GesAbsatz"/>
        <w:ind w:left="426" w:hanging="426"/>
      </w:pPr>
      <w:r>
        <w:t>c)</w:t>
      </w:r>
      <w:r>
        <w:tab/>
        <w:t>je höchstens 1 600 m² Dachfläche mindestens eine Auslösegruppe für die Rauchabzugsgeräte gebildet wird,</w:t>
      </w:r>
    </w:p>
    <w:p>
      <w:pPr>
        <w:pStyle w:val="GesAbsatz"/>
        <w:ind w:left="426" w:hanging="426"/>
      </w:pPr>
      <w:r>
        <w:t>d)</w:t>
      </w:r>
      <w:r>
        <w:tab/>
        <w:t>die Brandbekämpfungsabschnitte in Rauchabschnitte je &lt; 5 000 m² Brandbekämpfungsabschnittsfläche unterteilt werden sowie</w:t>
      </w:r>
    </w:p>
    <w:p>
      <w:pPr>
        <w:pStyle w:val="GesAbsatz"/>
      </w:pPr>
      <w:r>
        <w:t>e)</w:t>
      </w:r>
      <w:r>
        <w:tab/>
        <w:t>der freie Querschnitt aller Öffnungsflächen im Dach in allen Ebenen sowie als</w:t>
      </w:r>
    </w:p>
    <w:p>
      <w:pPr>
        <w:pStyle w:val="GesAbsatz"/>
        <w:ind w:left="426" w:hanging="426"/>
      </w:pPr>
      <w:r>
        <w:t>f)</w:t>
      </w:r>
      <w:r>
        <w:tab/>
        <w:t>Zuluftfläche in der untersten Ebene vorhanden ist. Es dürfen nur Öffnungen in Ebenen mit einem freien Querschnitt von mindestens 1 m² angerechnet werden.</w:t>
      </w:r>
    </w:p>
    <w:p>
      <w:pPr>
        <w:pStyle w:val="GesAbsatz"/>
      </w:pPr>
      <w:r>
        <w:t>5.7.2.2</w:t>
      </w:r>
    </w:p>
    <w:p>
      <w:pPr>
        <w:pStyle w:val="GesAbsatz"/>
      </w:pPr>
      <w:r>
        <w:t>Die Anforderung ist insbesondere erfüllt für Ebenen mit Grundflächen von jeweils nicht mehr als 1 000 m² beziehungsweise 1 600 m² bei Vorhandensein einer Werkfeuerwehr, wenn</w:t>
      </w:r>
    </w:p>
    <w:p>
      <w:pPr>
        <w:pStyle w:val="GesAbsatz"/>
        <w:tabs>
          <w:tab w:val="clear" w:pos="425"/>
          <w:tab w:val="left" w:pos="426"/>
        </w:tabs>
        <w:ind w:left="426" w:hanging="426"/>
      </w:pPr>
      <w:r>
        <w:t>a)</w:t>
      </w:r>
      <w:r>
        <w:tab/>
        <w:t>die Räume in den Außenwänden Öffnungen, Türen oder Fenster mit einem freien Querschnitt von insgesamt 2 v. H. der Grundfläche der jeweiligen Ebene haben und die Öffnungen, Türen oder Fenster im oberen Drittel der Außenwand angeordnet sind sowie</w:t>
      </w:r>
    </w:p>
    <w:p>
      <w:pPr>
        <w:pStyle w:val="GesAbsatz"/>
        <w:tabs>
          <w:tab w:val="clear" w:pos="425"/>
          <w:tab w:val="left" w:pos="426"/>
        </w:tabs>
        <w:ind w:left="426" w:hanging="426"/>
      </w:pPr>
      <w:r>
        <w:t>b)</w:t>
      </w:r>
      <w:r>
        <w:tab/>
        <w:t>Zuluftflächen in insgesamt gleicher Größe im unteren Raumdrittel oder in den darunter liegenden Ebenen vorhanden sind. Es dürfen nur Öffnungen in Ebenen mit einem freien Querschnitt von mindestens 1 m² angerechnet werden.</w:t>
      </w:r>
    </w:p>
    <w:p>
      <w:pPr>
        <w:pStyle w:val="GesAbsatz"/>
      </w:pPr>
      <w:r>
        <w:t>5.7.3</w:t>
      </w:r>
    </w:p>
    <w:p>
      <w:pPr>
        <w:pStyle w:val="GesAbsatz"/>
      </w:pPr>
      <w:r>
        <w:t>Rauchableitung in Produktions- und Lagerräumen mit selbsttätigen Feuerlöschanlagen</w:t>
      </w:r>
    </w:p>
    <w:p>
      <w:pPr>
        <w:pStyle w:val="GesAbsatz"/>
      </w:pPr>
      <w:r>
        <w:lastRenderedPageBreak/>
        <w:t>Die Anforderung ist auch erfüllt in Produktions- und Lagerräumen mit selbsttätigen Feuerlöschanlagen nach Abschnitt 5.8.1, wenn in diesen Räumen vorhandene Lüftungsanlagen automatisch bei Auslösen der selbsttätigen Feuerlöschanlagen so betrieben werden, dass sie nur entlüften und die Luftvolumenströme einschließlich Zuluft nach Abschnitt 5.7.1.3 erreicht werden, soweit es die Zweckbestimmung der Absperrvorrichtungen gegen Brandübertragung zulässt; in Leitungen zum Zweck der Entlüftung dürfen Absperrvorrichtungen nur thermische Auslöser haben. Abweichend von Satz 1 muss bei Vorhandensein einer selbsttätigen Brandmeldeanlage der Sicherheitskategorien K 2 bis K 3.4 die Lüftungsanlage mit Auslösen der Brandmeldeanlage so betrieben werden. Auf die automatische Ansteuerung der Lüftungsanlage kann mit Zustimmung der Brandschutzdienststelle verzichtet werden.</w:t>
      </w:r>
    </w:p>
    <w:p>
      <w:pPr>
        <w:pStyle w:val="GesAbsatz"/>
      </w:pPr>
      <w:r>
        <w:t>5.7.4</w:t>
      </w:r>
    </w:p>
    <w:p>
      <w:pPr>
        <w:pStyle w:val="GesAbsatz"/>
      </w:pPr>
      <w:r>
        <w:t>Weitere Anforderungen an die Rauchableitung aus Produktions- und Lagerräumen</w:t>
      </w:r>
    </w:p>
    <w:p>
      <w:pPr>
        <w:pStyle w:val="GesAbsatz"/>
      </w:pPr>
      <w:r>
        <w:t>5.7.4.1</w:t>
      </w:r>
    </w:p>
    <w:p>
      <w:pPr>
        <w:pStyle w:val="GesAbsatz"/>
      </w:pPr>
      <w:r>
        <w:t>Anstelle von Öffnungen zur Rauchableitung ist die Rauchableitung über Schächte mit strömungstechnisch äquivalenten Querschnitten zulässig, wenn die Wände der Schächte raumabschließend und so feuerwiderstandsfähig wie die durchdrungenen Bauteile, mindestens jedoch feuerhemmend sowie aus nichtbrennbaren Baustoffen sind.</w:t>
      </w:r>
    </w:p>
    <w:p>
      <w:pPr>
        <w:pStyle w:val="GesAbsatz"/>
      </w:pPr>
      <w:r>
        <w:t>5.7.4.2</w:t>
      </w:r>
    </w:p>
    <w:p>
      <w:pPr>
        <w:pStyle w:val="GesAbsatz"/>
      </w:pPr>
      <w:r>
        <w:t>Fenster, Türen und mit Abschlüssen versehene Öffnungen zur Rauchableitung nach Abschnitt 5.7.1.2 und 5.7.2.2 müssen Vorrichtungen zum Öffnen haben, die von jederzeit zugänglichen Stellen aus leicht von Hand bedient werden können; sie können an einer jederzeit zugänglichen Stelle zusammengeführt werden. Geschlossene Öffnungen, die als Zuluftflächen dienen, müssen leicht geöffnet werden können. Dies gilt zum Beispiel als erfüllt für Toranlagen, die in der Nähe einer Zugangstür liegen und auch bei Stromausfall, zum Beispiel über Kettenzug, geöffnet werden können.</w:t>
      </w:r>
    </w:p>
    <w:p>
      <w:pPr>
        <w:pStyle w:val="GesAbsatz"/>
      </w:pPr>
      <w:r>
        <w:t>5.7.4.3</w:t>
      </w:r>
    </w:p>
    <w:p>
      <w:pPr>
        <w:pStyle w:val="GesAbsatz"/>
      </w:pPr>
      <w:r>
        <w:t>Rauchabzugsanlagen müssen automatisch auslösen und von Hand von einer jederzeit zugänglichen Stelle ausgelöst werden können. Geschlossene Öffnungen, die als Zuluftflächen dienen, müssen bei natürlichen Rauchabzugsanlagen leicht geöffnet werden können; Abschnitt 5.7.4.2 Satz 3 gilt entsprechend. Bei maschinellen Rauchabzugsanlagen muss die Zuluftführung durch automatische Ansteuerung spätestens gleichzeitig mit Inbetriebnahme der Anlage erfolgen.</w:t>
      </w:r>
    </w:p>
    <w:p>
      <w:pPr>
        <w:pStyle w:val="GesAbsatz"/>
      </w:pPr>
      <w:r>
        <w:t>5.7.4.4</w:t>
      </w:r>
    </w:p>
    <w:p>
      <w:pPr>
        <w:pStyle w:val="GesAbsatz"/>
      </w:pPr>
      <w:r>
        <w:t>Manuelle Bedienungs- und Auslösestellen sind mit einem Hinweisschild mit der Bezeichnung „RAUCHABZUG“ und der Angabe des jeweiligen Raumes zu versehen. An den Stellen muss die Betriebsstellung der jeweiligen Anlage, der Fenster, Türen oder des Abschlusses erkennbar sein.</w:t>
      </w:r>
    </w:p>
    <w:p>
      <w:pPr>
        <w:pStyle w:val="GesAbsatz"/>
      </w:pPr>
      <w:r>
        <w:t>5.7.4.5</w:t>
      </w:r>
    </w:p>
    <w:p>
      <w:pPr>
        <w:pStyle w:val="GesAbsatz"/>
      </w:pPr>
      <w:r>
        <w:t>Maschinelle Rauchabzugsanlagen sind für eine Betriebszeit von 30 Minuten bei einer Rauchgastemperatur von 600°C auszulegen. Die Auslegung kann mit einer Rauchgastemperatur von 300°C erfolgen, wenn der ermittelte Luftvolumenstrom mindestens 40 000 m³/h je Raum beträgt. Maschinelle Lüftungsanlagen können als maschinelle Rauchabzugsanlagen betrieben werden, wenn sie die an diese gestellten Anforderungen erfüllen.</w:t>
      </w:r>
    </w:p>
    <w:p>
      <w:pPr>
        <w:pStyle w:val="berschrift3"/>
      </w:pPr>
      <w:bookmarkStart w:id="30" w:name="_Toc418755855"/>
      <w:r>
        <w:t>5.8</w:t>
      </w:r>
      <w:r>
        <w:br/>
        <w:t>Feuerlöschanlagen</w:t>
      </w:r>
      <w:bookmarkEnd w:id="30"/>
    </w:p>
    <w:p>
      <w:pPr>
        <w:pStyle w:val="GesAbsatz"/>
      </w:pPr>
      <w:r>
        <w:t>5.8.1</w:t>
      </w:r>
    </w:p>
    <w:p>
      <w:pPr>
        <w:pStyle w:val="GesAbsatz"/>
      </w:pPr>
      <w:r>
        <w:t>Selbsttätige Feuerlöschanlagen</w:t>
      </w:r>
    </w:p>
    <w:p>
      <w:pPr>
        <w:pStyle w:val="GesAbsatz"/>
      </w:pPr>
      <w:r>
        <w:t>Es dürfen nur selbsttätige, für das vorhandene Brandgut geeignete flächendeckende Feuerlöschanlagen in den Fällen der Abschnitte 5.6.5, 5.7.3, 7.5 sowie in der Sicherheitskategorie K 4 berücksichtigt werden.</w:t>
      </w:r>
    </w:p>
    <w:p>
      <w:pPr>
        <w:pStyle w:val="GesAbsatz"/>
      </w:pPr>
      <w:r>
        <w:t>5.8.2</w:t>
      </w:r>
    </w:p>
    <w:p>
      <w:pPr>
        <w:pStyle w:val="GesAbsatz"/>
      </w:pPr>
      <w:r>
        <w:t>Halbstationäre Feuerlöschanlagen</w:t>
      </w:r>
    </w:p>
    <w:p>
      <w:pPr>
        <w:pStyle w:val="GesAbsatz"/>
      </w:pPr>
      <w:r>
        <w:t>Halbstationäre Feuerlöschanlagen können angerechnet werden. Es dürfen flächendeckende halbstationäre Feuerlöschanlagen nur in Verbindung mit einer Werkfeuerwehr bei der Ermittlung der Sicherheitskategorien K 3.1 bis K 3.3 gemäß Abschnitt 3.12 berücksichtigt werden, wenn diese unter Beachtung der allgemein anerkannten Regeln der Technik ausgelegt sind. Sie dürfen ferner nur in Ansatz gebracht werden, wenn eine automatische Branderkennung und -meldung nach Abschnitt 5.9 Absatz 1 vorhanden sind und eine Weiterleitung an eine ständig besetzte Stelle gegeben ist.</w:t>
      </w:r>
    </w:p>
    <w:p>
      <w:pPr>
        <w:pStyle w:val="berschrift3"/>
      </w:pPr>
      <w:bookmarkStart w:id="31" w:name="_Toc418755856"/>
      <w:r>
        <w:lastRenderedPageBreak/>
        <w:t>5.9</w:t>
      </w:r>
      <w:r>
        <w:br/>
        <w:t>Brandmeldeanlagen</w:t>
      </w:r>
      <w:bookmarkEnd w:id="31"/>
    </w:p>
    <w:p>
      <w:pPr>
        <w:pStyle w:val="GesAbsatz"/>
      </w:pPr>
      <w:r>
        <w:t>Es dürfen nur flächendeckende Brandmeldeanlagen mit selbsttätigen Brandmeldern berücksichtigt werden, die mit technischen Maßnahmen zur Vermeidung von Falschalarmen ausgeführt und betrieben werden (selbsttätige Brandmeldeanlagen). Brandmeldungen sind unmittelbar zur zuständigen Leistelle für den Feuerschutz zu übertragen. Brandmeldeanlagen können ohne besondere Maßnahmen zur Vermeidung von Falschalarmen ausgeführt werden, wenn die Brandmeldeanlage unmittelbar auf die Leitstelle der zuständigen Werkfeuerwehr aufgeschaltet ist.</w:t>
      </w:r>
    </w:p>
    <w:p>
      <w:pPr>
        <w:pStyle w:val="GesAbsatz"/>
      </w:pPr>
      <w:r>
        <w:t>In Brandabschnitten oder Brandbekämpfungsabschnitten, in denen durch ständige Personalbesetzung eine sofortige Brandentdeckung und Weitermeldung an die zuständige Feuerwehralarmierungsstelle sichergestellt ist, kann dies hinsichtlich der Branderkennung und -meldung einer selbsttätigen Brandmeldeanlage gleichgesetzt werden. Dies gilt nicht, wenn eine selbsttätige Brandmeldeanlage als Voraussetzung zur Verlängerung der Rettungswege nach Abschnitt 5.6.5 erforderlich ist.</w:t>
      </w:r>
    </w:p>
    <w:p>
      <w:pPr>
        <w:pStyle w:val="berschrift3"/>
      </w:pPr>
      <w:bookmarkStart w:id="32" w:name="_Toc418755857"/>
      <w:r>
        <w:t>5.10</w:t>
      </w:r>
      <w:r>
        <w:br/>
        <w:t>Brandwände und Wände zur Trennung von Brandbekämpfungsabschnitten</w:t>
      </w:r>
      <w:bookmarkEnd w:id="32"/>
    </w:p>
    <w:p>
      <w:pPr>
        <w:pStyle w:val="GesAbsatz"/>
      </w:pPr>
      <w:r>
        <w:t>5.10.1</w:t>
      </w:r>
    </w:p>
    <w:p>
      <w:pPr>
        <w:pStyle w:val="GesAbsatz"/>
      </w:pPr>
      <w:r>
        <w:t>Brandwände und Wände zur Trennung von Brandbekämpfungsabschnitten sind mindestens 0,5 m über Dach zu führen; darüber dürfen brennbare Teile nicht hinweggeführt werden. Bauteile mit brennbaren Baustoffen dürfen in diese Wände nur so weit eingreifen, dass der verbleibende Wandquerschnitt die erforderliche Feuerwiderstandsdauer aufweist. Für Leitungen, Leitungsschlitze und Schornsteine gilt Satz 2 entsprechend.</w:t>
      </w:r>
    </w:p>
    <w:p>
      <w:pPr>
        <w:pStyle w:val="GesAbsatz"/>
      </w:pPr>
      <w:r>
        <w:t>5.10.2</w:t>
      </w:r>
    </w:p>
    <w:p>
      <w:pPr>
        <w:pStyle w:val="GesAbsatz"/>
      </w:pPr>
      <w:r>
        <w:t>Im Bereich der Außenwände ist durch geeignete Maßnahmen eine Brandübertragung auf andere Brandabschnitte und Brandbekämpfungsabschnitte zu behindern.</w:t>
      </w:r>
    </w:p>
    <w:p>
      <w:pPr>
        <w:pStyle w:val="GesAbsatz"/>
      </w:pPr>
      <w:r>
        <w:t>Geeignete Maßnahmen sind zum Beispiel:</w:t>
      </w:r>
    </w:p>
    <w:p>
      <w:pPr>
        <w:pStyle w:val="GesAbsatz"/>
        <w:ind w:left="426" w:hanging="426"/>
      </w:pPr>
      <w:r>
        <w:t>a)</w:t>
      </w:r>
      <w:r>
        <w:tab/>
        <w:t>ein mindestens 0,5 m vor der Außenwand vorstehender Teil der Brandwand oder der Wand, die Brandbekämpfungsabschnitte trennt, der einschließlich seiner Bekleidung aus nichtbrennbaren Baustoffen besteht oder</w:t>
      </w:r>
    </w:p>
    <w:p>
      <w:pPr>
        <w:pStyle w:val="GesAbsatz"/>
        <w:ind w:left="426" w:hanging="426"/>
      </w:pPr>
      <w:r>
        <w:t>b)</w:t>
      </w:r>
      <w:r>
        <w:tab/>
        <w:t>ein im Bereich der Brandwand oder der Wand, die Brandbekämpfungsabschnitte trennt, angeordneter Außenwandabschnitt mit einer Breite von mindestens 1,0 m, der einschließlich seiner Bekleidung aus nichtbrennbaren Baustoffen besteht.</w:t>
      </w:r>
    </w:p>
    <w:p>
      <w:pPr>
        <w:pStyle w:val="GesAbsatz"/>
      </w:pPr>
      <w:r>
        <w:t>Sofern die Außenwandbekleidung aus brennbaren Baustoffen durchlaufend angeordnet wird, gilt als geeignete Maßnahme eine auf beiden Seiten der Brandwand oder der Wand, die Brandbekämpfungsabschnitte trennt, auf einer Länge von jeweils 1,0 m angeordnete Wand in der Feuerwiderstandsdauer der trennenden Wand.</w:t>
      </w:r>
    </w:p>
    <w:p>
      <w:pPr>
        <w:pStyle w:val="GesAbsatz"/>
      </w:pPr>
      <w:r>
        <w:t>5.10.3</w:t>
      </w:r>
    </w:p>
    <w:p>
      <w:pPr>
        <w:pStyle w:val="GesAbsatz"/>
      </w:pPr>
      <w:r>
        <w:t>Anstelle einer inneren Brandwand sind zwei sich gegenüberstehende raumabschließende, feuerbeständige Wände aus nichtbrennbaren Baustoffen zulässig. Sie müssen voneinander unabhängig standsicher sein. Die diese Wände unterstützenden oder aussteifenden Bauteile sind mit der gleichen Feuerwiderstandsdauer auszuführen wie die tragenden Bauteile des zugeordneten Brandabschnitts.</w:t>
      </w:r>
    </w:p>
    <w:p>
      <w:pPr>
        <w:pStyle w:val="GesAbsatz"/>
      </w:pPr>
      <w:r>
        <w:t>5.10.4</w:t>
      </w:r>
    </w:p>
    <w:p>
      <w:pPr>
        <w:pStyle w:val="GesAbsatz"/>
      </w:pPr>
      <w:r>
        <w:t>Öffnungen in inneren Brandwänden sind zulässig, wenn sie auf die für die Nutzung erforderliche Zahl und Größe beschränkt sind und wenn sie feuerbeständige, dicht- und selbstschließende Abschlüsse haben. Öffnungen in Wänden zur Trennung von Brandbekämpfungsabschnitten sind nach Tabelle 6 zu verschließen. Die Abschlüsse, die aus betrieblichen Gründen offenzuhalten sind, müssen mit Feststellanlagen versehen werden, die bei Raucheinwirkung ein selbsttätiges Schließen bewirken.</w:t>
      </w:r>
    </w:p>
    <w:p>
      <w:pPr>
        <w:pStyle w:val="GesAbsatz"/>
      </w:pPr>
      <w:r>
        <w:t>Lichtdurchlässige Teilflächen müssen als Brandschutzverglasungen mindestens die Feuerwiderstandsfähigkeit wie die angrenzenden Wände haben und sich auf die für die Nutzung erforderliche Zahl und Größe beschränken.</w:t>
      </w:r>
    </w:p>
    <w:p>
      <w:pPr>
        <w:pStyle w:val="GesAbsatz"/>
      </w:pPr>
      <w:r>
        <w:t>5.10.5</w:t>
      </w:r>
    </w:p>
    <w:p>
      <w:pPr>
        <w:pStyle w:val="GesAbsatz"/>
      </w:pPr>
      <w:r>
        <w:t>Müssen Gebäude oder Gebäudeteile, die über Eck zusammenstoßen, durch eine Brandwand oder eine Wand, die Brandbekämpfungsabschnitte trennt, abgeschlossen oder unterteilt werden, so muss die Wand über die innere Ecke mindestens 5,0 m hinausragen. Dies gilt nicht, wenn die Gebäude oder Gebäudeteile in einem Winkel von mehr als 120° über Eck zusammenstoßen.</w:t>
      </w:r>
    </w:p>
    <w:p>
      <w:pPr>
        <w:pStyle w:val="berschrift3"/>
      </w:pPr>
      <w:bookmarkStart w:id="33" w:name="_Toc418755858"/>
      <w:r>
        <w:lastRenderedPageBreak/>
        <w:t>5.11</w:t>
      </w:r>
      <w:r>
        <w:br/>
        <w:t>Feuerüberschlagsweg</w:t>
      </w:r>
      <w:bookmarkEnd w:id="33"/>
    </w:p>
    <w:p>
      <w:pPr>
        <w:pStyle w:val="GesAbsatz"/>
      </w:pPr>
      <w:r>
        <w:t>Im Bereich der Außenwand ist eine vertikale Brandübertragung zwischen versetzt übereinander angeordneten Brandabschnitten nach Abschnitt 6 und zwischen Brandbekämpfungsabschnitten nach Abschnitt 7 durch geeignete Vorkehrungen zu behindern. Geeignete Vorkehrungen hierfür können sein:</w:t>
      </w:r>
    </w:p>
    <w:p>
      <w:pPr>
        <w:pStyle w:val="GesAbsatz"/>
      </w:pPr>
      <w:r>
        <w:t>a)</w:t>
      </w:r>
      <w:r>
        <w:tab/>
        <w:t>mindestens 1,5 m weit auskragende ausreichend feuerwiderstandsfähige Bauteile oder</w:t>
      </w:r>
    </w:p>
    <w:p>
      <w:pPr>
        <w:pStyle w:val="GesAbsatz"/>
        <w:tabs>
          <w:tab w:val="clear" w:pos="425"/>
          <w:tab w:val="left" w:pos="426"/>
        </w:tabs>
        <w:ind w:left="426" w:hanging="426"/>
      </w:pPr>
      <w:r>
        <w:t>b)</w:t>
      </w:r>
      <w:r>
        <w:tab/>
        <w:t>ausreichend feuerwiderstandsfähige Bauteile mit einer Höhe von mindestens 1,5 m zwischen Öffnungen.</w:t>
      </w:r>
    </w:p>
    <w:p>
      <w:pPr>
        <w:pStyle w:val="GesAbsatz"/>
      </w:pPr>
      <w:r>
        <w:t>Bei Brandabschnitten und Brandbekämpfungsabschnitten der Sicherheitskategorien K 3.1 bis K 4 können die vorstehenden Werte auf 1,0 m reduziert werden.</w:t>
      </w:r>
    </w:p>
    <w:p>
      <w:pPr>
        <w:pStyle w:val="GesAbsatz"/>
      </w:pPr>
      <w:r>
        <w:t>Ausreichend feuerwiderstandsfähig sind Bauteile, wenn sie der Feuerwiderstandsfähigkeit der Decke entsprechen und einschließlich der Wärmedämmung aus nichtbrennbaren Baustoffen bestehen.</w:t>
      </w:r>
    </w:p>
    <w:p>
      <w:pPr>
        <w:pStyle w:val="berschrift3"/>
      </w:pPr>
      <w:bookmarkStart w:id="34" w:name="_Toc418755859"/>
      <w:r>
        <w:t>5.12</w:t>
      </w:r>
      <w:r>
        <w:br/>
        <w:t>Außenwände und Außenwandbekleidungen</w:t>
      </w:r>
      <w:bookmarkEnd w:id="34"/>
    </w:p>
    <w:p>
      <w:pPr>
        <w:pStyle w:val="GesAbsatz"/>
      </w:pPr>
      <w:r>
        <w:t>5.12.1</w:t>
      </w:r>
    </w:p>
    <w:p>
      <w:pPr>
        <w:pStyle w:val="GesAbsatz"/>
      </w:pPr>
      <w:r>
        <w:t>Nichttragende Außenwände, Oberflächen von Außenwänden und Außenwandbekleidungen einschließlich der Dämmstoffe und Unterkonstruktionen sind so auszubilden, dass eine Brandausbreitung auf und in diesen Bauteilen begrenzt ist. Dies gilt als erfüllt, wenn sie den Anforderungen nach Abschnitt 5.12.2 bis 5.12.5 entsprechen.</w:t>
      </w:r>
    </w:p>
    <w:p>
      <w:pPr>
        <w:pStyle w:val="GesAbsatz"/>
      </w:pPr>
      <w:r>
        <w:t>5.12.2</w:t>
      </w:r>
    </w:p>
    <w:p>
      <w:pPr>
        <w:pStyle w:val="GesAbsatz"/>
      </w:pPr>
      <w:r>
        <w:t>Nichttragende Außenwände und nichttragende Teile tragender Außenwände müssen aus nichtbrennbaren Baustoffen bestehen. Sie sind aus brennbaren Baustoffen zulässig, wenn sie als raumabschließende Bauteile feuerhemmend sind. Satz 1 gilt nicht für</w:t>
      </w:r>
    </w:p>
    <w:p>
      <w:pPr>
        <w:pStyle w:val="GesAbsatz"/>
      </w:pPr>
      <w:r>
        <w:t>a)</w:t>
      </w:r>
      <w:r>
        <w:tab/>
        <w:t>Türen und Fenster,</w:t>
      </w:r>
    </w:p>
    <w:p>
      <w:pPr>
        <w:pStyle w:val="GesAbsatz"/>
      </w:pPr>
      <w:r>
        <w:t xml:space="preserve">b) </w:t>
      </w:r>
      <w:r>
        <w:tab/>
        <w:t>Fugendichtungen und</w:t>
      </w:r>
    </w:p>
    <w:p>
      <w:pPr>
        <w:pStyle w:val="GesAbsatz"/>
      </w:pPr>
      <w:r>
        <w:t>c)</w:t>
      </w:r>
      <w:r>
        <w:tab/>
        <w:t>brennbare Dämmstoffe in nichtbrennbaren geschlossenen Profilen der Außenwandkonstruktionen.</w:t>
      </w:r>
    </w:p>
    <w:p>
      <w:pPr>
        <w:pStyle w:val="GesAbsatz"/>
      </w:pPr>
      <w:r>
        <w:t>Nichttragende Außenwände dürfen aus schwerentflammbaren Baustoffen bestehen bei</w:t>
      </w:r>
    </w:p>
    <w:p>
      <w:pPr>
        <w:pStyle w:val="GesAbsatz"/>
      </w:pPr>
      <w:r>
        <w:t>a)</w:t>
      </w:r>
      <w:r>
        <w:tab/>
        <w:t>erdgeschossigen Industriebauten,</w:t>
      </w:r>
    </w:p>
    <w:p>
      <w:pPr>
        <w:pStyle w:val="GesAbsatz"/>
      </w:pPr>
      <w:r>
        <w:t>b)</w:t>
      </w:r>
      <w:r>
        <w:tab/>
        <w:t>Brandbekämpfungsabschnitten mit Ebenen, mit einem Ausbreitungsfaktor F</w:t>
      </w:r>
      <w:r>
        <w:rPr>
          <w:vertAlign w:val="subscript"/>
        </w:rPr>
        <w:t>A</w:t>
      </w:r>
      <w:r>
        <w:t xml:space="preserve"> = 1,7 (Tabelle 4) ,</w:t>
      </w:r>
    </w:p>
    <w:p>
      <w:pPr>
        <w:pStyle w:val="GesAbsatz"/>
        <w:ind w:left="426" w:hanging="426"/>
      </w:pPr>
      <w:r>
        <w:t>c)</w:t>
      </w:r>
      <w:r>
        <w:tab/>
        <w:t>Brandbekämpfungsabschnitten mit Ebenen mit einem Ausbreitungsfaktor F</w:t>
      </w:r>
      <w:r>
        <w:rPr>
          <w:vertAlign w:val="subscript"/>
        </w:rPr>
        <w:t>A</w:t>
      </w:r>
      <w:r>
        <w:t xml:space="preserve"> ≤ 1,0 (Tabelle 4) , wenn gegen die Brandausbreitung über die Außenwand besondere Vorkehrungen getroffen sind oder</w:t>
      </w:r>
    </w:p>
    <w:p>
      <w:pPr>
        <w:pStyle w:val="GesAbsatz"/>
        <w:ind w:left="426" w:hanging="426"/>
      </w:pPr>
      <w:r>
        <w:t>d)</w:t>
      </w:r>
      <w:r>
        <w:tab/>
        <w:t>Brandabschnitten mit mehreren Geschossen, wenn gegen die Brandausbreitung über die Außenwand besondere Vorkehrungen getroffen sind.</w:t>
      </w:r>
    </w:p>
    <w:p>
      <w:pPr>
        <w:pStyle w:val="GesAbsatz"/>
      </w:pPr>
      <w:r>
        <w:t>5.12.3</w:t>
      </w:r>
    </w:p>
    <w:p>
      <w:pPr>
        <w:pStyle w:val="GesAbsatz"/>
      </w:pPr>
      <w:r>
        <w:t>Oberflächen von Außenwänden sowie Außenwandbekleidungen müssen einschließlich der Dämmstoffe und Unterkonstruktionen schwerentflammbar sein. Unterkonstruktionen aus normalentflammbaren Baustoffen sind zulässig, wenn die Außenwände und Außenwandbauteile so ausgebildet sind, dass eine Brandausbreitung auf und in diesen Bauteilen ausreichend lang begrenzt ist.</w:t>
      </w:r>
    </w:p>
    <w:p>
      <w:pPr>
        <w:pStyle w:val="GesAbsatz"/>
      </w:pPr>
      <w:r>
        <w:t>5.12.4</w:t>
      </w:r>
    </w:p>
    <w:p>
      <w:pPr>
        <w:pStyle w:val="GesAbsatz"/>
      </w:pPr>
      <w:r>
        <w:t>Bei Außenwandkonstruktionen mit geschossübergreifenden Hohl- oder Lufträumen wie hinterlüfteten Außenwandbekleidungen sind gegen die Brandausbreitung besondere Vorkehrungen zu treffen. Satz 1 gilt für Doppelfassaden entsprechend.</w:t>
      </w:r>
    </w:p>
    <w:p>
      <w:pPr>
        <w:pStyle w:val="GesAbsatz"/>
      </w:pPr>
      <w:r>
        <w:t>5.12.5</w:t>
      </w:r>
    </w:p>
    <w:p>
      <w:pPr>
        <w:pStyle w:val="GesAbsatz"/>
      </w:pPr>
      <w:r>
        <w:t>Baustoffe, die schwerentflammbar sein müssen, dürfen nicht brennend abfallen oder abtropfen.</w:t>
      </w:r>
    </w:p>
    <w:p>
      <w:pPr>
        <w:pStyle w:val="GesAbsatz"/>
      </w:pPr>
      <w:r>
        <w:t>5.12.6</w:t>
      </w:r>
    </w:p>
    <w:p>
      <w:pPr>
        <w:pStyle w:val="GesAbsatz"/>
      </w:pPr>
      <w:r>
        <w:t>Die Anforderungen nach Abschnitt 5.12.1 bis einschließlich 5.12.5 gelten nicht für planmäßig als Wärmeabzugsflächen eingesetzte Bauteile.</w:t>
      </w:r>
    </w:p>
    <w:p>
      <w:pPr>
        <w:pStyle w:val="GesAbsatz"/>
      </w:pPr>
      <w:r>
        <w:t>5.12.7</w:t>
      </w:r>
    </w:p>
    <w:p>
      <w:pPr>
        <w:pStyle w:val="GesAbsatz"/>
      </w:pPr>
      <w:r>
        <w:t>Wenn der Abstand der Außenwand zur Grundstücksgrenze weniger als 5 m beträgt, muss die Außenwand aus nichtbrennbaren Baustoffen bestehen.</w:t>
      </w:r>
    </w:p>
    <w:p>
      <w:pPr>
        <w:pStyle w:val="GesAbsatz"/>
      </w:pPr>
      <w:r>
        <w:lastRenderedPageBreak/>
        <w:t>5.12.8</w:t>
      </w:r>
    </w:p>
    <w:p>
      <w:pPr>
        <w:pStyle w:val="GesAbsatz"/>
      </w:pPr>
      <w:r>
        <w:t>Um im Brandfall eine Übertragung von Feuer ins Gebäude, entlang der Außenwände oder über eine Brandwand hinweg in den benachbarten Abschnitt hinreichend lang zu verhindern, ist die Lagerung brennbarer Stoffe, zum Beispiel Paletten, Verpackungsmaterial, Abfälle und Abfallbehälter, an Außenwänden und deren Öffnungen, etwa auf Rampen oder unter Vordächern, nur zulässig, wenn folgende Mindestabstände eingehalten werden:</w:t>
      </w:r>
    </w:p>
    <w:p>
      <w:pPr>
        <w:pStyle w:val="GesAbsatz"/>
      </w:pPr>
      <w:r>
        <w:t>a)</w:t>
      </w:r>
      <w:r>
        <w:tab/>
        <w:t>6 m, wenn die Außenwand aus mindestens schwerentflammbaren Baustoffen besteht oder</w:t>
      </w:r>
    </w:p>
    <w:p>
      <w:pPr>
        <w:pStyle w:val="GesAbsatz"/>
      </w:pPr>
      <w:r>
        <w:t>b)</w:t>
      </w:r>
      <w:r>
        <w:tab/>
        <w:t>3 m, wenn die Außenwand aus nichtbrennbaren Baustoffen besteht.</w:t>
      </w:r>
    </w:p>
    <w:p>
      <w:pPr>
        <w:pStyle w:val="GesAbsatz"/>
      </w:pPr>
      <w:r>
        <w:t>Darüber hinaus ist die Lagerung brennbarer Stoffe vor Außenwänden ohne Abstand zulässig, wenn</w:t>
      </w:r>
    </w:p>
    <w:p>
      <w:pPr>
        <w:pStyle w:val="GesAbsatz"/>
        <w:ind w:left="426" w:hanging="426"/>
      </w:pPr>
      <w:r>
        <w:t>a)</w:t>
      </w:r>
      <w:r>
        <w:tab/>
        <w:t>die Außenwand einschließlich ihrer Öffnungsverschlüsse mindestens feuerbeständig und aus nichtbrennbaren Baustoffen ausgebildet ist oder</w:t>
      </w:r>
    </w:p>
    <w:p>
      <w:pPr>
        <w:pStyle w:val="GesAbsatz"/>
        <w:ind w:left="426" w:hanging="426"/>
      </w:pPr>
      <w:r>
        <w:t>b)</w:t>
      </w:r>
      <w:r>
        <w:tab/>
        <w:t>die bewertete Lagerfläche vor den Außenwänden von Industriebauten von der Brandabschnittsfläche beziehungsweise von der Summe der bewerteten Grundflächen A</w:t>
      </w:r>
      <w:r>
        <w:rPr>
          <w:vertAlign w:val="subscript"/>
        </w:rPr>
        <w:t>bew</w:t>
      </w:r>
      <w:r>
        <w:t xml:space="preserve"> nach Abschnitt 7.4 abgezogen wird.</w:t>
      </w:r>
    </w:p>
    <w:p>
      <w:pPr>
        <w:pStyle w:val="GesAbsatz"/>
        <w:tabs>
          <w:tab w:val="clear" w:pos="425"/>
        </w:tabs>
      </w:pPr>
      <w:r>
        <w:t>Zur Ermittlung der bewerteten Lagerfläche ist bei erdgeschossigen Industriebauten der Sicherheitskategorie K 1 die Grundfläche der Lagerung mit</w:t>
      </w:r>
    </w:p>
    <w:p>
      <w:pPr>
        <w:pStyle w:val="GesAbsatz"/>
        <w:ind w:left="993" w:hanging="567"/>
      </w:pPr>
      <w:r>
        <w:t>aa)</w:t>
      </w:r>
      <w:r>
        <w:tab/>
        <w:t>mindestens feuerhemmenden Außenwänden einschließlich ihrer Öffnungsverschlüsse aus nichtbrennbaren Baustoffen mit dem Faktor 0,2,</w:t>
      </w:r>
    </w:p>
    <w:p>
      <w:pPr>
        <w:pStyle w:val="GesAbsatz"/>
        <w:ind w:left="993" w:hanging="567"/>
      </w:pPr>
      <w:r>
        <w:t>bb)</w:t>
      </w:r>
      <w:r>
        <w:tab/>
        <w:t>nichtbrennbaren Außenwänden mit dem Faktor 0,5 oder</w:t>
      </w:r>
    </w:p>
    <w:p>
      <w:pPr>
        <w:pStyle w:val="GesAbsatz"/>
        <w:ind w:left="993" w:hanging="567"/>
      </w:pPr>
      <w:r>
        <w:t>cc)</w:t>
      </w:r>
      <w:r>
        <w:tab/>
        <w:t>schwerentflammbaren Außenwänden mit dem Faktor 1</w:t>
      </w:r>
    </w:p>
    <w:p>
      <w:pPr>
        <w:pStyle w:val="GesAbsatz"/>
        <w:ind w:left="426"/>
      </w:pPr>
      <w:r>
        <w:t>zu multiplizieren.</w:t>
      </w:r>
    </w:p>
    <w:p>
      <w:pPr>
        <w:pStyle w:val="GesAbsatz"/>
        <w:ind w:left="426"/>
      </w:pPr>
      <w:r>
        <w:t>Bei mehrgeschossigen Industriebauten oder Industriebauten mit mehr als einer Ebene ist der jeweilige Faktor zu verdoppeln.</w:t>
      </w:r>
    </w:p>
    <w:p>
      <w:pPr>
        <w:pStyle w:val="GesAbsatz"/>
      </w:pPr>
      <w:r>
        <w:t>Die nach b) zu ermittelnde bewertete Lagerfläche ist bei Industriebauten der Sicherheitskategorien K 2 bis K 4 um die Hälfte zu reduzieren.</w:t>
      </w:r>
    </w:p>
    <w:p>
      <w:pPr>
        <w:pStyle w:val="berschrift3"/>
      </w:pPr>
      <w:bookmarkStart w:id="35" w:name="_Toc418755860"/>
      <w:r>
        <w:t>5.13</w:t>
      </w:r>
      <w:r>
        <w:br/>
        <w:t>Dächer</w:t>
      </w:r>
      <w:bookmarkEnd w:id="35"/>
    </w:p>
    <w:p>
      <w:pPr>
        <w:pStyle w:val="GesAbsatz"/>
      </w:pPr>
      <w:r>
        <w:t>5.13.1</w:t>
      </w:r>
    </w:p>
    <w:p>
      <w:pPr>
        <w:pStyle w:val="GesAbsatz"/>
      </w:pPr>
      <w:r>
        <w:t>Zusammenhängende Dachflächen von mehr als 2 500 m² sind so auszubilden, dass eine Brandweiterleitung innerhalb eines Brandabschnitts oder eines Brandbekämpfungsabschnitts über das Dach behindert wird. Dies gilt zum Beispiel als erfüllt bei Dächern</w:t>
      </w:r>
    </w:p>
    <w:p>
      <w:pPr>
        <w:pStyle w:val="GesAbsatz"/>
      </w:pPr>
      <w:r>
        <w:t>a)</w:t>
      </w:r>
      <w:r>
        <w:tab/>
        <w:t>nach DIN 18234-1/DIN 18234-2 (Verzeichnis von Dächern),</w:t>
      </w:r>
    </w:p>
    <w:p>
      <w:pPr>
        <w:pStyle w:val="GesAbsatz"/>
      </w:pPr>
      <w:r>
        <w:t>b)</w:t>
      </w:r>
      <w:r>
        <w:tab/>
        <w:t>mit tragender Dachschale aus mineralischen Baustoffen (zum Beispiel Stahl- und Porenbeton)  oder</w:t>
      </w:r>
    </w:p>
    <w:p>
      <w:pPr>
        <w:pStyle w:val="GesAbsatz"/>
      </w:pPr>
      <w:r>
        <w:t>c)</w:t>
      </w:r>
      <w:r>
        <w:tab/>
        <w:t>mit Bedachungen aus nichtbrennbaren Baustoffen.</w:t>
      </w:r>
    </w:p>
    <w:p>
      <w:pPr>
        <w:pStyle w:val="GesAbsatz"/>
      </w:pPr>
      <w:r>
        <w:t>5.13.2</w:t>
      </w:r>
    </w:p>
    <w:p>
      <w:pPr>
        <w:pStyle w:val="GesAbsatz"/>
      </w:pPr>
      <w:r>
        <w:t>Im Bereich von Dachdurchdringungen ist bei Dächern nach Abschnitt 5.13.1 durch konstruktive Maßnahmen eine Brandweiterleitung bei einer Einwirkung eines Entstehungsbrandes von unten zu behindern. Dies gilt zum Beispiel als erfüllt bei Dächern nach DIN 18234-1 und -2, wenn die Durchdringungen nach DIN 18234-3/DIN 18234-4 (Verzeichnis von Durchdringungen) ausgebildet werden.</w:t>
      </w:r>
    </w:p>
    <w:p>
      <w:pPr>
        <w:pStyle w:val="GesAbsatz"/>
      </w:pPr>
      <w:r>
        <w:t>5.13.3</w:t>
      </w:r>
    </w:p>
    <w:p>
      <w:pPr>
        <w:pStyle w:val="GesAbsatz"/>
      </w:pPr>
      <w:r>
        <w:t>Die Anforderungen des Abschnitts 5.13.1 gelten nicht für erdgeschossige Lagerhallen mit einer Dachfläche bis zu 3 000 m², wenn im Lager ausschließlich nichtbrennbare Stoffe oder Waren (zum Beispiel Sand, Salz, Klinker, Stahl) unverpackt oder so gelagert sind, dass die Verpackung und/oder die Lager-/Transporthilfs</w:t>
      </w:r>
      <w:r>
        <w:softHyphen/>
        <w:t>mittel (zum Beispiel Paletten) nicht zur Brandausbreitung beitragen.</w:t>
      </w:r>
    </w:p>
    <w:p>
      <w:pPr>
        <w:pStyle w:val="GesAbsatz"/>
      </w:pPr>
      <w:r>
        <w:t>5.13.4</w:t>
      </w:r>
    </w:p>
    <w:p>
      <w:pPr>
        <w:pStyle w:val="GesAbsatz"/>
      </w:pPr>
      <w:r>
        <w:t>Die Anforderung nach § 35 Absatz 1 Landesbauordnung (Harte Bedachung) gilt nicht für erforderliche Rauch- und Wärmeabzugsflächen.</w:t>
      </w:r>
    </w:p>
    <w:p>
      <w:pPr>
        <w:pStyle w:val="berschrift3"/>
      </w:pPr>
      <w:bookmarkStart w:id="36" w:name="_Toc418755861"/>
      <w:r>
        <w:t>5.14</w:t>
      </w:r>
      <w:r>
        <w:br/>
        <w:t>Sonstige Brandschutzmaßnahmen, Gefahrenverhütung</w:t>
      </w:r>
      <w:bookmarkEnd w:id="36"/>
    </w:p>
    <w:p>
      <w:pPr>
        <w:pStyle w:val="GesAbsatz"/>
      </w:pPr>
      <w:r>
        <w:t>5.14.1</w:t>
      </w:r>
    </w:p>
    <w:p>
      <w:pPr>
        <w:pStyle w:val="GesAbsatz"/>
      </w:pPr>
      <w:r>
        <w:lastRenderedPageBreak/>
        <w:t>Abhängig von der Art oder Nutzung des Betriebes müssen in Industriebauten geeignete Feuerlöscher und in Räumen, die einzeln eine Grundfläche von mehr als 1 600 m² haben, Wandhydranten für die Feuerwehr (Typ F) in ausreichender Zahl vorhanden sowie gut sichtbar und leicht zugänglich angeordnet sein. Auf Wandhydranten kann mit Zustimmung mit der Brandschutzdienststelle aus einsatztaktischen Gründen der Feuerwehr verzichtet werden. Statt Wandhydranten können in Brandabschnitten oder in Brandbekämpfungsabschnitten der Sicherheitskategorien K 3.1 bis K 3.4 und K 4 auch trockene Löschwasserleitungen zugelassen werden, wenn die Brandschutzdienststelle zustimmt. Neben der erforderlichen Löschwasserversorgung kann das Vorhalten anderer Löschmittel, wie Schaummittel oder Pulver, verlangt werden.</w:t>
      </w:r>
    </w:p>
    <w:p>
      <w:pPr>
        <w:pStyle w:val="GesAbsatz"/>
      </w:pPr>
      <w:r>
        <w:t>Werden Rettungs- und/oder Angriffswege über offene Gänge und/oder über begehbare Dächer auf das Grundstück geführt, sind Wandhydranten oder Entnahmestellen trockener Löschwasserleitungen an diesen Ausgängen vorzusehen.</w:t>
      </w:r>
    </w:p>
    <w:p>
      <w:pPr>
        <w:pStyle w:val="GesAbsatz"/>
      </w:pPr>
      <w:r>
        <w:t>An Einspeisestellen müssen Bewegungsflächen für Fahrzeuge der Feuerwehr vorgesehen werden, die nicht mehr als 15 m von der Einspeisestelle entfernt sein dürfen.</w:t>
      </w:r>
    </w:p>
    <w:p>
      <w:pPr>
        <w:pStyle w:val="GesAbsatz"/>
      </w:pPr>
      <w:r>
        <w:t>5.14.2</w:t>
      </w:r>
    </w:p>
    <w:p>
      <w:pPr>
        <w:pStyle w:val="GesAbsatz"/>
      </w:pPr>
      <w:r>
        <w:t>Im Einvernehmen mit der Brandschutzdienststelle sind für Industriebauten mit einer Summe der Grundflächen der Geschosse aller Brandabschnitte beziehungsweise aller Brandbekämpfungsabschnittsflächen von insgesamt mehr als 2 000 m² Feuerwehrpläne anzufertigen und fortzuschreiben. In den Feuerwehrplänen ist die Feuerwiderstandsfähigkeit der tragenden und aussteifenden Bauteile darzustellen. Die Feuerwehrpläne sind der Feuerwehr zur Verfügung zu stellen.</w:t>
      </w:r>
    </w:p>
    <w:p>
      <w:pPr>
        <w:pStyle w:val="GesAbsatz"/>
      </w:pPr>
      <w:r>
        <w:t>5.14.3</w:t>
      </w:r>
    </w:p>
    <w:p>
      <w:pPr>
        <w:pStyle w:val="GesAbsatz"/>
      </w:pPr>
      <w:r>
        <w:t>Die Betreiber eines Industriebaus mit einer Summe der Grundflächen der Geschosse aller Brandabschnitte beziehungsweise aller Brandbekämpfungsabschnittsflächen von insgesamt mehr als 5 000 m² haben eine geeignete Brandschutzbeauftragte oder einen geeigneten Brandschutzbeauftragten zu bestellen.</w:t>
      </w:r>
    </w:p>
    <w:p>
      <w:pPr>
        <w:pStyle w:val="GesAbsatz"/>
      </w:pPr>
      <w:r>
        <w:t>Die oder der Brandschutzbeauftragte hat die Aufgabe, die Einhaltung des genehmigten Brandschutzkonzeptes und der sich daraus ergebenden betrieblichen Brandschutzanforderungen zu überwachen und den Betreibern festgestellte Mängel zu melden. Die Aufgaben der oder des Brandschutzbeauftragten sind im Einzelnen schriftlich festzulegen.</w:t>
      </w:r>
    </w:p>
    <w:p>
      <w:pPr>
        <w:pStyle w:val="GesAbsatz"/>
      </w:pPr>
      <w:r>
        <w:t>Der Name der oder des Brandschutzbeauftragten und jeder Wechsel sind der Brandschutzdienststelle auf Verlangen mitzuteilen.</w:t>
      </w:r>
    </w:p>
    <w:p>
      <w:pPr>
        <w:pStyle w:val="GesAbsatz"/>
      </w:pPr>
      <w:r>
        <w:t>5.14.4</w:t>
      </w:r>
    </w:p>
    <w:p>
      <w:pPr>
        <w:pStyle w:val="GesAbsatz"/>
      </w:pPr>
      <w:r>
        <w:t>Die Betreiber eines Industriebaus haben im Einvernehmen mit der Brandschutzdienststelle in Abhängigkeit von der Art oder Nutzung des Betriebes, stets jedoch bei Industriebauten mit einer Summe der Grundflächen der Geschosse aller Brandabschnitte beziehungsweise aller Brandbekämpfungsabschnittsflächen von insgesamt mehr als 2 000 m², eine Brandschutzordnung aufzustellen.</w:t>
      </w:r>
    </w:p>
    <w:p>
      <w:pPr>
        <w:pStyle w:val="GesAbsatz"/>
      </w:pPr>
      <w:r>
        <w:t>5.14.5</w:t>
      </w:r>
    </w:p>
    <w:p>
      <w:pPr>
        <w:pStyle w:val="GesAbsatz"/>
      </w:pPr>
      <w:r>
        <w:t>Die Betriebsangehörigen sind bei Beginn des Arbeitsverhältnisses und danach in Abständen von höchstens zwei Jahren über die Lage und die Bedienung der Feuerlöschgeräte, der Brandmelde- und Feuerlöscheinrichtungen sowie über die Brandschutzordnung zu belehren.</w:t>
      </w:r>
    </w:p>
    <w:p>
      <w:pPr>
        <w:pStyle w:val="GesAbsatz"/>
      </w:pPr>
      <w:r>
        <w:t>5.14.6</w:t>
      </w:r>
    </w:p>
    <w:p>
      <w:pPr>
        <w:pStyle w:val="GesAbsatz"/>
      </w:pPr>
      <w:r>
        <w:t>In Industriebauten mit einer Brandbekämpfungsabschnittsfläche von insgesamt mehr als 30 000 m² sind im Einvernehmen mit der Brandschutzdienststelle Vorkehrungen zu treffen, die eine Funkkommunikation der Feuerwehr ermöglichen.</w:t>
      </w:r>
    </w:p>
    <w:p>
      <w:pPr>
        <w:pStyle w:val="GesAbsatz"/>
      </w:pPr>
      <w:r>
        <w:t>5.14.7</w:t>
      </w:r>
    </w:p>
    <w:p>
      <w:pPr>
        <w:pStyle w:val="GesAbsatz"/>
      </w:pPr>
      <w:r>
        <w:t>In notwendigen Treppenräumen, in Räumen zwischen Treppenräumen und Ausgängen ins Freie, in notwendigen Fluren sowie innerhalb der erforderlichen Breite von Hauptgängen dürfen keine Gegenstände abgestellt werden.</w:t>
      </w:r>
    </w:p>
    <w:p>
      <w:pPr>
        <w:pStyle w:val="berschrift2"/>
      </w:pPr>
      <w:bookmarkStart w:id="37" w:name="_Toc418755862"/>
      <w:r>
        <w:t>6</w:t>
      </w:r>
      <w:r>
        <w:br/>
        <w:t>Anforderungen an Baustoffe und Bauteile sowie an die Größe der</w:t>
      </w:r>
      <w:r>
        <w:br/>
        <w:t>Brandabschnitte im Verfahren ohne Brandlastermittlung</w:t>
      </w:r>
      <w:bookmarkEnd w:id="37"/>
    </w:p>
    <w:p>
      <w:pPr>
        <w:pStyle w:val="berschrift3"/>
      </w:pPr>
      <w:bookmarkStart w:id="38" w:name="_Toc418755863"/>
      <w:r>
        <w:t>6.1</w:t>
      </w:r>
      <w:r>
        <w:br/>
        <w:t>Grundsätze des Nachweises</w:t>
      </w:r>
      <w:bookmarkEnd w:id="38"/>
    </w:p>
    <w:p>
      <w:pPr>
        <w:pStyle w:val="GesAbsatz"/>
      </w:pPr>
      <w:r>
        <w:t>6.1.1</w:t>
      </w:r>
    </w:p>
    <w:p>
      <w:pPr>
        <w:pStyle w:val="GesAbsatz"/>
      </w:pPr>
      <w:r>
        <w:lastRenderedPageBreak/>
        <w:t>Allgemeines</w:t>
      </w:r>
    </w:p>
    <w:p>
      <w:pPr>
        <w:pStyle w:val="GesAbsatz"/>
      </w:pPr>
      <w:r>
        <w:t>Die Größe der Brandabschnitte und die Anforderungen an Bauteile und Baustoffe werden auf der Grundlage von Tabellenwerten ermittelt (vereinfachtes Verfahren).</w:t>
      </w:r>
    </w:p>
    <w:p>
      <w:pPr>
        <w:pStyle w:val="GesAbsatz"/>
      </w:pPr>
      <w:r>
        <w:t>6.1.2</w:t>
      </w:r>
    </w:p>
    <w:p>
      <w:pPr>
        <w:pStyle w:val="GesAbsatz"/>
      </w:pPr>
      <w:r>
        <w:t>Geschosse mit Ebenen</w:t>
      </w:r>
    </w:p>
    <w:p>
      <w:pPr>
        <w:pStyle w:val="GesAbsatz"/>
      </w:pPr>
      <w:r>
        <w:t>Für Geschosse mit Ebenen kann der Brandschutz im Verfahren ohne Brandlastermittlung nicht nachgewiesen werden.</w:t>
      </w:r>
    </w:p>
    <w:p>
      <w:pPr>
        <w:pStyle w:val="berschrift3"/>
      </w:pPr>
      <w:bookmarkStart w:id="39" w:name="_Toc418755864"/>
      <w:r>
        <w:t>6.2</w:t>
      </w:r>
      <w:r>
        <w:br/>
        <w:t>Zulässige Größe der Brandabschnittsfläche</w:t>
      </w:r>
      <w:bookmarkEnd w:id="39"/>
    </w:p>
    <w:p>
      <w:pPr>
        <w:pStyle w:val="GesAbsatz"/>
      </w:pPr>
      <w:r>
        <w:t>Die zulässigen Größen der Brandabschnittsflächen bestimmen sich in Abhängigkeit von den Sicherheitskategorien K 1 bis K 4, von der Feuerwiderstandsfähigkeit der tragenden und aussteifenden Bauteile sowie von der Zahl der oberirdischen Geschosse nach Tabelle 2.</w:t>
      </w:r>
    </w:p>
    <w:p>
      <w:pPr>
        <w:pStyle w:val="GesAbsatz"/>
      </w:pPr>
    </w:p>
    <w:p>
      <w:pPr>
        <w:pStyle w:val="GesAbsatz"/>
        <w:jc w:val="center"/>
        <w:rPr>
          <w:b/>
        </w:rPr>
        <w:sectPr>
          <w:headerReference w:type="default" r:id="rId9"/>
          <w:footerReference w:type="even" r:id="rId10"/>
          <w:footerReference w:type="default" r:id="rId11"/>
          <w:pgSz w:w="11907" w:h="16840" w:code="9"/>
          <w:pgMar w:top="1134" w:right="851" w:bottom="1134" w:left="1418" w:header="567" w:footer="851" w:gutter="0"/>
          <w:cols w:space="720"/>
        </w:sectPr>
      </w:pPr>
    </w:p>
    <w:p>
      <w:pPr>
        <w:pStyle w:val="GesAbsatz"/>
        <w:tabs>
          <w:tab w:val="left" w:pos="1134"/>
        </w:tabs>
        <w:jc w:val="left"/>
        <w:rPr>
          <w:b/>
        </w:rPr>
      </w:pPr>
      <w:r>
        <w:rPr>
          <w:b/>
        </w:rPr>
        <w:lastRenderedPageBreak/>
        <w:t>Tabelle 2:</w:t>
      </w:r>
      <w:r>
        <w:rPr>
          <w:b/>
        </w:rPr>
        <w:tab/>
        <w:t>Zulässige Größe der Brandabschnittsflächen in m²</w:t>
      </w:r>
    </w:p>
    <w:tbl>
      <w:tblPr>
        <w:tblStyle w:val="Tabellenraster"/>
        <w:tblW w:w="0" w:type="auto"/>
        <w:tblLayout w:type="fixed"/>
        <w:tblLook w:val="04A0" w:firstRow="1" w:lastRow="0" w:firstColumn="1" w:lastColumn="0" w:noHBand="0" w:noVBand="1"/>
      </w:tblPr>
      <w:tblGrid>
        <w:gridCol w:w="2029"/>
        <w:gridCol w:w="1765"/>
        <w:gridCol w:w="1417"/>
        <w:gridCol w:w="1341"/>
        <w:gridCol w:w="1353"/>
        <w:gridCol w:w="1417"/>
        <w:gridCol w:w="1342"/>
        <w:gridCol w:w="1237"/>
        <w:gridCol w:w="1342"/>
        <w:gridCol w:w="1342"/>
      </w:tblGrid>
      <w:tr>
        <w:tc>
          <w:tcPr>
            <w:tcW w:w="2029" w:type="dxa"/>
            <w:vMerge w:val="restart"/>
            <w:vAlign w:val="center"/>
          </w:tcPr>
          <w:p>
            <w:pPr>
              <w:pStyle w:val="GesAbsatz"/>
              <w:tabs>
                <w:tab w:val="clear" w:pos="425"/>
              </w:tabs>
              <w:jc w:val="center"/>
              <w:rPr>
                <w:sz w:val="18"/>
                <w:szCs w:val="18"/>
              </w:rPr>
            </w:pPr>
            <w:r>
              <w:rPr>
                <w:sz w:val="18"/>
                <w:szCs w:val="18"/>
              </w:rPr>
              <w:t>Sicherheitskategorie</w:t>
            </w:r>
          </w:p>
        </w:tc>
        <w:tc>
          <w:tcPr>
            <w:tcW w:w="12556" w:type="dxa"/>
            <w:gridSpan w:val="9"/>
            <w:vAlign w:val="center"/>
          </w:tcPr>
          <w:p>
            <w:pPr>
              <w:pStyle w:val="GesAbsatz"/>
              <w:tabs>
                <w:tab w:val="clear" w:pos="425"/>
              </w:tabs>
              <w:jc w:val="center"/>
              <w:rPr>
                <w:sz w:val="18"/>
                <w:szCs w:val="18"/>
              </w:rPr>
            </w:pPr>
            <w:r>
              <w:rPr>
                <w:sz w:val="18"/>
                <w:szCs w:val="18"/>
              </w:rPr>
              <w:t>Anzahl der oberirdischen Geschosse</w:t>
            </w:r>
          </w:p>
        </w:tc>
      </w:tr>
      <w:tr>
        <w:tc>
          <w:tcPr>
            <w:tcW w:w="2029" w:type="dxa"/>
            <w:vMerge/>
          </w:tcPr>
          <w:p>
            <w:pPr>
              <w:pStyle w:val="GesAbsatz"/>
              <w:tabs>
                <w:tab w:val="clear" w:pos="425"/>
              </w:tabs>
              <w:rPr>
                <w:sz w:val="18"/>
                <w:szCs w:val="18"/>
              </w:rPr>
            </w:pPr>
          </w:p>
        </w:tc>
        <w:tc>
          <w:tcPr>
            <w:tcW w:w="3182" w:type="dxa"/>
            <w:gridSpan w:val="2"/>
            <w:vAlign w:val="center"/>
          </w:tcPr>
          <w:p>
            <w:pPr>
              <w:pStyle w:val="GesAbsatz"/>
              <w:tabs>
                <w:tab w:val="clear" w:pos="425"/>
              </w:tabs>
              <w:jc w:val="center"/>
              <w:rPr>
                <w:sz w:val="18"/>
                <w:szCs w:val="18"/>
              </w:rPr>
            </w:pPr>
            <w:r>
              <w:rPr>
                <w:sz w:val="18"/>
                <w:szCs w:val="18"/>
              </w:rPr>
              <w:t>erdgeschossig</w:t>
            </w:r>
          </w:p>
        </w:tc>
        <w:tc>
          <w:tcPr>
            <w:tcW w:w="4111" w:type="dxa"/>
            <w:gridSpan w:val="3"/>
            <w:vAlign w:val="center"/>
          </w:tcPr>
          <w:p>
            <w:pPr>
              <w:pStyle w:val="GesAbsatz"/>
              <w:tabs>
                <w:tab w:val="clear" w:pos="425"/>
              </w:tabs>
              <w:jc w:val="center"/>
              <w:rPr>
                <w:sz w:val="18"/>
                <w:szCs w:val="18"/>
              </w:rPr>
            </w:pPr>
            <w:r>
              <w:rPr>
                <w:sz w:val="18"/>
                <w:szCs w:val="18"/>
              </w:rPr>
              <w:t>2geschossig</w:t>
            </w:r>
          </w:p>
        </w:tc>
        <w:tc>
          <w:tcPr>
            <w:tcW w:w="2579" w:type="dxa"/>
            <w:gridSpan w:val="2"/>
            <w:vAlign w:val="center"/>
          </w:tcPr>
          <w:p>
            <w:pPr>
              <w:pStyle w:val="GesAbsatz"/>
              <w:tabs>
                <w:tab w:val="clear" w:pos="425"/>
              </w:tabs>
              <w:jc w:val="center"/>
              <w:rPr>
                <w:sz w:val="18"/>
                <w:szCs w:val="18"/>
              </w:rPr>
            </w:pPr>
            <w:r>
              <w:rPr>
                <w:sz w:val="18"/>
                <w:szCs w:val="18"/>
              </w:rPr>
              <w:t>3geschossig</w:t>
            </w:r>
          </w:p>
        </w:tc>
        <w:tc>
          <w:tcPr>
            <w:tcW w:w="1342" w:type="dxa"/>
            <w:vAlign w:val="center"/>
          </w:tcPr>
          <w:p>
            <w:pPr>
              <w:pStyle w:val="GesAbsatz"/>
              <w:tabs>
                <w:tab w:val="clear" w:pos="425"/>
              </w:tabs>
              <w:jc w:val="center"/>
              <w:rPr>
                <w:sz w:val="18"/>
                <w:szCs w:val="18"/>
              </w:rPr>
            </w:pPr>
            <w:r>
              <w:rPr>
                <w:sz w:val="18"/>
                <w:szCs w:val="18"/>
              </w:rPr>
              <w:t>4geschossig</w:t>
            </w:r>
          </w:p>
        </w:tc>
        <w:tc>
          <w:tcPr>
            <w:tcW w:w="1342" w:type="dxa"/>
            <w:vAlign w:val="center"/>
          </w:tcPr>
          <w:p>
            <w:pPr>
              <w:pStyle w:val="GesAbsatz"/>
              <w:tabs>
                <w:tab w:val="clear" w:pos="425"/>
              </w:tabs>
              <w:jc w:val="center"/>
              <w:rPr>
                <w:sz w:val="18"/>
                <w:szCs w:val="18"/>
              </w:rPr>
            </w:pPr>
            <w:r>
              <w:rPr>
                <w:sz w:val="18"/>
                <w:szCs w:val="18"/>
              </w:rPr>
              <w:t>5geschossig</w:t>
            </w:r>
          </w:p>
        </w:tc>
      </w:tr>
      <w:tr>
        <w:tc>
          <w:tcPr>
            <w:tcW w:w="2029" w:type="dxa"/>
            <w:vMerge/>
          </w:tcPr>
          <w:p>
            <w:pPr>
              <w:pStyle w:val="GesAbsatz"/>
              <w:tabs>
                <w:tab w:val="clear" w:pos="425"/>
              </w:tabs>
              <w:rPr>
                <w:sz w:val="18"/>
                <w:szCs w:val="18"/>
              </w:rPr>
            </w:pPr>
          </w:p>
        </w:tc>
        <w:tc>
          <w:tcPr>
            <w:tcW w:w="12556" w:type="dxa"/>
            <w:gridSpan w:val="9"/>
            <w:vAlign w:val="center"/>
          </w:tcPr>
          <w:p>
            <w:pPr>
              <w:pStyle w:val="GesAbsatz"/>
              <w:tabs>
                <w:tab w:val="clear" w:pos="425"/>
              </w:tabs>
              <w:jc w:val="center"/>
              <w:rPr>
                <w:sz w:val="18"/>
                <w:szCs w:val="18"/>
              </w:rPr>
            </w:pPr>
            <w:r>
              <w:rPr>
                <w:sz w:val="18"/>
                <w:szCs w:val="18"/>
              </w:rPr>
              <w:t>Feuerwiderstandsfähigkeit der tragenden und aussteifenden Bauteile</w:t>
            </w:r>
          </w:p>
        </w:tc>
      </w:tr>
      <w:tr>
        <w:tc>
          <w:tcPr>
            <w:tcW w:w="2029" w:type="dxa"/>
            <w:vMerge/>
          </w:tcPr>
          <w:p>
            <w:pPr>
              <w:pStyle w:val="GesAbsatz"/>
              <w:tabs>
                <w:tab w:val="clear" w:pos="425"/>
              </w:tabs>
              <w:rPr>
                <w:sz w:val="18"/>
                <w:szCs w:val="18"/>
              </w:rPr>
            </w:pPr>
          </w:p>
        </w:tc>
        <w:tc>
          <w:tcPr>
            <w:tcW w:w="1765" w:type="dxa"/>
            <w:vAlign w:val="center"/>
          </w:tcPr>
          <w:p>
            <w:pPr>
              <w:pStyle w:val="GesAbsatz"/>
              <w:tabs>
                <w:tab w:val="clear" w:pos="425"/>
              </w:tabs>
              <w:jc w:val="center"/>
              <w:rPr>
                <w:sz w:val="18"/>
                <w:szCs w:val="18"/>
              </w:rPr>
            </w:pPr>
            <w:r>
              <w:rPr>
                <w:sz w:val="18"/>
                <w:szCs w:val="18"/>
              </w:rPr>
              <w:t>aus nichtbrennbaren Baustoffen</w:t>
            </w:r>
          </w:p>
        </w:tc>
        <w:tc>
          <w:tcPr>
            <w:tcW w:w="1417" w:type="dxa"/>
            <w:vAlign w:val="center"/>
          </w:tcPr>
          <w:p>
            <w:pPr>
              <w:pStyle w:val="GesAbsatz"/>
              <w:tabs>
                <w:tab w:val="clear" w:pos="425"/>
              </w:tabs>
              <w:jc w:val="center"/>
              <w:rPr>
                <w:sz w:val="18"/>
                <w:szCs w:val="18"/>
              </w:rPr>
            </w:pPr>
            <w:r>
              <w:rPr>
                <w:sz w:val="18"/>
                <w:szCs w:val="18"/>
              </w:rPr>
              <w:t>Feuer</w:t>
            </w:r>
            <w:r>
              <w:rPr>
                <w:sz w:val="18"/>
                <w:szCs w:val="18"/>
              </w:rPr>
              <w:br/>
              <w:t>hemmend</w:t>
            </w:r>
          </w:p>
        </w:tc>
        <w:tc>
          <w:tcPr>
            <w:tcW w:w="1341" w:type="dxa"/>
            <w:vAlign w:val="center"/>
          </w:tcPr>
          <w:p>
            <w:pPr>
              <w:pStyle w:val="GesAbsatz"/>
              <w:tabs>
                <w:tab w:val="clear" w:pos="425"/>
              </w:tabs>
              <w:jc w:val="center"/>
              <w:rPr>
                <w:sz w:val="18"/>
                <w:szCs w:val="18"/>
              </w:rPr>
            </w:pPr>
            <w:r>
              <w:rPr>
                <w:sz w:val="18"/>
                <w:szCs w:val="18"/>
              </w:rPr>
              <w:t>Feuer</w:t>
            </w:r>
            <w:r>
              <w:rPr>
                <w:sz w:val="18"/>
                <w:szCs w:val="18"/>
              </w:rPr>
              <w:br/>
              <w:t>hemmend</w:t>
            </w:r>
          </w:p>
        </w:tc>
        <w:tc>
          <w:tcPr>
            <w:tcW w:w="1353" w:type="dxa"/>
            <w:vAlign w:val="center"/>
          </w:tcPr>
          <w:p>
            <w:pPr>
              <w:pStyle w:val="GesAbsatz"/>
              <w:tabs>
                <w:tab w:val="clear" w:pos="425"/>
              </w:tabs>
              <w:jc w:val="center"/>
              <w:rPr>
                <w:sz w:val="18"/>
                <w:szCs w:val="18"/>
              </w:rPr>
            </w:pPr>
            <w:r>
              <w:rPr>
                <w:sz w:val="18"/>
                <w:szCs w:val="18"/>
              </w:rPr>
              <w:t>Hochfeuerhemmend und aus nichtbrennbaren Baustoffen</w:t>
            </w:r>
          </w:p>
        </w:tc>
        <w:tc>
          <w:tcPr>
            <w:tcW w:w="1417" w:type="dxa"/>
            <w:vAlign w:val="center"/>
          </w:tcPr>
          <w:p>
            <w:pPr>
              <w:pStyle w:val="GesAbsatz"/>
              <w:tabs>
                <w:tab w:val="clear" w:pos="425"/>
              </w:tabs>
              <w:jc w:val="center"/>
              <w:rPr>
                <w:sz w:val="18"/>
                <w:szCs w:val="18"/>
              </w:rPr>
            </w:pPr>
            <w:r>
              <w:rPr>
                <w:sz w:val="18"/>
                <w:szCs w:val="18"/>
              </w:rPr>
              <w:t>Feuerbeständig und aus nichtbrennbaren Baustoffen</w:t>
            </w:r>
          </w:p>
        </w:tc>
        <w:tc>
          <w:tcPr>
            <w:tcW w:w="1342" w:type="dxa"/>
            <w:vAlign w:val="center"/>
          </w:tcPr>
          <w:p>
            <w:pPr>
              <w:pStyle w:val="GesAbsatz"/>
              <w:tabs>
                <w:tab w:val="clear" w:pos="425"/>
              </w:tabs>
              <w:jc w:val="center"/>
              <w:rPr>
                <w:sz w:val="18"/>
                <w:szCs w:val="18"/>
              </w:rPr>
            </w:pPr>
            <w:r>
              <w:rPr>
                <w:sz w:val="18"/>
                <w:szCs w:val="18"/>
              </w:rPr>
              <w:t>Hochfeuerhemmend und aus nichtbrennbaren Baustoffen</w:t>
            </w:r>
          </w:p>
        </w:tc>
        <w:tc>
          <w:tcPr>
            <w:tcW w:w="1237" w:type="dxa"/>
            <w:vAlign w:val="center"/>
          </w:tcPr>
          <w:p>
            <w:pPr>
              <w:pStyle w:val="GesAbsatz"/>
              <w:tabs>
                <w:tab w:val="clear" w:pos="425"/>
              </w:tabs>
              <w:jc w:val="center"/>
              <w:rPr>
                <w:sz w:val="18"/>
                <w:szCs w:val="18"/>
              </w:rPr>
            </w:pPr>
            <w:r>
              <w:rPr>
                <w:sz w:val="18"/>
                <w:szCs w:val="18"/>
              </w:rPr>
              <w:t>Feuerbeständig und aus nichtbrennbaren Baustoffen</w:t>
            </w:r>
          </w:p>
        </w:tc>
        <w:tc>
          <w:tcPr>
            <w:tcW w:w="1342" w:type="dxa"/>
            <w:vAlign w:val="center"/>
          </w:tcPr>
          <w:p>
            <w:pPr>
              <w:pStyle w:val="GesAbsatz"/>
              <w:tabs>
                <w:tab w:val="clear" w:pos="425"/>
              </w:tabs>
              <w:jc w:val="center"/>
              <w:rPr>
                <w:sz w:val="18"/>
                <w:szCs w:val="18"/>
              </w:rPr>
            </w:pPr>
            <w:r>
              <w:rPr>
                <w:sz w:val="18"/>
                <w:szCs w:val="18"/>
              </w:rPr>
              <w:t>Feuerbeständig und aus nichtbrennbaren Baustoffen</w:t>
            </w:r>
          </w:p>
        </w:tc>
        <w:tc>
          <w:tcPr>
            <w:tcW w:w="1342" w:type="dxa"/>
            <w:vAlign w:val="center"/>
          </w:tcPr>
          <w:p>
            <w:pPr>
              <w:pStyle w:val="GesAbsatz"/>
              <w:tabs>
                <w:tab w:val="clear" w:pos="425"/>
              </w:tabs>
              <w:jc w:val="center"/>
              <w:rPr>
                <w:sz w:val="18"/>
                <w:szCs w:val="18"/>
              </w:rPr>
            </w:pPr>
            <w:r>
              <w:rPr>
                <w:sz w:val="18"/>
                <w:szCs w:val="18"/>
              </w:rPr>
              <w:t>Feuerbeständig und aus nichtbrennbaren Baustoffen</w:t>
            </w:r>
          </w:p>
        </w:tc>
      </w:tr>
      <w:tr>
        <w:tc>
          <w:tcPr>
            <w:tcW w:w="2029" w:type="dxa"/>
          </w:tcPr>
          <w:p>
            <w:pPr>
              <w:pStyle w:val="GesAbsatz"/>
              <w:tabs>
                <w:tab w:val="clear" w:pos="425"/>
              </w:tabs>
              <w:rPr>
                <w:sz w:val="18"/>
                <w:szCs w:val="18"/>
              </w:rPr>
            </w:pPr>
            <w:r>
              <w:rPr>
                <w:sz w:val="18"/>
                <w:szCs w:val="18"/>
              </w:rPr>
              <w:t>K 1</w:t>
            </w:r>
          </w:p>
        </w:tc>
        <w:tc>
          <w:tcPr>
            <w:tcW w:w="1765" w:type="dxa"/>
          </w:tcPr>
          <w:p>
            <w:pPr>
              <w:pStyle w:val="GesAbsatz"/>
              <w:tabs>
                <w:tab w:val="clear" w:pos="425"/>
              </w:tabs>
              <w:rPr>
                <w:sz w:val="18"/>
                <w:szCs w:val="18"/>
              </w:rPr>
            </w:pPr>
            <w:r>
              <w:rPr>
                <w:sz w:val="18"/>
                <w:szCs w:val="18"/>
              </w:rPr>
              <w:t xml:space="preserve">1 800 </w:t>
            </w:r>
            <w:r>
              <w:rPr>
                <w:sz w:val="18"/>
                <w:szCs w:val="18"/>
                <w:vertAlign w:val="superscript"/>
              </w:rPr>
              <w:t>1)</w:t>
            </w:r>
          </w:p>
        </w:tc>
        <w:tc>
          <w:tcPr>
            <w:tcW w:w="1417" w:type="dxa"/>
          </w:tcPr>
          <w:p>
            <w:pPr>
              <w:pStyle w:val="GesAbsatz"/>
              <w:tabs>
                <w:tab w:val="clear" w:pos="425"/>
              </w:tabs>
              <w:rPr>
                <w:sz w:val="18"/>
                <w:szCs w:val="18"/>
              </w:rPr>
            </w:pPr>
            <w:r>
              <w:rPr>
                <w:sz w:val="18"/>
                <w:szCs w:val="18"/>
              </w:rPr>
              <w:t>3 000</w:t>
            </w:r>
          </w:p>
        </w:tc>
        <w:tc>
          <w:tcPr>
            <w:tcW w:w="1341" w:type="dxa"/>
          </w:tcPr>
          <w:p>
            <w:pPr>
              <w:pStyle w:val="GesAbsatz"/>
              <w:tabs>
                <w:tab w:val="clear" w:pos="425"/>
              </w:tabs>
              <w:rPr>
                <w:sz w:val="18"/>
                <w:szCs w:val="18"/>
              </w:rPr>
            </w:pPr>
            <w:r>
              <w:rPr>
                <w:sz w:val="18"/>
                <w:szCs w:val="18"/>
              </w:rPr>
              <w:t xml:space="preserve"> 800 </w:t>
            </w:r>
            <w:r>
              <w:rPr>
                <w:sz w:val="18"/>
                <w:szCs w:val="18"/>
                <w:vertAlign w:val="superscript"/>
              </w:rPr>
              <w:t>2) 3)</w:t>
            </w:r>
          </w:p>
        </w:tc>
        <w:tc>
          <w:tcPr>
            <w:tcW w:w="1353" w:type="dxa"/>
          </w:tcPr>
          <w:p>
            <w:pPr>
              <w:pStyle w:val="GesAbsatz"/>
              <w:tabs>
                <w:tab w:val="clear" w:pos="425"/>
              </w:tabs>
              <w:rPr>
                <w:sz w:val="18"/>
                <w:szCs w:val="18"/>
              </w:rPr>
            </w:pPr>
            <w:r>
              <w:rPr>
                <w:sz w:val="18"/>
                <w:szCs w:val="18"/>
              </w:rPr>
              <w:t xml:space="preserve">1 600 </w:t>
            </w:r>
            <w:r>
              <w:rPr>
                <w:sz w:val="18"/>
                <w:szCs w:val="18"/>
                <w:vertAlign w:val="superscript"/>
              </w:rPr>
              <w:t>2)</w:t>
            </w:r>
          </w:p>
        </w:tc>
        <w:tc>
          <w:tcPr>
            <w:tcW w:w="1417" w:type="dxa"/>
          </w:tcPr>
          <w:p>
            <w:pPr>
              <w:pStyle w:val="GesAbsatz"/>
              <w:tabs>
                <w:tab w:val="clear" w:pos="425"/>
              </w:tabs>
              <w:rPr>
                <w:sz w:val="18"/>
                <w:szCs w:val="18"/>
              </w:rPr>
            </w:pPr>
            <w:r>
              <w:rPr>
                <w:sz w:val="18"/>
                <w:szCs w:val="18"/>
              </w:rPr>
              <w:t>2 400</w:t>
            </w:r>
          </w:p>
        </w:tc>
        <w:tc>
          <w:tcPr>
            <w:tcW w:w="1342" w:type="dxa"/>
          </w:tcPr>
          <w:p>
            <w:pPr>
              <w:pStyle w:val="GesAbsatz"/>
              <w:tabs>
                <w:tab w:val="clear" w:pos="425"/>
              </w:tabs>
              <w:rPr>
                <w:sz w:val="18"/>
                <w:szCs w:val="18"/>
              </w:rPr>
            </w:pPr>
            <w:r>
              <w:rPr>
                <w:sz w:val="18"/>
                <w:szCs w:val="18"/>
              </w:rPr>
              <w:t xml:space="preserve">1 200 </w:t>
            </w:r>
            <w:r>
              <w:rPr>
                <w:sz w:val="18"/>
                <w:szCs w:val="18"/>
                <w:vertAlign w:val="superscript"/>
              </w:rPr>
              <w:t>2) 3)</w:t>
            </w:r>
          </w:p>
        </w:tc>
        <w:tc>
          <w:tcPr>
            <w:tcW w:w="1237" w:type="dxa"/>
          </w:tcPr>
          <w:p>
            <w:pPr>
              <w:pStyle w:val="GesAbsatz"/>
              <w:tabs>
                <w:tab w:val="clear" w:pos="425"/>
              </w:tabs>
              <w:rPr>
                <w:sz w:val="18"/>
                <w:szCs w:val="18"/>
              </w:rPr>
            </w:pPr>
            <w:r>
              <w:rPr>
                <w:sz w:val="18"/>
                <w:szCs w:val="18"/>
              </w:rPr>
              <w:t>1 800</w:t>
            </w:r>
          </w:p>
        </w:tc>
        <w:tc>
          <w:tcPr>
            <w:tcW w:w="1342" w:type="dxa"/>
          </w:tcPr>
          <w:p>
            <w:pPr>
              <w:pStyle w:val="GesAbsatz"/>
              <w:tabs>
                <w:tab w:val="clear" w:pos="425"/>
              </w:tabs>
              <w:rPr>
                <w:sz w:val="18"/>
                <w:szCs w:val="18"/>
              </w:rPr>
            </w:pPr>
            <w:r>
              <w:rPr>
                <w:sz w:val="18"/>
                <w:szCs w:val="18"/>
              </w:rPr>
              <w:t>1 500</w:t>
            </w:r>
          </w:p>
        </w:tc>
        <w:tc>
          <w:tcPr>
            <w:tcW w:w="1342" w:type="dxa"/>
          </w:tcPr>
          <w:p>
            <w:pPr>
              <w:pStyle w:val="GesAbsatz"/>
              <w:tabs>
                <w:tab w:val="clear" w:pos="425"/>
              </w:tabs>
              <w:rPr>
                <w:sz w:val="18"/>
                <w:szCs w:val="18"/>
              </w:rPr>
            </w:pPr>
            <w:r>
              <w:rPr>
                <w:sz w:val="18"/>
                <w:szCs w:val="18"/>
              </w:rPr>
              <w:t>1 200</w:t>
            </w:r>
          </w:p>
        </w:tc>
      </w:tr>
      <w:tr>
        <w:tc>
          <w:tcPr>
            <w:tcW w:w="2029" w:type="dxa"/>
          </w:tcPr>
          <w:p>
            <w:pPr>
              <w:pStyle w:val="GesAbsatz"/>
              <w:tabs>
                <w:tab w:val="clear" w:pos="425"/>
              </w:tabs>
              <w:rPr>
                <w:sz w:val="18"/>
                <w:szCs w:val="18"/>
              </w:rPr>
            </w:pPr>
            <w:r>
              <w:rPr>
                <w:sz w:val="18"/>
                <w:szCs w:val="18"/>
              </w:rPr>
              <w:t>K 2</w:t>
            </w:r>
          </w:p>
        </w:tc>
        <w:tc>
          <w:tcPr>
            <w:tcW w:w="1765" w:type="dxa"/>
          </w:tcPr>
          <w:p>
            <w:pPr>
              <w:pStyle w:val="GesAbsatz"/>
              <w:tabs>
                <w:tab w:val="clear" w:pos="425"/>
              </w:tabs>
              <w:rPr>
                <w:sz w:val="18"/>
                <w:szCs w:val="18"/>
              </w:rPr>
            </w:pPr>
            <w:r>
              <w:rPr>
                <w:sz w:val="18"/>
                <w:szCs w:val="18"/>
              </w:rPr>
              <w:t xml:space="preserve">2 700 </w:t>
            </w:r>
            <w:r>
              <w:rPr>
                <w:sz w:val="18"/>
                <w:szCs w:val="18"/>
                <w:vertAlign w:val="superscript"/>
              </w:rPr>
              <w:t>1) 4)</w:t>
            </w:r>
          </w:p>
        </w:tc>
        <w:tc>
          <w:tcPr>
            <w:tcW w:w="1417" w:type="dxa"/>
          </w:tcPr>
          <w:p>
            <w:pPr>
              <w:pStyle w:val="GesAbsatz"/>
              <w:tabs>
                <w:tab w:val="clear" w:pos="425"/>
              </w:tabs>
              <w:rPr>
                <w:sz w:val="18"/>
                <w:szCs w:val="18"/>
              </w:rPr>
            </w:pPr>
            <w:r>
              <w:rPr>
                <w:sz w:val="18"/>
                <w:szCs w:val="18"/>
              </w:rPr>
              <w:t xml:space="preserve">4 500 </w:t>
            </w:r>
            <w:r>
              <w:rPr>
                <w:sz w:val="18"/>
                <w:szCs w:val="18"/>
                <w:vertAlign w:val="superscript"/>
              </w:rPr>
              <w:t>4)</w:t>
            </w:r>
          </w:p>
        </w:tc>
        <w:tc>
          <w:tcPr>
            <w:tcW w:w="1341" w:type="dxa"/>
          </w:tcPr>
          <w:p>
            <w:pPr>
              <w:pStyle w:val="GesAbsatz"/>
              <w:tabs>
                <w:tab w:val="clear" w:pos="425"/>
              </w:tabs>
              <w:rPr>
                <w:sz w:val="18"/>
                <w:szCs w:val="18"/>
              </w:rPr>
            </w:pPr>
            <w:r>
              <w:rPr>
                <w:sz w:val="18"/>
                <w:szCs w:val="18"/>
              </w:rPr>
              <w:t xml:space="preserve">1 200 </w:t>
            </w:r>
            <w:r>
              <w:rPr>
                <w:sz w:val="18"/>
                <w:szCs w:val="18"/>
                <w:vertAlign w:val="superscript"/>
              </w:rPr>
              <w:t>2) 3)</w:t>
            </w:r>
            <w:r>
              <w:rPr>
                <w:sz w:val="18"/>
                <w:szCs w:val="18"/>
              </w:rPr>
              <w:t xml:space="preserve">  </w:t>
            </w:r>
          </w:p>
        </w:tc>
        <w:tc>
          <w:tcPr>
            <w:tcW w:w="1353" w:type="dxa"/>
          </w:tcPr>
          <w:p>
            <w:pPr>
              <w:pStyle w:val="GesAbsatz"/>
              <w:tabs>
                <w:tab w:val="clear" w:pos="425"/>
              </w:tabs>
              <w:rPr>
                <w:sz w:val="18"/>
                <w:szCs w:val="18"/>
              </w:rPr>
            </w:pPr>
            <w:r>
              <w:rPr>
                <w:sz w:val="18"/>
                <w:szCs w:val="18"/>
              </w:rPr>
              <w:t xml:space="preserve">2 400 </w:t>
            </w:r>
            <w:r>
              <w:rPr>
                <w:sz w:val="18"/>
                <w:szCs w:val="18"/>
                <w:vertAlign w:val="superscript"/>
              </w:rPr>
              <w:t>2)</w:t>
            </w:r>
          </w:p>
        </w:tc>
        <w:tc>
          <w:tcPr>
            <w:tcW w:w="1417" w:type="dxa"/>
          </w:tcPr>
          <w:p>
            <w:pPr>
              <w:pStyle w:val="GesAbsatz"/>
              <w:tabs>
                <w:tab w:val="clear" w:pos="425"/>
              </w:tabs>
              <w:rPr>
                <w:sz w:val="18"/>
                <w:szCs w:val="18"/>
              </w:rPr>
            </w:pPr>
            <w:r>
              <w:rPr>
                <w:sz w:val="18"/>
                <w:szCs w:val="18"/>
              </w:rPr>
              <w:t>3 600</w:t>
            </w:r>
          </w:p>
        </w:tc>
        <w:tc>
          <w:tcPr>
            <w:tcW w:w="1342" w:type="dxa"/>
          </w:tcPr>
          <w:p>
            <w:pPr>
              <w:pStyle w:val="GesAbsatz"/>
              <w:tabs>
                <w:tab w:val="clear" w:pos="425"/>
              </w:tabs>
              <w:rPr>
                <w:sz w:val="18"/>
                <w:szCs w:val="18"/>
              </w:rPr>
            </w:pPr>
            <w:r>
              <w:rPr>
                <w:sz w:val="18"/>
                <w:szCs w:val="18"/>
              </w:rPr>
              <w:t xml:space="preserve">1 800 </w:t>
            </w:r>
            <w:r>
              <w:rPr>
                <w:sz w:val="18"/>
                <w:szCs w:val="18"/>
                <w:vertAlign w:val="superscript"/>
              </w:rPr>
              <w:t>2)</w:t>
            </w:r>
          </w:p>
        </w:tc>
        <w:tc>
          <w:tcPr>
            <w:tcW w:w="1237" w:type="dxa"/>
          </w:tcPr>
          <w:p>
            <w:pPr>
              <w:pStyle w:val="GesAbsatz"/>
              <w:tabs>
                <w:tab w:val="clear" w:pos="425"/>
              </w:tabs>
              <w:rPr>
                <w:sz w:val="18"/>
                <w:szCs w:val="18"/>
              </w:rPr>
            </w:pPr>
            <w:r>
              <w:rPr>
                <w:sz w:val="18"/>
                <w:szCs w:val="18"/>
              </w:rPr>
              <w:t>2 700</w:t>
            </w:r>
          </w:p>
        </w:tc>
        <w:tc>
          <w:tcPr>
            <w:tcW w:w="1342" w:type="dxa"/>
          </w:tcPr>
          <w:p>
            <w:pPr>
              <w:pStyle w:val="GesAbsatz"/>
              <w:tabs>
                <w:tab w:val="clear" w:pos="425"/>
              </w:tabs>
              <w:rPr>
                <w:sz w:val="18"/>
                <w:szCs w:val="18"/>
              </w:rPr>
            </w:pPr>
            <w:r>
              <w:rPr>
                <w:sz w:val="18"/>
                <w:szCs w:val="18"/>
              </w:rPr>
              <w:t>2 300</w:t>
            </w:r>
          </w:p>
        </w:tc>
        <w:tc>
          <w:tcPr>
            <w:tcW w:w="1342" w:type="dxa"/>
          </w:tcPr>
          <w:p>
            <w:pPr>
              <w:pStyle w:val="GesAbsatz"/>
              <w:tabs>
                <w:tab w:val="clear" w:pos="425"/>
              </w:tabs>
              <w:rPr>
                <w:sz w:val="18"/>
                <w:szCs w:val="18"/>
              </w:rPr>
            </w:pPr>
            <w:r>
              <w:rPr>
                <w:sz w:val="18"/>
                <w:szCs w:val="18"/>
              </w:rPr>
              <w:t>1 800</w:t>
            </w:r>
          </w:p>
        </w:tc>
      </w:tr>
      <w:tr>
        <w:tc>
          <w:tcPr>
            <w:tcW w:w="2029" w:type="dxa"/>
          </w:tcPr>
          <w:p>
            <w:pPr>
              <w:pStyle w:val="GesAbsatz"/>
              <w:tabs>
                <w:tab w:val="clear" w:pos="425"/>
              </w:tabs>
              <w:rPr>
                <w:sz w:val="18"/>
                <w:szCs w:val="18"/>
              </w:rPr>
            </w:pPr>
            <w:r>
              <w:rPr>
                <w:sz w:val="18"/>
                <w:szCs w:val="18"/>
              </w:rPr>
              <w:t>K 3.1</w:t>
            </w:r>
          </w:p>
        </w:tc>
        <w:tc>
          <w:tcPr>
            <w:tcW w:w="1765" w:type="dxa"/>
          </w:tcPr>
          <w:p>
            <w:pPr>
              <w:pStyle w:val="GesAbsatz"/>
              <w:tabs>
                <w:tab w:val="clear" w:pos="425"/>
              </w:tabs>
              <w:rPr>
                <w:sz w:val="18"/>
                <w:szCs w:val="18"/>
              </w:rPr>
            </w:pPr>
            <w:r>
              <w:rPr>
                <w:sz w:val="18"/>
                <w:szCs w:val="18"/>
              </w:rPr>
              <w:t xml:space="preserve">3 200 </w:t>
            </w:r>
            <w:r>
              <w:rPr>
                <w:sz w:val="18"/>
                <w:szCs w:val="18"/>
                <w:vertAlign w:val="superscript"/>
              </w:rPr>
              <w:t>1)</w:t>
            </w:r>
          </w:p>
        </w:tc>
        <w:tc>
          <w:tcPr>
            <w:tcW w:w="1417" w:type="dxa"/>
          </w:tcPr>
          <w:p>
            <w:pPr>
              <w:pStyle w:val="GesAbsatz"/>
              <w:tabs>
                <w:tab w:val="clear" w:pos="425"/>
              </w:tabs>
              <w:rPr>
                <w:sz w:val="18"/>
                <w:szCs w:val="18"/>
              </w:rPr>
            </w:pPr>
            <w:r>
              <w:rPr>
                <w:sz w:val="18"/>
                <w:szCs w:val="18"/>
              </w:rPr>
              <w:t>5 400</w:t>
            </w:r>
          </w:p>
        </w:tc>
        <w:tc>
          <w:tcPr>
            <w:tcW w:w="1341" w:type="dxa"/>
          </w:tcPr>
          <w:p>
            <w:pPr>
              <w:pStyle w:val="GesAbsatz"/>
              <w:tabs>
                <w:tab w:val="clear" w:pos="425"/>
              </w:tabs>
              <w:rPr>
                <w:sz w:val="18"/>
                <w:szCs w:val="18"/>
              </w:rPr>
            </w:pPr>
            <w:r>
              <w:rPr>
                <w:sz w:val="18"/>
                <w:szCs w:val="18"/>
              </w:rPr>
              <w:t xml:space="preserve">1 400 </w:t>
            </w:r>
            <w:r>
              <w:rPr>
                <w:sz w:val="18"/>
                <w:szCs w:val="18"/>
                <w:vertAlign w:val="superscript"/>
              </w:rPr>
              <w:t>2) 3)</w:t>
            </w:r>
          </w:p>
        </w:tc>
        <w:tc>
          <w:tcPr>
            <w:tcW w:w="1353" w:type="dxa"/>
          </w:tcPr>
          <w:p>
            <w:pPr>
              <w:pStyle w:val="GesAbsatz"/>
              <w:tabs>
                <w:tab w:val="clear" w:pos="425"/>
              </w:tabs>
              <w:rPr>
                <w:sz w:val="18"/>
                <w:szCs w:val="18"/>
              </w:rPr>
            </w:pPr>
            <w:r>
              <w:rPr>
                <w:sz w:val="18"/>
                <w:szCs w:val="18"/>
              </w:rPr>
              <w:t xml:space="preserve">2 900 </w:t>
            </w:r>
            <w:r>
              <w:rPr>
                <w:sz w:val="18"/>
                <w:szCs w:val="18"/>
                <w:vertAlign w:val="superscript"/>
              </w:rPr>
              <w:t>2)</w:t>
            </w:r>
          </w:p>
        </w:tc>
        <w:tc>
          <w:tcPr>
            <w:tcW w:w="1417" w:type="dxa"/>
          </w:tcPr>
          <w:p>
            <w:pPr>
              <w:pStyle w:val="GesAbsatz"/>
              <w:tabs>
                <w:tab w:val="clear" w:pos="425"/>
              </w:tabs>
              <w:rPr>
                <w:sz w:val="18"/>
                <w:szCs w:val="18"/>
              </w:rPr>
            </w:pPr>
            <w:r>
              <w:rPr>
                <w:sz w:val="18"/>
                <w:szCs w:val="18"/>
              </w:rPr>
              <w:t>4 300</w:t>
            </w:r>
          </w:p>
        </w:tc>
        <w:tc>
          <w:tcPr>
            <w:tcW w:w="1342" w:type="dxa"/>
          </w:tcPr>
          <w:p>
            <w:pPr>
              <w:pStyle w:val="GesAbsatz"/>
              <w:tabs>
                <w:tab w:val="clear" w:pos="425"/>
              </w:tabs>
              <w:rPr>
                <w:sz w:val="18"/>
                <w:szCs w:val="18"/>
              </w:rPr>
            </w:pPr>
            <w:r>
              <w:rPr>
                <w:sz w:val="18"/>
                <w:szCs w:val="18"/>
              </w:rPr>
              <w:t xml:space="preserve">2 100 </w:t>
            </w:r>
            <w:r>
              <w:rPr>
                <w:sz w:val="18"/>
                <w:szCs w:val="18"/>
                <w:vertAlign w:val="superscript"/>
              </w:rPr>
              <w:t>2)</w:t>
            </w:r>
          </w:p>
        </w:tc>
        <w:tc>
          <w:tcPr>
            <w:tcW w:w="1237" w:type="dxa"/>
          </w:tcPr>
          <w:p>
            <w:pPr>
              <w:pStyle w:val="GesAbsatz"/>
              <w:tabs>
                <w:tab w:val="clear" w:pos="425"/>
              </w:tabs>
              <w:rPr>
                <w:sz w:val="18"/>
                <w:szCs w:val="18"/>
              </w:rPr>
            </w:pPr>
            <w:r>
              <w:rPr>
                <w:sz w:val="18"/>
                <w:szCs w:val="18"/>
              </w:rPr>
              <w:t>3 200</w:t>
            </w:r>
          </w:p>
        </w:tc>
        <w:tc>
          <w:tcPr>
            <w:tcW w:w="1342" w:type="dxa"/>
          </w:tcPr>
          <w:p>
            <w:pPr>
              <w:pStyle w:val="GesAbsatz"/>
              <w:tabs>
                <w:tab w:val="clear" w:pos="425"/>
              </w:tabs>
              <w:rPr>
                <w:sz w:val="18"/>
                <w:szCs w:val="18"/>
              </w:rPr>
            </w:pPr>
            <w:r>
              <w:rPr>
                <w:sz w:val="18"/>
                <w:szCs w:val="18"/>
              </w:rPr>
              <w:t>2 700</w:t>
            </w:r>
          </w:p>
        </w:tc>
        <w:tc>
          <w:tcPr>
            <w:tcW w:w="1342" w:type="dxa"/>
          </w:tcPr>
          <w:p>
            <w:pPr>
              <w:pStyle w:val="GesAbsatz"/>
              <w:tabs>
                <w:tab w:val="clear" w:pos="425"/>
              </w:tabs>
              <w:rPr>
                <w:sz w:val="18"/>
                <w:szCs w:val="18"/>
              </w:rPr>
            </w:pPr>
            <w:r>
              <w:rPr>
                <w:sz w:val="18"/>
                <w:szCs w:val="18"/>
              </w:rPr>
              <w:t>2 200</w:t>
            </w:r>
          </w:p>
        </w:tc>
      </w:tr>
      <w:tr>
        <w:tc>
          <w:tcPr>
            <w:tcW w:w="2029" w:type="dxa"/>
          </w:tcPr>
          <w:p>
            <w:pPr>
              <w:pStyle w:val="GesAbsatz"/>
              <w:tabs>
                <w:tab w:val="clear" w:pos="425"/>
              </w:tabs>
              <w:rPr>
                <w:sz w:val="18"/>
                <w:szCs w:val="18"/>
              </w:rPr>
            </w:pPr>
            <w:r>
              <w:rPr>
                <w:sz w:val="18"/>
                <w:szCs w:val="18"/>
              </w:rPr>
              <w:t>K 3.2</w:t>
            </w:r>
          </w:p>
        </w:tc>
        <w:tc>
          <w:tcPr>
            <w:tcW w:w="1765" w:type="dxa"/>
          </w:tcPr>
          <w:p>
            <w:pPr>
              <w:pStyle w:val="GesAbsatz"/>
              <w:tabs>
                <w:tab w:val="clear" w:pos="425"/>
              </w:tabs>
              <w:rPr>
                <w:sz w:val="18"/>
                <w:szCs w:val="18"/>
              </w:rPr>
            </w:pPr>
            <w:r>
              <w:rPr>
                <w:sz w:val="18"/>
                <w:szCs w:val="18"/>
              </w:rPr>
              <w:t xml:space="preserve">3 600 </w:t>
            </w:r>
            <w:r>
              <w:rPr>
                <w:sz w:val="18"/>
                <w:szCs w:val="18"/>
                <w:vertAlign w:val="superscript"/>
              </w:rPr>
              <w:t>1)</w:t>
            </w:r>
          </w:p>
        </w:tc>
        <w:tc>
          <w:tcPr>
            <w:tcW w:w="1417" w:type="dxa"/>
          </w:tcPr>
          <w:p>
            <w:pPr>
              <w:pStyle w:val="GesAbsatz"/>
              <w:tabs>
                <w:tab w:val="clear" w:pos="425"/>
              </w:tabs>
              <w:rPr>
                <w:sz w:val="18"/>
                <w:szCs w:val="18"/>
              </w:rPr>
            </w:pPr>
            <w:r>
              <w:rPr>
                <w:sz w:val="18"/>
                <w:szCs w:val="18"/>
              </w:rPr>
              <w:t>6 000</w:t>
            </w:r>
          </w:p>
        </w:tc>
        <w:tc>
          <w:tcPr>
            <w:tcW w:w="1341" w:type="dxa"/>
          </w:tcPr>
          <w:p>
            <w:pPr>
              <w:pStyle w:val="GesAbsatz"/>
              <w:tabs>
                <w:tab w:val="clear" w:pos="425"/>
              </w:tabs>
              <w:rPr>
                <w:sz w:val="18"/>
                <w:szCs w:val="18"/>
              </w:rPr>
            </w:pPr>
            <w:r>
              <w:rPr>
                <w:sz w:val="18"/>
                <w:szCs w:val="18"/>
              </w:rPr>
              <w:t xml:space="preserve">1 600 </w:t>
            </w:r>
            <w:r>
              <w:rPr>
                <w:sz w:val="18"/>
                <w:szCs w:val="18"/>
                <w:vertAlign w:val="superscript"/>
              </w:rPr>
              <w:t>2)</w:t>
            </w:r>
          </w:p>
        </w:tc>
        <w:tc>
          <w:tcPr>
            <w:tcW w:w="1353" w:type="dxa"/>
          </w:tcPr>
          <w:p>
            <w:pPr>
              <w:pStyle w:val="GesAbsatz"/>
              <w:tabs>
                <w:tab w:val="clear" w:pos="425"/>
              </w:tabs>
              <w:rPr>
                <w:sz w:val="18"/>
                <w:szCs w:val="18"/>
              </w:rPr>
            </w:pPr>
            <w:r>
              <w:rPr>
                <w:sz w:val="18"/>
                <w:szCs w:val="18"/>
              </w:rPr>
              <w:t xml:space="preserve">3 200 </w:t>
            </w:r>
            <w:r>
              <w:rPr>
                <w:sz w:val="18"/>
                <w:szCs w:val="18"/>
                <w:vertAlign w:val="superscript"/>
              </w:rPr>
              <w:t>2)</w:t>
            </w:r>
          </w:p>
        </w:tc>
        <w:tc>
          <w:tcPr>
            <w:tcW w:w="1417" w:type="dxa"/>
          </w:tcPr>
          <w:p>
            <w:pPr>
              <w:pStyle w:val="GesAbsatz"/>
              <w:tabs>
                <w:tab w:val="clear" w:pos="425"/>
              </w:tabs>
              <w:rPr>
                <w:sz w:val="18"/>
                <w:szCs w:val="18"/>
              </w:rPr>
            </w:pPr>
            <w:r>
              <w:rPr>
                <w:sz w:val="18"/>
                <w:szCs w:val="18"/>
              </w:rPr>
              <w:t>4 800</w:t>
            </w:r>
          </w:p>
        </w:tc>
        <w:tc>
          <w:tcPr>
            <w:tcW w:w="1342" w:type="dxa"/>
          </w:tcPr>
          <w:p>
            <w:pPr>
              <w:pStyle w:val="GesAbsatz"/>
              <w:tabs>
                <w:tab w:val="clear" w:pos="425"/>
              </w:tabs>
              <w:rPr>
                <w:sz w:val="18"/>
                <w:szCs w:val="18"/>
              </w:rPr>
            </w:pPr>
            <w:r>
              <w:rPr>
                <w:sz w:val="18"/>
                <w:szCs w:val="18"/>
              </w:rPr>
              <w:t xml:space="preserve">2 400 </w:t>
            </w:r>
            <w:r>
              <w:rPr>
                <w:sz w:val="18"/>
                <w:szCs w:val="18"/>
                <w:vertAlign w:val="superscript"/>
              </w:rPr>
              <w:t>2)</w:t>
            </w:r>
          </w:p>
        </w:tc>
        <w:tc>
          <w:tcPr>
            <w:tcW w:w="1237" w:type="dxa"/>
          </w:tcPr>
          <w:p>
            <w:pPr>
              <w:pStyle w:val="GesAbsatz"/>
              <w:tabs>
                <w:tab w:val="clear" w:pos="425"/>
              </w:tabs>
              <w:rPr>
                <w:sz w:val="18"/>
                <w:szCs w:val="18"/>
              </w:rPr>
            </w:pPr>
            <w:r>
              <w:rPr>
                <w:sz w:val="18"/>
                <w:szCs w:val="18"/>
              </w:rPr>
              <w:t>3 600</w:t>
            </w:r>
          </w:p>
        </w:tc>
        <w:tc>
          <w:tcPr>
            <w:tcW w:w="1342" w:type="dxa"/>
          </w:tcPr>
          <w:p>
            <w:pPr>
              <w:pStyle w:val="GesAbsatz"/>
              <w:tabs>
                <w:tab w:val="clear" w:pos="425"/>
              </w:tabs>
              <w:rPr>
                <w:sz w:val="18"/>
                <w:szCs w:val="18"/>
              </w:rPr>
            </w:pPr>
            <w:r>
              <w:rPr>
                <w:sz w:val="18"/>
                <w:szCs w:val="18"/>
              </w:rPr>
              <w:t>3 000</w:t>
            </w:r>
          </w:p>
        </w:tc>
        <w:tc>
          <w:tcPr>
            <w:tcW w:w="1342" w:type="dxa"/>
          </w:tcPr>
          <w:p>
            <w:pPr>
              <w:pStyle w:val="GesAbsatz"/>
              <w:tabs>
                <w:tab w:val="clear" w:pos="425"/>
              </w:tabs>
              <w:rPr>
                <w:sz w:val="18"/>
                <w:szCs w:val="18"/>
              </w:rPr>
            </w:pPr>
            <w:r>
              <w:rPr>
                <w:sz w:val="18"/>
                <w:szCs w:val="18"/>
              </w:rPr>
              <w:t>2 400</w:t>
            </w:r>
          </w:p>
        </w:tc>
      </w:tr>
      <w:tr>
        <w:tc>
          <w:tcPr>
            <w:tcW w:w="2029" w:type="dxa"/>
          </w:tcPr>
          <w:p>
            <w:pPr>
              <w:pStyle w:val="GesAbsatz"/>
              <w:tabs>
                <w:tab w:val="clear" w:pos="425"/>
              </w:tabs>
              <w:rPr>
                <w:sz w:val="18"/>
                <w:szCs w:val="18"/>
              </w:rPr>
            </w:pPr>
            <w:r>
              <w:rPr>
                <w:sz w:val="18"/>
                <w:szCs w:val="18"/>
              </w:rPr>
              <w:t>K 3.3</w:t>
            </w:r>
          </w:p>
        </w:tc>
        <w:tc>
          <w:tcPr>
            <w:tcW w:w="1765" w:type="dxa"/>
          </w:tcPr>
          <w:p>
            <w:pPr>
              <w:pStyle w:val="GesAbsatz"/>
              <w:tabs>
                <w:tab w:val="clear" w:pos="425"/>
              </w:tabs>
              <w:rPr>
                <w:sz w:val="18"/>
                <w:szCs w:val="18"/>
              </w:rPr>
            </w:pPr>
            <w:r>
              <w:rPr>
                <w:sz w:val="18"/>
                <w:szCs w:val="18"/>
              </w:rPr>
              <w:t xml:space="preserve">4 200 </w:t>
            </w:r>
            <w:r>
              <w:rPr>
                <w:sz w:val="18"/>
                <w:szCs w:val="18"/>
                <w:vertAlign w:val="superscript"/>
              </w:rPr>
              <w:t>1)</w:t>
            </w:r>
          </w:p>
        </w:tc>
        <w:tc>
          <w:tcPr>
            <w:tcW w:w="1417" w:type="dxa"/>
          </w:tcPr>
          <w:p>
            <w:pPr>
              <w:pStyle w:val="GesAbsatz"/>
              <w:tabs>
                <w:tab w:val="clear" w:pos="425"/>
              </w:tabs>
              <w:rPr>
                <w:sz w:val="18"/>
                <w:szCs w:val="18"/>
              </w:rPr>
            </w:pPr>
            <w:r>
              <w:rPr>
                <w:sz w:val="18"/>
                <w:szCs w:val="18"/>
              </w:rPr>
              <w:t>7 000</w:t>
            </w:r>
          </w:p>
        </w:tc>
        <w:tc>
          <w:tcPr>
            <w:tcW w:w="1341" w:type="dxa"/>
          </w:tcPr>
          <w:p>
            <w:pPr>
              <w:pStyle w:val="GesAbsatz"/>
              <w:tabs>
                <w:tab w:val="clear" w:pos="425"/>
              </w:tabs>
              <w:rPr>
                <w:sz w:val="18"/>
                <w:szCs w:val="18"/>
              </w:rPr>
            </w:pPr>
            <w:r>
              <w:rPr>
                <w:sz w:val="18"/>
                <w:szCs w:val="18"/>
              </w:rPr>
              <w:t xml:space="preserve">1 800 </w:t>
            </w:r>
            <w:r>
              <w:rPr>
                <w:sz w:val="18"/>
                <w:szCs w:val="18"/>
                <w:vertAlign w:val="superscript"/>
              </w:rPr>
              <w:t>2)</w:t>
            </w:r>
          </w:p>
        </w:tc>
        <w:tc>
          <w:tcPr>
            <w:tcW w:w="1353" w:type="dxa"/>
          </w:tcPr>
          <w:p>
            <w:pPr>
              <w:pStyle w:val="GesAbsatz"/>
              <w:tabs>
                <w:tab w:val="clear" w:pos="425"/>
              </w:tabs>
              <w:rPr>
                <w:sz w:val="18"/>
                <w:szCs w:val="18"/>
              </w:rPr>
            </w:pPr>
            <w:r>
              <w:rPr>
                <w:sz w:val="18"/>
                <w:szCs w:val="18"/>
              </w:rPr>
              <w:t xml:space="preserve">3 600 </w:t>
            </w:r>
            <w:r>
              <w:rPr>
                <w:sz w:val="18"/>
                <w:szCs w:val="18"/>
                <w:vertAlign w:val="superscript"/>
              </w:rPr>
              <w:t>2)</w:t>
            </w:r>
          </w:p>
        </w:tc>
        <w:tc>
          <w:tcPr>
            <w:tcW w:w="1417" w:type="dxa"/>
          </w:tcPr>
          <w:p>
            <w:pPr>
              <w:pStyle w:val="GesAbsatz"/>
              <w:tabs>
                <w:tab w:val="clear" w:pos="425"/>
              </w:tabs>
              <w:rPr>
                <w:sz w:val="18"/>
                <w:szCs w:val="18"/>
              </w:rPr>
            </w:pPr>
            <w:r>
              <w:rPr>
                <w:sz w:val="18"/>
                <w:szCs w:val="18"/>
              </w:rPr>
              <w:t>5 500</w:t>
            </w:r>
          </w:p>
        </w:tc>
        <w:tc>
          <w:tcPr>
            <w:tcW w:w="1342" w:type="dxa"/>
          </w:tcPr>
          <w:p>
            <w:pPr>
              <w:pStyle w:val="GesAbsatz"/>
              <w:tabs>
                <w:tab w:val="clear" w:pos="425"/>
              </w:tabs>
              <w:rPr>
                <w:sz w:val="18"/>
                <w:szCs w:val="18"/>
              </w:rPr>
            </w:pPr>
            <w:r>
              <w:rPr>
                <w:sz w:val="18"/>
                <w:szCs w:val="18"/>
              </w:rPr>
              <w:t xml:space="preserve">2 800 </w:t>
            </w:r>
            <w:r>
              <w:rPr>
                <w:sz w:val="18"/>
                <w:szCs w:val="18"/>
                <w:vertAlign w:val="superscript"/>
              </w:rPr>
              <w:t>2)</w:t>
            </w:r>
          </w:p>
        </w:tc>
        <w:tc>
          <w:tcPr>
            <w:tcW w:w="1237" w:type="dxa"/>
          </w:tcPr>
          <w:p>
            <w:pPr>
              <w:pStyle w:val="GesAbsatz"/>
              <w:tabs>
                <w:tab w:val="clear" w:pos="425"/>
              </w:tabs>
              <w:rPr>
                <w:sz w:val="18"/>
                <w:szCs w:val="18"/>
              </w:rPr>
            </w:pPr>
            <w:r>
              <w:rPr>
                <w:sz w:val="18"/>
                <w:szCs w:val="18"/>
              </w:rPr>
              <w:t>4 100</w:t>
            </w:r>
          </w:p>
        </w:tc>
        <w:tc>
          <w:tcPr>
            <w:tcW w:w="1342" w:type="dxa"/>
          </w:tcPr>
          <w:p>
            <w:pPr>
              <w:pStyle w:val="GesAbsatz"/>
              <w:tabs>
                <w:tab w:val="clear" w:pos="425"/>
              </w:tabs>
              <w:rPr>
                <w:sz w:val="18"/>
                <w:szCs w:val="18"/>
              </w:rPr>
            </w:pPr>
            <w:r>
              <w:rPr>
                <w:sz w:val="18"/>
                <w:szCs w:val="18"/>
              </w:rPr>
              <w:t>3 500</w:t>
            </w:r>
          </w:p>
        </w:tc>
        <w:tc>
          <w:tcPr>
            <w:tcW w:w="1342" w:type="dxa"/>
          </w:tcPr>
          <w:p>
            <w:pPr>
              <w:pStyle w:val="GesAbsatz"/>
              <w:tabs>
                <w:tab w:val="clear" w:pos="425"/>
              </w:tabs>
              <w:rPr>
                <w:sz w:val="18"/>
                <w:szCs w:val="18"/>
              </w:rPr>
            </w:pPr>
            <w:r>
              <w:rPr>
                <w:sz w:val="18"/>
                <w:szCs w:val="18"/>
              </w:rPr>
              <w:t>2 800</w:t>
            </w:r>
          </w:p>
        </w:tc>
      </w:tr>
      <w:tr>
        <w:tc>
          <w:tcPr>
            <w:tcW w:w="2029" w:type="dxa"/>
          </w:tcPr>
          <w:p>
            <w:pPr>
              <w:pStyle w:val="GesAbsatz"/>
              <w:tabs>
                <w:tab w:val="clear" w:pos="425"/>
              </w:tabs>
              <w:rPr>
                <w:sz w:val="18"/>
                <w:szCs w:val="18"/>
              </w:rPr>
            </w:pPr>
            <w:r>
              <w:rPr>
                <w:sz w:val="18"/>
                <w:szCs w:val="18"/>
              </w:rPr>
              <w:t>K 3.4</w:t>
            </w:r>
          </w:p>
        </w:tc>
        <w:tc>
          <w:tcPr>
            <w:tcW w:w="1765" w:type="dxa"/>
          </w:tcPr>
          <w:p>
            <w:pPr>
              <w:pStyle w:val="GesAbsatz"/>
              <w:tabs>
                <w:tab w:val="clear" w:pos="425"/>
              </w:tabs>
              <w:rPr>
                <w:sz w:val="18"/>
                <w:szCs w:val="18"/>
              </w:rPr>
            </w:pPr>
            <w:r>
              <w:rPr>
                <w:sz w:val="18"/>
                <w:szCs w:val="18"/>
              </w:rPr>
              <w:t xml:space="preserve">4 500 </w:t>
            </w:r>
            <w:r>
              <w:rPr>
                <w:sz w:val="18"/>
                <w:szCs w:val="18"/>
                <w:vertAlign w:val="superscript"/>
              </w:rPr>
              <w:t>1)</w:t>
            </w:r>
          </w:p>
        </w:tc>
        <w:tc>
          <w:tcPr>
            <w:tcW w:w="1417" w:type="dxa"/>
          </w:tcPr>
          <w:p>
            <w:pPr>
              <w:pStyle w:val="GesAbsatz"/>
              <w:tabs>
                <w:tab w:val="clear" w:pos="425"/>
              </w:tabs>
              <w:rPr>
                <w:sz w:val="18"/>
                <w:szCs w:val="18"/>
              </w:rPr>
            </w:pPr>
            <w:r>
              <w:rPr>
                <w:sz w:val="18"/>
                <w:szCs w:val="18"/>
              </w:rPr>
              <w:t>7 500</w:t>
            </w:r>
          </w:p>
        </w:tc>
        <w:tc>
          <w:tcPr>
            <w:tcW w:w="1341" w:type="dxa"/>
          </w:tcPr>
          <w:p>
            <w:pPr>
              <w:pStyle w:val="GesAbsatz"/>
              <w:tabs>
                <w:tab w:val="clear" w:pos="425"/>
              </w:tabs>
              <w:rPr>
                <w:sz w:val="18"/>
                <w:szCs w:val="18"/>
              </w:rPr>
            </w:pPr>
            <w:r>
              <w:rPr>
                <w:sz w:val="18"/>
                <w:szCs w:val="18"/>
              </w:rPr>
              <w:t xml:space="preserve">2 000 </w:t>
            </w:r>
            <w:r>
              <w:rPr>
                <w:sz w:val="18"/>
                <w:szCs w:val="18"/>
                <w:vertAlign w:val="superscript"/>
              </w:rPr>
              <w:t>2)</w:t>
            </w:r>
          </w:p>
        </w:tc>
        <w:tc>
          <w:tcPr>
            <w:tcW w:w="1353" w:type="dxa"/>
          </w:tcPr>
          <w:p>
            <w:pPr>
              <w:pStyle w:val="GesAbsatz"/>
              <w:tabs>
                <w:tab w:val="clear" w:pos="425"/>
              </w:tabs>
              <w:rPr>
                <w:sz w:val="18"/>
                <w:szCs w:val="18"/>
              </w:rPr>
            </w:pPr>
            <w:r>
              <w:rPr>
                <w:sz w:val="18"/>
                <w:szCs w:val="18"/>
              </w:rPr>
              <w:t xml:space="preserve">4 000 </w:t>
            </w:r>
            <w:r>
              <w:rPr>
                <w:sz w:val="18"/>
                <w:szCs w:val="18"/>
                <w:vertAlign w:val="superscript"/>
              </w:rPr>
              <w:t>2)</w:t>
            </w:r>
          </w:p>
        </w:tc>
        <w:tc>
          <w:tcPr>
            <w:tcW w:w="1417" w:type="dxa"/>
          </w:tcPr>
          <w:p>
            <w:pPr>
              <w:pStyle w:val="GesAbsatz"/>
              <w:tabs>
                <w:tab w:val="clear" w:pos="425"/>
              </w:tabs>
              <w:rPr>
                <w:sz w:val="18"/>
                <w:szCs w:val="18"/>
              </w:rPr>
            </w:pPr>
            <w:r>
              <w:rPr>
                <w:sz w:val="18"/>
                <w:szCs w:val="18"/>
              </w:rPr>
              <w:t>6 000</w:t>
            </w:r>
          </w:p>
        </w:tc>
        <w:tc>
          <w:tcPr>
            <w:tcW w:w="1342" w:type="dxa"/>
          </w:tcPr>
          <w:p>
            <w:pPr>
              <w:pStyle w:val="GesAbsatz"/>
              <w:tabs>
                <w:tab w:val="clear" w:pos="425"/>
              </w:tabs>
              <w:rPr>
                <w:sz w:val="18"/>
                <w:szCs w:val="18"/>
              </w:rPr>
            </w:pPr>
            <w:r>
              <w:rPr>
                <w:sz w:val="18"/>
                <w:szCs w:val="18"/>
              </w:rPr>
              <w:t xml:space="preserve">3 000 </w:t>
            </w:r>
            <w:r>
              <w:rPr>
                <w:sz w:val="18"/>
                <w:szCs w:val="18"/>
                <w:vertAlign w:val="superscript"/>
              </w:rPr>
              <w:t>2)</w:t>
            </w:r>
          </w:p>
        </w:tc>
        <w:tc>
          <w:tcPr>
            <w:tcW w:w="1237" w:type="dxa"/>
          </w:tcPr>
          <w:p>
            <w:pPr>
              <w:pStyle w:val="GesAbsatz"/>
              <w:tabs>
                <w:tab w:val="clear" w:pos="425"/>
              </w:tabs>
              <w:rPr>
                <w:sz w:val="18"/>
                <w:szCs w:val="18"/>
              </w:rPr>
            </w:pPr>
            <w:r>
              <w:rPr>
                <w:sz w:val="18"/>
                <w:szCs w:val="18"/>
              </w:rPr>
              <w:t>4 500</w:t>
            </w:r>
          </w:p>
        </w:tc>
        <w:tc>
          <w:tcPr>
            <w:tcW w:w="1342" w:type="dxa"/>
          </w:tcPr>
          <w:p>
            <w:pPr>
              <w:pStyle w:val="GesAbsatz"/>
              <w:tabs>
                <w:tab w:val="clear" w:pos="425"/>
              </w:tabs>
              <w:rPr>
                <w:sz w:val="18"/>
                <w:szCs w:val="18"/>
              </w:rPr>
            </w:pPr>
            <w:r>
              <w:rPr>
                <w:sz w:val="18"/>
                <w:szCs w:val="18"/>
              </w:rPr>
              <w:t>3 800</w:t>
            </w:r>
          </w:p>
        </w:tc>
        <w:tc>
          <w:tcPr>
            <w:tcW w:w="1342" w:type="dxa"/>
          </w:tcPr>
          <w:p>
            <w:pPr>
              <w:pStyle w:val="GesAbsatz"/>
              <w:tabs>
                <w:tab w:val="clear" w:pos="425"/>
              </w:tabs>
              <w:rPr>
                <w:sz w:val="18"/>
                <w:szCs w:val="18"/>
              </w:rPr>
            </w:pPr>
            <w:r>
              <w:rPr>
                <w:sz w:val="18"/>
                <w:szCs w:val="18"/>
              </w:rPr>
              <w:t>3 000</w:t>
            </w:r>
          </w:p>
        </w:tc>
      </w:tr>
      <w:tr>
        <w:tc>
          <w:tcPr>
            <w:tcW w:w="2029" w:type="dxa"/>
          </w:tcPr>
          <w:p>
            <w:pPr>
              <w:pStyle w:val="GesAbsatz"/>
              <w:tabs>
                <w:tab w:val="clear" w:pos="425"/>
              </w:tabs>
              <w:rPr>
                <w:sz w:val="18"/>
                <w:szCs w:val="18"/>
              </w:rPr>
            </w:pPr>
            <w:r>
              <w:rPr>
                <w:sz w:val="18"/>
                <w:szCs w:val="18"/>
              </w:rPr>
              <w:t>K 4</w:t>
            </w:r>
          </w:p>
        </w:tc>
        <w:tc>
          <w:tcPr>
            <w:tcW w:w="1765" w:type="dxa"/>
          </w:tcPr>
          <w:p>
            <w:pPr>
              <w:pStyle w:val="GesAbsatz"/>
              <w:tabs>
                <w:tab w:val="clear" w:pos="425"/>
              </w:tabs>
              <w:rPr>
                <w:sz w:val="18"/>
                <w:szCs w:val="18"/>
              </w:rPr>
            </w:pPr>
            <w:r>
              <w:rPr>
                <w:sz w:val="18"/>
                <w:szCs w:val="18"/>
              </w:rPr>
              <w:t>10 000</w:t>
            </w:r>
          </w:p>
        </w:tc>
        <w:tc>
          <w:tcPr>
            <w:tcW w:w="1417" w:type="dxa"/>
          </w:tcPr>
          <w:p>
            <w:pPr>
              <w:pStyle w:val="GesAbsatz"/>
              <w:tabs>
                <w:tab w:val="clear" w:pos="425"/>
              </w:tabs>
              <w:rPr>
                <w:sz w:val="18"/>
                <w:szCs w:val="18"/>
              </w:rPr>
            </w:pPr>
            <w:r>
              <w:rPr>
                <w:sz w:val="18"/>
                <w:szCs w:val="18"/>
              </w:rPr>
              <w:t>10 000</w:t>
            </w:r>
          </w:p>
        </w:tc>
        <w:tc>
          <w:tcPr>
            <w:tcW w:w="1341" w:type="dxa"/>
          </w:tcPr>
          <w:p>
            <w:pPr>
              <w:pStyle w:val="GesAbsatz"/>
              <w:tabs>
                <w:tab w:val="clear" w:pos="425"/>
              </w:tabs>
              <w:rPr>
                <w:sz w:val="18"/>
                <w:szCs w:val="18"/>
              </w:rPr>
            </w:pPr>
            <w:r>
              <w:rPr>
                <w:sz w:val="18"/>
                <w:szCs w:val="18"/>
              </w:rPr>
              <w:t>8 500</w:t>
            </w:r>
          </w:p>
        </w:tc>
        <w:tc>
          <w:tcPr>
            <w:tcW w:w="1353" w:type="dxa"/>
          </w:tcPr>
          <w:p>
            <w:pPr>
              <w:pStyle w:val="GesAbsatz"/>
              <w:tabs>
                <w:tab w:val="clear" w:pos="425"/>
              </w:tabs>
              <w:rPr>
                <w:sz w:val="18"/>
                <w:szCs w:val="18"/>
              </w:rPr>
            </w:pPr>
            <w:r>
              <w:rPr>
                <w:sz w:val="18"/>
                <w:szCs w:val="18"/>
              </w:rPr>
              <w:t>8 500</w:t>
            </w:r>
          </w:p>
        </w:tc>
        <w:tc>
          <w:tcPr>
            <w:tcW w:w="1417" w:type="dxa"/>
          </w:tcPr>
          <w:p>
            <w:pPr>
              <w:pStyle w:val="GesAbsatz"/>
              <w:tabs>
                <w:tab w:val="clear" w:pos="425"/>
              </w:tabs>
              <w:rPr>
                <w:sz w:val="18"/>
                <w:szCs w:val="18"/>
              </w:rPr>
            </w:pPr>
            <w:r>
              <w:rPr>
                <w:sz w:val="18"/>
                <w:szCs w:val="18"/>
              </w:rPr>
              <w:t>8 500</w:t>
            </w:r>
          </w:p>
        </w:tc>
        <w:tc>
          <w:tcPr>
            <w:tcW w:w="1342" w:type="dxa"/>
          </w:tcPr>
          <w:p>
            <w:pPr>
              <w:pStyle w:val="GesAbsatz"/>
              <w:tabs>
                <w:tab w:val="clear" w:pos="425"/>
              </w:tabs>
              <w:rPr>
                <w:sz w:val="18"/>
                <w:szCs w:val="18"/>
              </w:rPr>
            </w:pPr>
            <w:r>
              <w:rPr>
                <w:sz w:val="18"/>
                <w:szCs w:val="18"/>
              </w:rPr>
              <w:t>6 500</w:t>
            </w:r>
          </w:p>
        </w:tc>
        <w:tc>
          <w:tcPr>
            <w:tcW w:w="1237" w:type="dxa"/>
          </w:tcPr>
          <w:p>
            <w:pPr>
              <w:pStyle w:val="GesAbsatz"/>
              <w:tabs>
                <w:tab w:val="clear" w:pos="425"/>
              </w:tabs>
              <w:rPr>
                <w:sz w:val="18"/>
                <w:szCs w:val="18"/>
              </w:rPr>
            </w:pPr>
            <w:r>
              <w:rPr>
                <w:sz w:val="18"/>
                <w:szCs w:val="18"/>
              </w:rPr>
              <w:t>6 500</w:t>
            </w:r>
          </w:p>
        </w:tc>
        <w:tc>
          <w:tcPr>
            <w:tcW w:w="1342" w:type="dxa"/>
          </w:tcPr>
          <w:p>
            <w:pPr>
              <w:pStyle w:val="GesAbsatz"/>
              <w:tabs>
                <w:tab w:val="clear" w:pos="425"/>
              </w:tabs>
              <w:rPr>
                <w:sz w:val="18"/>
                <w:szCs w:val="18"/>
              </w:rPr>
            </w:pPr>
            <w:r>
              <w:rPr>
                <w:sz w:val="18"/>
                <w:szCs w:val="18"/>
              </w:rPr>
              <w:t>5 000</w:t>
            </w:r>
          </w:p>
        </w:tc>
        <w:tc>
          <w:tcPr>
            <w:tcW w:w="1342" w:type="dxa"/>
          </w:tcPr>
          <w:p>
            <w:pPr>
              <w:pStyle w:val="GesAbsatz"/>
              <w:tabs>
                <w:tab w:val="clear" w:pos="425"/>
              </w:tabs>
              <w:rPr>
                <w:sz w:val="18"/>
                <w:szCs w:val="18"/>
              </w:rPr>
            </w:pPr>
            <w:r>
              <w:rPr>
                <w:sz w:val="18"/>
                <w:szCs w:val="18"/>
              </w:rPr>
              <w:t>4 000</w:t>
            </w:r>
          </w:p>
        </w:tc>
      </w:tr>
      <w:tr>
        <w:tc>
          <w:tcPr>
            <w:tcW w:w="14585" w:type="dxa"/>
            <w:gridSpan w:val="10"/>
          </w:tcPr>
          <w:p>
            <w:pPr>
              <w:pStyle w:val="GesAbsatz"/>
              <w:rPr>
                <w:sz w:val="18"/>
                <w:szCs w:val="18"/>
              </w:rPr>
            </w:pPr>
            <w:r>
              <w:rPr>
                <w:sz w:val="18"/>
                <w:szCs w:val="18"/>
                <w:vertAlign w:val="superscript"/>
              </w:rPr>
              <w:t>1)</w:t>
            </w:r>
            <w:r>
              <w:rPr>
                <w:sz w:val="18"/>
                <w:szCs w:val="18"/>
              </w:rPr>
              <w:tab/>
              <w:t xml:space="preserve">Breite des Industriebaus ≤ 40 m und Wärmeabzugsfläche ≥ 5 % (siehe </w:t>
            </w:r>
            <w:r>
              <w:rPr>
                <w:b/>
                <w:sz w:val="18"/>
                <w:szCs w:val="18"/>
              </w:rPr>
              <w:t>Anhang 2</w:t>
            </w:r>
            <w:r>
              <w:rPr>
                <w:sz w:val="18"/>
                <w:szCs w:val="18"/>
              </w:rPr>
              <w:t>).</w:t>
            </w:r>
          </w:p>
          <w:p>
            <w:pPr>
              <w:pStyle w:val="GesAbsatz"/>
              <w:rPr>
                <w:sz w:val="18"/>
                <w:szCs w:val="18"/>
              </w:rPr>
            </w:pPr>
            <w:r>
              <w:rPr>
                <w:sz w:val="18"/>
                <w:szCs w:val="18"/>
                <w:vertAlign w:val="superscript"/>
              </w:rPr>
              <w:t>2)</w:t>
            </w:r>
            <w:r>
              <w:rPr>
                <w:sz w:val="18"/>
                <w:szCs w:val="18"/>
              </w:rPr>
              <w:tab/>
              <w:t xml:space="preserve">Wärmeabzugsfläche ≥ 5 % (siehe </w:t>
            </w:r>
            <w:r>
              <w:rPr>
                <w:b/>
                <w:sz w:val="18"/>
                <w:szCs w:val="18"/>
              </w:rPr>
              <w:t>Anhang 2</w:t>
            </w:r>
            <w:r>
              <w:rPr>
                <w:sz w:val="18"/>
                <w:szCs w:val="18"/>
              </w:rPr>
              <w:t>).</w:t>
            </w:r>
          </w:p>
          <w:p>
            <w:pPr>
              <w:pStyle w:val="GesAbsatz"/>
              <w:rPr>
                <w:sz w:val="18"/>
                <w:szCs w:val="18"/>
              </w:rPr>
            </w:pPr>
            <w:r>
              <w:rPr>
                <w:sz w:val="18"/>
                <w:szCs w:val="18"/>
                <w:vertAlign w:val="superscript"/>
              </w:rPr>
              <w:t>3)</w:t>
            </w:r>
            <w:r>
              <w:rPr>
                <w:sz w:val="18"/>
                <w:szCs w:val="18"/>
              </w:rPr>
              <w:tab/>
              <w:t>Für Gebäude geringer Höhe ergibt sich nach § 29 Tabelle Zeile 1a i. V. m. § 32 Absatz 1 Landesbauordnung eine zulässige Größe von 1 600 m².</w:t>
            </w:r>
          </w:p>
          <w:p>
            <w:pPr>
              <w:pStyle w:val="GesAbsatz"/>
              <w:ind w:left="426" w:hanging="426"/>
              <w:rPr>
                <w:sz w:val="18"/>
                <w:szCs w:val="18"/>
              </w:rPr>
            </w:pPr>
            <w:r>
              <w:rPr>
                <w:sz w:val="18"/>
                <w:szCs w:val="18"/>
                <w:vertAlign w:val="superscript"/>
              </w:rPr>
              <w:t>4)</w:t>
            </w:r>
            <w:r>
              <w:rPr>
                <w:sz w:val="18"/>
                <w:szCs w:val="18"/>
              </w:rPr>
              <w:t xml:space="preserve"> </w:t>
            </w:r>
            <w:r>
              <w:rPr>
                <w:sz w:val="18"/>
                <w:szCs w:val="18"/>
              </w:rPr>
              <w:tab/>
              <w:t>Die zulässige Größe darf um 10 % überschritten werden, wenn in dem Brandabschnitt die Produktions- und Lagerräume Rauchabzugsanlagen haben, bei denen</w:t>
            </w:r>
          </w:p>
          <w:p>
            <w:pPr>
              <w:pStyle w:val="GesAbsatz"/>
              <w:ind w:left="851" w:hanging="425"/>
              <w:rPr>
                <w:sz w:val="18"/>
                <w:szCs w:val="18"/>
              </w:rPr>
            </w:pPr>
            <w:r>
              <w:rPr>
                <w:sz w:val="18"/>
                <w:szCs w:val="18"/>
              </w:rPr>
              <w:t>a)</w:t>
            </w:r>
            <w:r>
              <w:rPr>
                <w:sz w:val="18"/>
                <w:szCs w:val="18"/>
              </w:rPr>
              <w:tab/>
              <w:t>je höchstens 200 m² der Grundfläche ein oder mehrere Rauchabzugsgeräte mit insgesamt mindestens 1,5 m² aerodynamisch wirksamer Fläche im Dach angeordnet wird,</w:t>
            </w:r>
          </w:p>
          <w:p>
            <w:pPr>
              <w:pStyle w:val="GesAbsatz"/>
              <w:ind w:left="851" w:hanging="425"/>
              <w:rPr>
                <w:sz w:val="18"/>
                <w:szCs w:val="18"/>
              </w:rPr>
            </w:pPr>
            <w:r>
              <w:rPr>
                <w:sz w:val="18"/>
                <w:szCs w:val="18"/>
              </w:rPr>
              <w:t>b)</w:t>
            </w:r>
            <w:r>
              <w:rPr>
                <w:sz w:val="18"/>
                <w:szCs w:val="18"/>
              </w:rPr>
              <w:tab/>
              <w:t>je höchstens 1 600 m² Grundfläche mindestens eine Auslösegruppe für die Rauchabzugsgeräte gebildet wird,</w:t>
            </w:r>
          </w:p>
          <w:p>
            <w:pPr>
              <w:pStyle w:val="GesAbsatz"/>
              <w:ind w:left="851" w:hanging="425"/>
              <w:rPr>
                <w:sz w:val="18"/>
                <w:szCs w:val="18"/>
              </w:rPr>
            </w:pPr>
            <w:r>
              <w:rPr>
                <w:sz w:val="18"/>
                <w:szCs w:val="18"/>
              </w:rPr>
              <w:t>c)</w:t>
            </w:r>
            <w:r>
              <w:rPr>
                <w:sz w:val="18"/>
                <w:szCs w:val="18"/>
              </w:rPr>
              <w:tab/>
              <w:t>Zuluftflächen mit einem freien Querschnitt von mindestens 36 m² im unteren Raumdrittel vorhanden sind sowie</w:t>
            </w:r>
          </w:p>
          <w:p>
            <w:pPr>
              <w:pStyle w:val="GesAbsatz"/>
              <w:tabs>
                <w:tab w:val="clear" w:pos="425"/>
              </w:tabs>
              <w:ind w:left="851" w:hanging="425"/>
              <w:rPr>
                <w:sz w:val="18"/>
                <w:szCs w:val="18"/>
              </w:rPr>
            </w:pPr>
            <w:r>
              <w:rPr>
                <w:sz w:val="18"/>
                <w:szCs w:val="18"/>
              </w:rPr>
              <w:t>d)</w:t>
            </w:r>
            <w:r>
              <w:rPr>
                <w:sz w:val="18"/>
                <w:szCs w:val="18"/>
              </w:rPr>
              <w:tab/>
              <w:t>die Anforderungen der Abschnitte 5.7.4.3 und 5.7.4.4 erfüllt sind.</w:t>
            </w:r>
          </w:p>
        </w:tc>
      </w:tr>
    </w:tbl>
    <w:p>
      <w:pPr>
        <w:pStyle w:val="GesAbsatz"/>
      </w:pPr>
    </w:p>
    <w:p>
      <w:pPr>
        <w:pStyle w:val="GesAbsatz"/>
        <w:sectPr>
          <w:pgSz w:w="16840" w:h="11907" w:orient="landscape" w:code="9"/>
          <w:pgMar w:top="1418" w:right="1134" w:bottom="851" w:left="1134" w:header="567" w:footer="851" w:gutter="0"/>
          <w:cols w:space="720"/>
        </w:sectPr>
      </w:pPr>
    </w:p>
    <w:p>
      <w:pPr>
        <w:pStyle w:val="berschrift3"/>
      </w:pPr>
      <w:bookmarkStart w:id="40" w:name="_Toc418755865"/>
      <w:r>
        <w:lastRenderedPageBreak/>
        <w:t>6.3</w:t>
      </w:r>
      <w:r>
        <w:br/>
        <w:t>Anforderungen an die Baustoffe und Bauteile</w:t>
      </w:r>
      <w:bookmarkEnd w:id="40"/>
    </w:p>
    <w:p>
      <w:pPr>
        <w:pStyle w:val="GesAbsatz"/>
      </w:pPr>
      <w:r>
        <w:t>6.3.1</w:t>
      </w:r>
    </w:p>
    <w:p>
      <w:pPr>
        <w:pStyle w:val="GesAbsatz"/>
      </w:pPr>
      <w:r>
        <w:t>Tragende und aussteifende Bauteile, Geschossdecken, Verschlüsse von Öffnungen in Geschossdecken sowie das Haupttragwerk des Daches (zum Beispiel Binder) sind mit der Feuerwiderstandsfähigkeit nach Tabelle 2 herzustellen.</w:t>
      </w:r>
    </w:p>
    <w:p>
      <w:pPr>
        <w:pStyle w:val="GesAbsatz"/>
      </w:pPr>
      <w:r>
        <w:t>Industriebauten – insbesondere solche mit Tragwerken ohne klassifiziertem Feuerwiderstand – müssen statisch konstruktiv so errichtet werden, dass bei Versagen von Bauteilen bei lokal begrenzten Bränden nicht ein plötzlicher Einsturz des Haupttragwerkes außerhalb des betroffenen Brandbereichs durch zum Beispiel Bildung einer kinematischen Kette angenommen werden muss. Aus der Feuerwiderstandsfähigkeit nach Tabelle 2 ergeben sich die Feuerwiderstandsklassen gemäß den Anlagen 0.1.1 oder 0.1.2 der Bauregelliste A Teil 1. Aus der Anforderung zum Brandverhalten von Baustoffen nach Tabelle 2 ergeben sich die Baustoffklassen aus der Anlage 0.2.1 oder 0.2.2 der Bauregelliste A Teil 1.</w:t>
      </w:r>
    </w:p>
    <w:p>
      <w:pPr>
        <w:pStyle w:val="GesAbsatz"/>
      </w:pPr>
      <w:r>
        <w:t>6.3.2</w:t>
      </w:r>
    </w:p>
    <w:p>
      <w:pPr>
        <w:pStyle w:val="GesAbsatz"/>
      </w:pPr>
      <w:r>
        <w:t>Unterdecken einschließlich ihrer Aufhängungen sowie Deckenbekleidungen einschließlich ihrer Dämmstoffe und Unterkonstruktionen müssen aus nichtbrennbaren Baustoffen bestehen.</w:t>
      </w:r>
    </w:p>
    <w:p>
      <w:pPr>
        <w:pStyle w:val="berschrift3"/>
      </w:pPr>
      <w:bookmarkStart w:id="41" w:name="_Toc418755866"/>
      <w:r>
        <w:t>6.4</w:t>
      </w:r>
      <w:r>
        <w:br/>
        <w:t>Besondere Anforderungen an Lagergebäude und an Gebäude mit</w:t>
      </w:r>
      <w:r>
        <w:br/>
        <w:t>zusammenhängenden Lagerbereichen</w:t>
      </w:r>
      <w:bookmarkEnd w:id="41"/>
    </w:p>
    <w:p>
      <w:pPr>
        <w:pStyle w:val="GesAbsatz"/>
      </w:pPr>
      <w:r>
        <w:t>6.4.1</w:t>
      </w:r>
    </w:p>
    <w:p>
      <w:pPr>
        <w:pStyle w:val="GesAbsatz"/>
      </w:pPr>
      <w:r>
        <w:t>Bei Lagergebäuden und bei Gebäuden mit Lagerbereichen ohne selbsttätige Feuerlöschanlage ist in jedem Geschoss die Fläche jedes Brandabschnitts oder Lagerbereichs durch Freiflächen in Lagerabschnitte von höchstens 1 200 m² zu unterteilen. Die Freiflächen müssen bei einer Lagerguthöhe (Oberkante) von bis zu 4,5 m eine Breite von mindestens 3,5 m und bei einer Lagerguthöhe (Oberkante Lagergut) von 7,5 m eine Breite von mindestens 5,0 m haben. Die Mindestbreiten der Freiflächen bei Lagerguthöhen zwischen 4,5 m und 7,5 m ergeben sich durch Interpolation.</w:t>
      </w:r>
    </w:p>
    <w:p>
      <w:pPr>
        <w:pStyle w:val="GesAbsatz"/>
      </w:pPr>
      <w:r>
        <w:t>6.4.2</w:t>
      </w:r>
    </w:p>
    <w:p>
      <w:pPr>
        <w:pStyle w:val="GesAbsatz"/>
      </w:pPr>
      <w:r>
        <w:t>In Lagergebäuden und Gebäuden mit Lagerbereichen müssen bei Lagerguthöhen (Oberkante Lagergut)  von mehr als 7,5 m selbsttätige Feuerlöschanlagen angeordnet werden.</w:t>
      </w:r>
    </w:p>
    <w:p>
      <w:pPr>
        <w:pStyle w:val="berschrift2"/>
      </w:pPr>
      <w:bookmarkStart w:id="42" w:name="_Toc418755867"/>
      <w:r>
        <w:t>7</w:t>
      </w:r>
      <w:r>
        <w:br/>
        <w:t>Anforderungen an Baustoffe und Bauteile sowie an die Größe der</w:t>
      </w:r>
      <w:r>
        <w:br/>
        <w:t>Brandbekämpfungsabschnitte unter Verwendung des</w:t>
      </w:r>
      <w:r>
        <w:br/>
        <w:t>Rechenverfahrens nach DIN 18230-1</w:t>
      </w:r>
      <w:bookmarkEnd w:id="42"/>
    </w:p>
    <w:p>
      <w:pPr>
        <w:pStyle w:val="berschrift3"/>
      </w:pPr>
      <w:bookmarkStart w:id="43" w:name="_Toc418755868"/>
      <w:r>
        <w:t>7.1</w:t>
      </w:r>
      <w:r>
        <w:br/>
        <w:t>Grundsätze des Nachweises</w:t>
      </w:r>
      <w:bookmarkEnd w:id="43"/>
    </w:p>
    <w:p>
      <w:pPr>
        <w:pStyle w:val="GesAbsatz"/>
      </w:pPr>
      <w:r>
        <w:t>Auf der Grundlage der ermittelten Brandlasten und der bewerteten Wärmeabzugsflächen wird durch Rechenverfahren nach DIN 18230-1 aus dem globalen Nachweis oder aus dem Teilabschnittsnachweis</w:t>
      </w:r>
    </w:p>
    <w:p>
      <w:pPr>
        <w:pStyle w:val="GesAbsatz"/>
        <w:ind w:left="426" w:hanging="426"/>
      </w:pPr>
      <w:r>
        <w:t>a)</w:t>
      </w:r>
      <w:r>
        <w:tab/>
        <w:t>die äquivalente Branddauer t</w:t>
      </w:r>
      <w:r>
        <w:rPr>
          <w:vertAlign w:val="subscript"/>
        </w:rPr>
        <w:t>ä</w:t>
      </w:r>
      <w:r>
        <w:t xml:space="preserve"> insbesondere zur Bestimmung der zulässigen Fläche des Brandbekämpfungsabschnitts und</w:t>
      </w:r>
    </w:p>
    <w:p>
      <w:pPr>
        <w:pStyle w:val="GesAbsatz"/>
        <w:ind w:left="426" w:hanging="426"/>
      </w:pPr>
      <w:r>
        <w:t>b)</w:t>
      </w:r>
      <w:r>
        <w:tab/>
        <w:t>die rechnerisch erforderliche Feuerwiderstandsdauer erf t</w:t>
      </w:r>
      <w:r>
        <w:rPr>
          <w:vertAlign w:val="subscript"/>
        </w:rPr>
        <w:t>F</w:t>
      </w:r>
      <w:r>
        <w:t xml:space="preserve"> zur Bestimmung der Anforderungen an die erforderliche Feuerwiderstandsfähigkeit der Bauteile entsprechend ihrer brandschutztechnischen Bedeutung gemäß ihrer Zuordnung zu den Brandsicherheitsklassen nach Abschnitt 7.2</w:t>
      </w:r>
    </w:p>
    <w:p>
      <w:pPr>
        <w:pStyle w:val="GesAbsatz"/>
      </w:pPr>
      <w:r>
        <w:t>für jeden Brandbekämpfungsabschnitt ermittelt.</w:t>
      </w:r>
    </w:p>
    <w:p>
      <w:pPr>
        <w:pStyle w:val="GesAbsatz"/>
      </w:pPr>
      <w:r>
        <w:t>Ergibt sich aus dem globalen Nachweis oder aus dem Teilabschnittsnachweis nach DIN 18230-1 für die Brandsicherheitsklasse SK</w:t>
      </w:r>
      <w:r>
        <w:rPr>
          <w:vertAlign w:val="subscript"/>
        </w:rPr>
        <w:t>b</w:t>
      </w:r>
      <w:r>
        <w:t>3 eine höhere rechnerisch erforderliche Feuerwiderstandsdauer erf t</w:t>
      </w:r>
      <w:r>
        <w:rPr>
          <w:vertAlign w:val="subscript"/>
        </w:rPr>
        <w:t>F</w:t>
      </w:r>
      <w:r>
        <w:t xml:space="preserve"> als 90 Minuten, so darf nicht nach Abschnitt 7 verfahren werden.</w:t>
      </w:r>
    </w:p>
    <w:p>
      <w:pPr>
        <w:pStyle w:val="GesAbsatz"/>
      </w:pPr>
      <w:r>
        <w:t>Die Feuerwiderstandsfähigkeit der Bauteile (Tabelle 6)  muss im jeweiligen Brandbekämpfungsabschnitt mindestens der rechnerisch erforderlichen Feuerwiderstandsdauer erf. t</w:t>
      </w:r>
      <w:r>
        <w:rPr>
          <w:vertAlign w:val="subscript"/>
        </w:rPr>
        <w:t>F</w:t>
      </w:r>
      <w:r>
        <w:t>, entsprechen. Erdgeschossige Industriebauten sind ohne Anforderungen an die Feuerwiderstandsfähigkeit der tragenden und aussteifenden Bauteile zulässig, wenn sie den Anforderungen nach Abschnitt 7.6.1 oder 7.6.2 entsprechen.</w:t>
      </w:r>
    </w:p>
    <w:p>
      <w:pPr>
        <w:pStyle w:val="GesAbsatz"/>
      </w:pPr>
      <w:r>
        <w:lastRenderedPageBreak/>
        <w:t>Industriebauten - insbesondere solche mit Tragwerken ohne klassifiziertem Feuerwiderstand – müssen statisch konstruktiv so errichtet werden, dass bei Versagen von Bauteilen bei lokal begrenzten Bränden nicht ein plötzlicher Einsturz des Haupttragwerkes außerhalb des betroffenen Brandbereichs durch zum Beispiel Bildung einer kinematischen Kette angenommen werden muss.</w:t>
      </w:r>
    </w:p>
    <w:p>
      <w:pPr>
        <w:pStyle w:val="berschrift3"/>
      </w:pPr>
      <w:bookmarkStart w:id="44" w:name="_Toc418755869"/>
      <w:r>
        <w:t>7.2</w:t>
      </w:r>
      <w:r>
        <w:br/>
        <w:t>Brandsicherheitsklassen</w:t>
      </w:r>
      <w:bookmarkEnd w:id="44"/>
    </w:p>
    <w:p>
      <w:pPr>
        <w:pStyle w:val="GesAbsatz"/>
      </w:pPr>
      <w:r>
        <w:t>Entsprechend ihrer brandschutztechnischen Bedeutung werden an die einzelnen Bauteile unterschiedliche Anforderungen gestellt. Dazu werden die Bauteile einer der nachfolgenden Brandsicherheitsklassen (SK</w:t>
      </w:r>
      <w:r>
        <w:rPr>
          <w:vertAlign w:val="subscript"/>
        </w:rPr>
        <w:t>b</w:t>
      </w:r>
      <w:r>
        <w:t>3 bis SK</w:t>
      </w:r>
      <w:r>
        <w:rPr>
          <w:vertAlign w:val="subscript"/>
        </w:rPr>
        <w:t>b</w:t>
      </w:r>
      <w:r>
        <w:t>1) zugeordnet.</w:t>
      </w:r>
    </w:p>
    <w:p>
      <w:pPr>
        <w:pStyle w:val="GesAbsatz"/>
      </w:pPr>
      <w:r>
        <w:t>Eine Zuordnung von Bauteilen ohne brandschutztechnische Bedeutung zu den Brandsicherheitsklassen (zum Beispiel innere nichttragende Trennwände; Bauteile, die ausschließlich unmittelbar die Dachhaut tragen) ist im Rahmen dieses Nachweisverfahrens nicht erforderlich.</w:t>
      </w:r>
    </w:p>
    <w:p>
      <w:pPr>
        <w:pStyle w:val="GesAbsatz"/>
      </w:pPr>
      <w:r>
        <w:t>7.2.1</w:t>
      </w:r>
    </w:p>
    <w:p>
      <w:pPr>
        <w:pStyle w:val="GesAbsatz"/>
      </w:pPr>
      <w:r>
        <w:t>Brandsicherheitsklasse SK</w:t>
      </w:r>
      <w:r>
        <w:rPr>
          <w:vertAlign w:val="subscript"/>
        </w:rPr>
        <w:t>b</w:t>
      </w:r>
      <w:r>
        <w:t>3</w:t>
      </w:r>
    </w:p>
    <w:p>
      <w:pPr>
        <w:pStyle w:val="GesAbsatz"/>
      </w:pPr>
      <w:r>
        <w:t>Entsprechend ihrer brandschutztechnischen Bedeutung werden an die nachfolgend genannten Bauteile hohe Anforderungen gestellt:</w:t>
      </w:r>
    </w:p>
    <w:p>
      <w:pPr>
        <w:pStyle w:val="GesAbsatz"/>
        <w:ind w:left="426" w:hanging="426"/>
      </w:pPr>
      <w:r>
        <w:t>a)</w:t>
      </w:r>
      <w:r>
        <w:tab/>
        <w:t>Wände und Decken, die Brandbekämpfungsabschnitte zu den Seiten, nach oben und nach unten von anderen Brandbekämpfungsabschnitten trennen, Geschossdecken und Decken von Ebenen,</w:t>
      </w:r>
    </w:p>
    <w:p>
      <w:pPr>
        <w:pStyle w:val="GesAbsatz"/>
        <w:ind w:left="426" w:hanging="426"/>
      </w:pPr>
      <w:r>
        <w:t>b)</w:t>
      </w:r>
      <w:r>
        <w:tab/>
        <w:t>Trennwände und Decken zur Abtrennung von Brandlasten nach DIN 18230-1 einschließlich ihrer Tragwerke,</w:t>
      </w:r>
    </w:p>
    <w:p>
      <w:pPr>
        <w:pStyle w:val="GesAbsatz"/>
        <w:ind w:left="426" w:hanging="426"/>
      </w:pPr>
      <w:r>
        <w:t>c)</w:t>
      </w:r>
      <w:r>
        <w:tab/>
        <w:t>Tragende und aussteifende Bauteile, deren Versagen zum Einsturz der tragenden Konstruktion (Tragwerk, Gesamtkonstruktion) oder der Konstruktion des Brandbekämpfungsabschnitts führen kann,</w:t>
      </w:r>
    </w:p>
    <w:p>
      <w:pPr>
        <w:pStyle w:val="GesAbsatz"/>
        <w:ind w:left="426" w:hanging="426"/>
      </w:pPr>
      <w:r>
        <w:t>d)</w:t>
      </w:r>
      <w:r>
        <w:tab/>
        <w:t>Lüftungsleitungen und dergleichen, die Brandbekämpfungsabschnitte überbrücken, einschließlich Brandschutzklappen,</w:t>
      </w:r>
    </w:p>
    <w:p>
      <w:pPr>
        <w:pStyle w:val="GesAbsatz"/>
        <w:ind w:left="426" w:hanging="426"/>
      </w:pPr>
      <w:r>
        <w:t>e)</w:t>
      </w:r>
      <w:r>
        <w:tab/>
        <w:t>Installationsschächte und -kanäle, die Brandbekämpfungsabschnitte überbrücken,</w:t>
      </w:r>
    </w:p>
    <w:p>
      <w:pPr>
        <w:pStyle w:val="GesAbsatz"/>
        <w:ind w:left="426" w:hanging="426"/>
      </w:pPr>
      <w:r>
        <w:t>f)</w:t>
      </w:r>
      <w:r>
        <w:tab/>
        <w:t>Feuerschutzabschlüsse, Rohrabschottungen, Kabelabschottungen und dergleichen in Bauteilen, die Brandbekämpfungsabschnitte trennen und</w:t>
      </w:r>
    </w:p>
    <w:p>
      <w:pPr>
        <w:pStyle w:val="GesAbsatz"/>
      </w:pPr>
      <w:r>
        <w:t>e)</w:t>
      </w:r>
      <w:r>
        <w:tab/>
        <w:t>Stützkonstruktion von Behältern mit Ψ &lt; 1.</w:t>
      </w:r>
    </w:p>
    <w:p>
      <w:pPr>
        <w:pStyle w:val="GesAbsatz"/>
      </w:pPr>
      <w:r>
        <w:t>7.2.2</w:t>
      </w:r>
    </w:p>
    <w:p>
      <w:pPr>
        <w:pStyle w:val="GesAbsatz"/>
      </w:pPr>
      <w:r>
        <w:t>Brandsicherheitsklasse SK</w:t>
      </w:r>
      <w:r>
        <w:rPr>
          <w:vertAlign w:val="subscript"/>
        </w:rPr>
        <w:t>b</w:t>
      </w:r>
      <w:r>
        <w:t>2</w:t>
      </w:r>
    </w:p>
    <w:p>
      <w:pPr>
        <w:pStyle w:val="GesAbsatz"/>
      </w:pPr>
      <w:r>
        <w:t>Entsprechend ihrer brandschutztechnischen Bedeutung werden an die nachfolgend genannten Bauteile mittlere Anforderungen gestellt:</w:t>
      </w:r>
    </w:p>
    <w:p>
      <w:pPr>
        <w:pStyle w:val="GesAbsatz"/>
        <w:ind w:left="426" w:hanging="426"/>
      </w:pPr>
      <w:r>
        <w:t>a)</w:t>
      </w:r>
      <w:r>
        <w:tab/>
        <w:t>Bauteile, deren Versagen nicht zum Einsturz der tragenden Konstruktion (Tragwerk, Gesamtkonstruktion) oder der Konstruktion des Brandbekämpfungsabschnitts führen kann, wie nicht aussteifende Decken von Ebenen; dies gilt nicht für raumabschließende Bauteile wie Geschossdecken und Trennwände,</w:t>
      </w:r>
    </w:p>
    <w:p>
      <w:pPr>
        <w:pStyle w:val="GesAbsatz"/>
        <w:ind w:left="426" w:hanging="426"/>
      </w:pPr>
      <w:r>
        <w:t>b)</w:t>
      </w:r>
      <w:r>
        <w:tab/>
        <w:t>Bauteile des Dachtragwerkes, deren Versagen zum Einsturz der übrigen Dachkonstruktion des Brandbekämpfungsabschnitts führen kann, einschließlich ihrer Unterstützungen; dies gilt nicht für Bauteile des Dachtragwerks, wenn ihr Versagen zum Einsturz der tragenden Konstruktion oder der Konstruktion des Brandbekämpfungsabschnitts führt,</w:t>
      </w:r>
    </w:p>
    <w:p>
      <w:pPr>
        <w:pStyle w:val="GesAbsatz"/>
        <w:ind w:left="426" w:hanging="426"/>
      </w:pPr>
      <w:r>
        <w:t>c)</w:t>
      </w:r>
      <w:r>
        <w:tab/>
        <w:t>Lüftungsleitungen und dergleichen, die Bauteile mit geforderter Feuerwiderstandsfähigkeit überbrücken, einschließlich Brandschutzklappen,</w:t>
      </w:r>
    </w:p>
    <w:p>
      <w:pPr>
        <w:pStyle w:val="GesAbsatz"/>
        <w:ind w:left="426" w:hanging="426"/>
      </w:pPr>
      <w:r>
        <w:t>d)</w:t>
      </w:r>
      <w:r>
        <w:tab/>
        <w:t>Installationsschächte und -kanäle, die Bauteile mit geforderter Feuerwiderstandsfähigkeit überbrücken und</w:t>
      </w:r>
    </w:p>
    <w:p>
      <w:pPr>
        <w:pStyle w:val="GesAbsatz"/>
        <w:ind w:left="426" w:hanging="426"/>
      </w:pPr>
      <w:r>
        <w:t>e)</w:t>
      </w:r>
      <w:r>
        <w:tab/>
        <w:t>Feuerschutzabschlüsse, Rohrabschottungen, Kabelabschottungen und dergleichen in trennenden Bauteilen mit geforderter Feuerwiderstandsfähigkeit.</w:t>
      </w:r>
    </w:p>
    <w:p>
      <w:pPr>
        <w:pStyle w:val="GesAbsatz"/>
      </w:pPr>
      <w:r>
        <w:t>7.2.3</w:t>
      </w:r>
    </w:p>
    <w:p>
      <w:pPr>
        <w:pStyle w:val="GesAbsatz"/>
      </w:pPr>
      <w:r>
        <w:t>Brandsicherheitsklasse SK</w:t>
      </w:r>
      <w:r>
        <w:rPr>
          <w:vertAlign w:val="subscript"/>
        </w:rPr>
        <w:t>b</w:t>
      </w:r>
      <w:r>
        <w:t>1</w:t>
      </w:r>
    </w:p>
    <w:p>
      <w:pPr>
        <w:pStyle w:val="GesAbsatz"/>
      </w:pPr>
      <w:r>
        <w:t>Entsprechend ihrer brandschutztechnischen Bedeutung werden an Bauteile des Dachtragwerkes, sofern das Versagen einzelner Bauteile nicht zum Einsturz der übrigen Dachkonstruktion des Brandbekämpfungsabschnitts führt, geringe Anforderungen gestellt.</w:t>
      </w:r>
    </w:p>
    <w:p>
      <w:pPr>
        <w:pStyle w:val="GesAbsatz"/>
      </w:pPr>
      <w:r>
        <w:t>7.2.4</w:t>
      </w:r>
    </w:p>
    <w:p>
      <w:pPr>
        <w:pStyle w:val="GesAbsatz"/>
      </w:pPr>
      <w:r>
        <w:lastRenderedPageBreak/>
        <w:t>Bauteile des Dachtragwerkes, deren Versagen nicht zum Einsturz der übrigen Dachkonstruktion des Brandbekämpfungsabschnitts führt, werden keiner Brandsicherheitsklasse zugeordnet, sofern das Dach zur Brandbekämpfung nicht begangen werden muss.</w:t>
      </w:r>
    </w:p>
    <w:p>
      <w:pPr>
        <w:pStyle w:val="GesAbsatz"/>
      </w:pPr>
      <w:r>
        <w:t>7.2.5</w:t>
      </w:r>
    </w:p>
    <w:p>
      <w:pPr>
        <w:pStyle w:val="GesAbsatz"/>
      </w:pPr>
      <w:r>
        <w:t>Eine brandschutztechnische Bemessung der Bauteile des Dachtragwerkes ist nicht erforderlich, wenn es vom übrigen Brandbekämpfungsabschnitt durch eine Geschossdecke (SK</w:t>
      </w:r>
      <w:r>
        <w:rPr>
          <w:vertAlign w:val="subscript"/>
        </w:rPr>
        <w:t>b</w:t>
      </w:r>
      <w:r>
        <w:t>3) brandschutztechnisch abgetrennt ist und im Dachtragwerk keine zusätzlichen Brandlasten vorhanden sind.</w:t>
      </w:r>
    </w:p>
    <w:p>
      <w:pPr>
        <w:pStyle w:val="GesAbsatz"/>
      </w:pPr>
      <w:r>
        <w:t>7.2.6</w:t>
      </w:r>
    </w:p>
    <w:p>
      <w:pPr>
        <w:pStyle w:val="GesAbsatz"/>
      </w:pPr>
      <w:r>
        <w:t>Eine brandschutztechnische Bemessung für Einbauten ist nicht erforderlich.</w:t>
      </w:r>
    </w:p>
    <w:p>
      <w:pPr>
        <w:pStyle w:val="berschrift3"/>
      </w:pPr>
      <w:bookmarkStart w:id="45" w:name="_Toc418755870"/>
      <w:r>
        <w:t>7.3</w:t>
      </w:r>
      <w:r>
        <w:br/>
        <w:t>Anforderungen an Bauteile zur Trennung von Brandbekämpfungsabschnitten</w:t>
      </w:r>
      <w:bookmarkEnd w:id="45"/>
    </w:p>
    <w:p>
      <w:pPr>
        <w:pStyle w:val="GesAbsatz"/>
      </w:pPr>
      <w:r>
        <w:t>Die nachfolgenden Anforderungen gelten für obere, seitliche und untere Bauteile die Brandbekämpfungsabschnitte voneinander trennen und für Bauteile die diese trennenden Bauteile tragen, aussteifen oder überbrücken.</w:t>
      </w:r>
    </w:p>
    <w:p>
      <w:pPr>
        <w:pStyle w:val="GesAbsatz"/>
      </w:pPr>
      <w:r>
        <w:t>7.3.1</w:t>
      </w:r>
    </w:p>
    <w:p>
      <w:pPr>
        <w:pStyle w:val="GesAbsatz"/>
      </w:pPr>
      <w:r>
        <w:t>Bauteile zur Trennung von Brandbekämpfungsabschnitten müssen so beschaffen sein, dass sie bei einem Brand ihre Standsicherheit nicht verlieren und die Ausbreitung von Feuer und Rauch auf andere Brandbekämpfungsabschnitte ausreichend lang verhindern.</w:t>
      </w:r>
    </w:p>
    <w:p>
      <w:pPr>
        <w:pStyle w:val="GesAbsatz"/>
      </w:pPr>
      <w:r>
        <w:t>Bauteile, die trennende Bauteile unterstützen und/oder aussteifen, müssen so beschaffen sein, dass sie bei einem Brand ihre Standsicherheit nicht verlieren.</w:t>
      </w:r>
    </w:p>
    <w:p>
      <w:pPr>
        <w:pStyle w:val="GesAbsatz"/>
      </w:pPr>
      <w:r>
        <w:t>Bauteile, die trennende Bauteile überbrücken, müssen so beschaffen sein, dass durch sie bei einem Brand eine Ausbreitung von Feuer und Rauch auf andere Brandbekämpfungsabschnitte verhindert wird.</w:t>
      </w:r>
    </w:p>
    <w:p>
      <w:pPr>
        <w:pStyle w:val="GesAbsatz"/>
      </w:pPr>
      <w:r>
        <w:t>7.3.2</w:t>
      </w:r>
    </w:p>
    <w:p>
      <w:pPr>
        <w:pStyle w:val="GesAbsatz"/>
      </w:pPr>
      <w:r>
        <w:t>Wände zur Trennung von Brandbekämpfungsabschnitten müssen in der Bauart von Brandwänden errichtet werden. Bauteile, die eine Trennwand zwischen Brandbekämpfungsabschnitten aussteifen, unterstützen oder überbrücken, müssen feuerbeständig sein. Dies ist nicht erforderlich für aussteifende Bauteile, wenn sie redundant in beiden angrenzenden Brandbekämpfungsabschnitten vorhanden sind und die Funktionsfähigkeit der Trennwand beim Versagen der Aussteifung auf der brandbeanspruchten Seite durch konstruktive Maßnahmen gewährleistet ist.</w:t>
      </w:r>
    </w:p>
    <w:p>
      <w:pPr>
        <w:pStyle w:val="GesAbsatz"/>
      </w:pPr>
      <w:r>
        <w:t>7.3.3</w:t>
      </w:r>
    </w:p>
    <w:p>
      <w:pPr>
        <w:pStyle w:val="GesAbsatz"/>
      </w:pPr>
      <w:r>
        <w:t>Decken zur Trennung von Brandbekämpfungsabschnitten und Bauteile, die diese Decken unterstützen, aussteifen und/oder überbrücken, sind nach Tabelle 6, Spalte 2 zu bemessen. Ihre erforderliche Feuerwiderstandsdauer erf t</w:t>
      </w:r>
      <w:r>
        <w:rPr>
          <w:vertAlign w:val="subscript"/>
        </w:rPr>
        <w:t>F</w:t>
      </w:r>
      <w:r>
        <w:t xml:space="preserve"> muss mindestens der äquivalenten Branddauer t</w:t>
      </w:r>
      <w:r>
        <w:rPr>
          <w:vertAlign w:val="subscript"/>
        </w:rPr>
        <w:t>ä</w:t>
      </w:r>
      <w:r>
        <w:t xml:space="preserve"> entsprechen. Die rechnerisch erforderliche Feuerwiderstandsdauer erf t</w:t>
      </w:r>
      <w:r>
        <w:rPr>
          <w:vertAlign w:val="subscript"/>
        </w:rPr>
        <w:t>F</w:t>
      </w:r>
      <w:r>
        <w:t xml:space="preserve"> für unterstützende Bauteile ergibt sich für den Brandbekämpfungsabschnitt, in dem sie eingebaut sind.</w:t>
      </w:r>
    </w:p>
    <w:p>
      <w:pPr>
        <w:pStyle w:val="berschrift3"/>
      </w:pPr>
      <w:bookmarkStart w:id="46" w:name="_Toc418755871"/>
      <w:r>
        <w:t>7.4</w:t>
      </w:r>
      <w:r>
        <w:br/>
        <w:t>Zulässige Größen von Brandbekämpfungsabschnitten</w:t>
      </w:r>
      <w:bookmarkEnd w:id="46"/>
    </w:p>
    <w:p>
      <w:pPr>
        <w:pStyle w:val="GesAbsatz"/>
      </w:pPr>
      <w:r>
        <w:t>Die zulässige Größe von Brandbekämpfungsabschnitten ergibt sich in Abhängigkeit der Sicherheitskategorie K1 bis K4 und der äquivalenten Branddauer t</w:t>
      </w:r>
      <w:r>
        <w:rPr>
          <w:vertAlign w:val="subscript"/>
        </w:rPr>
        <w:t>ä</w:t>
      </w:r>
      <w:r>
        <w:t xml:space="preserve"> aus der Summe der bewerteten Grundflächen der einzelnen Geschosse und Ebenen.</w:t>
      </w:r>
    </w:p>
    <w:p>
      <w:pPr>
        <w:pStyle w:val="GesAbsatz"/>
      </w:pPr>
      <w:r>
        <w:t>Hierzu sind die Grundflächen der einzelnen Geschosse und Ebenen A</w:t>
      </w:r>
      <w:r>
        <w:rPr>
          <w:vertAlign w:val="subscript"/>
        </w:rPr>
        <w:t>i</w:t>
      </w:r>
      <w:r>
        <w:t xml:space="preserve"> mit den Faktoren F</w:t>
      </w:r>
      <w:r>
        <w:rPr>
          <w:vertAlign w:val="subscript"/>
        </w:rPr>
        <w:t>H</w:t>
      </w:r>
      <w:r>
        <w:t xml:space="preserve"> und F</w:t>
      </w:r>
      <w:r>
        <w:rPr>
          <w:vertAlign w:val="subscript"/>
        </w:rPr>
        <w:t>A</w:t>
      </w:r>
      <w:r>
        <w:t xml:space="preserve"> zu bewerten. Dabei bewertet der Faktor F</w:t>
      </w:r>
      <w:r>
        <w:rPr>
          <w:vertAlign w:val="subscript"/>
        </w:rPr>
        <w:t>H</w:t>
      </w:r>
      <w:r>
        <w:t xml:space="preserve"> die Höhe der Grundfläche Ai über dem Bezugsniveau gemäß Tabelle 3. Der Faktor F</w:t>
      </w:r>
      <w:r>
        <w:rPr>
          <w:vertAlign w:val="subscript"/>
        </w:rPr>
        <w:t>A</w:t>
      </w:r>
      <w:r>
        <w:t xml:space="preserve"> berücksichtigt die Gefahr der vertikalen Brandausbreitung gemäß Tabelle 4 in Abhängigkeit der Ausführung von Öffnungen in den Grundflächen der Ebenen.</w:t>
      </w:r>
    </w:p>
    <w:p>
      <w:pPr>
        <w:pStyle w:val="GesAbsatz"/>
      </w:pPr>
      <w:r>
        <w:t>Die Summe der bewerteten Grundflächen der einzelnen Geschosse und Ebenen A</w:t>
      </w:r>
      <w:r>
        <w:rPr>
          <w:vertAlign w:val="subscript"/>
        </w:rPr>
        <w:t>i</w:t>
      </w:r>
      <w:r>
        <w:t xml:space="preserve"> darf den Wert zul A</w:t>
      </w:r>
      <w:r>
        <w:rPr>
          <w:vertAlign w:val="subscript"/>
        </w:rPr>
        <w:t>bew</w:t>
      </w:r>
      <w:r>
        <w:t xml:space="preserve"> gemäß Tabelle 5 nicht überschreiten.</w:t>
      </w:r>
    </w:p>
    <w:p>
      <w:pPr>
        <w:pStyle w:val="GesAbsatz"/>
      </w:pPr>
      <m:oMathPara>
        <m:oMath>
          <m:r>
            <w:rPr>
              <w:rFonts w:ascii="Cambria Math" w:hAnsi="Cambria Math"/>
            </w:rPr>
            <m:t xml:space="preserve">zul </m:t>
          </m:r>
          <m:sSub>
            <m:sSubPr>
              <m:ctrlPr>
                <w:rPr>
                  <w:rFonts w:ascii="Cambria Math" w:hAnsi="Cambria Math"/>
                  <w:i/>
                </w:rPr>
              </m:ctrlPr>
            </m:sSubPr>
            <m:e>
              <m:r>
                <w:rPr>
                  <w:rFonts w:ascii="Cambria Math" w:hAnsi="Cambria Math"/>
                </w:rPr>
                <m:t>A</m:t>
              </m:r>
            </m:e>
            <m:sub>
              <m:r>
                <w:rPr>
                  <w:rFonts w:ascii="Cambria Math" w:hAnsi="Cambria Math"/>
                </w:rPr>
                <m:t>bew</m:t>
              </m:r>
            </m:sub>
          </m:sSub>
          <m:r>
            <w:rPr>
              <w:rFonts w:ascii="Cambria Math" w:hAnsi="Cambria Math"/>
            </w:rPr>
            <m:t>&gt;</m:t>
          </m:r>
          <m:sSub>
            <m:sSubPr>
              <m:ctrlPr>
                <w:rPr>
                  <w:rFonts w:ascii="Cambria Math" w:hAnsi="Cambria Math"/>
                  <w:i/>
                </w:rPr>
              </m:ctrlPr>
            </m:sSubPr>
            <m:e>
              <m:r>
                <w:rPr>
                  <w:rFonts w:ascii="Cambria Math" w:hAnsi="Cambria Math"/>
                </w:rPr>
                <m:t>A</m:t>
              </m:r>
            </m:e>
            <m:sub>
              <m:r>
                <w:rPr>
                  <w:rFonts w:ascii="Cambria Math" w:hAnsi="Cambria Math"/>
                </w:rPr>
                <m:t xml:space="preserve">G </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 xml:space="preserve">H1 </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A1</m:t>
              </m:r>
            </m:sub>
          </m:sSub>
          <m:r>
            <w:rPr>
              <w:rFonts w:ascii="Cambria Math" w:hAnsi="Cambria Math"/>
            </w:rPr>
            <m:t>+</m:t>
          </m:r>
          <m:nary>
            <m:naryPr>
              <m:chr m:val="∑"/>
              <m:limLoc m:val="undOvr"/>
              <m:ctrlPr>
                <w:rPr>
                  <w:rFonts w:ascii="Cambria Math" w:hAnsi="Cambria Math"/>
                  <w:i/>
                </w:rPr>
              </m:ctrlPr>
            </m:naryPr>
            <m:sub>
              <m:r>
                <w:rPr>
                  <w:rFonts w:ascii="Cambria Math" w:hAnsi="Cambria Math"/>
                </w:rPr>
                <m:t>i=2</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Ei</m:t>
                  </m:r>
                </m:sub>
              </m:sSub>
            </m:e>
          </m:nary>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Hi</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Ai</m:t>
              </m:r>
            </m:sub>
          </m:sSub>
        </m:oMath>
      </m:oMathPara>
    </w:p>
    <w:p>
      <w:pPr>
        <w:pStyle w:val="GesAbsatz"/>
        <w:rPr>
          <w:i/>
        </w:rPr>
      </w:pPr>
    </w:p>
    <w:p>
      <w:pPr>
        <w:pStyle w:val="GesAbsatz"/>
        <w:tabs>
          <w:tab w:val="clear" w:pos="425"/>
          <w:tab w:val="left" w:pos="851"/>
        </w:tabs>
      </w:pPr>
      <w:r>
        <w:t>mit A</w:t>
      </w:r>
      <w:r>
        <w:rPr>
          <w:vertAlign w:val="subscript"/>
        </w:rPr>
        <w:t>G</w:t>
      </w:r>
      <w:r>
        <w:tab/>
        <w:t>=</w:t>
      </w:r>
      <w:r>
        <w:tab/>
        <w:t>Grundfläche des Brandbekämpfungsabschnitts</w:t>
      </w:r>
    </w:p>
    <w:p>
      <w:pPr>
        <w:pStyle w:val="GesAbsatz"/>
        <w:tabs>
          <w:tab w:val="clear" w:pos="425"/>
          <w:tab w:val="left" w:pos="851"/>
        </w:tabs>
      </w:pPr>
      <w:r>
        <w:lastRenderedPageBreak/>
        <w:t>mit A</w:t>
      </w:r>
      <w:r>
        <w:rPr>
          <w:vertAlign w:val="subscript"/>
        </w:rPr>
        <w:t>Ei</w:t>
      </w:r>
      <w:r>
        <w:tab/>
        <w:t>=</w:t>
      </w:r>
      <w:r>
        <w:tab/>
        <w:t>Grundfläche des Geschosses i oder der Ebene i</w:t>
      </w:r>
    </w:p>
    <w:p>
      <w:pPr>
        <w:pStyle w:val="GesAbsatz"/>
        <w:tabs>
          <w:tab w:val="clear" w:pos="425"/>
          <w:tab w:val="left" w:pos="851"/>
        </w:tabs>
      </w:pPr>
      <w:r>
        <w:t>mit i</w:t>
      </w:r>
      <w:r>
        <w:tab/>
        <w:t>=</w:t>
      </w:r>
      <w:r>
        <w:tab/>
        <w:t>Laufindex für weitere Geschosse und Ebenen</w:t>
      </w:r>
    </w:p>
    <w:p>
      <w:pPr>
        <w:pStyle w:val="GesAbsatz"/>
        <w:tabs>
          <w:tab w:val="clear" w:pos="425"/>
          <w:tab w:val="left" w:pos="851"/>
        </w:tabs>
      </w:pPr>
      <w:r>
        <w:t>mit n</w:t>
      </w:r>
      <w:r>
        <w:tab/>
        <w:t>=</w:t>
      </w:r>
      <w:r>
        <w:tab/>
        <w:t>Anzahl der Geschosse und Ebenen</w:t>
      </w:r>
    </w:p>
    <w:p>
      <w:pPr>
        <w:pStyle w:val="GesAbsatz"/>
      </w:pPr>
      <w:r>
        <w:t>Zwischenwerte in den Tabellen dürfen linear interpoliert werden.</w:t>
      </w:r>
    </w:p>
    <w:p>
      <w:pPr>
        <w:pStyle w:val="GesAbsatz"/>
      </w:pPr>
    </w:p>
    <w:p>
      <w:pPr>
        <w:pStyle w:val="GesAbsatz"/>
        <w:tabs>
          <w:tab w:val="left" w:pos="1134"/>
        </w:tabs>
        <w:ind w:left="1134" w:hanging="1134"/>
        <w:rPr>
          <w:b/>
        </w:rPr>
      </w:pPr>
      <w:r>
        <w:rPr>
          <w:b/>
        </w:rPr>
        <w:t>Tabelle 3:</w:t>
      </w:r>
      <w:r>
        <w:rPr>
          <w:b/>
        </w:rPr>
        <w:tab/>
        <w:t>Faktor F</w:t>
      </w:r>
      <w:r>
        <w:rPr>
          <w:b/>
          <w:vertAlign w:val="subscript"/>
        </w:rPr>
        <w:t>H</w:t>
      </w:r>
      <w:r>
        <w:rPr>
          <w:b/>
        </w:rPr>
        <w:t xml:space="preserve"> zur Bewertung der Grundflächen der Geschosse beziehungsweise Ebenen oberhalb des Bezugsniveaus.</w:t>
      </w:r>
    </w:p>
    <w:tbl>
      <w:tblPr>
        <w:tblStyle w:val="Tabellenraster"/>
        <w:tblW w:w="0" w:type="auto"/>
        <w:tblLook w:val="04A0" w:firstRow="1" w:lastRow="0" w:firstColumn="1" w:lastColumn="0" w:noHBand="0" w:noVBand="1"/>
      </w:tblPr>
      <w:tblGrid>
        <w:gridCol w:w="3853"/>
        <w:gridCol w:w="1031"/>
        <w:gridCol w:w="1117"/>
        <w:gridCol w:w="1255"/>
        <w:gridCol w:w="1255"/>
        <w:gridCol w:w="1117"/>
      </w:tblGrid>
      <w:tr>
        <w:tc>
          <w:tcPr>
            <w:tcW w:w="3936" w:type="dxa"/>
          </w:tcPr>
          <w:p>
            <w:pPr>
              <w:pStyle w:val="GesAbsatz"/>
              <w:tabs>
                <w:tab w:val="clear" w:pos="425"/>
              </w:tabs>
            </w:pPr>
            <w:r>
              <w:t>Abstand zum Bezugsniveau</w:t>
            </w:r>
          </w:p>
        </w:tc>
        <w:tc>
          <w:tcPr>
            <w:tcW w:w="1045" w:type="dxa"/>
          </w:tcPr>
          <w:p>
            <w:pPr>
              <w:pStyle w:val="GesAbsatz"/>
              <w:tabs>
                <w:tab w:val="clear" w:pos="425"/>
                <w:tab w:val="left" w:pos="720"/>
              </w:tabs>
              <w:jc w:val="center"/>
            </w:pPr>
            <w:r>
              <w:t>0 m</w:t>
            </w:r>
          </w:p>
        </w:tc>
        <w:tc>
          <w:tcPr>
            <w:tcW w:w="1134" w:type="dxa"/>
          </w:tcPr>
          <w:p>
            <w:pPr>
              <w:pStyle w:val="GesAbsatz"/>
              <w:tabs>
                <w:tab w:val="clear" w:pos="425"/>
              </w:tabs>
              <w:jc w:val="center"/>
            </w:pPr>
            <w:r>
              <w:t>5 m</w:t>
            </w:r>
          </w:p>
        </w:tc>
        <w:tc>
          <w:tcPr>
            <w:tcW w:w="1276" w:type="dxa"/>
          </w:tcPr>
          <w:p>
            <w:pPr>
              <w:pStyle w:val="GesAbsatz"/>
              <w:tabs>
                <w:tab w:val="clear" w:pos="425"/>
              </w:tabs>
              <w:jc w:val="center"/>
            </w:pPr>
            <w:r>
              <w:t>10 m</w:t>
            </w:r>
          </w:p>
        </w:tc>
        <w:tc>
          <w:tcPr>
            <w:tcW w:w="1276" w:type="dxa"/>
          </w:tcPr>
          <w:p>
            <w:pPr>
              <w:pStyle w:val="GesAbsatz"/>
              <w:tabs>
                <w:tab w:val="clear" w:pos="425"/>
              </w:tabs>
              <w:jc w:val="center"/>
            </w:pPr>
            <w:r>
              <w:t>15 m</w:t>
            </w:r>
          </w:p>
        </w:tc>
        <w:tc>
          <w:tcPr>
            <w:tcW w:w="1134" w:type="dxa"/>
          </w:tcPr>
          <w:p>
            <w:pPr>
              <w:pStyle w:val="GesAbsatz"/>
              <w:tabs>
                <w:tab w:val="clear" w:pos="425"/>
              </w:tabs>
              <w:jc w:val="center"/>
            </w:pPr>
            <w:r>
              <w:t>20 m</w:t>
            </w:r>
          </w:p>
        </w:tc>
      </w:tr>
      <w:tr>
        <w:tc>
          <w:tcPr>
            <w:tcW w:w="3936" w:type="dxa"/>
          </w:tcPr>
          <w:p>
            <w:pPr>
              <w:pStyle w:val="GesAbsatz"/>
              <w:tabs>
                <w:tab w:val="clear" w:pos="425"/>
              </w:tabs>
            </w:pPr>
            <w:r>
              <w:t>Faktor F</w:t>
            </w:r>
            <w:r>
              <w:rPr>
                <w:vertAlign w:val="subscript"/>
              </w:rPr>
              <w:t>H</w:t>
            </w:r>
            <w:r>
              <w:t xml:space="preserve"> Über oder gleich Bezugsniveau</w:t>
            </w:r>
          </w:p>
        </w:tc>
        <w:tc>
          <w:tcPr>
            <w:tcW w:w="1045" w:type="dxa"/>
          </w:tcPr>
          <w:p>
            <w:pPr>
              <w:pStyle w:val="GesAbsatz"/>
              <w:tabs>
                <w:tab w:val="clear" w:pos="425"/>
              </w:tabs>
              <w:jc w:val="center"/>
            </w:pPr>
            <w:r>
              <w:t>1,0</w:t>
            </w:r>
          </w:p>
        </w:tc>
        <w:tc>
          <w:tcPr>
            <w:tcW w:w="1134" w:type="dxa"/>
          </w:tcPr>
          <w:p>
            <w:pPr>
              <w:pStyle w:val="GesAbsatz"/>
              <w:tabs>
                <w:tab w:val="clear" w:pos="425"/>
              </w:tabs>
              <w:jc w:val="center"/>
            </w:pPr>
            <w:r>
              <w:t>1,1</w:t>
            </w:r>
          </w:p>
        </w:tc>
        <w:tc>
          <w:tcPr>
            <w:tcW w:w="1276" w:type="dxa"/>
          </w:tcPr>
          <w:p>
            <w:pPr>
              <w:pStyle w:val="GesAbsatz"/>
              <w:tabs>
                <w:tab w:val="clear" w:pos="425"/>
              </w:tabs>
              <w:jc w:val="center"/>
            </w:pPr>
            <w:r>
              <w:t>1,2</w:t>
            </w:r>
          </w:p>
        </w:tc>
        <w:tc>
          <w:tcPr>
            <w:tcW w:w="1276" w:type="dxa"/>
          </w:tcPr>
          <w:p>
            <w:pPr>
              <w:pStyle w:val="GesAbsatz"/>
              <w:tabs>
                <w:tab w:val="clear" w:pos="425"/>
              </w:tabs>
              <w:jc w:val="center"/>
            </w:pPr>
            <w:r>
              <w:t>1,3</w:t>
            </w:r>
          </w:p>
        </w:tc>
        <w:tc>
          <w:tcPr>
            <w:tcW w:w="1134" w:type="dxa"/>
          </w:tcPr>
          <w:p>
            <w:pPr>
              <w:pStyle w:val="GesAbsatz"/>
              <w:tabs>
                <w:tab w:val="clear" w:pos="425"/>
              </w:tabs>
              <w:jc w:val="center"/>
            </w:pPr>
            <w:r>
              <w:t>1,4</w:t>
            </w:r>
          </w:p>
        </w:tc>
      </w:tr>
    </w:tbl>
    <w:p>
      <w:pPr>
        <w:pStyle w:val="GesAbsatz"/>
      </w:pPr>
    </w:p>
    <w:p>
      <w:pPr>
        <w:pStyle w:val="GesAbsatz"/>
      </w:pPr>
      <w:r>
        <w:t>Als Bezugsniveau ist dabei die Geländeoberfläche an dem Gebäudezugang anzusetzen, von dem aus die Feuerwehr die Brandbekämpfung durchführt. Liegen Brandbekämpfungsabschnitte vollständig unter der Geländeoberfläche, so gilt Abschnitt 5.4. Bei Höhenversätzen in der Grundfläche des Brandbekämpfungsabschnitts ist F</w:t>
      </w:r>
      <w:r>
        <w:rPr>
          <w:vertAlign w:val="subscript"/>
        </w:rPr>
        <w:t>H1</w:t>
      </w:r>
      <w:r>
        <w:t xml:space="preserve"> als gewichtetes Mittel zu ermitteln. Liegt der Fußboden der Ebene oder des Geschosses unterhalb des Bezugsniveaus, ist jeweils das Doppelte des Wertes nach Tabelle 3 anzusetzen.</w:t>
      </w:r>
    </w:p>
    <w:p>
      <w:pPr>
        <w:pStyle w:val="GesAbsatz"/>
        <w:tabs>
          <w:tab w:val="left" w:pos="1134"/>
        </w:tabs>
        <w:ind w:left="1134" w:hanging="1134"/>
        <w:rPr>
          <w:b/>
        </w:rPr>
      </w:pPr>
      <w:r>
        <w:rPr>
          <w:b/>
        </w:rPr>
        <w:t>Tabelle 4:</w:t>
      </w:r>
      <w:r>
        <w:rPr>
          <w:b/>
        </w:rPr>
        <w:tab/>
        <w:t>Faktoren F</w:t>
      </w:r>
      <w:r>
        <w:rPr>
          <w:b/>
          <w:vertAlign w:val="subscript"/>
        </w:rPr>
        <w:t>A</w:t>
      </w:r>
      <w:r>
        <w:rPr>
          <w:b/>
        </w:rPr>
        <w:t xml:space="preserve"> zur Berücksichtigung der Art des Öffnungsverschlusses der jeweiligen Ebene</w:t>
      </w:r>
    </w:p>
    <w:tbl>
      <w:tblPr>
        <w:tblStyle w:val="Tabellenraster"/>
        <w:tblW w:w="0" w:type="auto"/>
        <w:tblLook w:val="04A0" w:firstRow="1" w:lastRow="0" w:firstColumn="1" w:lastColumn="0" w:noHBand="0" w:noVBand="1"/>
      </w:tblPr>
      <w:tblGrid>
        <w:gridCol w:w="1384"/>
        <w:gridCol w:w="2501"/>
        <w:gridCol w:w="2935"/>
        <w:gridCol w:w="2452"/>
      </w:tblGrid>
      <w:tr>
        <w:tc>
          <w:tcPr>
            <w:tcW w:w="1384" w:type="dxa"/>
            <w:vAlign w:val="center"/>
          </w:tcPr>
          <w:p>
            <w:pPr>
              <w:pStyle w:val="GesAbsatz"/>
              <w:tabs>
                <w:tab w:val="clear" w:pos="425"/>
              </w:tabs>
              <w:jc w:val="center"/>
            </w:pPr>
            <w:r>
              <w:t>Öffnungen</w:t>
            </w:r>
          </w:p>
        </w:tc>
        <w:tc>
          <w:tcPr>
            <w:tcW w:w="2501" w:type="dxa"/>
            <w:vAlign w:val="center"/>
          </w:tcPr>
          <w:p>
            <w:pPr>
              <w:pStyle w:val="GesAbsatz"/>
              <w:tabs>
                <w:tab w:val="clear" w:pos="425"/>
              </w:tabs>
              <w:jc w:val="center"/>
            </w:pPr>
            <w:r>
              <w:t>durch Bauteile nach SK</w:t>
            </w:r>
            <w:r>
              <w:rPr>
                <w:vertAlign w:val="subscript"/>
              </w:rPr>
              <w:t>b</w:t>
            </w:r>
            <w:r>
              <w:t>3 geschlossen</w:t>
            </w:r>
          </w:p>
        </w:tc>
        <w:tc>
          <w:tcPr>
            <w:tcW w:w="2935" w:type="dxa"/>
            <w:vAlign w:val="center"/>
          </w:tcPr>
          <w:p>
            <w:pPr>
              <w:pStyle w:val="GesAbsatz"/>
              <w:tabs>
                <w:tab w:val="clear" w:pos="425"/>
              </w:tabs>
              <w:jc w:val="center"/>
            </w:pPr>
            <w:r>
              <w:t>durch Bauteile mit nichtbrennbaren Baustoffen geschlossen</w:t>
            </w:r>
          </w:p>
        </w:tc>
        <w:tc>
          <w:tcPr>
            <w:tcW w:w="2452" w:type="dxa"/>
            <w:vAlign w:val="center"/>
          </w:tcPr>
          <w:p>
            <w:pPr>
              <w:pStyle w:val="GesAbsatz"/>
              <w:tabs>
                <w:tab w:val="clear" w:pos="425"/>
              </w:tabs>
              <w:jc w:val="center"/>
            </w:pPr>
            <w:r>
              <w:t>ohne Verschluss</w:t>
            </w:r>
          </w:p>
        </w:tc>
      </w:tr>
      <w:tr>
        <w:tc>
          <w:tcPr>
            <w:tcW w:w="1384" w:type="dxa"/>
          </w:tcPr>
          <w:p>
            <w:pPr>
              <w:pStyle w:val="GesAbsatz"/>
              <w:tabs>
                <w:tab w:val="clear" w:pos="425"/>
              </w:tabs>
            </w:pPr>
            <w:r>
              <w:t>Faktor F</w:t>
            </w:r>
            <w:r>
              <w:rPr>
                <w:vertAlign w:val="subscript"/>
              </w:rPr>
              <w:t>A</w:t>
            </w:r>
          </w:p>
        </w:tc>
        <w:tc>
          <w:tcPr>
            <w:tcW w:w="2501" w:type="dxa"/>
          </w:tcPr>
          <w:p>
            <w:pPr>
              <w:pStyle w:val="GesAbsatz"/>
              <w:tabs>
                <w:tab w:val="clear" w:pos="425"/>
              </w:tabs>
              <w:jc w:val="center"/>
            </w:pPr>
            <w:r>
              <w:t>0,4</w:t>
            </w:r>
          </w:p>
        </w:tc>
        <w:tc>
          <w:tcPr>
            <w:tcW w:w="2935" w:type="dxa"/>
          </w:tcPr>
          <w:p>
            <w:pPr>
              <w:pStyle w:val="GesAbsatz"/>
              <w:tabs>
                <w:tab w:val="clear" w:pos="425"/>
              </w:tabs>
              <w:jc w:val="center"/>
            </w:pPr>
            <w:r>
              <w:t>0,7*</w:t>
            </w:r>
          </w:p>
        </w:tc>
        <w:tc>
          <w:tcPr>
            <w:tcW w:w="2452" w:type="dxa"/>
          </w:tcPr>
          <w:p>
            <w:pPr>
              <w:pStyle w:val="GesAbsatz"/>
              <w:tabs>
                <w:tab w:val="clear" w:pos="425"/>
              </w:tabs>
              <w:jc w:val="center"/>
            </w:pPr>
            <w:r>
              <w:t>1,7</w:t>
            </w:r>
          </w:p>
        </w:tc>
      </w:tr>
      <w:tr>
        <w:tc>
          <w:tcPr>
            <w:tcW w:w="9272" w:type="dxa"/>
            <w:gridSpan w:val="4"/>
          </w:tcPr>
          <w:p>
            <w:pPr>
              <w:pStyle w:val="GesAbsatz"/>
              <w:tabs>
                <w:tab w:val="clear" w:pos="425"/>
              </w:tabs>
              <w:rPr>
                <w:sz w:val="18"/>
                <w:szCs w:val="18"/>
              </w:rPr>
            </w:pPr>
            <w:r>
              <w:rPr>
                <w:sz w:val="18"/>
                <w:szCs w:val="18"/>
              </w:rPr>
              <w:t>*Sofern der Anteil der mit nichtbrennbaren Bauteilen geschlossenen Flächen den Wert von 10% der jeweiligen Ebene überschreitet, ist der Faktor F</w:t>
            </w:r>
            <w:r>
              <w:rPr>
                <w:sz w:val="18"/>
                <w:szCs w:val="18"/>
                <w:vertAlign w:val="subscript"/>
              </w:rPr>
              <w:t>A</w:t>
            </w:r>
            <w:r>
              <w:rPr>
                <w:sz w:val="18"/>
                <w:szCs w:val="18"/>
              </w:rPr>
              <w:t xml:space="preserve"> = 1,7 anzusetzen.</w:t>
            </w:r>
          </w:p>
        </w:tc>
      </w:tr>
    </w:tbl>
    <w:p>
      <w:pPr>
        <w:pStyle w:val="GesAbsatz"/>
      </w:pPr>
    </w:p>
    <w:p>
      <w:pPr>
        <w:pStyle w:val="GesAbsatz"/>
      </w:pPr>
      <w:r>
        <w:t>Bei der Bewertung der Flächen ist die Grundfläche des Brandbekämpfungsabschnitts mit dem Faktor F</w:t>
      </w:r>
      <w:r>
        <w:rPr>
          <w:vertAlign w:val="subscript"/>
        </w:rPr>
        <w:t>A1</w:t>
      </w:r>
      <w:r>
        <w:t xml:space="preserve"> = 1,0 anzusetzen.</w:t>
      </w:r>
    </w:p>
    <w:p>
      <w:pPr>
        <w:pStyle w:val="GesAbsatz"/>
      </w:pPr>
      <w:r>
        <w:t>Ist die Ebene mit der größten Ausdehnung nicht die Grundfläche des Brandbekämpfungsabschnitts, ist stattdessen der Faktor F</w:t>
      </w:r>
      <w:r>
        <w:rPr>
          <w:vertAlign w:val="subscript"/>
        </w:rPr>
        <w:t>Ai</w:t>
      </w:r>
      <w:r>
        <w:t xml:space="preserve"> = 1,0 für die Ebene mit der größten Ausdehnung anzusetzen.</w:t>
      </w:r>
    </w:p>
    <w:p>
      <w:pPr>
        <w:pStyle w:val="GesAbsatz"/>
        <w:ind w:left="1134" w:hanging="1134"/>
        <w:rPr>
          <w:b/>
        </w:rPr>
      </w:pPr>
      <w:r>
        <w:rPr>
          <w:b/>
        </w:rPr>
        <w:t>Tabelle 5:</w:t>
      </w:r>
      <w:r>
        <w:rPr>
          <w:b/>
        </w:rPr>
        <w:tab/>
        <w:t>Zulässige Summe der bewerteten Grundflächen der Geschosse und Ebenen eines Brandbekämpfungsabschnitts zul A</w:t>
      </w:r>
      <w:r>
        <w:rPr>
          <w:b/>
          <w:vertAlign w:val="subscript"/>
        </w:rPr>
        <w:t>bew</w:t>
      </w:r>
      <w:r>
        <w:rPr>
          <w:b/>
        </w:rPr>
        <w:t xml:space="preserve"> in m²</w:t>
      </w:r>
    </w:p>
    <w:tbl>
      <w:tblPr>
        <w:tblStyle w:val="Tabellenraster"/>
        <w:tblW w:w="0" w:type="auto"/>
        <w:tblLook w:val="04A0" w:firstRow="1" w:lastRow="0" w:firstColumn="1" w:lastColumn="0" w:noHBand="0" w:noVBand="1"/>
      </w:tblPr>
      <w:tblGrid>
        <w:gridCol w:w="1255"/>
        <w:gridCol w:w="1746"/>
        <w:gridCol w:w="1656"/>
        <w:gridCol w:w="1657"/>
        <w:gridCol w:w="1657"/>
        <w:gridCol w:w="1657"/>
      </w:tblGrid>
      <w:tr>
        <w:tc>
          <w:tcPr>
            <w:tcW w:w="1273" w:type="dxa"/>
            <w:vMerge w:val="restart"/>
            <w:vAlign w:val="center"/>
          </w:tcPr>
          <w:p>
            <w:pPr>
              <w:pStyle w:val="GesAbsatz"/>
              <w:tabs>
                <w:tab w:val="clear" w:pos="425"/>
              </w:tabs>
              <w:jc w:val="center"/>
              <w:rPr>
                <w:b/>
              </w:rPr>
            </w:pPr>
            <w:r>
              <w:rPr>
                <w:b/>
              </w:rPr>
              <w:t>Sicherheits-kategorie</w:t>
            </w:r>
          </w:p>
        </w:tc>
        <w:tc>
          <w:tcPr>
            <w:tcW w:w="8581" w:type="dxa"/>
            <w:gridSpan w:val="5"/>
          </w:tcPr>
          <w:p>
            <w:pPr>
              <w:pStyle w:val="GesAbsatz"/>
              <w:tabs>
                <w:tab w:val="clear" w:pos="425"/>
              </w:tabs>
              <w:jc w:val="center"/>
              <w:rPr>
                <w:b/>
              </w:rPr>
            </w:pPr>
            <w:r>
              <w:rPr>
                <w:b/>
              </w:rPr>
              <w:t>äquivalente Branddauer t</w:t>
            </w:r>
            <w:r>
              <w:rPr>
                <w:b/>
                <w:vertAlign w:val="subscript"/>
              </w:rPr>
              <w:t>ä</w:t>
            </w:r>
            <w:r>
              <w:rPr>
                <w:b/>
              </w:rPr>
              <w:t xml:space="preserve"> in Minuten</w:t>
            </w:r>
          </w:p>
        </w:tc>
      </w:tr>
      <w:tr>
        <w:tc>
          <w:tcPr>
            <w:tcW w:w="1273" w:type="dxa"/>
            <w:vMerge/>
          </w:tcPr>
          <w:p>
            <w:pPr>
              <w:pStyle w:val="GesAbsatz"/>
              <w:tabs>
                <w:tab w:val="clear" w:pos="425"/>
              </w:tabs>
              <w:rPr>
                <w:b/>
              </w:rPr>
            </w:pPr>
          </w:p>
        </w:tc>
        <w:tc>
          <w:tcPr>
            <w:tcW w:w="1790" w:type="dxa"/>
          </w:tcPr>
          <w:p>
            <w:pPr>
              <w:pStyle w:val="GesAbsatz"/>
              <w:tabs>
                <w:tab w:val="clear" w:pos="425"/>
              </w:tabs>
              <w:jc w:val="center"/>
              <w:rPr>
                <w:b/>
              </w:rPr>
            </w:pPr>
            <w:r>
              <w:rPr>
                <w:rFonts w:cs="Arial"/>
                <w:b/>
              </w:rPr>
              <w:t>≤</w:t>
            </w:r>
            <w:r>
              <w:rPr>
                <w:b/>
              </w:rPr>
              <w:t xml:space="preserve"> 5</w:t>
            </w:r>
          </w:p>
        </w:tc>
        <w:tc>
          <w:tcPr>
            <w:tcW w:w="1697" w:type="dxa"/>
          </w:tcPr>
          <w:p>
            <w:pPr>
              <w:pStyle w:val="GesAbsatz"/>
              <w:tabs>
                <w:tab w:val="clear" w:pos="425"/>
              </w:tabs>
              <w:jc w:val="center"/>
              <w:rPr>
                <w:b/>
              </w:rPr>
            </w:pPr>
            <w:r>
              <w:rPr>
                <w:b/>
              </w:rPr>
              <w:t>15</w:t>
            </w:r>
          </w:p>
        </w:tc>
        <w:tc>
          <w:tcPr>
            <w:tcW w:w="1698" w:type="dxa"/>
          </w:tcPr>
          <w:p>
            <w:pPr>
              <w:pStyle w:val="GesAbsatz"/>
              <w:tabs>
                <w:tab w:val="clear" w:pos="425"/>
              </w:tabs>
              <w:jc w:val="center"/>
              <w:rPr>
                <w:b/>
              </w:rPr>
            </w:pPr>
            <w:r>
              <w:rPr>
                <w:b/>
              </w:rPr>
              <w:t>30</w:t>
            </w:r>
          </w:p>
        </w:tc>
        <w:tc>
          <w:tcPr>
            <w:tcW w:w="1698" w:type="dxa"/>
          </w:tcPr>
          <w:p>
            <w:pPr>
              <w:pStyle w:val="GesAbsatz"/>
              <w:tabs>
                <w:tab w:val="clear" w:pos="425"/>
              </w:tabs>
              <w:jc w:val="center"/>
              <w:rPr>
                <w:b/>
              </w:rPr>
            </w:pPr>
            <w:r>
              <w:rPr>
                <w:b/>
              </w:rPr>
              <w:t>60</w:t>
            </w:r>
          </w:p>
        </w:tc>
        <w:tc>
          <w:tcPr>
            <w:tcW w:w="1698" w:type="dxa"/>
          </w:tcPr>
          <w:p>
            <w:pPr>
              <w:pStyle w:val="GesAbsatz"/>
              <w:tabs>
                <w:tab w:val="clear" w:pos="425"/>
              </w:tabs>
              <w:jc w:val="center"/>
              <w:rPr>
                <w:b/>
              </w:rPr>
            </w:pPr>
            <w:r>
              <w:rPr>
                <w:rFonts w:cs="Arial"/>
                <w:b/>
              </w:rPr>
              <w:t>≥</w:t>
            </w:r>
            <w:r>
              <w:rPr>
                <w:b/>
              </w:rPr>
              <w:t xml:space="preserve"> 90</w:t>
            </w:r>
          </w:p>
        </w:tc>
      </w:tr>
      <w:tr>
        <w:tc>
          <w:tcPr>
            <w:tcW w:w="1273" w:type="dxa"/>
          </w:tcPr>
          <w:p>
            <w:pPr>
              <w:pStyle w:val="GesAbsatz"/>
              <w:tabs>
                <w:tab w:val="clear" w:pos="425"/>
              </w:tabs>
            </w:pPr>
            <w:r>
              <w:t>K1</w:t>
            </w:r>
          </w:p>
        </w:tc>
        <w:tc>
          <w:tcPr>
            <w:tcW w:w="1790" w:type="dxa"/>
          </w:tcPr>
          <w:p>
            <w:pPr>
              <w:pStyle w:val="GesAbsatz"/>
              <w:tabs>
                <w:tab w:val="clear" w:pos="425"/>
              </w:tabs>
              <w:jc w:val="center"/>
            </w:pPr>
            <w:r>
              <w:t>30 000</w:t>
            </w:r>
          </w:p>
        </w:tc>
        <w:tc>
          <w:tcPr>
            <w:tcW w:w="1697" w:type="dxa"/>
          </w:tcPr>
          <w:p>
            <w:pPr>
              <w:pStyle w:val="GesAbsatz"/>
              <w:tabs>
                <w:tab w:val="clear" w:pos="425"/>
              </w:tabs>
              <w:jc w:val="center"/>
            </w:pPr>
            <w:r>
              <w:t>20 000</w:t>
            </w:r>
          </w:p>
        </w:tc>
        <w:tc>
          <w:tcPr>
            <w:tcW w:w="1698" w:type="dxa"/>
          </w:tcPr>
          <w:p>
            <w:pPr>
              <w:pStyle w:val="GesAbsatz"/>
              <w:tabs>
                <w:tab w:val="clear" w:pos="425"/>
              </w:tabs>
              <w:jc w:val="center"/>
            </w:pPr>
            <w:r>
              <w:t>12 000</w:t>
            </w:r>
          </w:p>
        </w:tc>
        <w:tc>
          <w:tcPr>
            <w:tcW w:w="1698" w:type="dxa"/>
          </w:tcPr>
          <w:p>
            <w:pPr>
              <w:pStyle w:val="GesAbsatz"/>
              <w:tabs>
                <w:tab w:val="clear" w:pos="425"/>
              </w:tabs>
              <w:jc w:val="center"/>
            </w:pPr>
            <w:r>
              <w:t>6 000</w:t>
            </w:r>
          </w:p>
        </w:tc>
        <w:tc>
          <w:tcPr>
            <w:tcW w:w="1698" w:type="dxa"/>
          </w:tcPr>
          <w:p>
            <w:pPr>
              <w:pStyle w:val="GesAbsatz"/>
              <w:tabs>
                <w:tab w:val="clear" w:pos="425"/>
              </w:tabs>
              <w:jc w:val="center"/>
            </w:pPr>
            <w:r>
              <w:t>4 000</w:t>
            </w:r>
          </w:p>
        </w:tc>
      </w:tr>
      <w:tr>
        <w:tc>
          <w:tcPr>
            <w:tcW w:w="1273" w:type="dxa"/>
          </w:tcPr>
          <w:p>
            <w:pPr>
              <w:pStyle w:val="GesAbsatz"/>
              <w:tabs>
                <w:tab w:val="clear" w:pos="425"/>
              </w:tabs>
            </w:pPr>
            <w:r>
              <w:t>K2</w:t>
            </w:r>
          </w:p>
        </w:tc>
        <w:tc>
          <w:tcPr>
            <w:tcW w:w="1790" w:type="dxa"/>
          </w:tcPr>
          <w:p>
            <w:pPr>
              <w:pStyle w:val="GesAbsatz"/>
              <w:tabs>
                <w:tab w:val="clear" w:pos="425"/>
              </w:tabs>
              <w:jc w:val="center"/>
            </w:pPr>
            <w:r>
              <w:t>50 000</w:t>
            </w:r>
          </w:p>
        </w:tc>
        <w:tc>
          <w:tcPr>
            <w:tcW w:w="1697" w:type="dxa"/>
          </w:tcPr>
          <w:p>
            <w:pPr>
              <w:pStyle w:val="GesAbsatz"/>
              <w:tabs>
                <w:tab w:val="clear" w:pos="425"/>
              </w:tabs>
              <w:jc w:val="center"/>
            </w:pPr>
            <w:r>
              <w:t>30 000</w:t>
            </w:r>
          </w:p>
        </w:tc>
        <w:tc>
          <w:tcPr>
            <w:tcW w:w="1698" w:type="dxa"/>
          </w:tcPr>
          <w:p>
            <w:pPr>
              <w:pStyle w:val="GesAbsatz"/>
              <w:tabs>
                <w:tab w:val="clear" w:pos="425"/>
              </w:tabs>
              <w:jc w:val="center"/>
            </w:pPr>
            <w:r>
              <w:t>18 000</w:t>
            </w:r>
          </w:p>
        </w:tc>
        <w:tc>
          <w:tcPr>
            <w:tcW w:w="1698" w:type="dxa"/>
          </w:tcPr>
          <w:p>
            <w:pPr>
              <w:pStyle w:val="GesAbsatz"/>
              <w:tabs>
                <w:tab w:val="clear" w:pos="425"/>
              </w:tabs>
              <w:jc w:val="center"/>
            </w:pPr>
            <w:r>
              <w:t>9 000</w:t>
            </w:r>
          </w:p>
        </w:tc>
        <w:tc>
          <w:tcPr>
            <w:tcW w:w="1698" w:type="dxa"/>
          </w:tcPr>
          <w:p>
            <w:pPr>
              <w:pStyle w:val="GesAbsatz"/>
              <w:tabs>
                <w:tab w:val="clear" w:pos="425"/>
              </w:tabs>
              <w:jc w:val="center"/>
            </w:pPr>
            <w:r>
              <w:t>6 000</w:t>
            </w:r>
          </w:p>
        </w:tc>
      </w:tr>
      <w:tr>
        <w:tc>
          <w:tcPr>
            <w:tcW w:w="1273" w:type="dxa"/>
          </w:tcPr>
          <w:p>
            <w:pPr>
              <w:pStyle w:val="GesAbsatz"/>
              <w:tabs>
                <w:tab w:val="clear" w:pos="425"/>
              </w:tabs>
            </w:pPr>
            <w:r>
              <w:t>K3.1</w:t>
            </w:r>
          </w:p>
        </w:tc>
        <w:tc>
          <w:tcPr>
            <w:tcW w:w="1790" w:type="dxa"/>
          </w:tcPr>
          <w:p>
            <w:pPr>
              <w:pStyle w:val="GesAbsatz"/>
              <w:tabs>
                <w:tab w:val="clear" w:pos="425"/>
              </w:tabs>
              <w:jc w:val="center"/>
            </w:pPr>
            <w:r>
              <w:t>60 000</w:t>
            </w:r>
          </w:p>
        </w:tc>
        <w:tc>
          <w:tcPr>
            <w:tcW w:w="1697" w:type="dxa"/>
          </w:tcPr>
          <w:p>
            <w:pPr>
              <w:pStyle w:val="GesAbsatz"/>
              <w:tabs>
                <w:tab w:val="clear" w:pos="425"/>
              </w:tabs>
              <w:jc w:val="center"/>
            </w:pPr>
            <w:r>
              <w:t>36 000</w:t>
            </w:r>
          </w:p>
        </w:tc>
        <w:tc>
          <w:tcPr>
            <w:tcW w:w="1698" w:type="dxa"/>
          </w:tcPr>
          <w:p>
            <w:pPr>
              <w:pStyle w:val="GesAbsatz"/>
              <w:tabs>
                <w:tab w:val="clear" w:pos="425"/>
              </w:tabs>
              <w:jc w:val="center"/>
            </w:pPr>
            <w:r>
              <w:t>21 600</w:t>
            </w:r>
          </w:p>
        </w:tc>
        <w:tc>
          <w:tcPr>
            <w:tcW w:w="1698" w:type="dxa"/>
          </w:tcPr>
          <w:p>
            <w:pPr>
              <w:pStyle w:val="GesAbsatz"/>
              <w:tabs>
                <w:tab w:val="clear" w:pos="425"/>
              </w:tabs>
              <w:jc w:val="center"/>
            </w:pPr>
            <w:r>
              <w:t>10 800</w:t>
            </w:r>
          </w:p>
        </w:tc>
        <w:tc>
          <w:tcPr>
            <w:tcW w:w="1698" w:type="dxa"/>
          </w:tcPr>
          <w:p>
            <w:pPr>
              <w:pStyle w:val="GesAbsatz"/>
              <w:tabs>
                <w:tab w:val="clear" w:pos="425"/>
              </w:tabs>
              <w:jc w:val="center"/>
            </w:pPr>
            <w:r>
              <w:t>7 200</w:t>
            </w:r>
          </w:p>
        </w:tc>
      </w:tr>
      <w:tr>
        <w:tc>
          <w:tcPr>
            <w:tcW w:w="1273" w:type="dxa"/>
          </w:tcPr>
          <w:p>
            <w:pPr>
              <w:pStyle w:val="GesAbsatz"/>
              <w:tabs>
                <w:tab w:val="clear" w:pos="425"/>
              </w:tabs>
            </w:pPr>
            <w:r>
              <w:t>K3.2</w:t>
            </w:r>
          </w:p>
        </w:tc>
        <w:tc>
          <w:tcPr>
            <w:tcW w:w="1790" w:type="dxa"/>
          </w:tcPr>
          <w:p>
            <w:pPr>
              <w:pStyle w:val="GesAbsatz"/>
              <w:tabs>
                <w:tab w:val="clear" w:pos="425"/>
              </w:tabs>
              <w:jc w:val="center"/>
            </w:pPr>
            <w:r>
              <w:t>67 000</w:t>
            </w:r>
          </w:p>
        </w:tc>
        <w:tc>
          <w:tcPr>
            <w:tcW w:w="1697" w:type="dxa"/>
          </w:tcPr>
          <w:p>
            <w:pPr>
              <w:pStyle w:val="GesAbsatz"/>
              <w:tabs>
                <w:tab w:val="clear" w:pos="425"/>
              </w:tabs>
              <w:jc w:val="center"/>
            </w:pPr>
            <w:r>
              <w:t>40 000</w:t>
            </w:r>
          </w:p>
        </w:tc>
        <w:tc>
          <w:tcPr>
            <w:tcW w:w="1698" w:type="dxa"/>
          </w:tcPr>
          <w:p>
            <w:pPr>
              <w:pStyle w:val="GesAbsatz"/>
              <w:tabs>
                <w:tab w:val="clear" w:pos="425"/>
              </w:tabs>
              <w:jc w:val="center"/>
            </w:pPr>
            <w:r>
              <w:t>24 000</w:t>
            </w:r>
          </w:p>
        </w:tc>
        <w:tc>
          <w:tcPr>
            <w:tcW w:w="1698" w:type="dxa"/>
          </w:tcPr>
          <w:p>
            <w:pPr>
              <w:pStyle w:val="GesAbsatz"/>
              <w:tabs>
                <w:tab w:val="clear" w:pos="425"/>
              </w:tabs>
              <w:jc w:val="center"/>
            </w:pPr>
            <w:r>
              <w:t>12 000</w:t>
            </w:r>
          </w:p>
        </w:tc>
        <w:tc>
          <w:tcPr>
            <w:tcW w:w="1698" w:type="dxa"/>
          </w:tcPr>
          <w:p>
            <w:pPr>
              <w:pStyle w:val="GesAbsatz"/>
              <w:tabs>
                <w:tab w:val="clear" w:pos="425"/>
              </w:tabs>
              <w:jc w:val="center"/>
            </w:pPr>
            <w:r>
              <w:t>8 000</w:t>
            </w:r>
          </w:p>
        </w:tc>
      </w:tr>
      <w:tr>
        <w:tc>
          <w:tcPr>
            <w:tcW w:w="1273" w:type="dxa"/>
          </w:tcPr>
          <w:p>
            <w:pPr>
              <w:pStyle w:val="GesAbsatz"/>
              <w:tabs>
                <w:tab w:val="clear" w:pos="425"/>
              </w:tabs>
            </w:pPr>
            <w:r>
              <w:t>K3.3</w:t>
            </w:r>
          </w:p>
        </w:tc>
        <w:tc>
          <w:tcPr>
            <w:tcW w:w="1790" w:type="dxa"/>
          </w:tcPr>
          <w:p>
            <w:pPr>
              <w:pStyle w:val="GesAbsatz"/>
              <w:tabs>
                <w:tab w:val="clear" w:pos="425"/>
              </w:tabs>
              <w:jc w:val="center"/>
            </w:pPr>
            <w:r>
              <w:t>77 000</w:t>
            </w:r>
          </w:p>
        </w:tc>
        <w:tc>
          <w:tcPr>
            <w:tcW w:w="1697" w:type="dxa"/>
          </w:tcPr>
          <w:p>
            <w:pPr>
              <w:pStyle w:val="GesAbsatz"/>
              <w:tabs>
                <w:tab w:val="clear" w:pos="425"/>
              </w:tabs>
              <w:jc w:val="center"/>
            </w:pPr>
            <w:r>
              <w:t>46 000</w:t>
            </w:r>
          </w:p>
        </w:tc>
        <w:tc>
          <w:tcPr>
            <w:tcW w:w="1698" w:type="dxa"/>
          </w:tcPr>
          <w:p>
            <w:pPr>
              <w:pStyle w:val="GesAbsatz"/>
              <w:tabs>
                <w:tab w:val="clear" w:pos="425"/>
              </w:tabs>
              <w:jc w:val="center"/>
            </w:pPr>
            <w:r>
              <w:t>27 600</w:t>
            </w:r>
          </w:p>
        </w:tc>
        <w:tc>
          <w:tcPr>
            <w:tcW w:w="1698" w:type="dxa"/>
          </w:tcPr>
          <w:p>
            <w:pPr>
              <w:pStyle w:val="GesAbsatz"/>
              <w:tabs>
                <w:tab w:val="clear" w:pos="425"/>
              </w:tabs>
              <w:jc w:val="center"/>
            </w:pPr>
            <w:r>
              <w:t>13 800</w:t>
            </w:r>
          </w:p>
        </w:tc>
        <w:tc>
          <w:tcPr>
            <w:tcW w:w="1698" w:type="dxa"/>
          </w:tcPr>
          <w:p>
            <w:pPr>
              <w:pStyle w:val="GesAbsatz"/>
              <w:tabs>
                <w:tab w:val="clear" w:pos="425"/>
              </w:tabs>
              <w:jc w:val="center"/>
            </w:pPr>
            <w:r>
              <w:t>9 200</w:t>
            </w:r>
          </w:p>
        </w:tc>
      </w:tr>
      <w:tr>
        <w:tc>
          <w:tcPr>
            <w:tcW w:w="1273" w:type="dxa"/>
          </w:tcPr>
          <w:p>
            <w:pPr>
              <w:pStyle w:val="GesAbsatz"/>
              <w:tabs>
                <w:tab w:val="clear" w:pos="425"/>
              </w:tabs>
            </w:pPr>
            <w:r>
              <w:t>K3.4</w:t>
            </w:r>
          </w:p>
        </w:tc>
        <w:tc>
          <w:tcPr>
            <w:tcW w:w="1790" w:type="dxa"/>
          </w:tcPr>
          <w:p>
            <w:pPr>
              <w:pStyle w:val="GesAbsatz"/>
              <w:tabs>
                <w:tab w:val="clear" w:pos="425"/>
              </w:tabs>
              <w:jc w:val="center"/>
            </w:pPr>
            <w:r>
              <w:t>85 000</w:t>
            </w:r>
          </w:p>
        </w:tc>
        <w:tc>
          <w:tcPr>
            <w:tcW w:w="1697" w:type="dxa"/>
          </w:tcPr>
          <w:p>
            <w:pPr>
              <w:pStyle w:val="GesAbsatz"/>
              <w:tabs>
                <w:tab w:val="clear" w:pos="425"/>
              </w:tabs>
              <w:jc w:val="center"/>
            </w:pPr>
            <w:r>
              <w:t>50 000</w:t>
            </w:r>
          </w:p>
        </w:tc>
        <w:tc>
          <w:tcPr>
            <w:tcW w:w="1698" w:type="dxa"/>
          </w:tcPr>
          <w:p>
            <w:pPr>
              <w:pStyle w:val="GesAbsatz"/>
              <w:tabs>
                <w:tab w:val="clear" w:pos="425"/>
              </w:tabs>
              <w:jc w:val="center"/>
            </w:pPr>
            <w:r>
              <w:t>30 000</w:t>
            </w:r>
          </w:p>
        </w:tc>
        <w:tc>
          <w:tcPr>
            <w:tcW w:w="1698" w:type="dxa"/>
          </w:tcPr>
          <w:p>
            <w:pPr>
              <w:pStyle w:val="GesAbsatz"/>
              <w:tabs>
                <w:tab w:val="clear" w:pos="425"/>
              </w:tabs>
              <w:jc w:val="center"/>
            </w:pPr>
            <w:r>
              <w:t>15 000</w:t>
            </w:r>
          </w:p>
        </w:tc>
        <w:tc>
          <w:tcPr>
            <w:tcW w:w="1698" w:type="dxa"/>
          </w:tcPr>
          <w:p>
            <w:pPr>
              <w:pStyle w:val="GesAbsatz"/>
              <w:tabs>
                <w:tab w:val="clear" w:pos="425"/>
              </w:tabs>
              <w:jc w:val="center"/>
            </w:pPr>
            <w:r>
              <w:t>10 000</w:t>
            </w:r>
          </w:p>
        </w:tc>
      </w:tr>
      <w:tr>
        <w:tc>
          <w:tcPr>
            <w:tcW w:w="1273" w:type="dxa"/>
          </w:tcPr>
          <w:p>
            <w:pPr>
              <w:pStyle w:val="GesAbsatz"/>
              <w:tabs>
                <w:tab w:val="clear" w:pos="425"/>
              </w:tabs>
            </w:pPr>
            <w:r>
              <w:t>K4</w:t>
            </w:r>
          </w:p>
        </w:tc>
        <w:tc>
          <w:tcPr>
            <w:tcW w:w="1790" w:type="dxa"/>
          </w:tcPr>
          <w:p>
            <w:pPr>
              <w:pStyle w:val="GesAbsatz"/>
              <w:tabs>
                <w:tab w:val="clear" w:pos="425"/>
              </w:tabs>
              <w:jc w:val="center"/>
            </w:pPr>
            <w:r>
              <w:t>120 000</w:t>
            </w:r>
          </w:p>
        </w:tc>
        <w:tc>
          <w:tcPr>
            <w:tcW w:w="1697" w:type="dxa"/>
          </w:tcPr>
          <w:p>
            <w:pPr>
              <w:pStyle w:val="GesAbsatz"/>
              <w:tabs>
                <w:tab w:val="clear" w:pos="425"/>
              </w:tabs>
              <w:jc w:val="center"/>
            </w:pPr>
            <w:r>
              <w:t>70 000</w:t>
            </w:r>
          </w:p>
        </w:tc>
        <w:tc>
          <w:tcPr>
            <w:tcW w:w="1698" w:type="dxa"/>
          </w:tcPr>
          <w:p>
            <w:pPr>
              <w:pStyle w:val="GesAbsatz"/>
              <w:tabs>
                <w:tab w:val="clear" w:pos="425"/>
              </w:tabs>
              <w:jc w:val="center"/>
            </w:pPr>
            <w:r>
              <w:t>42 000</w:t>
            </w:r>
          </w:p>
        </w:tc>
        <w:tc>
          <w:tcPr>
            <w:tcW w:w="1698" w:type="dxa"/>
          </w:tcPr>
          <w:p>
            <w:pPr>
              <w:pStyle w:val="GesAbsatz"/>
              <w:tabs>
                <w:tab w:val="clear" w:pos="425"/>
              </w:tabs>
              <w:jc w:val="center"/>
            </w:pPr>
            <w:r>
              <w:t>21 000</w:t>
            </w:r>
          </w:p>
        </w:tc>
        <w:tc>
          <w:tcPr>
            <w:tcW w:w="1698" w:type="dxa"/>
          </w:tcPr>
          <w:p>
            <w:pPr>
              <w:pStyle w:val="GesAbsatz"/>
              <w:tabs>
                <w:tab w:val="clear" w:pos="425"/>
              </w:tabs>
              <w:jc w:val="center"/>
            </w:pPr>
            <w:r>
              <w:t>14 000</w:t>
            </w:r>
          </w:p>
        </w:tc>
      </w:tr>
    </w:tbl>
    <w:p>
      <w:pPr>
        <w:pStyle w:val="GesAbsatz"/>
      </w:pPr>
    </w:p>
    <w:p>
      <w:pPr>
        <w:pStyle w:val="GesAbsatz"/>
      </w:pPr>
      <w:r>
        <w:t>Die tatsächliche Grundfläche jedes einzelnen Geschosses oder jeder einzelnen Ebene darf 75% des Wertes zul A</w:t>
      </w:r>
      <w:r>
        <w:rPr>
          <w:vertAlign w:val="subscript"/>
        </w:rPr>
        <w:t>bew</w:t>
      </w:r>
      <w:r>
        <w:t xml:space="preserve"> nicht überschreiten.</w:t>
      </w:r>
    </w:p>
    <w:p>
      <w:pPr>
        <w:pStyle w:val="berschrift3"/>
      </w:pPr>
      <w:bookmarkStart w:id="47" w:name="_Toc418755872"/>
      <w:r>
        <w:lastRenderedPageBreak/>
        <w:t>7.5</w:t>
      </w:r>
      <w:r>
        <w:br/>
        <w:t>Zusätzliche Anforderungen an Brandbekämpfungsabschnittsflächen</w:t>
      </w:r>
      <w:r>
        <w:br/>
        <w:t>mit einer Größe von mehr als 60 000 m²</w:t>
      </w:r>
      <w:bookmarkEnd w:id="47"/>
    </w:p>
    <w:p>
      <w:pPr>
        <w:pStyle w:val="GesAbsatz"/>
      </w:pPr>
      <w:r>
        <w:t>Brandbekämpfungsabschnittsflächen, die größer als 60 000 m² sind, sind nur zulässig in erdgeschossigen Industriebauten, und wenn</w:t>
      </w:r>
    </w:p>
    <w:p>
      <w:pPr>
        <w:pStyle w:val="GesAbsatz"/>
      </w:pPr>
      <w:r>
        <w:t>a)</w:t>
      </w:r>
      <w:r>
        <w:tab/>
        <w:t>ihre rechnerische Brandbelastung nicht mehr als 100 kWh/m² beträgt und</w:t>
      </w:r>
    </w:p>
    <w:p>
      <w:pPr>
        <w:pStyle w:val="GesAbsatz"/>
      </w:pPr>
      <w:r>
        <w:t>b)</w:t>
      </w:r>
      <w:r>
        <w:tab/>
        <w:t>eine Werkfeuerwehr vorhanden ist.</w:t>
      </w:r>
    </w:p>
    <w:p>
      <w:pPr>
        <w:pStyle w:val="GesAbsatz"/>
      </w:pPr>
      <w:r>
        <w:t>Dabei sind in Abhängigkeit von der Hallenhöhe folgende Flächengrößen zulässig:</w:t>
      </w:r>
    </w:p>
    <w:p>
      <w:pPr>
        <w:pStyle w:val="GesAbsatz"/>
      </w:pPr>
      <w:r>
        <w:t>a)</w:t>
      </w:r>
      <w:r>
        <w:tab/>
        <w:t>bis zu 90 000 m² bei einer lichten Raumhöhe von mehr als 7,0 m oder</w:t>
      </w:r>
    </w:p>
    <w:p>
      <w:pPr>
        <w:pStyle w:val="GesAbsatz"/>
      </w:pPr>
      <w:r>
        <w:t>b)</w:t>
      </w:r>
      <w:r>
        <w:tab/>
        <w:t>bis zu 120 000 m² bei einer lichten Raumhöhe von mehr als 12,0 m.</w:t>
      </w:r>
    </w:p>
    <w:p>
      <w:pPr>
        <w:pStyle w:val="GesAbsatz"/>
      </w:pPr>
      <w:r>
        <w:t>Dabei sind folgende Anforderungen zu erfüllen:</w:t>
      </w:r>
    </w:p>
    <w:p>
      <w:pPr>
        <w:pStyle w:val="GesAbsatz"/>
        <w:ind w:left="426" w:hanging="426"/>
      </w:pPr>
      <w:r>
        <w:t>a)</w:t>
      </w:r>
      <w:r>
        <w:tab/>
        <w:t>bei einer rechnerischen Brandbelastung von mehr als 15 kWh/m² ist eine selbsttätige Feuerlöschanlage anzuordnen,</w:t>
      </w:r>
    </w:p>
    <w:p>
      <w:pPr>
        <w:pStyle w:val="GesAbsatz"/>
        <w:ind w:left="426" w:hanging="426"/>
      </w:pPr>
      <w:r>
        <w:t>b)</w:t>
      </w:r>
      <w:r>
        <w:tab/>
        <w:t>Brandbekämpfungsabschnitte ohne selbsttätige Feuerlöschanlage müssen für Fahrzeuge der Feuerwehr befahrbar sein,</w:t>
      </w:r>
    </w:p>
    <w:p>
      <w:pPr>
        <w:pStyle w:val="GesAbsatz"/>
        <w:ind w:left="426" w:hanging="426"/>
      </w:pPr>
      <w:r>
        <w:t>c)</w:t>
      </w:r>
      <w:r>
        <w:tab/>
        <w:t>die Brandbekämpfungsabschnitte müssen durch geeignete selbsttätige Brandmeldeanlagen überwacht sein,</w:t>
      </w:r>
    </w:p>
    <w:p>
      <w:pPr>
        <w:pStyle w:val="GesAbsatz"/>
        <w:ind w:left="426" w:hanging="426"/>
      </w:pPr>
      <w:r>
        <w:t>d)</w:t>
      </w:r>
      <w:r>
        <w:tab/>
        <w:t>innerhalb der Brandbekämpfungsabschnitte sind Vorkehrungen für die Alarmierung des Personals und für die Brandbekämpfung (Selbsthilfeeinrichtungen) ausreichend anzuordnen und</w:t>
      </w:r>
    </w:p>
    <w:p>
      <w:pPr>
        <w:pStyle w:val="GesAbsatz"/>
        <w:ind w:left="426" w:hanging="426"/>
      </w:pPr>
      <w:r>
        <w:t>e)</w:t>
      </w:r>
      <w:r>
        <w:tab/>
        <w:t>die Löschwassermenge im Brandbekämpfungsabschnitt muss mindestens 192 m³/h betragen.</w:t>
      </w:r>
    </w:p>
    <w:p>
      <w:pPr>
        <w:pStyle w:val="GesAbsatz"/>
      </w:pPr>
      <w:r>
        <w:t>Dabei sind in Brandbekämpfungsabschnitten ohne selbsttätige Feuerlöschanlagen rechnerische Brandbelastungen bis zu 45 kWh/m² zulässig, wenn die zugeordneten Flächen nicht mehr als 400 m² betragen.</w:t>
      </w:r>
    </w:p>
    <w:p>
      <w:pPr>
        <w:pStyle w:val="GesAbsatz"/>
      </w:pPr>
      <w:r>
        <w:t>In allen Brandbekämpfungsabschnitten sind zulässig:</w:t>
      </w:r>
    </w:p>
    <w:p>
      <w:pPr>
        <w:pStyle w:val="GesAbsatz"/>
        <w:ind w:left="426" w:hanging="426"/>
      </w:pPr>
      <w:r>
        <w:t>a)</w:t>
      </w:r>
      <w:r>
        <w:tab/>
        <w:t>konzentrierte Brandbelastungen bis zu 200 kWh/m², wenn diese sich für eine Fläche von nicht mehr als 10 m² ergeben oder</w:t>
      </w:r>
    </w:p>
    <w:p>
      <w:pPr>
        <w:pStyle w:val="GesAbsatz"/>
        <w:ind w:left="426" w:hanging="426"/>
      </w:pPr>
      <w:r>
        <w:t>b)</w:t>
      </w:r>
      <w:r>
        <w:tab/>
        <w:t>rechnerische Brandbelastungen bis zu 200 kWh/m², wenn die zugeordneten Flächen nicht mehr als 400 m² betragen und hierfür eine geeignete selbsttätige Feuerlöschanlage angeordnet ist.</w:t>
      </w:r>
    </w:p>
    <w:p>
      <w:pPr>
        <w:pStyle w:val="GesAbsatz"/>
      </w:pPr>
      <w:r>
        <w:t>Diese Flächen müssen untereinander einen Abstand von mindestens 6,0 m einhalten.</w:t>
      </w:r>
    </w:p>
    <w:p>
      <w:pPr>
        <w:pStyle w:val="berschrift3"/>
      </w:pPr>
      <w:bookmarkStart w:id="48" w:name="_Toc418755873"/>
      <w:r>
        <w:t>7.6</w:t>
      </w:r>
      <w:r>
        <w:br/>
        <w:t>Anforderungen an die Bauteile</w:t>
      </w:r>
      <w:bookmarkEnd w:id="48"/>
    </w:p>
    <w:p>
      <w:pPr>
        <w:pStyle w:val="GesAbsatz"/>
      </w:pPr>
      <w:r>
        <w:t>7.6.1</w:t>
      </w:r>
    </w:p>
    <w:p>
      <w:pPr>
        <w:pStyle w:val="GesAbsatz"/>
      </w:pPr>
      <w:r>
        <w:t>Brandbekämpfungsabschnitte mit Bemessung der Bauteile</w:t>
      </w:r>
    </w:p>
    <w:p>
      <w:pPr>
        <w:pStyle w:val="GesAbsatz"/>
      </w:pPr>
      <w:r>
        <w:t>Die Anforderungen an die Baustoffe und Bauteile bestimmen sich nach Tabelle 6.</w:t>
      </w:r>
    </w:p>
    <w:p>
      <w:pPr>
        <w:tabs>
          <w:tab w:val="clear" w:pos="425"/>
        </w:tabs>
        <w:overflowPunct/>
        <w:autoSpaceDE/>
        <w:autoSpaceDN/>
        <w:adjustRightInd/>
        <w:spacing w:before="0" w:after="0"/>
        <w:jc w:val="left"/>
        <w:textAlignment w:val="auto"/>
        <w:rPr>
          <w:b/>
          <w:color w:val="000000"/>
        </w:rPr>
      </w:pPr>
      <w:r>
        <w:rPr>
          <w:b/>
        </w:rPr>
        <w:br w:type="page"/>
      </w:r>
    </w:p>
    <w:p>
      <w:pPr>
        <w:pStyle w:val="GesAbsatz"/>
        <w:tabs>
          <w:tab w:val="left" w:pos="1134"/>
        </w:tabs>
        <w:rPr>
          <w:b/>
        </w:rPr>
      </w:pPr>
      <w:r>
        <w:rPr>
          <w:b/>
        </w:rPr>
        <w:lastRenderedPageBreak/>
        <w:t>Tabelle 6:</w:t>
      </w:r>
      <w:r>
        <w:rPr>
          <w:b/>
        </w:rPr>
        <w:tab/>
        <w:t>Anforderungen an die Baustoffe und Bauteile</w:t>
      </w:r>
    </w:p>
    <w:tbl>
      <w:tblPr>
        <w:tblStyle w:val="Tabellenraster"/>
        <w:tblW w:w="0" w:type="auto"/>
        <w:tblLayout w:type="fixed"/>
        <w:tblLook w:val="04A0" w:firstRow="1" w:lastRow="0" w:firstColumn="1" w:lastColumn="0" w:noHBand="0" w:noVBand="1"/>
      </w:tblPr>
      <w:tblGrid>
        <w:gridCol w:w="1101"/>
        <w:gridCol w:w="3118"/>
        <w:gridCol w:w="2835"/>
        <w:gridCol w:w="2693"/>
      </w:tblGrid>
      <w:tr>
        <w:tc>
          <w:tcPr>
            <w:tcW w:w="1101" w:type="dxa"/>
          </w:tcPr>
          <w:p>
            <w:pPr>
              <w:pStyle w:val="GesAbsatz"/>
              <w:tabs>
                <w:tab w:val="clear" w:pos="425"/>
              </w:tabs>
              <w:jc w:val="center"/>
              <w:rPr>
                <w:b/>
                <w:sz w:val="18"/>
                <w:szCs w:val="18"/>
              </w:rPr>
            </w:pPr>
            <w:r>
              <w:rPr>
                <w:b/>
                <w:sz w:val="18"/>
                <w:szCs w:val="18"/>
              </w:rPr>
              <w:t>1</w:t>
            </w:r>
          </w:p>
        </w:tc>
        <w:tc>
          <w:tcPr>
            <w:tcW w:w="3118" w:type="dxa"/>
          </w:tcPr>
          <w:p>
            <w:pPr>
              <w:pStyle w:val="GesAbsatz"/>
              <w:tabs>
                <w:tab w:val="clear" w:pos="425"/>
              </w:tabs>
              <w:jc w:val="center"/>
              <w:rPr>
                <w:b/>
                <w:sz w:val="18"/>
                <w:szCs w:val="18"/>
              </w:rPr>
            </w:pPr>
            <w:r>
              <w:rPr>
                <w:b/>
                <w:sz w:val="18"/>
                <w:szCs w:val="18"/>
              </w:rPr>
              <w:t>2</w:t>
            </w:r>
          </w:p>
        </w:tc>
        <w:tc>
          <w:tcPr>
            <w:tcW w:w="2835" w:type="dxa"/>
          </w:tcPr>
          <w:p>
            <w:pPr>
              <w:pStyle w:val="GesAbsatz"/>
              <w:tabs>
                <w:tab w:val="clear" w:pos="425"/>
              </w:tabs>
              <w:jc w:val="center"/>
              <w:rPr>
                <w:b/>
                <w:sz w:val="18"/>
                <w:szCs w:val="18"/>
              </w:rPr>
            </w:pPr>
            <w:r>
              <w:rPr>
                <w:b/>
                <w:sz w:val="18"/>
                <w:szCs w:val="18"/>
              </w:rPr>
              <w:t>3</w:t>
            </w:r>
          </w:p>
        </w:tc>
        <w:tc>
          <w:tcPr>
            <w:tcW w:w="2693" w:type="dxa"/>
          </w:tcPr>
          <w:p>
            <w:pPr>
              <w:pStyle w:val="GesAbsatz"/>
              <w:tabs>
                <w:tab w:val="clear" w:pos="425"/>
              </w:tabs>
              <w:jc w:val="center"/>
              <w:rPr>
                <w:b/>
                <w:sz w:val="18"/>
                <w:szCs w:val="18"/>
              </w:rPr>
            </w:pPr>
            <w:r>
              <w:rPr>
                <w:b/>
                <w:sz w:val="18"/>
                <w:szCs w:val="18"/>
              </w:rPr>
              <w:t>4</w:t>
            </w:r>
          </w:p>
        </w:tc>
      </w:tr>
      <w:tr>
        <w:trPr>
          <w:trHeight w:val="4328"/>
        </w:trPr>
        <w:tc>
          <w:tcPr>
            <w:tcW w:w="1101" w:type="dxa"/>
          </w:tcPr>
          <w:p>
            <w:pPr>
              <w:pStyle w:val="GesAbsatz"/>
              <w:tabs>
                <w:tab w:val="clear" w:pos="425"/>
              </w:tabs>
              <w:rPr>
                <w:sz w:val="18"/>
                <w:szCs w:val="18"/>
              </w:rPr>
            </w:pPr>
            <w:r>
              <w:rPr>
                <w:sz w:val="18"/>
                <w:szCs w:val="18"/>
              </w:rPr>
              <w:t>erf t</w:t>
            </w:r>
            <w:r>
              <w:rPr>
                <w:sz w:val="18"/>
                <w:szCs w:val="18"/>
                <w:vertAlign w:val="subscript"/>
              </w:rPr>
              <w:t>F</w:t>
            </w:r>
            <w:r>
              <w:rPr>
                <w:sz w:val="18"/>
                <w:szCs w:val="18"/>
              </w:rPr>
              <w:t xml:space="preserve"> nach DIN 18230-1 in Minuten</w:t>
            </w:r>
          </w:p>
        </w:tc>
        <w:tc>
          <w:tcPr>
            <w:tcW w:w="3118" w:type="dxa"/>
          </w:tcPr>
          <w:p>
            <w:pPr>
              <w:pStyle w:val="GesAbsatz"/>
              <w:tabs>
                <w:tab w:val="clear" w:pos="425"/>
              </w:tabs>
              <w:rPr>
                <w:sz w:val="18"/>
                <w:szCs w:val="18"/>
              </w:rPr>
            </w:pPr>
            <w:r>
              <w:rPr>
                <w:sz w:val="18"/>
                <w:szCs w:val="18"/>
              </w:rPr>
              <w:t>Feuerwiderstandsfähigkeit von</w:t>
            </w:r>
          </w:p>
          <w:p>
            <w:pPr>
              <w:pStyle w:val="GesAbsatz"/>
              <w:tabs>
                <w:tab w:val="clear" w:pos="425"/>
              </w:tabs>
              <w:ind w:left="175" w:hanging="175"/>
              <w:rPr>
                <w:sz w:val="18"/>
                <w:szCs w:val="18"/>
              </w:rPr>
            </w:pPr>
            <w:r>
              <w:rPr>
                <w:sz w:val="18"/>
                <w:szCs w:val="18"/>
              </w:rPr>
              <w:t>1.</w:t>
            </w:r>
            <w:r>
              <w:rPr>
                <w:sz w:val="18"/>
                <w:szCs w:val="18"/>
              </w:rPr>
              <w:tab/>
              <w:t>Decken, die Brandbekämpfungsabschnitte trennen und Bauteile, die diese Decken tragen, aussteifen oder überbrücken</w:t>
            </w:r>
          </w:p>
          <w:p>
            <w:pPr>
              <w:pStyle w:val="GesAbsatz"/>
              <w:tabs>
                <w:tab w:val="clear" w:pos="425"/>
              </w:tabs>
              <w:ind w:left="175" w:hanging="175"/>
              <w:rPr>
                <w:sz w:val="18"/>
                <w:szCs w:val="18"/>
              </w:rPr>
            </w:pPr>
            <w:r>
              <w:rPr>
                <w:sz w:val="18"/>
                <w:szCs w:val="18"/>
              </w:rPr>
              <w:t>2.</w:t>
            </w:r>
            <w:r>
              <w:rPr>
                <w:sz w:val="18"/>
                <w:szCs w:val="18"/>
              </w:rPr>
              <w:tab/>
              <w:t>Abschlüssen von Öffnungen in Bauteilen nach Nr. 1 und in Brandbekämpfungsabschnittstrennwänden</w:t>
            </w:r>
          </w:p>
          <w:p>
            <w:pPr>
              <w:pStyle w:val="GesAbsatz"/>
              <w:tabs>
                <w:tab w:val="clear" w:pos="425"/>
              </w:tabs>
              <w:ind w:left="175" w:hanging="175"/>
              <w:rPr>
                <w:sz w:val="18"/>
                <w:szCs w:val="18"/>
              </w:rPr>
            </w:pPr>
            <w:r>
              <w:rPr>
                <w:sz w:val="18"/>
                <w:szCs w:val="18"/>
              </w:rPr>
              <w:t>3.</w:t>
            </w:r>
            <w:r>
              <w:rPr>
                <w:sz w:val="18"/>
                <w:szCs w:val="18"/>
              </w:rPr>
              <w:tab/>
              <w:t>Lüftungsleitungen, Installationsschächten und -kanälen oder Vorkehrungen gegen Brandübertragung bei Leitungen, Lüftungsleitungen, Installationsschächten und -kanälen ohne Feuerwiderstandsfähigkeit, die Brandbekämpfungsabschnitte überbrücken</w:t>
            </w:r>
          </w:p>
        </w:tc>
        <w:tc>
          <w:tcPr>
            <w:tcW w:w="2835" w:type="dxa"/>
          </w:tcPr>
          <w:p>
            <w:pPr>
              <w:pStyle w:val="GesAbsatz"/>
              <w:tabs>
                <w:tab w:val="clear" w:pos="425"/>
              </w:tabs>
              <w:rPr>
                <w:sz w:val="18"/>
                <w:szCs w:val="18"/>
              </w:rPr>
            </w:pPr>
            <w:r>
              <w:rPr>
                <w:sz w:val="18"/>
                <w:szCs w:val="18"/>
              </w:rPr>
              <w:t>Feuerwiderstandsfähigkeit von</w:t>
            </w:r>
          </w:p>
          <w:p>
            <w:pPr>
              <w:pStyle w:val="GesAbsatz"/>
              <w:tabs>
                <w:tab w:val="clear" w:pos="425"/>
              </w:tabs>
              <w:ind w:left="176" w:hanging="176"/>
              <w:rPr>
                <w:sz w:val="18"/>
                <w:szCs w:val="18"/>
              </w:rPr>
            </w:pPr>
            <w:r>
              <w:rPr>
                <w:sz w:val="18"/>
                <w:szCs w:val="18"/>
              </w:rPr>
              <w:t>1.</w:t>
            </w:r>
            <w:r>
              <w:rPr>
                <w:sz w:val="18"/>
                <w:szCs w:val="18"/>
              </w:rPr>
              <w:tab/>
              <w:t>Bauteilen in der Brandsicherheitsklasse SK</w:t>
            </w:r>
            <w:r>
              <w:rPr>
                <w:sz w:val="18"/>
                <w:szCs w:val="18"/>
                <w:vertAlign w:val="subscript"/>
              </w:rPr>
              <w:t>b</w:t>
            </w:r>
            <w:r>
              <w:rPr>
                <w:sz w:val="18"/>
                <w:szCs w:val="18"/>
              </w:rPr>
              <w:t>3, die nicht in Zeile 1, Spalte 2, Nr. 1 einzuordnen sind</w:t>
            </w:r>
          </w:p>
          <w:p>
            <w:pPr>
              <w:pStyle w:val="GesAbsatz"/>
              <w:tabs>
                <w:tab w:val="clear" w:pos="425"/>
              </w:tabs>
              <w:ind w:left="176" w:hanging="176"/>
              <w:rPr>
                <w:sz w:val="18"/>
                <w:szCs w:val="18"/>
              </w:rPr>
            </w:pPr>
            <w:r>
              <w:rPr>
                <w:sz w:val="18"/>
                <w:szCs w:val="18"/>
              </w:rPr>
              <w:t>2.</w:t>
            </w:r>
            <w:r>
              <w:rPr>
                <w:sz w:val="18"/>
                <w:szCs w:val="18"/>
              </w:rPr>
              <w:tab/>
              <w:t>Abschlüssen von Öffnungen in Geschossdecken mit Feuerwiderstandsfähigkeit.</w:t>
            </w:r>
          </w:p>
          <w:p>
            <w:pPr>
              <w:pStyle w:val="GesAbsatz"/>
              <w:tabs>
                <w:tab w:val="clear" w:pos="425"/>
              </w:tabs>
              <w:ind w:left="176" w:hanging="176"/>
              <w:rPr>
                <w:sz w:val="18"/>
                <w:szCs w:val="18"/>
              </w:rPr>
            </w:pPr>
            <w:r>
              <w:rPr>
                <w:sz w:val="18"/>
                <w:szCs w:val="18"/>
              </w:rPr>
              <w:t>3.</w:t>
            </w:r>
            <w:r>
              <w:rPr>
                <w:sz w:val="18"/>
                <w:szCs w:val="18"/>
              </w:rPr>
              <w:tab/>
              <w:t>Lüftungsleitungen, Installationsschächten und -kanälen oder Vorkehrungen gegen Brandübertragung bei Leitungen, Lüftungsleitungen, Installationsschächten und -kanälen ohne Feuerwiderstandsfähigkeit, die Geschossdecken mit Feuerwiderstandsfähigkeit überbrücken</w:t>
            </w:r>
          </w:p>
        </w:tc>
        <w:tc>
          <w:tcPr>
            <w:tcW w:w="2693" w:type="dxa"/>
          </w:tcPr>
          <w:p>
            <w:pPr>
              <w:pStyle w:val="GesAbsatz"/>
              <w:tabs>
                <w:tab w:val="clear" w:pos="425"/>
              </w:tabs>
              <w:rPr>
                <w:sz w:val="18"/>
                <w:szCs w:val="18"/>
              </w:rPr>
            </w:pPr>
            <w:r>
              <w:rPr>
                <w:sz w:val="18"/>
                <w:szCs w:val="18"/>
              </w:rPr>
              <w:t>Feuerwiderstandsfähigkeit von</w:t>
            </w:r>
          </w:p>
          <w:p>
            <w:pPr>
              <w:pStyle w:val="GesAbsatz"/>
              <w:tabs>
                <w:tab w:val="clear" w:pos="425"/>
              </w:tabs>
              <w:ind w:left="176" w:hanging="176"/>
              <w:rPr>
                <w:sz w:val="18"/>
                <w:szCs w:val="18"/>
              </w:rPr>
            </w:pPr>
            <w:r>
              <w:rPr>
                <w:sz w:val="18"/>
                <w:szCs w:val="18"/>
              </w:rPr>
              <w:t>1.</w:t>
            </w:r>
            <w:r>
              <w:rPr>
                <w:sz w:val="18"/>
                <w:szCs w:val="18"/>
              </w:rPr>
              <w:tab/>
              <w:t>Bauteilen</w:t>
            </w:r>
          </w:p>
          <w:p>
            <w:pPr>
              <w:pStyle w:val="GesAbsatz"/>
              <w:tabs>
                <w:tab w:val="clear" w:pos="425"/>
              </w:tabs>
              <w:ind w:left="176" w:hanging="176"/>
              <w:rPr>
                <w:sz w:val="18"/>
                <w:szCs w:val="18"/>
              </w:rPr>
            </w:pPr>
            <w:r>
              <w:rPr>
                <w:sz w:val="18"/>
                <w:szCs w:val="18"/>
              </w:rPr>
              <w:t>2.</w:t>
            </w:r>
            <w:r>
              <w:rPr>
                <w:sz w:val="18"/>
                <w:szCs w:val="18"/>
              </w:rPr>
              <w:tab/>
              <w:t>Abschlüssen von Öffnungen in Bauteilen mit Feuerwiderstandsfähigkeit</w:t>
            </w:r>
          </w:p>
          <w:p>
            <w:pPr>
              <w:pStyle w:val="GesAbsatz"/>
              <w:tabs>
                <w:tab w:val="clear" w:pos="425"/>
              </w:tabs>
              <w:ind w:left="176" w:hanging="176"/>
              <w:rPr>
                <w:sz w:val="18"/>
                <w:szCs w:val="18"/>
              </w:rPr>
            </w:pPr>
            <w:r>
              <w:rPr>
                <w:sz w:val="18"/>
                <w:szCs w:val="18"/>
              </w:rPr>
              <w:t>3.</w:t>
            </w:r>
            <w:r>
              <w:rPr>
                <w:sz w:val="18"/>
                <w:szCs w:val="18"/>
              </w:rPr>
              <w:tab/>
              <w:t xml:space="preserve">Lüftungsleitungen, Installationsschächten und </w:t>
            </w:r>
            <w:r>
              <w:rPr>
                <w:sz w:val="18"/>
                <w:szCs w:val="18"/>
              </w:rPr>
              <w:noBreakHyphen/>
              <w:t xml:space="preserve">kanälen oder Vorkehrungen gegen Brandübertragung bei Leitungen, Lüftungsleitungen, Installationsschächten und </w:t>
            </w:r>
            <w:r>
              <w:rPr>
                <w:sz w:val="18"/>
                <w:szCs w:val="18"/>
              </w:rPr>
              <w:noBreakHyphen/>
              <w:t>kanälen ohne Feuerwiderstandsfähigkeit, die Bauteile mit Feuerwiderstandsfähigkeit überbrücken in der Brandsicherheitsklasse SK</w:t>
            </w:r>
            <w:r>
              <w:rPr>
                <w:sz w:val="18"/>
                <w:szCs w:val="18"/>
                <w:vertAlign w:val="subscript"/>
              </w:rPr>
              <w:t>b</w:t>
            </w:r>
            <w:r>
              <w:rPr>
                <w:sz w:val="18"/>
                <w:szCs w:val="18"/>
              </w:rPr>
              <w:t>2 und SK</w:t>
            </w:r>
            <w:r>
              <w:rPr>
                <w:sz w:val="18"/>
                <w:szCs w:val="18"/>
                <w:vertAlign w:val="subscript"/>
              </w:rPr>
              <w:t>b</w:t>
            </w:r>
            <w:r>
              <w:rPr>
                <w:sz w:val="18"/>
                <w:szCs w:val="18"/>
              </w:rPr>
              <w:t>1</w:t>
            </w:r>
          </w:p>
        </w:tc>
      </w:tr>
      <w:tr>
        <w:trPr>
          <w:trHeight w:val="1341"/>
        </w:trPr>
        <w:tc>
          <w:tcPr>
            <w:tcW w:w="1101" w:type="dxa"/>
          </w:tcPr>
          <w:p>
            <w:pPr>
              <w:pStyle w:val="GesAbsatz"/>
              <w:tabs>
                <w:tab w:val="clear" w:pos="425"/>
              </w:tabs>
              <w:rPr>
                <w:sz w:val="18"/>
                <w:szCs w:val="18"/>
              </w:rPr>
            </w:pPr>
            <w:r>
              <w:rPr>
                <w:sz w:val="18"/>
                <w:szCs w:val="18"/>
              </w:rPr>
              <w:t>≤ 15</w:t>
            </w:r>
          </w:p>
        </w:tc>
        <w:tc>
          <w:tcPr>
            <w:tcW w:w="3118" w:type="dxa"/>
          </w:tcPr>
          <w:p>
            <w:pPr>
              <w:pStyle w:val="GesAbsatz"/>
              <w:tabs>
                <w:tab w:val="clear" w:pos="425"/>
              </w:tabs>
              <w:rPr>
                <w:sz w:val="18"/>
                <w:szCs w:val="18"/>
              </w:rPr>
            </w:pPr>
            <w:r>
              <w:rPr>
                <w:sz w:val="18"/>
                <w:szCs w:val="18"/>
              </w:rPr>
              <w:t>zu 1. feuerhemmend und aus nichtbrennbaren Baustoffen</w:t>
            </w:r>
          </w:p>
          <w:p>
            <w:pPr>
              <w:pStyle w:val="GesAbsatz"/>
              <w:tabs>
                <w:tab w:val="clear" w:pos="425"/>
              </w:tabs>
              <w:rPr>
                <w:sz w:val="18"/>
                <w:szCs w:val="18"/>
              </w:rPr>
            </w:pPr>
            <w:r>
              <w:rPr>
                <w:sz w:val="18"/>
                <w:szCs w:val="18"/>
              </w:rPr>
              <w:t>zu 2. feuerhemmend, dicht- und selbstschließend</w:t>
            </w:r>
          </w:p>
          <w:p>
            <w:pPr>
              <w:pStyle w:val="GesAbsatz"/>
              <w:rPr>
                <w:sz w:val="18"/>
                <w:szCs w:val="18"/>
              </w:rPr>
            </w:pPr>
            <w:r>
              <w:rPr>
                <w:sz w:val="18"/>
                <w:szCs w:val="18"/>
              </w:rPr>
              <w:t>zu 3. feuerhemmend</w:t>
            </w:r>
          </w:p>
        </w:tc>
        <w:tc>
          <w:tcPr>
            <w:tcW w:w="2835" w:type="dxa"/>
          </w:tcPr>
          <w:p>
            <w:pPr>
              <w:pStyle w:val="GesAbsatz"/>
              <w:rPr>
                <w:sz w:val="18"/>
                <w:szCs w:val="18"/>
              </w:rPr>
            </w:pPr>
            <w:r>
              <w:rPr>
                <w:sz w:val="18"/>
                <w:szCs w:val="18"/>
              </w:rPr>
              <w:t>keine Anforderungen</w:t>
            </w:r>
            <w:r>
              <w:rPr>
                <w:sz w:val="18"/>
                <w:szCs w:val="18"/>
                <w:vertAlign w:val="superscript"/>
              </w:rPr>
              <w:t>3)</w:t>
            </w:r>
          </w:p>
        </w:tc>
        <w:tc>
          <w:tcPr>
            <w:tcW w:w="2693" w:type="dxa"/>
          </w:tcPr>
          <w:p>
            <w:pPr>
              <w:pStyle w:val="GesAbsatz"/>
              <w:rPr>
                <w:sz w:val="18"/>
                <w:szCs w:val="18"/>
              </w:rPr>
            </w:pPr>
            <w:r>
              <w:rPr>
                <w:sz w:val="18"/>
                <w:szCs w:val="18"/>
              </w:rPr>
              <w:t>keine Anforderungen</w:t>
            </w:r>
            <w:r>
              <w:rPr>
                <w:sz w:val="18"/>
                <w:szCs w:val="18"/>
                <w:vertAlign w:val="superscript"/>
              </w:rPr>
              <w:t>3)</w:t>
            </w:r>
          </w:p>
        </w:tc>
      </w:tr>
      <w:tr>
        <w:tc>
          <w:tcPr>
            <w:tcW w:w="1101" w:type="dxa"/>
          </w:tcPr>
          <w:p>
            <w:pPr>
              <w:pStyle w:val="GesAbsatz"/>
              <w:rPr>
                <w:sz w:val="18"/>
                <w:szCs w:val="18"/>
              </w:rPr>
            </w:pPr>
            <w:r>
              <w:rPr>
                <w:sz w:val="18"/>
                <w:szCs w:val="18"/>
              </w:rPr>
              <w:t>&gt; 15 bis ≤ 30</w:t>
            </w:r>
          </w:p>
        </w:tc>
        <w:tc>
          <w:tcPr>
            <w:tcW w:w="3118" w:type="dxa"/>
          </w:tcPr>
          <w:p>
            <w:pPr>
              <w:pStyle w:val="GesAbsatz"/>
              <w:rPr>
                <w:sz w:val="18"/>
                <w:szCs w:val="18"/>
              </w:rPr>
            </w:pPr>
            <w:r>
              <w:rPr>
                <w:sz w:val="18"/>
                <w:szCs w:val="18"/>
              </w:rPr>
              <w:t>zu 1. feuerhemmend und aus nichtbrennbaren Baustoffen</w:t>
            </w:r>
          </w:p>
          <w:p>
            <w:pPr>
              <w:pStyle w:val="GesAbsatz"/>
              <w:rPr>
                <w:sz w:val="18"/>
                <w:szCs w:val="18"/>
              </w:rPr>
            </w:pPr>
            <w:r>
              <w:rPr>
                <w:sz w:val="18"/>
                <w:szCs w:val="18"/>
              </w:rPr>
              <w:t>zu 2. feuerhemmend, dicht- und selbstschließend</w:t>
            </w:r>
          </w:p>
          <w:p>
            <w:pPr>
              <w:pStyle w:val="GesAbsatz"/>
              <w:rPr>
                <w:sz w:val="18"/>
                <w:szCs w:val="18"/>
              </w:rPr>
            </w:pPr>
            <w:r>
              <w:rPr>
                <w:sz w:val="18"/>
                <w:szCs w:val="18"/>
              </w:rPr>
              <w:t>zu 3. feuerhemmend</w:t>
            </w:r>
          </w:p>
        </w:tc>
        <w:tc>
          <w:tcPr>
            <w:tcW w:w="2835" w:type="dxa"/>
          </w:tcPr>
          <w:p>
            <w:pPr>
              <w:pStyle w:val="GesAbsatz"/>
              <w:rPr>
                <w:sz w:val="18"/>
                <w:szCs w:val="18"/>
              </w:rPr>
            </w:pPr>
            <w:r>
              <w:rPr>
                <w:sz w:val="18"/>
                <w:szCs w:val="18"/>
              </w:rPr>
              <w:t>zu 1. feuerhemmend und in den wesentlichen Teilen aus nichtbrennbaren Baustoffen</w:t>
            </w:r>
            <w:r>
              <w:rPr>
                <w:sz w:val="18"/>
                <w:szCs w:val="18"/>
                <w:vertAlign w:val="superscript"/>
              </w:rPr>
              <w:t>1)</w:t>
            </w:r>
          </w:p>
          <w:p>
            <w:pPr>
              <w:pStyle w:val="GesAbsatz"/>
              <w:rPr>
                <w:sz w:val="18"/>
                <w:szCs w:val="18"/>
              </w:rPr>
            </w:pPr>
            <w:r>
              <w:rPr>
                <w:sz w:val="18"/>
                <w:szCs w:val="18"/>
              </w:rPr>
              <w:t>zu 2. feuerhemmend, dicht- und selbstschließend</w:t>
            </w:r>
          </w:p>
          <w:p>
            <w:pPr>
              <w:pStyle w:val="GesAbsatz"/>
              <w:rPr>
                <w:sz w:val="18"/>
                <w:szCs w:val="18"/>
              </w:rPr>
            </w:pPr>
            <w:r>
              <w:rPr>
                <w:sz w:val="18"/>
                <w:szCs w:val="18"/>
              </w:rPr>
              <w:t>zu 3. feuerhemmend</w:t>
            </w:r>
          </w:p>
        </w:tc>
        <w:tc>
          <w:tcPr>
            <w:tcW w:w="2693" w:type="dxa"/>
          </w:tcPr>
          <w:p>
            <w:pPr>
              <w:pStyle w:val="GesAbsatz"/>
              <w:rPr>
                <w:sz w:val="18"/>
                <w:szCs w:val="18"/>
              </w:rPr>
            </w:pPr>
            <w:r>
              <w:rPr>
                <w:sz w:val="18"/>
                <w:szCs w:val="18"/>
              </w:rPr>
              <w:t>zu 1. feuerhemmend</w:t>
            </w:r>
          </w:p>
          <w:p>
            <w:pPr>
              <w:pStyle w:val="GesAbsatz"/>
              <w:rPr>
                <w:sz w:val="18"/>
                <w:szCs w:val="18"/>
              </w:rPr>
            </w:pPr>
            <w:r>
              <w:rPr>
                <w:sz w:val="18"/>
                <w:szCs w:val="18"/>
              </w:rPr>
              <w:t>zu 2. feuerhemmend, dicht- und selbstschließend</w:t>
            </w:r>
          </w:p>
          <w:p>
            <w:pPr>
              <w:pStyle w:val="GesAbsatz"/>
              <w:rPr>
                <w:sz w:val="18"/>
                <w:szCs w:val="18"/>
              </w:rPr>
            </w:pPr>
            <w:r>
              <w:rPr>
                <w:sz w:val="18"/>
                <w:szCs w:val="18"/>
              </w:rPr>
              <w:t>zu 3. feuerhemmend</w:t>
            </w:r>
          </w:p>
        </w:tc>
      </w:tr>
      <w:tr>
        <w:tc>
          <w:tcPr>
            <w:tcW w:w="1101" w:type="dxa"/>
          </w:tcPr>
          <w:p>
            <w:pPr>
              <w:pStyle w:val="GesAbsatz"/>
              <w:rPr>
                <w:sz w:val="18"/>
                <w:szCs w:val="18"/>
              </w:rPr>
            </w:pPr>
            <w:r>
              <w:rPr>
                <w:sz w:val="18"/>
                <w:szCs w:val="18"/>
              </w:rPr>
              <w:t>&gt; 30 bis ≤ 60</w:t>
            </w:r>
          </w:p>
        </w:tc>
        <w:tc>
          <w:tcPr>
            <w:tcW w:w="3118" w:type="dxa"/>
          </w:tcPr>
          <w:p>
            <w:pPr>
              <w:pStyle w:val="GesAbsatz"/>
              <w:rPr>
                <w:sz w:val="18"/>
                <w:szCs w:val="18"/>
              </w:rPr>
            </w:pPr>
            <w:r>
              <w:rPr>
                <w:sz w:val="18"/>
                <w:szCs w:val="18"/>
              </w:rPr>
              <w:t>zu 1. hochfeuerhemmend und aus nichtbrennbaren Baustoffen</w:t>
            </w:r>
          </w:p>
          <w:p>
            <w:pPr>
              <w:pStyle w:val="GesAbsatz"/>
              <w:rPr>
                <w:sz w:val="18"/>
                <w:szCs w:val="18"/>
              </w:rPr>
            </w:pPr>
            <w:r>
              <w:rPr>
                <w:sz w:val="18"/>
                <w:szCs w:val="18"/>
              </w:rPr>
              <w:t>zu 2. hochfeuerhemmend, dicht- und selbstschließend</w:t>
            </w:r>
          </w:p>
          <w:p>
            <w:pPr>
              <w:pStyle w:val="GesAbsatz"/>
              <w:rPr>
                <w:sz w:val="18"/>
                <w:szCs w:val="18"/>
              </w:rPr>
            </w:pPr>
            <w:r>
              <w:rPr>
                <w:sz w:val="18"/>
                <w:szCs w:val="18"/>
              </w:rPr>
              <w:t xml:space="preserve">zu 3. hochfeuerhemmend </w:t>
            </w:r>
          </w:p>
        </w:tc>
        <w:tc>
          <w:tcPr>
            <w:tcW w:w="2835" w:type="dxa"/>
          </w:tcPr>
          <w:p>
            <w:pPr>
              <w:pStyle w:val="GesAbsatz"/>
              <w:rPr>
                <w:sz w:val="18"/>
                <w:szCs w:val="18"/>
              </w:rPr>
            </w:pPr>
            <w:r>
              <w:rPr>
                <w:sz w:val="18"/>
                <w:szCs w:val="18"/>
              </w:rPr>
              <w:t>zu 1. hochfeuerhemmend und in den wesentlichen Teilen aus nichtbrennbaren Baustoffen</w:t>
            </w:r>
            <w:r>
              <w:rPr>
                <w:sz w:val="18"/>
                <w:szCs w:val="18"/>
                <w:vertAlign w:val="superscript"/>
              </w:rPr>
              <w:t>1)</w:t>
            </w:r>
          </w:p>
          <w:p>
            <w:pPr>
              <w:pStyle w:val="GesAbsatz"/>
              <w:rPr>
                <w:sz w:val="18"/>
                <w:szCs w:val="18"/>
              </w:rPr>
            </w:pPr>
            <w:r>
              <w:rPr>
                <w:sz w:val="18"/>
                <w:szCs w:val="18"/>
              </w:rPr>
              <w:t>zu 2. hochfeuerhemmend, dicht- und selbstschließend</w:t>
            </w:r>
          </w:p>
          <w:p>
            <w:pPr>
              <w:pStyle w:val="GesAbsatz"/>
              <w:rPr>
                <w:sz w:val="18"/>
                <w:szCs w:val="18"/>
              </w:rPr>
            </w:pPr>
            <w:r>
              <w:rPr>
                <w:sz w:val="18"/>
                <w:szCs w:val="18"/>
              </w:rPr>
              <w:t>zu 3. hochfeuerhemmend</w:t>
            </w:r>
          </w:p>
        </w:tc>
        <w:tc>
          <w:tcPr>
            <w:tcW w:w="2693" w:type="dxa"/>
          </w:tcPr>
          <w:p>
            <w:pPr>
              <w:pStyle w:val="GesAbsatz"/>
              <w:rPr>
                <w:sz w:val="18"/>
                <w:szCs w:val="18"/>
              </w:rPr>
            </w:pPr>
            <w:r>
              <w:rPr>
                <w:sz w:val="18"/>
                <w:szCs w:val="18"/>
              </w:rPr>
              <w:t>zu 1. hochfeuerhemmend und aus brennbaren Baustoffen</w:t>
            </w:r>
          </w:p>
          <w:p>
            <w:pPr>
              <w:pStyle w:val="GesAbsatz"/>
              <w:rPr>
                <w:sz w:val="18"/>
                <w:szCs w:val="18"/>
              </w:rPr>
            </w:pPr>
            <w:r>
              <w:rPr>
                <w:sz w:val="18"/>
                <w:szCs w:val="18"/>
              </w:rPr>
              <w:t>zu 2. hochfeuerhemmend, dicht- und selbstschließend</w:t>
            </w:r>
          </w:p>
          <w:p>
            <w:pPr>
              <w:pStyle w:val="GesAbsatz"/>
              <w:rPr>
                <w:sz w:val="18"/>
                <w:szCs w:val="18"/>
              </w:rPr>
            </w:pPr>
            <w:r>
              <w:rPr>
                <w:sz w:val="18"/>
                <w:szCs w:val="18"/>
              </w:rPr>
              <w:t>zu 3. hochfeuerhemmend</w:t>
            </w:r>
          </w:p>
        </w:tc>
      </w:tr>
      <w:tr>
        <w:tc>
          <w:tcPr>
            <w:tcW w:w="1101" w:type="dxa"/>
          </w:tcPr>
          <w:p>
            <w:pPr>
              <w:pStyle w:val="GesAbsatz"/>
              <w:rPr>
                <w:sz w:val="18"/>
                <w:szCs w:val="18"/>
              </w:rPr>
            </w:pPr>
            <w:r>
              <w:rPr>
                <w:sz w:val="18"/>
                <w:szCs w:val="18"/>
              </w:rPr>
              <w:t>&gt; 60</w:t>
            </w:r>
            <w:r>
              <w:rPr>
                <w:sz w:val="18"/>
                <w:szCs w:val="18"/>
                <w:vertAlign w:val="superscript"/>
              </w:rPr>
              <w:t>2)</w:t>
            </w:r>
          </w:p>
        </w:tc>
        <w:tc>
          <w:tcPr>
            <w:tcW w:w="3118" w:type="dxa"/>
          </w:tcPr>
          <w:p>
            <w:pPr>
              <w:pStyle w:val="GesAbsatz"/>
              <w:rPr>
                <w:sz w:val="18"/>
                <w:szCs w:val="18"/>
              </w:rPr>
            </w:pPr>
            <w:r>
              <w:rPr>
                <w:sz w:val="18"/>
                <w:szCs w:val="18"/>
              </w:rPr>
              <w:t>zu 1. feuerbeständig und aus nichtbrennbaren Baustoffen</w:t>
            </w:r>
          </w:p>
          <w:p>
            <w:pPr>
              <w:pStyle w:val="GesAbsatz"/>
              <w:rPr>
                <w:sz w:val="18"/>
                <w:szCs w:val="18"/>
              </w:rPr>
            </w:pPr>
            <w:r>
              <w:rPr>
                <w:sz w:val="18"/>
                <w:szCs w:val="18"/>
              </w:rPr>
              <w:t>zu 2. feuerbeständig, dicht- und selbstschließend</w:t>
            </w:r>
          </w:p>
          <w:p>
            <w:pPr>
              <w:pStyle w:val="GesAbsatz"/>
              <w:rPr>
                <w:sz w:val="18"/>
                <w:szCs w:val="18"/>
              </w:rPr>
            </w:pPr>
            <w:r>
              <w:rPr>
                <w:sz w:val="18"/>
                <w:szCs w:val="18"/>
              </w:rPr>
              <w:t>zu 3. feuerbeständig</w:t>
            </w:r>
          </w:p>
        </w:tc>
        <w:tc>
          <w:tcPr>
            <w:tcW w:w="2835" w:type="dxa"/>
          </w:tcPr>
          <w:p>
            <w:pPr>
              <w:pStyle w:val="GesAbsatz"/>
              <w:rPr>
                <w:sz w:val="18"/>
                <w:szCs w:val="18"/>
              </w:rPr>
            </w:pPr>
            <w:r>
              <w:rPr>
                <w:sz w:val="18"/>
                <w:szCs w:val="18"/>
              </w:rPr>
              <w:t>zu 1.feuerbeständig</w:t>
            </w:r>
          </w:p>
          <w:p>
            <w:pPr>
              <w:pStyle w:val="GesAbsatz"/>
              <w:rPr>
                <w:sz w:val="18"/>
                <w:szCs w:val="18"/>
              </w:rPr>
            </w:pPr>
            <w:r>
              <w:rPr>
                <w:sz w:val="18"/>
                <w:szCs w:val="18"/>
              </w:rPr>
              <w:t>zu 2. feuerbeständig, dicht- und selbstschließend</w:t>
            </w:r>
          </w:p>
          <w:p>
            <w:pPr>
              <w:pStyle w:val="GesAbsatz"/>
              <w:rPr>
                <w:sz w:val="18"/>
                <w:szCs w:val="18"/>
              </w:rPr>
            </w:pPr>
            <w:r>
              <w:rPr>
                <w:sz w:val="18"/>
                <w:szCs w:val="18"/>
              </w:rPr>
              <w:t>zu 3. feuerbeständig</w:t>
            </w:r>
          </w:p>
        </w:tc>
        <w:tc>
          <w:tcPr>
            <w:tcW w:w="2693" w:type="dxa"/>
          </w:tcPr>
          <w:p>
            <w:pPr>
              <w:pStyle w:val="GesAbsatz"/>
              <w:rPr>
                <w:sz w:val="18"/>
                <w:szCs w:val="18"/>
              </w:rPr>
            </w:pPr>
            <w:r>
              <w:rPr>
                <w:sz w:val="18"/>
                <w:szCs w:val="18"/>
              </w:rPr>
              <w:t>zu 1. feuerbeständig und aus brennbaren Baustoffen</w:t>
            </w:r>
          </w:p>
          <w:p>
            <w:pPr>
              <w:pStyle w:val="GesAbsatz"/>
              <w:rPr>
                <w:sz w:val="18"/>
                <w:szCs w:val="18"/>
              </w:rPr>
            </w:pPr>
            <w:r>
              <w:rPr>
                <w:sz w:val="18"/>
                <w:szCs w:val="18"/>
              </w:rPr>
              <w:t>zu 2. feuerbeständig, dicht- und selbstschließend</w:t>
            </w:r>
          </w:p>
          <w:p>
            <w:pPr>
              <w:pStyle w:val="GesAbsatz"/>
              <w:rPr>
                <w:sz w:val="18"/>
                <w:szCs w:val="18"/>
              </w:rPr>
            </w:pPr>
            <w:r>
              <w:rPr>
                <w:sz w:val="18"/>
                <w:szCs w:val="18"/>
              </w:rPr>
              <w:t>zu 3. feuerbeständig</w:t>
            </w:r>
          </w:p>
        </w:tc>
      </w:tr>
      <w:tr>
        <w:tc>
          <w:tcPr>
            <w:tcW w:w="9747" w:type="dxa"/>
            <w:gridSpan w:val="4"/>
          </w:tcPr>
          <w:p>
            <w:pPr>
              <w:pStyle w:val="GesAbsatz"/>
              <w:rPr>
                <w:sz w:val="18"/>
                <w:szCs w:val="18"/>
              </w:rPr>
            </w:pPr>
            <w:r>
              <w:rPr>
                <w:sz w:val="18"/>
                <w:szCs w:val="18"/>
                <w:vertAlign w:val="superscript"/>
              </w:rPr>
              <w:t>1)</w:t>
            </w:r>
            <w:r>
              <w:rPr>
                <w:sz w:val="18"/>
                <w:szCs w:val="18"/>
              </w:rPr>
              <w:t xml:space="preserve"> Für Bauteile in Industriebauten bis zu 2 Geschossen und maximal 1 Ebene je Brandbekämpfungsabschnitt feuerhemmend beziehungsweise hochfeuerhemmend und aus brennbaren Baustoffen.</w:t>
            </w:r>
          </w:p>
          <w:p>
            <w:pPr>
              <w:pStyle w:val="GesAbsatz"/>
              <w:rPr>
                <w:sz w:val="18"/>
                <w:szCs w:val="18"/>
              </w:rPr>
            </w:pPr>
            <w:r>
              <w:rPr>
                <w:sz w:val="18"/>
                <w:szCs w:val="18"/>
                <w:vertAlign w:val="superscript"/>
              </w:rPr>
              <w:t>2)</w:t>
            </w:r>
            <w:r>
              <w:rPr>
                <w:sz w:val="18"/>
                <w:szCs w:val="18"/>
              </w:rPr>
              <w:t xml:space="preserve"> Die Werte der Spalten 2 bis 4 gelten auch für eine rechnerisch erforderliche Feuerwiderstandsdauer erf t</w:t>
            </w:r>
            <w:r>
              <w:rPr>
                <w:sz w:val="18"/>
                <w:szCs w:val="18"/>
                <w:vertAlign w:val="subscript"/>
              </w:rPr>
              <w:t>F</w:t>
            </w:r>
            <w:r>
              <w:rPr>
                <w:sz w:val="18"/>
                <w:szCs w:val="18"/>
              </w:rPr>
              <w:t xml:space="preserve"> von mehr als 90 Minuten, die sich insbesondere aus einem Teilflächennachweis ergeben können.</w:t>
            </w:r>
          </w:p>
          <w:p>
            <w:pPr>
              <w:pStyle w:val="GesAbsatz"/>
              <w:rPr>
                <w:sz w:val="18"/>
                <w:szCs w:val="18"/>
              </w:rPr>
            </w:pPr>
            <w:r>
              <w:rPr>
                <w:sz w:val="18"/>
                <w:szCs w:val="18"/>
                <w:vertAlign w:val="superscript"/>
              </w:rPr>
              <w:t>3)</w:t>
            </w:r>
            <w:r>
              <w:rPr>
                <w:sz w:val="18"/>
                <w:szCs w:val="18"/>
              </w:rPr>
              <w:t xml:space="preserve"> Zu Zeile 1 Spalte 4 Nr. 3: Der Raum zwischen solchen Leitungen, Schächten oder Kanälen und dem umgebenden Bauteil ist jedoch mit Baustoffen aus Mineralfasern oder mit im Brandfall aufschäumenden Baustoffen vollständig zu verschließen. Der lichte Abstand zwischen solchen Leitungen, Schächten oder Kanälen und dem umgebenden Bauteil darf bei Verwendung von Baustoffen aus Mineralfasern nicht mehr als 50 mm, bei Verwendung von im Brandfall aufschäumenden Baustoffen nicht mehr als 15 mm betragen. Die Mineralfasern müssen eine Schmelztemperatur von mindestens 1 000 °C aufweisen. Werden Hüllrohre verwendet, müssen diese nichtbrennbar sein; Sätze 1 bis 3 gelten entsprechend.</w:t>
            </w:r>
          </w:p>
        </w:tc>
      </w:tr>
    </w:tbl>
    <w:p>
      <w:pPr>
        <w:pStyle w:val="GesAbsatz"/>
      </w:pPr>
    </w:p>
    <w:p>
      <w:pPr>
        <w:pStyle w:val="GesAbsatz"/>
      </w:pPr>
      <w:r>
        <w:lastRenderedPageBreak/>
        <w:t>Aus der Feuerwiderstandsfähigkeit nach Tabelle 6 ergeben sich die Feuerwiderstandsklassen gemäß den Anlagen 0.1.1 oder 0.1.2 der Bauregelliste A Teil 1. Aus der Anforderung zum Brandverhalten von Baustoffen nach Tabelle 6 ergeben sich die Baustoffklassen aus der Anlage 0.2.1 oder 0.2.2 der Bauregelliste A Teil 1.</w:t>
      </w:r>
    </w:p>
    <w:p>
      <w:pPr>
        <w:pStyle w:val="GesAbsatz"/>
      </w:pPr>
      <w:r>
        <w:t>7.6.2</w:t>
      </w:r>
    </w:p>
    <w:p>
      <w:pPr>
        <w:pStyle w:val="GesAbsatz"/>
      </w:pPr>
      <w:r>
        <w:t>Brandbekämpfungsabschnittsflächen ohne Bemessung der Bauteile</w:t>
      </w:r>
    </w:p>
    <w:p>
      <w:pPr>
        <w:pStyle w:val="GesAbsatz"/>
      </w:pPr>
      <w:r>
        <w:t>Erdgeschossige Industriebauten ohne Ebenen sind, sofern es sich nicht bereits aus den Regelungen nach Abschnitt 7.6.1 ergibt, ohne Anforderungen an die Feuerwiderstandsfähigkeit der tragenden und aussteifenden Bauteile zulässig, wenn die tatsächliche Fläche des Brandbekämpfungsabschnitts nicht größer, die Wärmeabzugsflächen (in von 100 bezogen auf die Fläche des Brandbekämpfungsabschnitts) nicht kleiner und die Breite des Industriebaus nicht größer sind als die Werte der Tabelle 7 und bei der Berechnung nach DIN 18230-1 eine äquivalente Branddauer von weniger als 90 min berechnet wird. Dies gilt nicht für Bauteile nach Abschnitt 7.3.2.</w:t>
      </w:r>
    </w:p>
    <w:p>
      <w:pPr>
        <w:pStyle w:val="GesAbsatz"/>
        <w:ind w:left="1134" w:hanging="1134"/>
        <w:rPr>
          <w:b/>
        </w:rPr>
      </w:pPr>
      <w:r>
        <w:rPr>
          <w:b/>
        </w:rPr>
        <w:t>Tabelle 7:</w:t>
      </w:r>
      <w:r>
        <w:rPr>
          <w:b/>
        </w:rPr>
        <w:tab/>
        <w:t>Zulässige Größe der Brandbekämpfungsabschnittsfläche erdgeschossiger Industriebauten ohne Anforderungen an die Feuerwiderstandsfähigkeit der tragenden und aussteifenden Bauteile in m²</w:t>
      </w:r>
    </w:p>
    <w:tbl>
      <w:tblPr>
        <w:tblStyle w:val="Tabellenraster"/>
        <w:tblW w:w="0" w:type="auto"/>
        <w:tblLook w:val="04A0" w:firstRow="1" w:lastRow="0" w:firstColumn="1" w:lastColumn="0" w:noHBand="0" w:noVBand="1"/>
      </w:tblPr>
      <w:tblGrid>
        <w:gridCol w:w="2802"/>
        <w:gridCol w:w="1642"/>
        <w:gridCol w:w="1701"/>
        <w:gridCol w:w="1701"/>
        <w:gridCol w:w="1701"/>
      </w:tblGrid>
      <w:tr>
        <w:tc>
          <w:tcPr>
            <w:tcW w:w="2802" w:type="dxa"/>
          </w:tcPr>
          <w:p>
            <w:pPr>
              <w:pStyle w:val="GesAbsatz"/>
              <w:tabs>
                <w:tab w:val="clear" w:pos="425"/>
              </w:tabs>
              <w:rPr>
                <w:b/>
              </w:rPr>
            </w:pPr>
          </w:p>
        </w:tc>
        <w:tc>
          <w:tcPr>
            <w:tcW w:w="6745" w:type="dxa"/>
            <w:gridSpan w:val="4"/>
          </w:tcPr>
          <w:p>
            <w:pPr>
              <w:pStyle w:val="GesAbsatz"/>
              <w:tabs>
                <w:tab w:val="clear" w:pos="425"/>
              </w:tabs>
              <w:jc w:val="center"/>
              <w:rPr>
                <w:b/>
              </w:rPr>
            </w:pPr>
            <w:r>
              <w:rPr>
                <w:b/>
              </w:rPr>
              <w:t>äquivalente Branddauer t</w:t>
            </w:r>
            <w:r>
              <w:rPr>
                <w:b/>
                <w:vertAlign w:val="subscript"/>
              </w:rPr>
              <w:t>ä</w:t>
            </w:r>
            <w:r>
              <w:rPr>
                <w:b/>
              </w:rPr>
              <w:t xml:space="preserve"> in Min.</w:t>
            </w:r>
          </w:p>
        </w:tc>
      </w:tr>
      <w:tr>
        <w:tc>
          <w:tcPr>
            <w:tcW w:w="2802" w:type="dxa"/>
          </w:tcPr>
          <w:p>
            <w:pPr>
              <w:pStyle w:val="GesAbsatz"/>
              <w:tabs>
                <w:tab w:val="clear" w:pos="425"/>
              </w:tabs>
            </w:pPr>
            <w:r>
              <w:t>Sicherheitskategorie</w:t>
            </w:r>
          </w:p>
        </w:tc>
        <w:tc>
          <w:tcPr>
            <w:tcW w:w="1642" w:type="dxa"/>
          </w:tcPr>
          <w:p>
            <w:pPr>
              <w:pStyle w:val="GesAbsatz"/>
              <w:tabs>
                <w:tab w:val="clear" w:pos="425"/>
              </w:tabs>
              <w:jc w:val="center"/>
            </w:pPr>
            <w:r>
              <w:t>15</w:t>
            </w:r>
          </w:p>
        </w:tc>
        <w:tc>
          <w:tcPr>
            <w:tcW w:w="1701" w:type="dxa"/>
          </w:tcPr>
          <w:p>
            <w:pPr>
              <w:pStyle w:val="GesAbsatz"/>
              <w:tabs>
                <w:tab w:val="clear" w:pos="425"/>
              </w:tabs>
              <w:jc w:val="center"/>
            </w:pPr>
            <w:r>
              <w:t>30</w:t>
            </w:r>
          </w:p>
        </w:tc>
        <w:tc>
          <w:tcPr>
            <w:tcW w:w="1701" w:type="dxa"/>
          </w:tcPr>
          <w:p>
            <w:pPr>
              <w:pStyle w:val="GesAbsatz"/>
              <w:tabs>
                <w:tab w:val="clear" w:pos="425"/>
              </w:tabs>
              <w:jc w:val="center"/>
            </w:pPr>
            <w:r>
              <w:t>60</w:t>
            </w:r>
          </w:p>
        </w:tc>
        <w:tc>
          <w:tcPr>
            <w:tcW w:w="1701" w:type="dxa"/>
          </w:tcPr>
          <w:p>
            <w:pPr>
              <w:pStyle w:val="GesAbsatz"/>
              <w:tabs>
                <w:tab w:val="clear" w:pos="425"/>
              </w:tabs>
              <w:jc w:val="center"/>
            </w:pPr>
            <w:r>
              <w:t>90</w:t>
            </w:r>
          </w:p>
        </w:tc>
      </w:tr>
      <w:tr>
        <w:tc>
          <w:tcPr>
            <w:tcW w:w="2802" w:type="dxa"/>
          </w:tcPr>
          <w:p>
            <w:pPr>
              <w:pStyle w:val="GesAbsatz"/>
              <w:tabs>
                <w:tab w:val="clear" w:pos="425"/>
              </w:tabs>
            </w:pPr>
            <w:r>
              <w:t>K 1</w:t>
            </w:r>
          </w:p>
        </w:tc>
        <w:tc>
          <w:tcPr>
            <w:tcW w:w="1642" w:type="dxa"/>
          </w:tcPr>
          <w:p>
            <w:pPr>
              <w:pStyle w:val="GesAbsatz"/>
              <w:tabs>
                <w:tab w:val="clear" w:pos="425"/>
              </w:tabs>
              <w:jc w:val="center"/>
            </w:pPr>
            <w:r>
              <w:t>9 000</w:t>
            </w:r>
          </w:p>
        </w:tc>
        <w:tc>
          <w:tcPr>
            <w:tcW w:w="1701" w:type="dxa"/>
          </w:tcPr>
          <w:p>
            <w:pPr>
              <w:pStyle w:val="GesAbsatz"/>
              <w:tabs>
                <w:tab w:val="clear" w:pos="425"/>
              </w:tabs>
              <w:jc w:val="center"/>
            </w:pPr>
            <w:r>
              <w:t>5 500</w:t>
            </w:r>
          </w:p>
        </w:tc>
        <w:tc>
          <w:tcPr>
            <w:tcW w:w="1701" w:type="dxa"/>
          </w:tcPr>
          <w:p>
            <w:pPr>
              <w:pStyle w:val="GesAbsatz"/>
              <w:tabs>
                <w:tab w:val="clear" w:pos="425"/>
              </w:tabs>
              <w:jc w:val="center"/>
            </w:pPr>
            <w:r>
              <w:t>2 700</w:t>
            </w:r>
          </w:p>
        </w:tc>
        <w:tc>
          <w:tcPr>
            <w:tcW w:w="1701" w:type="dxa"/>
          </w:tcPr>
          <w:p>
            <w:pPr>
              <w:pStyle w:val="GesAbsatz"/>
              <w:tabs>
                <w:tab w:val="clear" w:pos="425"/>
              </w:tabs>
              <w:jc w:val="center"/>
            </w:pPr>
            <w:r>
              <w:t>1 800</w:t>
            </w:r>
          </w:p>
        </w:tc>
      </w:tr>
      <w:tr>
        <w:tc>
          <w:tcPr>
            <w:tcW w:w="2802" w:type="dxa"/>
          </w:tcPr>
          <w:p>
            <w:pPr>
              <w:pStyle w:val="GesAbsatz"/>
              <w:tabs>
                <w:tab w:val="clear" w:pos="425"/>
              </w:tabs>
            </w:pPr>
            <w:r>
              <w:t>K 2</w:t>
            </w:r>
          </w:p>
        </w:tc>
        <w:tc>
          <w:tcPr>
            <w:tcW w:w="1642" w:type="dxa"/>
          </w:tcPr>
          <w:p>
            <w:pPr>
              <w:pStyle w:val="GesAbsatz"/>
              <w:tabs>
                <w:tab w:val="clear" w:pos="425"/>
              </w:tabs>
              <w:jc w:val="center"/>
            </w:pPr>
            <w:r>
              <w:t>13 500</w:t>
            </w:r>
            <w:r>
              <w:rPr>
                <w:vertAlign w:val="superscript"/>
              </w:rPr>
              <w:t>2)</w:t>
            </w:r>
          </w:p>
        </w:tc>
        <w:tc>
          <w:tcPr>
            <w:tcW w:w="1701" w:type="dxa"/>
          </w:tcPr>
          <w:p>
            <w:pPr>
              <w:pStyle w:val="GesAbsatz"/>
              <w:tabs>
                <w:tab w:val="clear" w:pos="425"/>
              </w:tabs>
              <w:jc w:val="center"/>
            </w:pPr>
            <w:r>
              <w:t>8 000</w:t>
            </w:r>
            <w:r>
              <w:rPr>
                <w:vertAlign w:val="superscript"/>
              </w:rPr>
              <w:t>2)</w:t>
            </w:r>
          </w:p>
        </w:tc>
        <w:tc>
          <w:tcPr>
            <w:tcW w:w="1701" w:type="dxa"/>
          </w:tcPr>
          <w:p>
            <w:pPr>
              <w:pStyle w:val="GesAbsatz"/>
              <w:tabs>
                <w:tab w:val="clear" w:pos="425"/>
              </w:tabs>
              <w:jc w:val="center"/>
            </w:pPr>
            <w:r>
              <w:t>4 000</w:t>
            </w:r>
            <w:r>
              <w:rPr>
                <w:vertAlign w:val="superscript"/>
              </w:rPr>
              <w:t>2)</w:t>
            </w:r>
          </w:p>
        </w:tc>
        <w:tc>
          <w:tcPr>
            <w:tcW w:w="1701" w:type="dxa"/>
          </w:tcPr>
          <w:p>
            <w:pPr>
              <w:pStyle w:val="GesAbsatz"/>
              <w:tabs>
                <w:tab w:val="clear" w:pos="425"/>
              </w:tabs>
              <w:jc w:val="center"/>
            </w:pPr>
            <w:r>
              <w:t>2 700</w:t>
            </w:r>
            <w:r>
              <w:rPr>
                <w:vertAlign w:val="superscript"/>
              </w:rPr>
              <w:t>2)</w:t>
            </w:r>
          </w:p>
        </w:tc>
      </w:tr>
      <w:tr>
        <w:tc>
          <w:tcPr>
            <w:tcW w:w="2802" w:type="dxa"/>
          </w:tcPr>
          <w:p>
            <w:pPr>
              <w:pStyle w:val="GesAbsatz"/>
              <w:tabs>
                <w:tab w:val="clear" w:pos="425"/>
              </w:tabs>
            </w:pPr>
            <w:r>
              <w:t>K 3.1</w:t>
            </w:r>
          </w:p>
        </w:tc>
        <w:tc>
          <w:tcPr>
            <w:tcW w:w="1642" w:type="dxa"/>
          </w:tcPr>
          <w:p>
            <w:pPr>
              <w:pStyle w:val="GesAbsatz"/>
              <w:tabs>
                <w:tab w:val="clear" w:pos="425"/>
              </w:tabs>
              <w:jc w:val="center"/>
            </w:pPr>
            <w:r>
              <w:t>16 000</w:t>
            </w:r>
          </w:p>
        </w:tc>
        <w:tc>
          <w:tcPr>
            <w:tcW w:w="1701" w:type="dxa"/>
          </w:tcPr>
          <w:p>
            <w:pPr>
              <w:pStyle w:val="GesAbsatz"/>
              <w:tabs>
                <w:tab w:val="clear" w:pos="425"/>
              </w:tabs>
              <w:jc w:val="center"/>
            </w:pPr>
            <w:r>
              <w:t>10 000</w:t>
            </w:r>
          </w:p>
        </w:tc>
        <w:tc>
          <w:tcPr>
            <w:tcW w:w="1701" w:type="dxa"/>
          </w:tcPr>
          <w:p>
            <w:pPr>
              <w:pStyle w:val="GesAbsatz"/>
              <w:tabs>
                <w:tab w:val="clear" w:pos="425"/>
              </w:tabs>
              <w:jc w:val="center"/>
            </w:pPr>
            <w:r>
              <w:t>5 000</w:t>
            </w:r>
          </w:p>
        </w:tc>
        <w:tc>
          <w:tcPr>
            <w:tcW w:w="1701" w:type="dxa"/>
          </w:tcPr>
          <w:p>
            <w:pPr>
              <w:pStyle w:val="GesAbsatz"/>
              <w:tabs>
                <w:tab w:val="clear" w:pos="425"/>
              </w:tabs>
              <w:jc w:val="center"/>
            </w:pPr>
            <w:r>
              <w:t>3 200</w:t>
            </w:r>
          </w:p>
        </w:tc>
      </w:tr>
      <w:tr>
        <w:tc>
          <w:tcPr>
            <w:tcW w:w="2802" w:type="dxa"/>
          </w:tcPr>
          <w:p>
            <w:pPr>
              <w:pStyle w:val="GesAbsatz"/>
              <w:tabs>
                <w:tab w:val="clear" w:pos="425"/>
              </w:tabs>
            </w:pPr>
            <w:r>
              <w:t>K 3.2</w:t>
            </w:r>
          </w:p>
        </w:tc>
        <w:tc>
          <w:tcPr>
            <w:tcW w:w="1642" w:type="dxa"/>
          </w:tcPr>
          <w:p>
            <w:pPr>
              <w:pStyle w:val="GesAbsatz"/>
              <w:tabs>
                <w:tab w:val="clear" w:pos="425"/>
              </w:tabs>
              <w:jc w:val="center"/>
            </w:pPr>
            <w:r>
              <w:t>18 000</w:t>
            </w:r>
          </w:p>
        </w:tc>
        <w:tc>
          <w:tcPr>
            <w:tcW w:w="1701" w:type="dxa"/>
          </w:tcPr>
          <w:p>
            <w:pPr>
              <w:pStyle w:val="GesAbsatz"/>
              <w:tabs>
                <w:tab w:val="clear" w:pos="425"/>
              </w:tabs>
              <w:jc w:val="center"/>
            </w:pPr>
            <w:r>
              <w:t>11 000</w:t>
            </w:r>
          </w:p>
        </w:tc>
        <w:tc>
          <w:tcPr>
            <w:tcW w:w="1701" w:type="dxa"/>
          </w:tcPr>
          <w:p>
            <w:pPr>
              <w:pStyle w:val="GesAbsatz"/>
              <w:tabs>
                <w:tab w:val="clear" w:pos="425"/>
              </w:tabs>
              <w:jc w:val="center"/>
            </w:pPr>
            <w:r>
              <w:t>5 400</w:t>
            </w:r>
          </w:p>
        </w:tc>
        <w:tc>
          <w:tcPr>
            <w:tcW w:w="1701" w:type="dxa"/>
          </w:tcPr>
          <w:p>
            <w:pPr>
              <w:pStyle w:val="GesAbsatz"/>
              <w:tabs>
                <w:tab w:val="clear" w:pos="425"/>
              </w:tabs>
              <w:jc w:val="center"/>
            </w:pPr>
            <w:r>
              <w:t>3 600</w:t>
            </w:r>
          </w:p>
        </w:tc>
      </w:tr>
      <w:tr>
        <w:tc>
          <w:tcPr>
            <w:tcW w:w="2802" w:type="dxa"/>
          </w:tcPr>
          <w:p>
            <w:pPr>
              <w:pStyle w:val="GesAbsatz"/>
              <w:tabs>
                <w:tab w:val="clear" w:pos="425"/>
              </w:tabs>
            </w:pPr>
            <w:r>
              <w:t>K 3.3</w:t>
            </w:r>
          </w:p>
        </w:tc>
        <w:tc>
          <w:tcPr>
            <w:tcW w:w="1642" w:type="dxa"/>
          </w:tcPr>
          <w:p>
            <w:pPr>
              <w:pStyle w:val="GesAbsatz"/>
              <w:tabs>
                <w:tab w:val="clear" w:pos="425"/>
              </w:tabs>
              <w:jc w:val="center"/>
            </w:pPr>
            <w:r>
              <w:t>20 700</w:t>
            </w:r>
          </w:p>
        </w:tc>
        <w:tc>
          <w:tcPr>
            <w:tcW w:w="1701" w:type="dxa"/>
          </w:tcPr>
          <w:p>
            <w:pPr>
              <w:pStyle w:val="GesAbsatz"/>
              <w:tabs>
                <w:tab w:val="clear" w:pos="425"/>
              </w:tabs>
              <w:jc w:val="center"/>
            </w:pPr>
            <w:r>
              <w:t>12 500</w:t>
            </w:r>
          </w:p>
        </w:tc>
        <w:tc>
          <w:tcPr>
            <w:tcW w:w="1701" w:type="dxa"/>
          </w:tcPr>
          <w:p>
            <w:pPr>
              <w:pStyle w:val="GesAbsatz"/>
              <w:tabs>
                <w:tab w:val="clear" w:pos="425"/>
              </w:tabs>
              <w:jc w:val="center"/>
            </w:pPr>
            <w:r>
              <w:t>6 200</w:t>
            </w:r>
          </w:p>
        </w:tc>
        <w:tc>
          <w:tcPr>
            <w:tcW w:w="1701" w:type="dxa"/>
          </w:tcPr>
          <w:p>
            <w:pPr>
              <w:pStyle w:val="GesAbsatz"/>
              <w:tabs>
                <w:tab w:val="clear" w:pos="425"/>
              </w:tabs>
              <w:jc w:val="center"/>
            </w:pPr>
            <w:r>
              <w:t>4 200</w:t>
            </w:r>
          </w:p>
        </w:tc>
      </w:tr>
      <w:tr>
        <w:tc>
          <w:tcPr>
            <w:tcW w:w="2802" w:type="dxa"/>
          </w:tcPr>
          <w:p>
            <w:pPr>
              <w:pStyle w:val="GesAbsatz"/>
              <w:tabs>
                <w:tab w:val="clear" w:pos="425"/>
              </w:tabs>
            </w:pPr>
            <w:r>
              <w:t>K 3.4</w:t>
            </w:r>
          </w:p>
        </w:tc>
        <w:tc>
          <w:tcPr>
            <w:tcW w:w="1642" w:type="dxa"/>
          </w:tcPr>
          <w:p>
            <w:pPr>
              <w:pStyle w:val="GesAbsatz"/>
              <w:tabs>
                <w:tab w:val="clear" w:pos="425"/>
              </w:tabs>
              <w:jc w:val="center"/>
            </w:pPr>
            <w:r>
              <w:t>22 500</w:t>
            </w:r>
          </w:p>
        </w:tc>
        <w:tc>
          <w:tcPr>
            <w:tcW w:w="1701" w:type="dxa"/>
          </w:tcPr>
          <w:p>
            <w:pPr>
              <w:pStyle w:val="GesAbsatz"/>
              <w:tabs>
                <w:tab w:val="clear" w:pos="425"/>
              </w:tabs>
              <w:jc w:val="center"/>
            </w:pPr>
            <w:r>
              <w:t>13 500</w:t>
            </w:r>
          </w:p>
        </w:tc>
        <w:tc>
          <w:tcPr>
            <w:tcW w:w="1701" w:type="dxa"/>
          </w:tcPr>
          <w:p>
            <w:pPr>
              <w:pStyle w:val="GesAbsatz"/>
              <w:tabs>
                <w:tab w:val="clear" w:pos="425"/>
              </w:tabs>
              <w:jc w:val="center"/>
            </w:pPr>
            <w:r>
              <w:t>6 800</w:t>
            </w:r>
          </w:p>
        </w:tc>
        <w:tc>
          <w:tcPr>
            <w:tcW w:w="1701" w:type="dxa"/>
          </w:tcPr>
          <w:p>
            <w:pPr>
              <w:pStyle w:val="GesAbsatz"/>
              <w:tabs>
                <w:tab w:val="clear" w:pos="425"/>
              </w:tabs>
              <w:jc w:val="center"/>
            </w:pPr>
            <w:r>
              <w:t>4 500</w:t>
            </w:r>
          </w:p>
        </w:tc>
      </w:tr>
      <w:tr>
        <w:tc>
          <w:tcPr>
            <w:tcW w:w="2802" w:type="dxa"/>
          </w:tcPr>
          <w:p>
            <w:pPr>
              <w:pStyle w:val="GesAbsatz"/>
              <w:tabs>
                <w:tab w:val="clear" w:pos="425"/>
              </w:tabs>
            </w:pPr>
            <w:r>
              <w:t>K 4</w:t>
            </w:r>
          </w:p>
        </w:tc>
        <w:tc>
          <w:tcPr>
            <w:tcW w:w="1642" w:type="dxa"/>
          </w:tcPr>
          <w:p>
            <w:pPr>
              <w:pStyle w:val="GesAbsatz"/>
              <w:tabs>
                <w:tab w:val="clear" w:pos="425"/>
              </w:tabs>
              <w:jc w:val="center"/>
            </w:pPr>
            <w:r>
              <w:t>30 000</w:t>
            </w:r>
            <w:r>
              <w:rPr>
                <w:vertAlign w:val="superscript"/>
              </w:rPr>
              <w:t>1)</w:t>
            </w:r>
          </w:p>
        </w:tc>
        <w:tc>
          <w:tcPr>
            <w:tcW w:w="1701" w:type="dxa"/>
          </w:tcPr>
          <w:p>
            <w:pPr>
              <w:pStyle w:val="GesAbsatz"/>
              <w:tabs>
                <w:tab w:val="clear" w:pos="425"/>
              </w:tabs>
              <w:jc w:val="center"/>
            </w:pPr>
            <w:r>
              <w:t>20 000</w:t>
            </w:r>
            <w:r>
              <w:rPr>
                <w:vertAlign w:val="superscript"/>
              </w:rPr>
              <w:t>1)</w:t>
            </w:r>
          </w:p>
        </w:tc>
        <w:tc>
          <w:tcPr>
            <w:tcW w:w="1701" w:type="dxa"/>
          </w:tcPr>
          <w:p>
            <w:pPr>
              <w:pStyle w:val="GesAbsatz"/>
              <w:tabs>
                <w:tab w:val="clear" w:pos="425"/>
              </w:tabs>
              <w:jc w:val="center"/>
            </w:pPr>
            <w:r>
              <w:t>10 000</w:t>
            </w:r>
            <w:r>
              <w:rPr>
                <w:vertAlign w:val="superscript"/>
              </w:rPr>
              <w:t>1)</w:t>
            </w:r>
          </w:p>
        </w:tc>
        <w:tc>
          <w:tcPr>
            <w:tcW w:w="1701" w:type="dxa"/>
          </w:tcPr>
          <w:p>
            <w:pPr>
              <w:pStyle w:val="GesAbsatz"/>
              <w:tabs>
                <w:tab w:val="clear" w:pos="425"/>
              </w:tabs>
              <w:jc w:val="center"/>
            </w:pPr>
            <w:r>
              <w:t>10 000</w:t>
            </w:r>
            <w:r>
              <w:rPr>
                <w:vertAlign w:val="superscript"/>
              </w:rPr>
              <w:t>1)</w:t>
            </w:r>
          </w:p>
        </w:tc>
      </w:tr>
      <w:tr>
        <w:tc>
          <w:tcPr>
            <w:tcW w:w="2802" w:type="dxa"/>
          </w:tcPr>
          <w:p>
            <w:pPr>
              <w:pStyle w:val="GesAbsatz"/>
              <w:tabs>
                <w:tab w:val="clear" w:pos="425"/>
              </w:tabs>
              <w:jc w:val="left"/>
            </w:pPr>
            <w:r>
              <w:t>Mindestgröße der Wärmeabzugsflächen in % nach DIN 18230-1</w:t>
            </w:r>
          </w:p>
        </w:tc>
        <w:tc>
          <w:tcPr>
            <w:tcW w:w="1642" w:type="dxa"/>
          </w:tcPr>
          <w:p>
            <w:pPr>
              <w:pStyle w:val="GesAbsatz"/>
              <w:tabs>
                <w:tab w:val="clear" w:pos="425"/>
              </w:tabs>
              <w:jc w:val="center"/>
            </w:pPr>
            <w:r>
              <w:t>1</w:t>
            </w:r>
          </w:p>
        </w:tc>
        <w:tc>
          <w:tcPr>
            <w:tcW w:w="1701" w:type="dxa"/>
          </w:tcPr>
          <w:p>
            <w:pPr>
              <w:pStyle w:val="GesAbsatz"/>
              <w:tabs>
                <w:tab w:val="clear" w:pos="425"/>
              </w:tabs>
              <w:jc w:val="center"/>
            </w:pPr>
            <w:r>
              <w:t>2</w:t>
            </w:r>
          </w:p>
        </w:tc>
        <w:tc>
          <w:tcPr>
            <w:tcW w:w="1701" w:type="dxa"/>
          </w:tcPr>
          <w:p>
            <w:pPr>
              <w:pStyle w:val="GesAbsatz"/>
              <w:tabs>
                <w:tab w:val="clear" w:pos="425"/>
              </w:tabs>
              <w:jc w:val="center"/>
            </w:pPr>
            <w:r>
              <w:t>3</w:t>
            </w:r>
          </w:p>
        </w:tc>
        <w:tc>
          <w:tcPr>
            <w:tcW w:w="1701" w:type="dxa"/>
          </w:tcPr>
          <w:p>
            <w:pPr>
              <w:pStyle w:val="GesAbsatz"/>
              <w:tabs>
                <w:tab w:val="clear" w:pos="425"/>
              </w:tabs>
              <w:jc w:val="center"/>
            </w:pPr>
            <w:r>
              <w:t>4</w:t>
            </w:r>
          </w:p>
        </w:tc>
      </w:tr>
      <w:tr>
        <w:tc>
          <w:tcPr>
            <w:tcW w:w="2802" w:type="dxa"/>
          </w:tcPr>
          <w:p>
            <w:pPr>
              <w:pStyle w:val="GesAbsatz"/>
              <w:tabs>
                <w:tab w:val="clear" w:pos="425"/>
              </w:tabs>
              <w:jc w:val="left"/>
            </w:pPr>
            <w:r>
              <w:t>Zulässige Breite des Industriebaus in m</w:t>
            </w:r>
          </w:p>
        </w:tc>
        <w:tc>
          <w:tcPr>
            <w:tcW w:w="1642" w:type="dxa"/>
          </w:tcPr>
          <w:p>
            <w:pPr>
              <w:pStyle w:val="GesAbsatz"/>
              <w:tabs>
                <w:tab w:val="clear" w:pos="425"/>
              </w:tabs>
              <w:jc w:val="center"/>
            </w:pPr>
            <w:r>
              <w:t>80</w:t>
            </w:r>
          </w:p>
        </w:tc>
        <w:tc>
          <w:tcPr>
            <w:tcW w:w="1701" w:type="dxa"/>
          </w:tcPr>
          <w:p>
            <w:pPr>
              <w:pStyle w:val="GesAbsatz"/>
              <w:tabs>
                <w:tab w:val="clear" w:pos="425"/>
              </w:tabs>
              <w:jc w:val="center"/>
            </w:pPr>
            <w:r>
              <w:t>60</w:t>
            </w:r>
          </w:p>
        </w:tc>
        <w:tc>
          <w:tcPr>
            <w:tcW w:w="1701" w:type="dxa"/>
          </w:tcPr>
          <w:p>
            <w:pPr>
              <w:pStyle w:val="GesAbsatz"/>
              <w:tabs>
                <w:tab w:val="clear" w:pos="425"/>
              </w:tabs>
              <w:jc w:val="center"/>
            </w:pPr>
            <w:r>
              <w:t>50</w:t>
            </w:r>
          </w:p>
        </w:tc>
        <w:tc>
          <w:tcPr>
            <w:tcW w:w="1701" w:type="dxa"/>
          </w:tcPr>
          <w:p>
            <w:pPr>
              <w:pStyle w:val="GesAbsatz"/>
              <w:tabs>
                <w:tab w:val="clear" w:pos="425"/>
              </w:tabs>
              <w:jc w:val="center"/>
            </w:pPr>
            <w:r>
              <w:t>40</w:t>
            </w:r>
          </w:p>
        </w:tc>
      </w:tr>
      <w:tr>
        <w:tc>
          <w:tcPr>
            <w:tcW w:w="9547" w:type="dxa"/>
            <w:gridSpan w:val="5"/>
          </w:tcPr>
          <w:p>
            <w:pPr>
              <w:pStyle w:val="GesAbsatz"/>
              <w:ind w:left="426" w:hanging="426"/>
              <w:rPr>
                <w:sz w:val="18"/>
                <w:szCs w:val="18"/>
              </w:rPr>
            </w:pPr>
            <w:r>
              <w:rPr>
                <w:sz w:val="18"/>
                <w:szCs w:val="18"/>
                <w:vertAlign w:val="superscript"/>
              </w:rPr>
              <w:t>1)</w:t>
            </w:r>
            <w:r>
              <w:rPr>
                <w:sz w:val="18"/>
                <w:szCs w:val="18"/>
              </w:rPr>
              <w:tab/>
              <w:t>Die Anforderungen hinsichtlich der Wärmeabzugsflächen und der Breite des Industriebaus gelten nicht für Brandbekämpfungsabschnitte der Sicherheitskategorie K 4.</w:t>
            </w:r>
          </w:p>
          <w:p>
            <w:pPr>
              <w:pStyle w:val="GesAbsatz"/>
              <w:ind w:left="426" w:hanging="426"/>
              <w:rPr>
                <w:sz w:val="18"/>
                <w:szCs w:val="18"/>
              </w:rPr>
            </w:pPr>
            <w:r>
              <w:rPr>
                <w:sz w:val="18"/>
                <w:szCs w:val="18"/>
                <w:vertAlign w:val="superscript"/>
              </w:rPr>
              <w:t>2)</w:t>
            </w:r>
            <w:r>
              <w:rPr>
                <w:sz w:val="18"/>
                <w:szCs w:val="18"/>
              </w:rPr>
              <w:tab/>
              <w:t>Die zulässige Größe darf um 10 % überschritten werden, wenn in dem Brandbekämpfungsabschnitt die Produktions- und Lagerräume Rauchabzugsanlagen haben, bei denen</w:t>
            </w:r>
          </w:p>
          <w:p>
            <w:pPr>
              <w:pStyle w:val="GesAbsatz"/>
              <w:ind w:left="851" w:hanging="425"/>
              <w:rPr>
                <w:sz w:val="18"/>
                <w:szCs w:val="18"/>
              </w:rPr>
            </w:pPr>
            <w:r>
              <w:rPr>
                <w:sz w:val="18"/>
                <w:szCs w:val="18"/>
              </w:rPr>
              <w:t>a)</w:t>
            </w:r>
            <w:r>
              <w:rPr>
                <w:sz w:val="18"/>
                <w:szCs w:val="18"/>
              </w:rPr>
              <w:tab/>
              <w:t>je höchstens 200 m² der Grundfläche mindestens ein oder mehrere Rauchabzugsgeräte mit mindestens insgesamt 1,5 m² aerodynamisch wirksamer Fläche im Dach angeordnet wird,</w:t>
            </w:r>
          </w:p>
          <w:p>
            <w:pPr>
              <w:pStyle w:val="GesAbsatz"/>
              <w:ind w:left="851" w:hanging="425"/>
              <w:rPr>
                <w:sz w:val="18"/>
                <w:szCs w:val="18"/>
              </w:rPr>
            </w:pPr>
            <w:r>
              <w:rPr>
                <w:sz w:val="18"/>
                <w:szCs w:val="18"/>
              </w:rPr>
              <w:t>b)</w:t>
            </w:r>
            <w:r>
              <w:rPr>
                <w:sz w:val="18"/>
                <w:szCs w:val="18"/>
              </w:rPr>
              <w:tab/>
              <w:t>je höchstens 1 600 m² Grundfläche mindestens eine Auslösegruppe für die Rauchabzugsgeräte gebildet wird,</w:t>
            </w:r>
          </w:p>
          <w:p>
            <w:pPr>
              <w:pStyle w:val="GesAbsatz"/>
              <w:ind w:left="851" w:hanging="425"/>
              <w:rPr>
                <w:sz w:val="18"/>
                <w:szCs w:val="18"/>
              </w:rPr>
            </w:pPr>
            <w:r>
              <w:rPr>
                <w:sz w:val="18"/>
                <w:szCs w:val="18"/>
              </w:rPr>
              <w:t>c)</w:t>
            </w:r>
            <w:r>
              <w:rPr>
                <w:sz w:val="18"/>
                <w:szCs w:val="18"/>
              </w:rPr>
              <w:tab/>
              <w:t>Zuluftflächen mit einem freien Querschnitt von mindestens 36 m² im unteren Raumdrittel vorhanden sind sowie</w:t>
            </w:r>
          </w:p>
          <w:p>
            <w:pPr>
              <w:pStyle w:val="GesAbsatz"/>
              <w:tabs>
                <w:tab w:val="clear" w:pos="425"/>
              </w:tabs>
              <w:ind w:left="851" w:hanging="425"/>
              <w:rPr>
                <w:sz w:val="18"/>
                <w:szCs w:val="18"/>
              </w:rPr>
            </w:pPr>
            <w:r>
              <w:rPr>
                <w:sz w:val="18"/>
                <w:szCs w:val="18"/>
              </w:rPr>
              <w:t>d)</w:t>
            </w:r>
            <w:r>
              <w:rPr>
                <w:sz w:val="18"/>
                <w:szCs w:val="18"/>
              </w:rPr>
              <w:tab/>
              <w:t>die Anforderungen der Abschnitte 5.7.4.3 und 5.7.4.4 erfüllt sind.</w:t>
            </w:r>
          </w:p>
        </w:tc>
      </w:tr>
    </w:tbl>
    <w:p>
      <w:pPr>
        <w:pStyle w:val="GesAbsatz"/>
      </w:pPr>
    </w:p>
    <w:p>
      <w:pPr>
        <w:pStyle w:val="GesAbsatz"/>
      </w:pPr>
      <w:r>
        <w:t>Zwischenwerte dürfen linear interpoliert werden.</w:t>
      </w:r>
    </w:p>
    <w:p>
      <w:pPr>
        <w:pStyle w:val="berschrift3"/>
      </w:pPr>
      <w:bookmarkStart w:id="49" w:name="_Toc418755874"/>
      <w:r>
        <w:t>7.7</w:t>
      </w:r>
      <w:r>
        <w:br/>
        <w:t>Sonstige Anforderungen</w:t>
      </w:r>
      <w:bookmarkEnd w:id="49"/>
    </w:p>
    <w:p>
      <w:pPr>
        <w:pStyle w:val="GesAbsatz"/>
      </w:pPr>
      <w:r>
        <w:t>7.7.1</w:t>
      </w:r>
    </w:p>
    <w:p>
      <w:pPr>
        <w:pStyle w:val="GesAbsatz"/>
      </w:pPr>
      <w:r>
        <w:t xml:space="preserve">Brandbekämpfungsabschnitte mit einer Grundfläche von mehr als 10 000 m² sind durch für die Feuerwehr zugängliche Verkehrswege in Flächen von höchstens 10 000 m² zu unterteilen. Diese Verkehrswege müssen </w:t>
      </w:r>
      <w:r>
        <w:lastRenderedPageBreak/>
        <w:t>eine Mindestbreite von 5,0 m haben und möglichst geradlinig zu Ausgängen führen. Bei Vorhandensein einer Werkfeuerwehr, einer selbsttätigen Feuerlöschanlage und bei einer rechnerischen Brandbelastung von weniger als 100 kWh/m² beträgt die Mindestbreite 3,5 m.</w:t>
      </w:r>
    </w:p>
    <w:p>
      <w:pPr>
        <w:pStyle w:val="GesAbsatz"/>
      </w:pPr>
      <w:r>
        <w:t>7.7.2</w:t>
      </w:r>
    </w:p>
    <w:p>
      <w:pPr>
        <w:pStyle w:val="GesAbsatz"/>
      </w:pPr>
      <w:r>
        <w:t>Für den Fall geringer Brandbelastungen von bis zu 15 kWh/m² auf Einbauten in Brandbekämpfungsabschnitten, wie zum Beispiel bei Wartungs- und Montageflächen oder Verkehrswegen, bestehen keine Einschränkungen hinsichtlich deren Grundfläche und Anordnung.</w:t>
      </w:r>
    </w:p>
    <w:p>
      <w:pPr>
        <w:pStyle w:val="berschrift2"/>
      </w:pPr>
      <w:bookmarkStart w:id="50" w:name="_Toc418755875"/>
      <w:r>
        <w:t>8</w:t>
      </w:r>
      <w:r>
        <w:br/>
        <w:t>Zusätzliche Bauvorlagen</w:t>
      </w:r>
      <w:bookmarkEnd w:id="50"/>
    </w:p>
    <w:p>
      <w:pPr>
        <w:pStyle w:val="GesAbsatz"/>
      </w:pPr>
      <w:r>
        <w:t>Die Bauvorlagen müssen, soweit erforderlich, zusätzlich zu § 9 Absatz 2 der Verordnung über bautechnische Prüfungen folgende Angaben erhalten:</w:t>
      </w:r>
    </w:p>
    <w:p>
      <w:pPr>
        <w:pStyle w:val="GesAbsatz"/>
      </w:pPr>
      <w:r>
        <w:t>a)</w:t>
      </w:r>
      <w:r>
        <w:tab/>
        <w:t>zur Zuordnung des Industriebaus zu den Sicherheitskategorien,</w:t>
      </w:r>
    </w:p>
    <w:p>
      <w:pPr>
        <w:pStyle w:val="GesAbsatz"/>
      </w:pPr>
      <w:r>
        <w:t>b)</w:t>
      </w:r>
      <w:r>
        <w:tab/>
        <w:t xml:space="preserve">über das gewählte Verfahren nach Abschnitt 6, 7 oder </w:t>
      </w:r>
      <w:r>
        <w:rPr>
          <w:b/>
        </w:rPr>
        <w:t>Anhang 1</w:t>
      </w:r>
      <w:r>
        <w:t>,</w:t>
      </w:r>
    </w:p>
    <w:p>
      <w:pPr>
        <w:pStyle w:val="GesAbsatz"/>
      </w:pPr>
      <w:r>
        <w:t>c)</w:t>
      </w:r>
      <w:r>
        <w:tab/>
        <w:t>zur Gebäudefunkanlage und</w:t>
      </w:r>
    </w:p>
    <w:p>
      <w:pPr>
        <w:pStyle w:val="GesAbsatz"/>
      </w:pPr>
      <w:r>
        <w:t>d)</w:t>
      </w:r>
      <w:r>
        <w:tab/>
        <w:t>Lagerbereiche unter Vordächern, vor Außenwänden und auf Freiflächen,</w:t>
      </w:r>
    </w:p>
    <w:p>
      <w:pPr>
        <w:pStyle w:val="GesAbsatz"/>
      </w:pPr>
      <w:r>
        <w:t>beim Nachweis nach Abschnitt 6</w:t>
      </w:r>
    </w:p>
    <w:p>
      <w:pPr>
        <w:pStyle w:val="GesAbsatz"/>
        <w:ind w:left="426" w:hanging="426"/>
      </w:pPr>
      <w:r>
        <w:t>e)</w:t>
      </w:r>
      <w:r>
        <w:tab/>
        <w:t>zur Größe der Brandabschnitte, Flächen und Lage von Einbauten in den Geschossen, Lage der Brandwände und zu den Freiflächen nach Abschnitt 6.4.1,</w:t>
      </w:r>
    </w:p>
    <w:p>
      <w:pPr>
        <w:pStyle w:val="GesAbsatz"/>
        <w:ind w:left="426"/>
      </w:pPr>
      <w:r>
        <w:t>beim Nachweis nach Abschnitt 7</w:t>
      </w:r>
    </w:p>
    <w:p>
      <w:pPr>
        <w:pStyle w:val="GesAbsatz"/>
        <w:ind w:left="426" w:hanging="426"/>
      </w:pPr>
      <w:r>
        <w:t>f)</w:t>
      </w:r>
      <w:r>
        <w:tab/>
        <w:t>zur Berechnung nach DIN 18230-1 mit den Unterlagen zur Dokumentation mit den festgelegten Eingangsparametern, insbesondere der rechnerischen Brandbelastung nach DIN 18230-1 und</w:t>
      </w:r>
    </w:p>
    <w:p>
      <w:pPr>
        <w:pStyle w:val="GesAbsatz"/>
        <w:ind w:left="426" w:hanging="426"/>
      </w:pPr>
      <w:r>
        <w:t>g)</w:t>
      </w:r>
      <w:r>
        <w:tab/>
        <w:t>Größe der Brandbekämpfungsabschnitte, Höhenlage und Flächen der Ebenen, Fläche und Lage von Einbauten innerhalb der Brandbekämpfungsabschnitte.</w:t>
      </w:r>
    </w:p>
    <w:p>
      <w:pPr>
        <w:pStyle w:val="GesAbsatz"/>
      </w:pPr>
      <w:r>
        <w:t>Im Übrigen gilt § 1 Absatz 2 Satz 2 der Verordnung über bautechnische Prüfungen.</w:t>
      </w:r>
    </w:p>
    <w:p>
      <w:pPr>
        <w:pStyle w:val="berschrift3"/>
      </w:pPr>
      <w:bookmarkStart w:id="51" w:name="_Toc418755876"/>
      <w:r>
        <w:t>9</w:t>
      </w:r>
      <w:r>
        <w:br/>
        <w:t>Pflichten der Betreiber</w:t>
      </w:r>
      <w:bookmarkEnd w:id="51"/>
    </w:p>
    <w:p>
      <w:pPr>
        <w:pStyle w:val="GesAbsatz"/>
      </w:pPr>
      <w:r>
        <w:t>Änderungen der brandschutztechnischen Infrastruktur sowie eine Erhöhung der Brandlast erfordern eine Überprüfung des Brandschutzkonzeptes. Ergibt sich daraus eine niedrigere Sicherheitskategorie, eine höhere äquivalente Branddauer t</w:t>
      </w:r>
      <w:r>
        <w:rPr>
          <w:vertAlign w:val="subscript"/>
        </w:rPr>
        <w:t>ä</w:t>
      </w:r>
      <w:r>
        <w:t xml:space="preserve"> oder eine höhere rechnerisch erforderliche Feuerwiderstandsdauer erf t</w:t>
      </w:r>
      <w:r>
        <w:rPr>
          <w:vertAlign w:val="subscript"/>
        </w:rPr>
        <w:t>F</w:t>
      </w:r>
      <w:r>
        <w:t>, so liegt eine Nutzungsänderung vor. Solche Nutzungsänderungen bedürfen dann eines Bauantrages und einer Baugenehmigung, wenn sich aus ihnen höhere Anforderungen ergeben. Dies gilt auch bei Änderungen und Ergänzungen des Brandschutzkonzeptes nach Erteilung der Baugenehmigung.</w:t>
      </w:r>
    </w:p>
    <w:p>
      <w:pPr>
        <w:pStyle w:val="berschrift2"/>
      </w:pPr>
      <w:bookmarkStart w:id="52" w:name="_Toc418755877"/>
      <w:r>
        <w:t>10</w:t>
      </w:r>
      <w:r>
        <w:br/>
        <w:t>Inkrafttreten, Außerkrafttreten</w:t>
      </w:r>
      <w:bookmarkEnd w:id="52"/>
    </w:p>
    <w:p>
      <w:pPr>
        <w:pStyle w:val="GesAbsatz"/>
      </w:pPr>
      <w:r>
        <w:t>Diese Richtlinie tritt am Tag nach der Verkündung in Kraft. Gleichzeitig tritt die „Richtlinie über den baulichen Brandschutz im Industriebau - Industriebaurichtlinie – IndBauR“, RdErl. d. Ministeriums für Städtebau und Wohnen, Kultur und Sport v. 28.5.2001 (MBl. NRW. S. 924) außer Kraft. Diese Richtlinie tritt mit Ablauf des 7. April 2020 außer Kraft.</w:t>
      </w: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53" w:name="_Toc418755878"/>
      <w:r>
        <w:lastRenderedPageBreak/>
        <w:t>Anhang 1</w:t>
      </w:r>
      <w:bookmarkEnd w:id="53"/>
    </w:p>
    <w:p>
      <w:pPr>
        <w:pStyle w:val="GesAbsatz"/>
        <w:jc w:val="center"/>
        <w:rPr>
          <w:b/>
        </w:rPr>
      </w:pPr>
      <w:r>
        <w:rPr>
          <w:b/>
        </w:rPr>
        <w:t>Grundsätze für die Aufstellung von Nachweisen mit Methoden des Brandschutzingenieurwesens</w:t>
      </w:r>
    </w:p>
    <w:p>
      <w:pPr>
        <w:pStyle w:val="GesAbsatz"/>
        <w:rPr>
          <w:b/>
        </w:rPr>
      </w:pPr>
      <w:r>
        <w:rPr>
          <w:b/>
        </w:rPr>
        <w:t>1</w:t>
      </w:r>
      <w:r>
        <w:rPr>
          <w:b/>
        </w:rPr>
        <w:tab/>
        <w:t>Grundsätze des Nachweises</w:t>
      </w:r>
    </w:p>
    <w:p>
      <w:pPr>
        <w:pStyle w:val="GesAbsatz"/>
      </w:pPr>
      <w:r>
        <w:t>Auf der Grundlage von Methoden des Brandschutzingenieurwesens wird durch wissenschaftlich anerkannte Verfahren (zum Beispiel Wärmebilanzrechnungen) nachgewiesen, dass für sicherheitstechnisch erforderliche Zeiträume</w:t>
      </w:r>
    </w:p>
    <w:p>
      <w:pPr>
        <w:pStyle w:val="GesAbsatz"/>
      </w:pPr>
      <w:r>
        <w:t>a)</w:t>
      </w:r>
      <w:r>
        <w:tab/>
        <w:t>die vorhandenen Rettungswege benutzbar sind,</w:t>
      </w:r>
    </w:p>
    <w:p>
      <w:pPr>
        <w:pStyle w:val="GesAbsatz"/>
      </w:pPr>
      <w:r>
        <w:t>b)</w:t>
      </w:r>
      <w:r>
        <w:tab/>
        <w:t>eine wirksame Brandbekämpfung möglich ist,</w:t>
      </w:r>
    </w:p>
    <w:p>
      <w:pPr>
        <w:pStyle w:val="GesAbsatz"/>
      </w:pPr>
      <w:r>
        <w:t>c)</w:t>
      </w:r>
      <w:r>
        <w:tab/>
        <w:t>die Standsicherheit der Bauteile gewährleistet ist.</w:t>
      </w:r>
    </w:p>
    <w:p>
      <w:pPr>
        <w:pStyle w:val="GesAbsatz"/>
      </w:pPr>
      <w:r>
        <w:t>Die in den sicherheitstechnisch erforderlichen Zeiträumen einzuhaltenden Sicherheitskriterien sind aufgrund anerkannter Kriterien des Brandschutzes und/oder anhand bestehender Vorschriften festzulegen. Diese Sicherheitskriterien können insbesondere sein:</w:t>
      </w:r>
    </w:p>
    <w:p>
      <w:pPr>
        <w:pStyle w:val="GesAbsatz"/>
      </w:pPr>
      <w:r>
        <w:t>a)</w:t>
      </w:r>
      <w:r>
        <w:tab/>
        <w:t>Einhaltung einer raucharmen Schicht mit</w:t>
      </w:r>
    </w:p>
    <w:p>
      <w:pPr>
        <w:pStyle w:val="GesAbsatz"/>
      </w:pPr>
      <w:r>
        <w:t>b)</w:t>
      </w:r>
      <w:r>
        <w:tab/>
        <w:t>einer zulässigen Höchsttemperatur,</w:t>
      </w:r>
    </w:p>
    <w:p>
      <w:pPr>
        <w:pStyle w:val="GesAbsatz"/>
        <w:ind w:left="851" w:hanging="425"/>
      </w:pPr>
      <w:r>
        <w:t>aa)</w:t>
      </w:r>
      <w:r>
        <w:tab/>
        <w:t>einer erforderlichen Mindestdicke und</w:t>
      </w:r>
    </w:p>
    <w:p>
      <w:pPr>
        <w:pStyle w:val="GesAbsatz"/>
        <w:ind w:left="851" w:hanging="425"/>
      </w:pPr>
      <w:r>
        <w:t>bb)</w:t>
      </w:r>
      <w:r>
        <w:tab/>
        <w:t>einer einzuhaltenden Kohlendioxidkonzentration,</w:t>
      </w:r>
    </w:p>
    <w:p>
      <w:pPr>
        <w:pStyle w:val="GesAbsatz"/>
      </w:pPr>
      <w:r>
        <w:t>c)</w:t>
      </w:r>
      <w:r>
        <w:tab/>
        <w:t>Einhaltung bestimmter Grenzwerte in der Rauchgasschicht bezüglich</w:t>
      </w:r>
    </w:p>
    <w:p>
      <w:pPr>
        <w:pStyle w:val="GesAbsatz"/>
        <w:ind w:left="851" w:hanging="425"/>
      </w:pPr>
      <w:r>
        <w:t>aa)</w:t>
      </w:r>
      <w:r>
        <w:tab/>
        <w:t>zulässiger Höchsttemperatur,</w:t>
      </w:r>
    </w:p>
    <w:p>
      <w:pPr>
        <w:pStyle w:val="GesAbsatz"/>
        <w:ind w:left="851" w:hanging="425"/>
      </w:pPr>
      <w:r>
        <w:t>bb)</w:t>
      </w:r>
      <w:r>
        <w:tab/>
        <w:t>erforderlicher Sauerstoffkonzentration,</w:t>
      </w:r>
    </w:p>
    <w:p>
      <w:pPr>
        <w:pStyle w:val="GesAbsatz"/>
        <w:ind w:left="851" w:hanging="425"/>
      </w:pPr>
      <w:r>
        <w:t>cc)</w:t>
      </w:r>
      <w:r>
        <w:tab/>
        <w:t>zulässiger Kohlendioxidkonzentration und</w:t>
      </w:r>
    </w:p>
    <w:p>
      <w:pPr>
        <w:pStyle w:val="GesAbsatz"/>
        <w:ind w:left="851" w:hanging="425"/>
      </w:pPr>
      <w:r>
        <w:t>dd)</w:t>
      </w:r>
      <w:r>
        <w:tab/>
        <w:t>zulässiger Kohlenmonoxidkonzentration,</w:t>
      </w:r>
    </w:p>
    <w:p>
      <w:pPr>
        <w:pStyle w:val="GesAbsatz"/>
        <w:ind w:left="426" w:hanging="426"/>
      </w:pPr>
      <w:r>
        <w:t>d)</w:t>
      </w:r>
      <w:r>
        <w:tab/>
        <w:t>Einhaltung der Tragfähigkeit unter den ermittelten Temperaturbelastungen für einzelne Bauteile und die Tragkonstruktion und</w:t>
      </w:r>
    </w:p>
    <w:p>
      <w:pPr>
        <w:pStyle w:val="GesAbsatz"/>
      </w:pPr>
      <w:r>
        <w:t>e)</w:t>
      </w:r>
      <w:r>
        <w:tab/>
        <w:t>Einhaltung bestimmter Grenzwerte für die Wärmestrahlung</w:t>
      </w:r>
    </w:p>
    <w:p>
      <w:pPr>
        <w:pStyle w:val="GesAbsatz"/>
        <w:ind w:left="851" w:hanging="425"/>
      </w:pPr>
      <w:r>
        <w:t>aa)</w:t>
      </w:r>
      <w:r>
        <w:tab/>
        <w:t>innerhalb des Brandraumes und</w:t>
      </w:r>
    </w:p>
    <w:p>
      <w:pPr>
        <w:pStyle w:val="GesAbsatz"/>
        <w:ind w:left="851" w:hanging="425"/>
      </w:pPr>
      <w:r>
        <w:t>bb)</w:t>
      </w:r>
      <w:r>
        <w:tab/>
        <w:t>außerhalb des Brandraumes.</w:t>
      </w:r>
    </w:p>
    <w:p>
      <w:pPr>
        <w:pStyle w:val="GesAbsatz"/>
        <w:rPr>
          <w:b/>
        </w:rPr>
      </w:pPr>
      <w:r>
        <w:rPr>
          <w:b/>
        </w:rPr>
        <w:t>2</w:t>
      </w:r>
      <w:r>
        <w:rPr>
          <w:b/>
        </w:rPr>
        <w:tab/>
        <w:t>Voraussetzungen für den Nachweis</w:t>
      </w:r>
    </w:p>
    <w:p>
      <w:pPr>
        <w:pStyle w:val="GesAbsatz"/>
      </w:pPr>
      <w:r>
        <w:t>Für den betrachteten Industriebau müssen aufgrund der vorgesehenen Nutzung die Brandszenarien festlegbar sein, welche insbesondere</w:t>
      </w:r>
    </w:p>
    <w:p>
      <w:pPr>
        <w:pStyle w:val="GesAbsatz"/>
      </w:pPr>
      <w:r>
        <w:t>a)</w:t>
      </w:r>
      <w:r>
        <w:tab/>
        <w:t>der Nutzung entsprechen und</w:t>
      </w:r>
    </w:p>
    <w:p>
      <w:pPr>
        <w:pStyle w:val="GesAbsatz"/>
      </w:pPr>
      <w:r>
        <w:t>b)</w:t>
      </w:r>
      <w:r>
        <w:tab/>
        <w:t>auf der sicheren Seite liegende Brandwirkungen ergeben.</w:t>
      </w:r>
    </w:p>
    <w:p>
      <w:pPr>
        <w:pStyle w:val="GesAbsatz"/>
      </w:pPr>
      <w:r>
        <w:t>Die Mindestvoraussetzungen für die Festlegung von Brandszenarien sind insbesondere Angaben über</w:t>
      </w:r>
    </w:p>
    <w:p>
      <w:pPr>
        <w:pStyle w:val="GesAbsatz"/>
      </w:pPr>
      <w:r>
        <w:t>a)</w:t>
      </w:r>
      <w:r>
        <w:tab/>
        <w:t>Art und Menge der brennbaren Stoffe sowie Brandbelastungen,</w:t>
      </w:r>
    </w:p>
    <w:p>
      <w:pPr>
        <w:pStyle w:val="GesAbsatz"/>
        <w:ind w:left="426" w:hanging="426"/>
      </w:pPr>
      <w:r>
        <w:t>b)</w:t>
      </w:r>
      <w:r>
        <w:tab/>
        <w:t>physikalische Kennwerte der brennbaren Stoffe (zum Beispiel Heizwert, spez. Abbrandgeschwindigkeit, Brandausbreitungsgeschwindigkeit),</w:t>
      </w:r>
    </w:p>
    <w:p>
      <w:pPr>
        <w:pStyle w:val="GesAbsatz"/>
        <w:ind w:left="426" w:hanging="426"/>
      </w:pPr>
      <w:r>
        <w:t>c)</w:t>
      </w:r>
      <w:r>
        <w:tab/>
        <w:t>physikalische Kennwerte der Bauteile (zum Beispiel Wärmeleitung, Dichte, Wärmekapazität, Festigkeit, E-Modul, thermische Dehnung),</w:t>
      </w:r>
    </w:p>
    <w:p>
      <w:pPr>
        <w:pStyle w:val="GesAbsatz"/>
      </w:pPr>
      <w:r>
        <w:t>d)</w:t>
      </w:r>
      <w:r>
        <w:tab/>
        <w:t>Brandherdgröße und maximale Größe der Brandflächen und</w:t>
      </w:r>
    </w:p>
    <w:p>
      <w:pPr>
        <w:pStyle w:val="GesAbsatz"/>
      </w:pPr>
      <w:r>
        <w:t>e)</w:t>
      </w:r>
      <w:r>
        <w:tab/>
        <w:t>Wirksamkeit der brandschutztechnischen Infrastruktur.</w:t>
      </w:r>
    </w:p>
    <w:p>
      <w:pPr>
        <w:pStyle w:val="GesAbsatz"/>
      </w:pPr>
      <w:r>
        <w:t>Soweit für die Nutzung unter Berücksichtigung der Schutzziele anerkannte Brandszenarien und die zugehörigen physikalischen Kennwerte (zum Beispiel im Rahmen von Normen, Eurocodes) veröffentlicht sind, dürfen diese zur Anwendung kommen.</w:t>
      </w:r>
    </w:p>
    <w:p>
      <w:pPr>
        <w:pStyle w:val="GesAbsatz"/>
      </w:pPr>
      <w:r>
        <w:t>Die Berechnungen (zum Beispiel Wärmebilanzrechnungen und/oder Bauteilberechnungen) dürfen nur mit anerkannten Rechenverfahren durchgeführt werden. Anerkannte Rechenverfahren sind Verfahren, welche in Bezug auf die zu ermittelnden Sicherheitskriterien nachweislich eine vollständige Beschreibung gemäß den oben genannten Mindestvoraussetzungen ermöglichen.</w:t>
      </w:r>
    </w:p>
    <w:p>
      <w:pPr>
        <w:pStyle w:val="GesAbsatz"/>
      </w:pPr>
      <w:r>
        <w:lastRenderedPageBreak/>
        <w:t>Als anerkannt gelten Rechenverfahren, die hinsichtlich ihrer physikalischen Grundlagen vollständig veröffentlicht und in Hinblick auf die zu beschreibenden Brandwirkungen nachweislich validiert sind. Sie müssen eine Beschreibung eines dynamischen Brandgeschehens ermöglichen.</w:t>
      </w:r>
    </w:p>
    <w:p>
      <w:pPr>
        <w:pStyle w:val="GesAbsatz"/>
        <w:rPr>
          <w:b/>
        </w:rPr>
      </w:pPr>
      <w:r>
        <w:rPr>
          <w:b/>
        </w:rPr>
        <w:t>3</w:t>
      </w:r>
      <w:r>
        <w:rPr>
          <w:b/>
        </w:rPr>
        <w:tab/>
        <w:t>Nachweisführung und Dokumentation</w:t>
      </w:r>
    </w:p>
    <w:p>
      <w:pPr>
        <w:pStyle w:val="GesAbsatz"/>
      </w:pPr>
      <w:r>
        <w:t>Die Sicherheitskriterien und die Zeiträume zur Einhaltung der Sicherheitskriterien sind mit den zuständigen Behörden festzulegen. Auf der Grundlage dieser Sicherheitskriterien sind in den betrachteten Industriebauten die relevanten Brandszenarien festzulegen. Es ist nachzuweisen, dass die Sicherheitskriterien</w:t>
      </w:r>
    </w:p>
    <w:p>
      <w:pPr>
        <w:pStyle w:val="GesAbsatz"/>
      </w:pPr>
      <w:r>
        <w:t>a)</w:t>
      </w:r>
      <w:r>
        <w:tab/>
        <w:t>generell im Industriebau und</w:t>
      </w:r>
    </w:p>
    <w:p>
      <w:pPr>
        <w:pStyle w:val="GesAbsatz"/>
      </w:pPr>
      <w:r>
        <w:t>b)</w:t>
      </w:r>
      <w:r>
        <w:tab/>
        <w:t>partiell in relevanten Raumbereichen</w:t>
      </w:r>
    </w:p>
    <w:p>
      <w:pPr>
        <w:pStyle w:val="GesAbsatz"/>
      </w:pPr>
      <w:r>
        <w:t>eingehalten werden.</w:t>
      </w:r>
    </w:p>
    <w:p>
      <w:pPr>
        <w:pStyle w:val="GesAbsatz"/>
      </w:pPr>
      <w:r>
        <w:t>Der Nachweis muss vollständig, nachvollziehbar und überprüfbar sein.</w:t>
      </w:r>
    </w:p>
    <w:p>
      <w:pPr>
        <w:pStyle w:val="berschrift2"/>
        <w:jc w:val="left"/>
      </w:pPr>
      <w:bookmarkStart w:id="54" w:name="_Toc418755879"/>
      <w:r>
        <w:t>Anhang 2</w:t>
      </w:r>
      <w:bookmarkEnd w:id="54"/>
    </w:p>
    <w:p>
      <w:pPr>
        <w:pStyle w:val="GesAbsatz"/>
        <w:jc w:val="center"/>
        <w:rPr>
          <w:b/>
        </w:rPr>
      </w:pPr>
      <w:r>
        <w:rPr>
          <w:b/>
        </w:rPr>
        <w:t>Anrechenbare Wärmeabzugsflächen nach Abschnitt 6, Tabelle 2</w:t>
      </w:r>
    </w:p>
    <w:p>
      <w:pPr>
        <w:pStyle w:val="GesAbsatz"/>
      </w:pPr>
      <w:r>
        <w:t>Folgende Flächen dürfen ohne weiteren Nachweis als Wärmeabzugsflächen angesetzt werden:</w:t>
      </w:r>
    </w:p>
    <w:p>
      <w:pPr>
        <w:pStyle w:val="GesAbsatz"/>
        <w:ind w:left="426" w:hanging="426"/>
      </w:pPr>
      <w:r>
        <w:t>a)</w:t>
      </w:r>
      <w:r>
        <w:tab/>
        <w:t>ständig vorhandene Flächen von Öffnungen im Dachbereich oder in Wandbereichen, die ins Freie führen,</w:t>
      </w:r>
    </w:p>
    <w:p>
      <w:pPr>
        <w:pStyle w:val="GesAbsatz"/>
        <w:ind w:left="426" w:hanging="426"/>
      </w:pPr>
      <w:r>
        <w:t>b)</w:t>
      </w:r>
      <w:r>
        <w:tab/>
        <w:t>Flächen von Rauch- und Wärmeabzugsgeräten nach DIN EN 12101-2,</w:t>
      </w:r>
    </w:p>
    <w:p>
      <w:pPr>
        <w:pStyle w:val="GesAbsatz"/>
        <w:ind w:left="426" w:hanging="426"/>
      </w:pPr>
      <w:r>
        <w:t>c)</w:t>
      </w:r>
      <w:r>
        <w:tab/>
        <w:t>Flächen von Toren, Türen und Lüftungseinrichtungen, die ins Freie führen und die von außen ohne Gewaltanwendung geöffnet werden können,</w:t>
      </w:r>
    </w:p>
    <w:p>
      <w:pPr>
        <w:pStyle w:val="GesAbsatz"/>
        <w:ind w:left="426" w:hanging="426"/>
      </w:pPr>
      <w:r>
        <w:t>d)</w:t>
      </w:r>
      <w:r>
        <w:tab/>
        <w:t>Flächen von Öffnungen mit Abschlüssen oder Einrichtungen aus Kunststoffen mit einer Schmelztemperatur ≤ 300 °C,</w:t>
      </w:r>
    </w:p>
    <w:p>
      <w:pPr>
        <w:pStyle w:val="GesAbsatz"/>
        <w:ind w:left="426" w:hanging="426"/>
      </w:pPr>
      <w:r>
        <w:t>e)</w:t>
      </w:r>
      <w:r>
        <w:tab/>
        <w:t>Flächen von Öffnungen mit Verglasungen, die bei Brandeinwirkung ganz oder teilweise zerstört werden, wie:</w:t>
      </w:r>
    </w:p>
    <w:p>
      <w:pPr>
        <w:pStyle w:val="GesAbsatz"/>
        <w:ind w:left="851" w:hanging="425"/>
      </w:pPr>
      <w:r>
        <w:t>aa)</w:t>
      </w:r>
      <w:r>
        <w:tab/>
        <w:t>Verglasungen mit Einfach-Fensterglas und</w:t>
      </w:r>
    </w:p>
    <w:p>
      <w:pPr>
        <w:pStyle w:val="GesAbsatz"/>
        <w:ind w:left="851" w:hanging="425"/>
      </w:pPr>
      <w:r>
        <w:t>bb)</w:t>
      </w:r>
      <w:r>
        <w:tab/>
        <w:t>Verglasungen mit handelsüblichem Zweischeibenisolierglas und</w:t>
      </w:r>
    </w:p>
    <w:p>
      <w:pPr>
        <w:pStyle w:val="GesAbsatz"/>
        <w:ind w:left="426" w:hanging="426"/>
      </w:pPr>
      <w:r>
        <w:t>f)</w:t>
      </w:r>
      <w:r>
        <w:tab/>
        <w:t>Flächen von Öffnungen, die mit Materialien abgedeckt oder verschlossen sind, die bei Brandeinwirkung zerstört werden.</w:t>
      </w:r>
    </w:p>
    <w:p>
      <w:pPr>
        <w:pStyle w:val="GesAbsatz"/>
      </w:pPr>
      <w:r>
        <w:t>Als Wärmeabzugsfläche gilt jeweils:</w:t>
      </w:r>
    </w:p>
    <w:p>
      <w:pPr>
        <w:pStyle w:val="GesAbsatz"/>
      </w:pPr>
      <w:r>
        <w:t>a)</w:t>
      </w:r>
      <w:r>
        <w:tab/>
        <w:t>die lichte freiwerdende Öffnung,</w:t>
      </w:r>
    </w:p>
    <w:p>
      <w:pPr>
        <w:pStyle w:val="GesAbsatz"/>
      </w:pPr>
      <w:r>
        <w:t>b)</w:t>
      </w:r>
      <w:r>
        <w:tab/>
        <w:t>bei Rauch- und Wärmeabzugsgeräten die geometrisch freie Fläche der Eintrittsöffnung,</w:t>
      </w:r>
    </w:p>
    <w:p>
      <w:pPr>
        <w:pStyle w:val="GesAbsatz"/>
        <w:ind w:left="426" w:hanging="426"/>
      </w:pPr>
      <w:r>
        <w:t>c)</w:t>
      </w:r>
      <w:r>
        <w:tab/>
        <w:t>bei nach DIN 18232-4 geprüften Wärmeabzügen die jeweils bei der Prüfung festgestellte Wärmeabzugsfläche und</w:t>
      </w:r>
    </w:p>
    <w:p>
      <w:pPr>
        <w:pStyle w:val="GesAbsatz"/>
      </w:pPr>
      <w:r>
        <w:t>d)</w:t>
      </w:r>
      <w:r>
        <w:tab/>
        <w:t>in anderen Fällen vereinfacht auch 85 % der Fläche, die sich aus den Rohbaumaßen ergibt.</w:t>
      </w:r>
    </w:p>
    <w:p>
      <w:pPr>
        <w:pStyle w:val="GesAbsatz"/>
      </w:pPr>
      <w:r>
        <w:t>Verglasungen, deren Zerstörung im Brandfall nicht zu erwarten ist oder die im Brandfall nicht geöffnet werden können, wie zum Beispiel:</w:t>
      </w:r>
    </w:p>
    <w:p>
      <w:pPr>
        <w:pStyle w:val="GesAbsatz"/>
      </w:pPr>
      <w:r>
        <w:t>a)</w:t>
      </w:r>
      <w:r>
        <w:tab/>
        <w:t>Brandschutzverglasungen,</w:t>
      </w:r>
    </w:p>
    <w:p>
      <w:pPr>
        <w:pStyle w:val="GesAbsatz"/>
      </w:pPr>
      <w:r>
        <w:t>b)</w:t>
      </w:r>
      <w:r>
        <w:tab/>
        <w:t>Angriffshemmende Verglasungen,</w:t>
      </w:r>
    </w:p>
    <w:p>
      <w:pPr>
        <w:pStyle w:val="GesAbsatz"/>
      </w:pPr>
      <w:r>
        <w:t>c)</w:t>
      </w:r>
      <w:r>
        <w:tab/>
        <w:t>Verglasungen mit Drahtglas und</w:t>
      </w:r>
    </w:p>
    <w:p>
      <w:pPr>
        <w:pStyle w:val="GesAbsatz"/>
      </w:pPr>
      <w:r>
        <w:t>d)</w:t>
      </w:r>
      <w:r>
        <w:tab/>
        <w:t>Verbundsicherheitsglas</w:t>
      </w:r>
    </w:p>
    <w:p>
      <w:pPr>
        <w:pStyle w:val="GesAbsatz"/>
      </w:pPr>
      <w:r>
        <w:t>dürfen nicht angerechnet werden.</w:t>
      </w:r>
    </w:p>
    <w:p>
      <w:pPr>
        <w:pStyle w:val="GesAbsatz"/>
      </w:pPr>
    </w:p>
    <w:p>
      <w:pPr>
        <w:pStyle w:val="GesAbsatz"/>
      </w:pPr>
    </w:p>
    <w:sect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04.02.2015 (MBl. NRW. S. 204 / SMBl. NRW. 23236)</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Notifiziert gemäß der Richtlinie 98/34/EG des Europäischen Parlaments und des Rates vom 22. Juni 1998 über ein Informationsverfahren auf dem Gebiet der Normen und technischen Vorschriften und der Vorschriften für die Dienste der Informationsgesellschaft (ABl. L 204 vom 21.07.1998, S. 37), zuletzt geändert durch Artikel 26 Absatz 2 der Verordnung (EU)  Nr. 1025/2012 des Europäischen Parlaments und des Rates vom 25. Oktober 2012 (ABl. L 316 vom 14.11.2012, S.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Archiv10.60</w:t>
    </w:r>
  </w:p>
  <w:p>
    <w:pPr>
      <w:pStyle w:val="Kopfzeile"/>
    </w:pPr>
    <w:r>
      <w:t>IndBauR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17F673-2D62-403B-97FF-1FB2F178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3236&amp;bes_id=29964&amp;val=29964&amp;ver=7&amp;sg=0&amp;aufgehoben=J&amp;menu=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E53A5-DD34-41EA-9FE5-0372963A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26</Pages>
  <Words>9696</Words>
  <Characters>69084</Characters>
  <Application>Microsoft Office Word</Application>
  <DocSecurity>0</DocSecurity>
  <Lines>575</Lines>
  <Paragraphs>157</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78623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2</cp:revision>
  <cp:lastPrinted>2004-12-14T12:08:00Z</cp:lastPrinted>
  <dcterms:created xsi:type="dcterms:W3CDTF">2024-06-07T10:51:00Z</dcterms:created>
  <dcterms:modified xsi:type="dcterms:W3CDTF">2024-06-07T10:51:00Z</dcterms:modified>
</cp:coreProperties>
</file>