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234" w:rsidRDefault="001C22C8" w:rsidP="00670234">
      <w:pPr>
        <w:pStyle w:val="berschrift1"/>
      </w:pPr>
      <w:bookmarkStart w:id="0" w:name="_Toc451849503"/>
      <w:r>
        <w:t>Erlass für die Planung und Genehmigung von</w:t>
      </w:r>
      <w:r w:rsidR="00670234">
        <w:br/>
      </w:r>
      <w:r>
        <w:t>Windenergieanlagen und Hinweise für die Zielsetzung und</w:t>
      </w:r>
      <w:r w:rsidR="00670234">
        <w:t xml:space="preserve"> Anwendung</w:t>
      </w:r>
      <w:r w:rsidR="00670234">
        <w:br/>
        <w:t>- Windenergie-Erlass -</w:t>
      </w:r>
      <w:bookmarkEnd w:id="0"/>
    </w:p>
    <w:p w:rsidR="001C22C8" w:rsidRDefault="001C22C8" w:rsidP="00670234">
      <w:pPr>
        <w:pStyle w:val="GesAbsatz"/>
        <w:jc w:val="center"/>
      </w:pPr>
      <w:r>
        <w:t>Gemeinsamer Runderlass des Ministeriums für Klimaschutz, Umw</w:t>
      </w:r>
      <w:r w:rsidR="00670234">
        <w:t>elt, Landwirtschaft, Natur- und</w:t>
      </w:r>
      <w:r w:rsidR="00670234">
        <w:br/>
      </w:r>
      <w:r>
        <w:t>Verbrauch</w:t>
      </w:r>
      <w:bookmarkStart w:id="1" w:name="_GoBack"/>
      <w:bookmarkEnd w:id="1"/>
      <w:r>
        <w:t>erschutz VII-3 – 02.21 WE</w:t>
      </w:r>
      <w:r w:rsidR="00670234">
        <w:t>A-Erl. 15,</w:t>
      </w:r>
      <w:r w:rsidR="00670234">
        <w:br/>
      </w:r>
      <w:r>
        <w:t xml:space="preserve">des Ministeriums für Bauen, Wohnen, Stadtentwicklung </w:t>
      </w:r>
      <w:r w:rsidR="00670234">
        <w:t>und Verkehr VI A 1 – 901.3/202</w:t>
      </w:r>
      <w:r w:rsidR="00670234">
        <w:br/>
      </w:r>
      <w:r>
        <w:t>und der Staatskanz</w:t>
      </w:r>
      <w:r w:rsidR="00670234">
        <w:t>lei III B 4 – 30.55.03.01</w:t>
      </w:r>
      <w:r w:rsidR="00670234">
        <w:br/>
      </w:r>
      <w:r>
        <w:t>vom 4. November 2015</w:t>
      </w:r>
    </w:p>
    <w:p w:rsidR="00F674F0" w:rsidRPr="00F674F0" w:rsidRDefault="00F674F0" w:rsidP="001C22C8">
      <w:pPr>
        <w:pStyle w:val="GesAbsatz"/>
        <w:rPr>
          <w:b/>
          <w:i/>
          <w:color w:val="FF0000"/>
          <w:sz w:val="22"/>
          <w:szCs w:val="22"/>
        </w:rPr>
      </w:pPr>
      <w:r w:rsidRPr="00F674F0">
        <w:rPr>
          <w:b/>
          <w:i/>
          <w:color w:val="FF0000"/>
          <w:sz w:val="22"/>
          <w:szCs w:val="22"/>
        </w:rPr>
        <w:t>Gültig bis 22.05.2018</w:t>
      </w:r>
    </w:p>
    <w:p w:rsidR="001C22C8" w:rsidRDefault="00F674F0" w:rsidP="001C22C8">
      <w:pPr>
        <w:pStyle w:val="GesAbsatz"/>
      </w:pPr>
      <w:hyperlink r:id="rId9" w:history="1">
        <w:r w:rsidR="0043408F" w:rsidRPr="0043408F">
          <w:rPr>
            <w:rStyle w:val="Hyperlink"/>
          </w:rPr>
          <w:t>Link zur Vorschrift im SMBl. NRW. 2310</w:t>
        </w:r>
      </w:hyperlink>
      <w:r w:rsidR="00162761">
        <w:rPr>
          <w:rStyle w:val="Hyperlink"/>
        </w:rPr>
        <w:t>:</w:t>
      </w:r>
    </w:p>
    <w:p w:rsidR="00D30969" w:rsidRDefault="001C22C8" w:rsidP="00670234">
      <w:pPr>
        <w:pStyle w:val="GesAbsatz"/>
        <w:jc w:val="center"/>
        <w:rPr>
          <w:noProof/>
        </w:rPr>
      </w:pPr>
      <w:r w:rsidRPr="00670234">
        <w:rPr>
          <w:b/>
          <w:sz w:val="22"/>
        </w:rPr>
        <w:t>Inhalt</w:t>
      </w:r>
      <w:r w:rsidR="00670234" w:rsidRPr="00670234">
        <w:rPr>
          <w:b/>
          <w:sz w:val="22"/>
        </w:rPr>
        <w:t>:</w:t>
      </w:r>
      <w:r w:rsidR="00D30969">
        <w:rPr>
          <w:b/>
          <w:sz w:val="22"/>
        </w:rPr>
        <w:fldChar w:fldCharType="begin"/>
      </w:r>
      <w:r w:rsidR="00D30969">
        <w:rPr>
          <w:b/>
          <w:sz w:val="22"/>
        </w:rPr>
        <w:instrText xml:space="preserve"> TOC \o "1-3" \h \z \u </w:instrText>
      </w:r>
      <w:r w:rsidR="00D30969">
        <w:rPr>
          <w:b/>
          <w:sz w:val="22"/>
        </w:rPr>
        <w:fldChar w:fldCharType="separate"/>
      </w:r>
    </w:p>
    <w:p w:rsidR="00D30969" w:rsidRDefault="00F674F0">
      <w:pPr>
        <w:pStyle w:val="Verzeichnis1"/>
        <w:rPr>
          <w:rFonts w:asciiTheme="minorHAnsi" w:eastAsiaTheme="minorEastAsia" w:hAnsiTheme="minorHAnsi" w:cstheme="minorBidi"/>
          <w:b w:val="0"/>
          <w:caps w:val="0"/>
          <w:noProof/>
          <w:sz w:val="22"/>
          <w:szCs w:val="22"/>
        </w:rPr>
      </w:pPr>
      <w:hyperlink w:anchor="_Toc451849503" w:history="1">
        <w:r w:rsidR="00D30969" w:rsidRPr="003C2C56">
          <w:rPr>
            <w:rStyle w:val="Hyperlink"/>
            <w:noProof/>
          </w:rPr>
          <w:t>Erlass für die Planung und Genehmigung von Windenergieanlagen und Hinweise für die Zielsetzung und Anwendung - Windenergie-Erlass -</w:t>
        </w:r>
        <w:r w:rsidR="00D30969">
          <w:rPr>
            <w:noProof/>
            <w:webHidden/>
          </w:rPr>
          <w:tab/>
        </w:r>
        <w:r w:rsidR="00D30969">
          <w:rPr>
            <w:noProof/>
            <w:webHidden/>
          </w:rPr>
          <w:fldChar w:fldCharType="begin"/>
        </w:r>
        <w:r w:rsidR="00D30969">
          <w:rPr>
            <w:noProof/>
            <w:webHidden/>
          </w:rPr>
          <w:instrText xml:space="preserve"> PAGEREF _Toc451849503 \h </w:instrText>
        </w:r>
        <w:r w:rsidR="00D30969">
          <w:rPr>
            <w:noProof/>
            <w:webHidden/>
          </w:rPr>
        </w:r>
        <w:r w:rsidR="00D30969">
          <w:rPr>
            <w:noProof/>
            <w:webHidden/>
          </w:rPr>
          <w:fldChar w:fldCharType="separate"/>
        </w:r>
        <w:r>
          <w:rPr>
            <w:noProof/>
            <w:webHidden/>
          </w:rPr>
          <w:t>1</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04" w:history="1">
        <w:r w:rsidR="00D30969" w:rsidRPr="003C2C56">
          <w:rPr>
            <w:rStyle w:val="Hyperlink"/>
            <w:noProof/>
          </w:rPr>
          <w:t>1 Allgemeine Hinweise</w:t>
        </w:r>
        <w:r w:rsidR="00D30969">
          <w:rPr>
            <w:noProof/>
            <w:webHidden/>
          </w:rPr>
          <w:tab/>
        </w:r>
        <w:r w:rsidR="00D30969">
          <w:rPr>
            <w:noProof/>
            <w:webHidden/>
          </w:rPr>
          <w:fldChar w:fldCharType="begin"/>
        </w:r>
        <w:r w:rsidR="00D30969">
          <w:rPr>
            <w:noProof/>
            <w:webHidden/>
          </w:rPr>
          <w:instrText xml:space="preserve"> PAGEREF _Toc451849504 \h </w:instrText>
        </w:r>
        <w:r w:rsidR="00D30969">
          <w:rPr>
            <w:noProof/>
            <w:webHidden/>
          </w:rPr>
        </w:r>
        <w:r w:rsidR="00D30969">
          <w:rPr>
            <w:noProof/>
            <w:webHidden/>
          </w:rPr>
          <w:fldChar w:fldCharType="separate"/>
        </w:r>
        <w:r>
          <w:rPr>
            <w:noProof/>
            <w:webHidden/>
          </w:rPr>
          <w:t>2</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05" w:history="1">
        <w:r w:rsidR="00D30969" w:rsidRPr="003C2C56">
          <w:rPr>
            <w:rStyle w:val="Hyperlink"/>
            <w:noProof/>
          </w:rPr>
          <w:t>1.1 Energie- und klimapolitische Bedeutung der Windenergienutzung</w:t>
        </w:r>
        <w:r w:rsidR="00D30969">
          <w:rPr>
            <w:noProof/>
            <w:webHidden/>
          </w:rPr>
          <w:tab/>
        </w:r>
        <w:r w:rsidR="00D30969">
          <w:rPr>
            <w:noProof/>
            <w:webHidden/>
          </w:rPr>
          <w:fldChar w:fldCharType="begin"/>
        </w:r>
        <w:r w:rsidR="00D30969">
          <w:rPr>
            <w:noProof/>
            <w:webHidden/>
          </w:rPr>
          <w:instrText xml:space="preserve"> PAGEREF _Toc451849505 \h </w:instrText>
        </w:r>
        <w:r w:rsidR="00D30969">
          <w:rPr>
            <w:noProof/>
            <w:webHidden/>
          </w:rPr>
        </w:r>
        <w:r w:rsidR="00D30969">
          <w:rPr>
            <w:noProof/>
            <w:webHidden/>
          </w:rPr>
          <w:fldChar w:fldCharType="separate"/>
        </w:r>
        <w:r>
          <w:rPr>
            <w:noProof/>
            <w:webHidden/>
          </w:rPr>
          <w:t>2</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06" w:history="1">
        <w:r w:rsidR="00D30969" w:rsidRPr="003C2C56">
          <w:rPr>
            <w:rStyle w:val="Hyperlink"/>
            <w:noProof/>
          </w:rPr>
          <w:t>1.2 Wirtschaftliche Bedeutung der Windenergienutzung</w:t>
        </w:r>
        <w:r w:rsidR="00D30969">
          <w:rPr>
            <w:noProof/>
            <w:webHidden/>
          </w:rPr>
          <w:tab/>
        </w:r>
        <w:r w:rsidR="00D30969">
          <w:rPr>
            <w:noProof/>
            <w:webHidden/>
          </w:rPr>
          <w:fldChar w:fldCharType="begin"/>
        </w:r>
        <w:r w:rsidR="00D30969">
          <w:rPr>
            <w:noProof/>
            <w:webHidden/>
          </w:rPr>
          <w:instrText xml:space="preserve"> PAGEREF _Toc451849506 \h </w:instrText>
        </w:r>
        <w:r w:rsidR="00D30969">
          <w:rPr>
            <w:noProof/>
            <w:webHidden/>
          </w:rPr>
        </w:r>
        <w:r w:rsidR="00D30969">
          <w:rPr>
            <w:noProof/>
            <w:webHidden/>
          </w:rPr>
          <w:fldChar w:fldCharType="separate"/>
        </w:r>
        <w:r>
          <w:rPr>
            <w:noProof/>
            <w:webHidden/>
          </w:rPr>
          <w:t>2</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07" w:history="1">
        <w:r w:rsidR="00D30969" w:rsidRPr="003C2C56">
          <w:rPr>
            <w:rStyle w:val="Hyperlink"/>
            <w:noProof/>
          </w:rPr>
          <w:t>1.3 Kommunale Wertschöpfung</w:t>
        </w:r>
        <w:r w:rsidR="00D30969">
          <w:rPr>
            <w:noProof/>
            <w:webHidden/>
          </w:rPr>
          <w:tab/>
        </w:r>
        <w:r w:rsidR="00D30969">
          <w:rPr>
            <w:noProof/>
            <w:webHidden/>
          </w:rPr>
          <w:fldChar w:fldCharType="begin"/>
        </w:r>
        <w:r w:rsidR="00D30969">
          <w:rPr>
            <w:noProof/>
            <w:webHidden/>
          </w:rPr>
          <w:instrText xml:space="preserve"> PAGEREF _Toc451849507 \h </w:instrText>
        </w:r>
        <w:r w:rsidR="00D30969">
          <w:rPr>
            <w:noProof/>
            <w:webHidden/>
          </w:rPr>
        </w:r>
        <w:r w:rsidR="00D30969">
          <w:rPr>
            <w:noProof/>
            <w:webHidden/>
          </w:rPr>
          <w:fldChar w:fldCharType="separate"/>
        </w:r>
        <w:r>
          <w:rPr>
            <w:noProof/>
            <w:webHidden/>
          </w:rPr>
          <w:t>3</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08" w:history="1">
        <w:r w:rsidR="00D30969" w:rsidRPr="003C2C56">
          <w:rPr>
            <w:rStyle w:val="Hyperlink"/>
            <w:noProof/>
          </w:rPr>
          <w:t>1.4 Bürgerwindparks</w:t>
        </w:r>
        <w:r w:rsidR="00D30969">
          <w:rPr>
            <w:noProof/>
            <w:webHidden/>
          </w:rPr>
          <w:tab/>
        </w:r>
        <w:r w:rsidR="00D30969">
          <w:rPr>
            <w:noProof/>
            <w:webHidden/>
          </w:rPr>
          <w:fldChar w:fldCharType="begin"/>
        </w:r>
        <w:r w:rsidR="00D30969">
          <w:rPr>
            <w:noProof/>
            <w:webHidden/>
          </w:rPr>
          <w:instrText xml:space="preserve"> PAGEREF _Toc451849508 \h </w:instrText>
        </w:r>
        <w:r w:rsidR="00D30969">
          <w:rPr>
            <w:noProof/>
            <w:webHidden/>
          </w:rPr>
        </w:r>
        <w:r w:rsidR="00D30969">
          <w:rPr>
            <w:noProof/>
            <w:webHidden/>
          </w:rPr>
          <w:fldChar w:fldCharType="separate"/>
        </w:r>
        <w:r>
          <w:rPr>
            <w:noProof/>
            <w:webHidden/>
          </w:rPr>
          <w:t>4</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09" w:history="1">
        <w:r w:rsidR="00D30969" w:rsidRPr="003C2C56">
          <w:rPr>
            <w:rStyle w:val="Hyperlink"/>
            <w:noProof/>
          </w:rPr>
          <w:t>1.5 Öffentlichkeitsbeteiligung</w:t>
        </w:r>
        <w:r w:rsidR="00D30969">
          <w:rPr>
            <w:noProof/>
            <w:webHidden/>
          </w:rPr>
          <w:tab/>
        </w:r>
        <w:r w:rsidR="00D30969">
          <w:rPr>
            <w:noProof/>
            <w:webHidden/>
          </w:rPr>
          <w:fldChar w:fldCharType="begin"/>
        </w:r>
        <w:r w:rsidR="00D30969">
          <w:rPr>
            <w:noProof/>
            <w:webHidden/>
          </w:rPr>
          <w:instrText xml:space="preserve"> PAGEREF _Toc451849509 \h </w:instrText>
        </w:r>
        <w:r w:rsidR="00D30969">
          <w:rPr>
            <w:noProof/>
            <w:webHidden/>
          </w:rPr>
        </w:r>
        <w:r w:rsidR="00D30969">
          <w:rPr>
            <w:noProof/>
            <w:webHidden/>
          </w:rPr>
          <w:fldChar w:fldCharType="separate"/>
        </w:r>
        <w:r>
          <w:rPr>
            <w:noProof/>
            <w:webHidden/>
          </w:rPr>
          <w:t>4</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10" w:history="1">
        <w:r w:rsidR="00D30969" w:rsidRPr="003C2C56">
          <w:rPr>
            <w:rStyle w:val="Hyperlink"/>
            <w:noProof/>
          </w:rPr>
          <w:t>2 Hinweise zur Zielsetzung und den Adressaten</w:t>
        </w:r>
        <w:r w:rsidR="00D30969">
          <w:rPr>
            <w:noProof/>
            <w:webHidden/>
          </w:rPr>
          <w:tab/>
        </w:r>
        <w:r w:rsidR="00D30969">
          <w:rPr>
            <w:noProof/>
            <w:webHidden/>
          </w:rPr>
          <w:fldChar w:fldCharType="begin"/>
        </w:r>
        <w:r w:rsidR="00D30969">
          <w:rPr>
            <w:noProof/>
            <w:webHidden/>
          </w:rPr>
          <w:instrText xml:space="preserve"> PAGEREF _Toc451849510 \h </w:instrText>
        </w:r>
        <w:r w:rsidR="00D30969">
          <w:rPr>
            <w:noProof/>
            <w:webHidden/>
          </w:rPr>
        </w:r>
        <w:r w:rsidR="00D30969">
          <w:rPr>
            <w:noProof/>
            <w:webHidden/>
          </w:rPr>
          <w:fldChar w:fldCharType="separate"/>
        </w:r>
        <w:r>
          <w:rPr>
            <w:noProof/>
            <w:webHidden/>
          </w:rPr>
          <w:t>5</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11" w:history="1">
        <w:r w:rsidR="00D30969" w:rsidRPr="003C2C56">
          <w:rPr>
            <w:rStyle w:val="Hyperlink"/>
            <w:noProof/>
          </w:rPr>
          <w:t>3 Landes- und Regionalplanung</w:t>
        </w:r>
        <w:r w:rsidR="00D30969">
          <w:rPr>
            <w:noProof/>
            <w:webHidden/>
          </w:rPr>
          <w:tab/>
        </w:r>
        <w:r w:rsidR="00D30969">
          <w:rPr>
            <w:noProof/>
            <w:webHidden/>
          </w:rPr>
          <w:fldChar w:fldCharType="begin"/>
        </w:r>
        <w:r w:rsidR="00D30969">
          <w:rPr>
            <w:noProof/>
            <w:webHidden/>
          </w:rPr>
          <w:instrText xml:space="preserve"> PAGEREF _Toc451849511 \h </w:instrText>
        </w:r>
        <w:r w:rsidR="00D30969">
          <w:rPr>
            <w:noProof/>
            <w:webHidden/>
          </w:rPr>
        </w:r>
        <w:r w:rsidR="00D30969">
          <w:rPr>
            <w:noProof/>
            <w:webHidden/>
          </w:rPr>
          <w:fldChar w:fldCharType="separate"/>
        </w:r>
        <w:r>
          <w:rPr>
            <w:noProof/>
            <w:webHidden/>
          </w:rPr>
          <w:t>5</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12" w:history="1">
        <w:r w:rsidR="00D30969" w:rsidRPr="003C2C56">
          <w:rPr>
            <w:rStyle w:val="Hyperlink"/>
            <w:noProof/>
          </w:rPr>
          <w:t>3.1 Landesplanung</w:t>
        </w:r>
        <w:r w:rsidR="00D30969">
          <w:rPr>
            <w:noProof/>
            <w:webHidden/>
          </w:rPr>
          <w:tab/>
        </w:r>
        <w:r w:rsidR="00D30969">
          <w:rPr>
            <w:noProof/>
            <w:webHidden/>
          </w:rPr>
          <w:fldChar w:fldCharType="begin"/>
        </w:r>
        <w:r w:rsidR="00D30969">
          <w:rPr>
            <w:noProof/>
            <w:webHidden/>
          </w:rPr>
          <w:instrText xml:space="preserve"> PAGEREF _Toc451849512 \h </w:instrText>
        </w:r>
        <w:r w:rsidR="00D30969">
          <w:rPr>
            <w:noProof/>
            <w:webHidden/>
          </w:rPr>
        </w:r>
        <w:r w:rsidR="00D30969">
          <w:rPr>
            <w:noProof/>
            <w:webHidden/>
          </w:rPr>
          <w:fldChar w:fldCharType="separate"/>
        </w:r>
        <w:r>
          <w:rPr>
            <w:noProof/>
            <w:webHidden/>
          </w:rPr>
          <w:t>5</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13" w:history="1">
        <w:r w:rsidR="00D30969" w:rsidRPr="003C2C56">
          <w:rPr>
            <w:rStyle w:val="Hyperlink"/>
            <w:noProof/>
          </w:rPr>
          <w:t>3.2 Regionalplanung</w:t>
        </w:r>
        <w:r w:rsidR="00D30969">
          <w:rPr>
            <w:noProof/>
            <w:webHidden/>
          </w:rPr>
          <w:tab/>
        </w:r>
        <w:r w:rsidR="00D30969">
          <w:rPr>
            <w:noProof/>
            <w:webHidden/>
          </w:rPr>
          <w:fldChar w:fldCharType="begin"/>
        </w:r>
        <w:r w:rsidR="00D30969">
          <w:rPr>
            <w:noProof/>
            <w:webHidden/>
          </w:rPr>
          <w:instrText xml:space="preserve"> PAGEREF _Toc451849513 \h </w:instrText>
        </w:r>
        <w:r w:rsidR="00D30969">
          <w:rPr>
            <w:noProof/>
            <w:webHidden/>
          </w:rPr>
        </w:r>
        <w:r w:rsidR="00D30969">
          <w:rPr>
            <w:noProof/>
            <w:webHidden/>
          </w:rPr>
          <w:fldChar w:fldCharType="separate"/>
        </w:r>
        <w:r>
          <w:rPr>
            <w:noProof/>
            <w:webHidden/>
          </w:rPr>
          <w:t>6</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14" w:history="1">
        <w:r w:rsidR="00D30969" w:rsidRPr="003C2C56">
          <w:rPr>
            <w:rStyle w:val="Hyperlink"/>
            <w:noProof/>
          </w:rPr>
          <w:t>4 Bauleitplanung</w:t>
        </w:r>
        <w:r w:rsidR="00D30969">
          <w:rPr>
            <w:noProof/>
            <w:webHidden/>
          </w:rPr>
          <w:tab/>
        </w:r>
        <w:r w:rsidR="00D30969">
          <w:rPr>
            <w:noProof/>
            <w:webHidden/>
          </w:rPr>
          <w:fldChar w:fldCharType="begin"/>
        </w:r>
        <w:r w:rsidR="00D30969">
          <w:rPr>
            <w:noProof/>
            <w:webHidden/>
          </w:rPr>
          <w:instrText xml:space="preserve"> PAGEREF _Toc451849514 \h </w:instrText>
        </w:r>
        <w:r w:rsidR="00D30969">
          <w:rPr>
            <w:noProof/>
            <w:webHidden/>
          </w:rPr>
        </w:r>
        <w:r w:rsidR="00D30969">
          <w:rPr>
            <w:noProof/>
            <w:webHidden/>
          </w:rPr>
          <w:fldChar w:fldCharType="separate"/>
        </w:r>
        <w:r>
          <w:rPr>
            <w:noProof/>
            <w:webHidden/>
          </w:rPr>
          <w:t>8</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15" w:history="1">
        <w:r w:rsidR="00D30969" w:rsidRPr="003C2C56">
          <w:rPr>
            <w:rStyle w:val="Hyperlink"/>
            <w:noProof/>
          </w:rPr>
          <w:t>4.1 Allgemeines</w:t>
        </w:r>
        <w:r w:rsidR="00D30969">
          <w:rPr>
            <w:noProof/>
            <w:webHidden/>
          </w:rPr>
          <w:tab/>
        </w:r>
        <w:r w:rsidR="00D30969">
          <w:rPr>
            <w:noProof/>
            <w:webHidden/>
          </w:rPr>
          <w:fldChar w:fldCharType="begin"/>
        </w:r>
        <w:r w:rsidR="00D30969">
          <w:rPr>
            <w:noProof/>
            <w:webHidden/>
          </w:rPr>
          <w:instrText xml:space="preserve"> PAGEREF _Toc451849515 \h </w:instrText>
        </w:r>
        <w:r w:rsidR="00D30969">
          <w:rPr>
            <w:noProof/>
            <w:webHidden/>
          </w:rPr>
        </w:r>
        <w:r w:rsidR="00D30969">
          <w:rPr>
            <w:noProof/>
            <w:webHidden/>
          </w:rPr>
          <w:fldChar w:fldCharType="separate"/>
        </w:r>
        <w:r>
          <w:rPr>
            <w:noProof/>
            <w:webHidden/>
          </w:rPr>
          <w:t>8</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16" w:history="1">
        <w:r w:rsidR="00D30969" w:rsidRPr="003C2C56">
          <w:rPr>
            <w:rStyle w:val="Hyperlink"/>
            <w:noProof/>
          </w:rPr>
          <w:t>4.2 Anpassungspflicht an Ziele der Raumordnung gemäß § 1 Absatz 4 des Baugesetzbuches</w:t>
        </w:r>
        <w:r w:rsidR="00D30969">
          <w:rPr>
            <w:noProof/>
            <w:webHidden/>
          </w:rPr>
          <w:tab/>
        </w:r>
        <w:r w:rsidR="00D30969">
          <w:rPr>
            <w:noProof/>
            <w:webHidden/>
          </w:rPr>
          <w:fldChar w:fldCharType="begin"/>
        </w:r>
        <w:r w:rsidR="00D30969">
          <w:rPr>
            <w:noProof/>
            <w:webHidden/>
          </w:rPr>
          <w:instrText xml:space="preserve"> PAGEREF _Toc451849516 \h </w:instrText>
        </w:r>
        <w:r w:rsidR="00D30969">
          <w:rPr>
            <w:noProof/>
            <w:webHidden/>
          </w:rPr>
        </w:r>
        <w:r w:rsidR="00D30969">
          <w:rPr>
            <w:noProof/>
            <w:webHidden/>
          </w:rPr>
          <w:fldChar w:fldCharType="separate"/>
        </w:r>
        <w:r>
          <w:rPr>
            <w:noProof/>
            <w:webHidden/>
          </w:rPr>
          <w:t>9</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17" w:history="1">
        <w:r w:rsidR="00D30969" w:rsidRPr="003C2C56">
          <w:rPr>
            <w:rStyle w:val="Hyperlink"/>
            <w:noProof/>
          </w:rPr>
          <w:t>4.3 Konzentrationszonen im Flächennutzungsplan</w:t>
        </w:r>
        <w:r w:rsidR="00D30969">
          <w:rPr>
            <w:noProof/>
            <w:webHidden/>
          </w:rPr>
          <w:tab/>
        </w:r>
        <w:r w:rsidR="00D30969">
          <w:rPr>
            <w:noProof/>
            <w:webHidden/>
          </w:rPr>
          <w:fldChar w:fldCharType="begin"/>
        </w:r>
        <w:r w:rsidR="00D30969">
          <w:rPr>
            <w:noProof/>
            <w:webHidden/>
          </w:rPr>
          <w:instrText xml:space="preserve"> PAGEREF _Toc451849517 \h </w:instrText>
        </w:r>
        <w:r w:rsidR="00D30969">
          <w:rPr>
            <w:noProof/>
            <w:webHidden/>
          </w:rPr>
        </w:r>
        <w:r w:rsidR="00D30969">
          <w:rPr>
            <w:noProof/>
            <w:webHidden/>
          </w:rPr>
          <w:fldChar w:fldCharType="separate"/>
        </w:r>
        <w:r>
          <w:rPr>
            <w:noProof/>
            <w:webHidden/>
          </w:rPr>
          <w:t>9</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18" w:history="1">
        <w:r w:rsidR="00D30969" w:rsidRPr="003C2C56">
          <w:rPr>
            <w:rStyle w:val="Hyperlink"/>
            <w:noProof/>
          </w:rPr>
          <w:t>4.4 Bebauungsplan</w:t>
        </w:r>
        <w:r w:rsidR="00D30969">
          <w:rPr>
            <w:noProof/>
            <w:webHidden/>
          </w:rPr>
          <w:tab/>
        </w:r>
        <w:r w:rsidR="00D30969">
          <w:rPr>
            <w:noProof/>
            <w:webHidden/>
          </w:rPr>
          <w:fldChar w:fldCharType="begin"/>
        </w:r>
        <w:r w:rsidR="00D30969">
          <w:rPr>
            <w:noProof/>
            <w:webHidden/>
          </w:rPr>
          <w:instrText xml:space="preserve"> PAGEREF _Toc451849518 \h </w:instrText>
        </w:r>
        <w:r w:rsidR="00D30969">
          <w:rPr>
            <w:noProof/>
            <w:webHidden/>
          </w:rPr>
        </w:r>
        <w:r w:rsidR="00D30969">
          <w:rPr>
            <w:noProof/>
            <w:webHidden/>
          </w:rPr>
          <w:fldChar w:fldCharType="separate"/>
        </w:r>
        <w:r>
          <w:rPr>
            <w:noProof/>
            <w:webHidden/>
          </w:rPr>
          <w:t>16</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19" w:history="1">
        <w:r w:rsidR="00D30969" w:rsidRPr="003C2C56">
          <w:rPr>
            <w:rStyle w:val="Hyperlink"/>
            <w:noProof/>
          </w:rPr>
          <w:t>4.5 Vorhabenbezogener Bebauungsplan</w:t>
        </w:r>
        <w:r w:rsidR="00D30969">
          <w:rPr>
            <w:noProof/>
            <w:webHidden/>
          </w:rPr>
          <w:tab/>
        </w:r>
        <w:r w:rsidR="00D30969">
          <w:rPr>
            <w:noProof/>
            <w:webHidden/>
          </w:rPr>
          <w:fldChar w:fldCharType="begin"/>
        </w:r>
        <w:r w:rsidR="00D30969">
          <w:rPr>
            <w:noProof/>
            <w:webHidden/>
          </w:rPr>
          <w:instrText xml:space="preserve"> PAGEREF _Toc451849519 \h </w:instrText>
        </w:r>
        <w:r w:rsidR="00D30969">
          <w:rPr>
            <w:noProof/>
            <w:webHidden/>
          </w:rPr>
        </w:r>
        <w:r w:rsidR="00D30969">
          <w:rPr>
            <w:noProof/>
            <w:webHidden/>
          </w:rPr>
          <w:fldChar w:fldCharType="separate"/>
        </w:r>
        <w:r>
          <w:rPr>
            <w:noProof/>
            <w:webHidden/>
          </w:rPr>
          <w:t>17</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20" w:history="1">
        <w:r w:rsidR="00D30969" w:rsidRPr="003C2C56">
          <w:rPr>
            <w:rStyle w:val="Hyperlink"/>
            <w:noProof/>
          </w:rPr>
          <w:t>4.6 Beteiligung</w:t>
        </w:r>
        <w:r w:rsidR="00D30969">
          <w:rPr>
            <w:noProof/>
            <w:webHidden/>
          </w:rPr>
          <w:tab/>
        </w:r>
        <w:r w:rsidR="00D30969">
          <w:rPr>
            <w:noProof/>
            <w:webHidden/>
          </w:rPr>
          <w:fldChar w:fldCharType="begin"/>
        </w:r>
        <w:r w:rsidR="00D30969">
          <w:rPr>
            <w:noProof/>
            <w:webHidden/>
          </w:rPr>
          <w:instrText xml:space="preserve"> PAGEREF _Toc451849520 \h </w:instrText>
        </w:r>
        <w:r w:rsidR="00D30969">
          <w:rPr>
            <w:noProof/>
            <w:webHidden/>
          </w:rPr>
        </w:r>
        <w:r w:rsidR="00D30969">
          <w:rPr>
            <w:noProof/>
            <w:webHidden/>
          </w:rPr>
          <w:fldChar w:fldCharType="separate"/>
        </w:r>
        <w:r>
          <w:rPr>
            <w:noProof/>
            <w:webHidden/>
          </w:rPr>
          <w:t>17</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21" w:history="1">
        <w:r w:rsidR="00D30969" w:rsidRPr="003C2C56">
          <w:rPr>
            <w:rStyle w:val="Hyperlink"/>
            <w:noProof/>
          </w:rPr>
          <w:t>4.7 Umweltprüfung in der Bauleitplanung</w:t>
        </w:r>
        <w:r w:rsidR="00D30969">
          <w:rPr>
            <w:noProof/>
            <w:webHidden/>
          </w:rPr>
          <w:tab/>
        </w:r>
        <w:r w:rsidR="00D30969">
          <w:rPr>
            <w:noProof/>
            <w:webHidden/>
          </w:rPr>
          <w:fldChar w:fldCharType="begin"/>
        </w:r>
        <w:r w:rsidR="00D30969">
          <w:rPr>
            <w:noProof/>
            <w:webHidden/>
          </w:rPr>
          <w:instrText xml:space="preserve"> PAGEREF _Toc451849521 \h </w:instrText>
        </w:r>
        <w:r w:rsidR="00D30969">
          <w:rPr>
            <w:noProof/>
            <w:webHidden/>
          </w:rPr>
        </w:r>
        <w:r w:rsidR="00D30969">
          <w:rPr>
            <w:noProof/>
            <w:webHidden/>
          </w:rPr>
          <w:fldChar w:fldCharType="separate"/>
        </w:r>
        <w:r>
          <w:rPr>
            <w:noProof/>
            <w:webHidden/>
          </w:rPr>
          <w:t>17</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22" w:history="1">
        <w:r w:rsidR="00D30969" w:rsidRPr="003C2C56">
          <w:rPr>
            <w:rStyle w:val="Hyperlink"/>
            <w:noProof/>
          </w:rPr>
          <w:t>4.8 Entschädigungsansprüche bei Änderung der Bauleitplanung</w:t>
        </w:r>
        <w:r w:rsidR="00D30969">
          <w:rPr>
            <w:noProof/>
            <w:webHidden/>
          </w:rPr>
          <w:tab/>
        </w:r>
        <w:r w:rsidR="00D30969">
          <w:rPr>
            <w:noProof/>
            <w:webHidden/>
          </w:rPr>
          <w:fldChar w:fldCharType="begin"/>
        </w:r>
        <w:r w:rsidR="00D30969">
          <w:rPr>
            <w:noProof/>
            <w:webHidden/>
          </w:rPr>
          <w:instrText xml:space="preserve"> PAGEREF _Toc451849522 \h </w:instrText>
        </w:r>
        <w:r w:rsidR="00D30969">
          <w:rPr>
            <w:noProof/>
            <w:webHidden/>
          </w:rPr>
        </w:r>
        <w:r w:rsidR="00D30969">
          <w:rPr>
            <w:noProof/>
            <w:webHidden/>
          </w:rPr>
          <w:fldChar w:fldCharType="separate"/>
        </w:r>
        <w:r>
          <w:rPr>
            <w:noProof/>
            <w:webHidden/>
          </w:rPr>
          <w:t>17</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23" w:history="1">
        <w:r w:rsidR="00D30969" w:rsidRPr="003C2C56">
          <w:rPr>
            <w:rStyle w:val="Hyperlink"/>
            <w:noProof/>
          </w:rPr>
          <w:t>4.9 Repowering</w:t>
        </w:r>
        <w:r w:rsidR="00D30969">
          <w:rPr>
            <w:noProof/>
            <w:webHidden/>
          </w:rPr>
          <w:tab/>
        </w:r>
        <w:r w:rsidR="00D30969">
          <w:rPr>
            <w:noProof/>
            <w:webHidden/>
          </w:rPr>
          <w:fldChar w:fldCharType="begin"/>
        </w:r>
        <w:r w:rsidR="00D30969">
          <w:rPr>
            <w:noProof/>
            <w:webHidden/>
          </w:rPr>
          <w:instrText xml:space="preserve"> PAGEREF _Toc451849523 \h </w:instrText>
        </w:r>
        <w:r w:rsidR="00D30969">
          <w:rPr>
            <w:noProof/>
            <w:webHidden/>
          </w:rPr>
        </w:r>
        <w:r w:rsidR="00D30969">
          <w:rPr>
            <w:noProof/>
            <w:webHidden/>
          </w:rPr>
          <w:fldChar w:fldCharType="separate"/>
        </w:r>
        <w:r>
          <w:rPr>
            <w:noProof/>
            <w:webHidden/>
          </w:rPr>
          <w:t>18</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24" w:history="1">
        <w:r w:rsidR="00D30969" w:rsidRPr="003C2C56">
          <w:rPr>
            <w:rStyle w:val="Hyperlink"/>
            <w:noProof/>
          </w:rPr>
          <w:t>5 Genehmigung von Windenergieanlagen</w:t>
        </w:r>
        <w:r w:rsidR="00D30969">
          <w:rPr>
            <w:noProof/>
            <w:webHidden/>
          </w:rPr>
          <w:tab/>
        </w:r>
        <w:r w:rsidR="00D30969">
          <w:rPr>
            <w:noProof/>
            <w:webHidden/>
          </w:rPr>
          <w:fldChar w:fldCharType="begin"/>
        </w:r>
        <w:r w:rsidR="00D30969">
          <w:rPr>
            <w:noProof/>
            <w:webHidden/>
          </w:rPr>
          <w:instrText xml:space="preserve"> PAGEREF _Toc451849524 \h </w:instrText>
        </w:r>
        <w:r w:rsidR="00D30969">
          <w:rPr>
            <w:noProof/>
            <w:webHidden/>
          </w:rPr>
        </w:r>
        <w:r w:rsidR="00D30969">
          <w:rPr>
            <w:noProof/>
            <w:webHidden/>
          </w:rPr>
          <w:fldChar w:fldCharType="separate"/>
        </w:r>
        <w:r>
          <w:rPr>
            <w:noProof/>
            <w:webHidden/>
          </w:rPr>
          <w:t>19</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25" w:history="1">
        <w:r w:rsidR="00D30969" w:rsidRPr="003C2C56">
          <w:rPr>
            <w:rStyle w:val="Hyperlink"/>
            <w:noProof/>
          </w:rPr>
          <w:t>5.1 Verfahren zur Genehmigung von Windenergieanlagen</w:t>
        </w:r>
        <w:r w:rsidR="00D30969">
          <w:rPr>
            <w:noProof/>
            <w:webHidden/>
          </w:rPr>
          <w:tab/>
        </w:r>
        <w:r w:rsidR="00D30969">
          <w:rPr>
            <w:noProof/>
            <w:webHidden/>
          </w:rPr>
          <w:fldChar w:fldCharType="begin"/>
        </w:r>
        <w:r w:rsidR="00D30969">
          <w:rPr>
            <w:noProof/>
            <w:webHidden/>
          </w:rPr>
          <w:instrText xml:space="preserve"> PAGEREF _Toc451849525 \h </w:instrText>
        </w:r>
        <w:r w:rsidR="00D30969">
          <w:rPr>
            <w:noProof/>
            <w:webHidden/>
          </w:rPr>
        </w:r>
        <w:r w:rsidR="00D30969">
          <w:rPr>
            <w:noProof/>
            <w:webHidden/>
          </w:rPr>
          <w:fldChar w:fldCharType="separate"/>
        </w:r>
        <w:r>
          <w:rPr>
            <w:noProof/>
            <w:webHidden/>
          </w:rPr>
          <w:t>19</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26" w:history="1">
        <w:r w:rsidR="00D30969" w:rsidRPr="003C2C56">
          <w:rPr>
            <w:rStyle w:val="Hyperlink"/>
            <w:noProof/>
          </w:rPr>
          <w:t>5.2 Zulässigkeitsvoraussetzungen</w:t>
        </w:r>
        <w:r w:rsidR="00D30969">
          <w:rPr>
            <w:noProof/>
            <w:webHidden/>
          </w:rPr>
          <w:tab/>
        </w:r>
        <w:r w:rsidR="00D30969">
          <w:rPr>
            <w:noProof/>
            <w:webHidden/>
          </w:rPr>
          <w:fldChar w:fldCharType="begin"/>
        </w:r>
        <w:r w:rsidR="00D30969">
          <w:rPr>
            <w:noProof/>
            <w:webHidden/>
          </w:rPr>
          <w:instrText xml:space="preserve"> PAGEREF _Toc451849526 \h </w:instrText>
        </w:r>
        <w:r w:rsidR="00D30969">
          <w:rPr>
            <w:noProof/>
            <w:webHidden/>
          </w:rPr>
        </w:r>
        <w:r w:rsidR="00D30969">
          <w:rPr>
            <w:noProof/>
            <w:webHidden/>
          </w:rPr>
          <w:fldChar w:fldCharType="separate"/>
        </w:r>
        <w:r>
          <w:rPr>
            <w:noProof/>
            <w:webHidden/>
          </w:rPr>
          <w:t>22</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27" w:history="1">
        <w:r w:rsidR="00D30969" w:rsidRPr="003C2C56">
          <w:rPr>
            <w:rStyle w:val="Hyperlink"/>
            <w:noProof/>
          </w:rPr>
          <w:t>6 Kleinwindanlagen bis 50 Meter Anlagenhöhe</w:t>
        </w:r>
        <w:r w:rsidR="00D30969">
          <w:rPr>
            <w:noProof/>
            <w:webHidden/>
          </w:rPr>
          <w:tab/>
        </w:r>
        <w:r w:rsidR="00D30969">
          <w:rPr>
            <w:noProof/>
            <w:webHidden/>
          </w:rPr>
          <w:fldChar w:fldCharType="begin"/>
        </w:r>
        <w:r w:rsidR="00D30969">
          <w:rPr>
            <w:noProof/>
            <w:webHidden/>
          </w:rPr>
          <w:instrText xml:space="preserve"> PAGEREF _Toc451849527 \h </w:instrText>
        </w:r>
        <w:r w:rsidR="00D30969">
          <w:rPr>
            <w:noProof/>
            <w:webHidden/>
          </w:rPr>
        </w:r>
        <w:r w:rsidR="00D30969">
          <w:rPr>
            <w:noProof/>
            <w:webHidden/>
          </w:rPr>
          <w:fldChar w:fldCharType="separate"/>
        </w:r>
        <w:r>
          <w:rPr>
            <w:noProof/>
            <w:webHidden/>
          </w:rPr>
          <w:t>32</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28" w:history="1">
        <w:r w:rsidR="00D30969" w:rsidRPr="003C2C56">
          <w:rPr>
            <w:rStyle w:val="Hyperlink"/>
            <w:noProof/>
          </w:rPr>
          <w:t>6.1 Verfahren</w:t>
        </w:r>
        <w:r w:rsidR="00D30969">
          <w:rPr>
            <w:noProof/>
            <w:webHidden/>
          </w:rPr>
          <w:tab/>
        </w:r>
        <w:r w:rsidR="00D30969">
          <w:rPr>
            <w:noProof/>
            <w:webHidden/>
          </w:rPr>
          <w:fldChar w:fldCharType="begin"/>
        </w:r>
        <w:r w:rsidR="00D30969">
          <w:rPr>
            <w:noProof/>
            <w:webHidden/>
          </w:rPr>
          <w:instrText xml:space="preserve"> PAGEREF _Toc451849528 \h </w:instrText>
        </w:r>
        <w:r w:rsidR="00D30969">
          <w:rPr>
            <w:noProof/>
            <w:webHidden/>
          </w:rPr>
        </w:r>
        <w:r w:rsidR="00D30969">
          <w:rPr>
            <w:noProof/>
            <w:webHidden/>
          </w:rPr>
          <w:fldChar w:fldCharType="separate"/>
        </w:r>
        <w:r>
          <w:rPr>
            <w:noProof/>
            <w:webHidden/>
          </w:rPr>
          <w:t>32</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29" w:history="1">
        <w:r w:rsidR="00D30969" w:rsidRPr="003C2C56">
          <w:rPr>
            <w:rStyle w:val="Hyperlink"/>
            <w:noProof/>
          </w:rPr>
          <w:t>6.2 Zulässigkeit</w:t>
        </w:r>
        <w:r w:rsidR="00D30969">
          <w:rPr>
            <w:noProof/>
            <w:webHidden/>
          </w:rPr>
          <w:tab/>
        </w:r>
        <w:r w:rsidR="00D30969">
          <w:rPr>
            <w:noProof/>
            <w:webHidden/>
          </w:rPr>
          <w:fldChar w:fldCharType="begin"/>
        </w:r>
        <w:r w:rsidR="00D30969">
          <w:rPr>
            <w:noProof/>
            <w:webHidden/>
          </w:rPr>
          <w:instrText xml:space="preserve"> PAGEREF _Toc451849529 \h </w:instrText>
        </w:r>
        <w:r w:rsidR="00D30969">
          <w:rPr>
            <w:noProof/>
            <w:webHidden/>
          </w:rPr>
        </w:r>
        <w:r w:rsidR="00D30969">
          <w:rPr>
            <w:noProof/>
            <w:webHidden/>
          </w:rPr>
          <w:fldChar w:fldCharType="separate"/>
        </w:r>
        <w:r>
          <w:rPr>
            <w:noProof/>
            <w:webHidden/>
          </w:rPr>
          <w:t>32</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30" w:history="1">
        <w:r w:rsidR="00D30969" w:rsidRPr="003C2C56">
          <w:rPr>
            <w:rStyle w:val="Hyperlink"/>
            <w:noProof/>
          </w:rPr>
          <w:t>7 Überwachung und Gebühren</w:t>
        </w:r>
        <w:r w:rsidR="00D30969">
          <w:rPr>
            <w:noProof/>
            <w:webHidden/>
          </w:rPr>
          <w:tab/>
        </w:r>
        <w:r w:rsidR="00D30969">
          <w:rPr>
            <w:noProof/>
            <w:webHidden/>
          </w:rPr>
          <w:fldChar w:fldCharType="begin"/>
        </w:r>
        <w:r w:rsidR="00D30969">
          <w:rPr>
            <w:noProof/>
            <w:webHidden/>
          </w:rPr>
          <w:instrText xml:space="preserve"> PAGEREF _Toc451849530 \h </w:instrText>
        </w:r>
        <w:r w:rsidR="00D30969">
          <w:rPr>
            <w:noProof/>
            <w:webHidden/>
          </w:rPr>
        </w:r>
        <w:r w:rsidR="00D30969">
          <w:rPr>
            <w:noProof/>
            <w:webHidden/>
          </w:rPr>
          <w:fldChar w:fldCharType="separate"/>
        </w:r>
        <w:r>
          <w:rPr>
            <w:noProof/>
            <w:webHidden/>
          </w:rPr>
          <w:t>34</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31" w:history="1">
        <w:r w:rsidR="00D30969" w:rsidRPr="003C2C56">
          <w:rPr>
            <w:rStyle w:val="Hyperlink"/>
            <w:noProof/>
          </w:rPr>
          <w:t>7.1 Überwachung</w:t>
        </w:r>
        <w:r w:rsidR="00D30969">
          <w:rPr>
            <w:noProof/>
            <w:webHidden/>
          </w:rPr>
          <w:tab/>
        </w:r>
        <w:r w:rsidR="00D30969">
          <w:rPr>
            <w:noProof/>
            <w:webHidden/>
          </w:rPr>
          <w:fldChar w:fldCharType="begin"/>
        </w:r>
        <w:r w:rsidR="00D30969">
          <w:rPr>
            <w:noProof/>
            <w:webHidden/>
          </w:rPr>
          <w:instrText xml:space="preserve"> PAGEREF _Toc451849531 \h </w:instrText>
        </w:r>
        <w:r w:rsidR="00D30969">
          <w:rPr>
            <w:noProof/>
            <w:webHidden/>
          </w:rPr>
        </w:r>
        <w:r w:rsidR="00D30969">
          <w:rPr>
            <w:noProof/>
            <w:webHidden/>
          </w:rPr>
          <w:fldChar w:fldCharType="separate"/>
        </w:r>
        <w:r>
          <w:rPr>
            <w:noProof/>
            <w:webHidden/>
          </w:rPr>
          <w:t>34</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32" w:history="1">
        <w:r w:rsidR="00D30969" w:rsidRPr="003C2C56">
          <w:rPr>
            <w:rStyle w:val="Hyperlink"/>
            <w:noProof/>
          </w:rPr>
          <w:t>7.2 Gebühren</w:t>
        </w:r>
        <w:r w:rsidR="00D30969">
          <w:rPr>
            <w:noProof/>
            <w:webHidden/>
          </w:rPr>
          <w:tab/>
        </w:r>
        <w:r w:rsidR="00D30969">
          <w:rPr>
            <w:noProof/>
            <w:webHidden/>
          </w:rPr>
          <w:fldChar w:fldCharType="begin"/>
        </w:r>
        <w:r w:rsidR="00D30969">
          <w:rPr>
            <w:noProof/>
            <w:webHidden/>
          </w:rPr>
          <w:instrText xml:space="preserve"> PAGEREF _Toc451849532 \h </w:instrText>
        </w:r>
        <w:r w:rsidR="00D30969">
          <w:rPr>
            <w:noProof/>
            <w:webHidden/>
          </w:rPr>
        </w:r>
        <w:r w:rsidR="00D30969">
          <w:rPr>
            <w:noProof/>
            <w:webHidden/>
          </w:rPr>
          <w:fldChar w:fldCharType="separate"/>
        </w:r>
        <w:r>
          <w:rPr>
            <w:noProof/>
            <w:webHidden/>
          </w:rPr>
          <w:t>34</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33" w:history="1">
        <w:r w:rsidR="00D30969" w:rsidRPr="003C2C56">
          <w:rPr>
            <w:rStyle w:val="Hyperlink"/>
            <w:noProof/>
          </w:rPr>
          <w:t>8 Tabuzonen, Berücksichtigung von Spezialgesetzen, Behördenbeteiligung</w:t>
        </w:r>
        <w:r w:rsidR="00D30969">
          <w:rPr>
            <w:noProof/>
            <w:webHidden/>
          </w:rPr>
          <w:tab/>
        </w:r>
        <w:r w:rsidR="00D30969">
          <w:rPr>
            <w:noProof/>
            <w:webHidden/>
          </w:rPr>
          <w:fldChar w:fldCharType="begin"/>
        </w:r>
        <w:r w:rsidR="00D30969">
          <w:rPr>
            <w:noProof/>
            <w:webHidden/>
          </w:rPr>
          <w:instrText xml:space="preserve"> PAGEREF _Toc451849533 \h </w:instrText>
        </w:r>
        <w:r w:rsidR="00D30969">
          <w:rPr>
            <w:noProof/>
            <w:webHidden/>
          </w:rPr>
        </w:r>
        <w:r w:rsidR="00D30969">
          <w:rPr>
            <w:noProof/>
            <w:webHidden/>
          </w:rPr>
          <w:fldChar w:fldCharType="separate"/>
        </w:r>
        <w:r>
          <w:rPr>
            <w:noProof/>
            <w:webHidden/>
          </w:rPr>
          <w:t>35</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34" w:history="1">
        <w:r w:rsidR="00D30969" w:rsidRPr="003C2C56">
          <w:rPr>
            <w:rStyle w:val="Hyperlink"/>
            <w:noProof/>
          </w:rPr>
          <w:t>8.1 Fachrechtliche Tabuzonen in der Planung</w:t>
        </w:r>
        <w:r w:rsidR="00D30969">
          <w:rPr>
            <w:noProof/>
            <w:webHidden/>
          </w:rPr>
          <w:tab/>
        </w:r>
        <w:r w:rsidR="00D30969">
          <w:rPr>
            <w:noProof/>
            <w:webHidden/>
          </w:rPr>
          <w:fldChar w:fldCharType="begin"/>
        </w:r>
        <w:r w:rsidR="00D30969">
          <w:rPr>
            <w:noProof/>
            <w:webHidden/>
          </w:rPr>
          <w:instrText xml:space="preserve"> PAGEREF _Toc451849534 \h </w:instrText>
        </w:r>
        <w:r w:rsidR="00D30969">
          <w:rPr>
            <w:noProof/>
            <w:webHidden/>
          </w:rPr>
        </w:r>
        <w:r w:rsidR="00D30969">
          <w:rPr>
            <w:noProof/>
            <w:webHidden/>
          </w:rPr>
          <w:fldChar w:fldCharType="separate"/>
        </w:r>
        <w:r>
          <w:rPr>
            <w:noProof/>
            <w:webHidden/>
          </w:rPr>
          <w:t>35</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35" w:history="1">
        <w:r w:rsidR="00D30969" w:rsidRPr="003C2C56">
          <w:rPr>
            <w:rStyle w:val="Hyperlink"/>
            <w:noProof/>
          </w:rPr>
          <w:t>8.2 Berücksichtigung von Spezialgesetzen und Behördenbeteiligung</w:t>
        </w:r>
        <w:r w:rsidR="00D30969">
          <w:rPr>
            <w:noProof/>
            <w:webHidden/>
          </w:rPr>
          <w:tab/>
        </w:r>
        <w:r w:rsidR="00D30969">
          <w:rPr>
            <w:noProof/>
            <w:webHidden/>
          </w:rPr>
          <w:fldChar w:fldCharType="begin"/>
        </w:r>
        <w:r w:rsidR="00D30969">
          <w:rPr>
            <w:noProof/>
            <w:webHidden/>
          </w:rPr>
          <w:instrText xml:space="preserve"> PAGEREF _Toc451849535 \h </w:instrText>
        </w:r>
        <w:r w:rsidR="00D30969">
          <w:rPr>
            <w:noProof/>
            <w:webHidden/>
          </w:rPr>
        </w:r>
        <w:r w:rsidR="00D30969">
          <w:rPr>
            <w:noProof/>
            <w:webHidden/>
          </w:rPr>
          <w:fldChar w:fldCharType="separate"/>
        </w:r>
        <w:r>
          <w:rPr>
            <w:noProof/>
            <w:webHidden/>
          </w:rPr>
          <w:t>35</w:t>
        </w:r>
        <w:r w:rsidR="00D30969">
          <w:rPr>
            <w:noProof/>
            <w:webHidden/>
          </w:rPr>
          <w:fldChar w:fldCharType="end"/>
        </w:r>
      </w:hyperlink>
    </w:p>
    <w:p w:rsidR="00D30969" w:rsidRDefault="00F674F0">
      <w:pPr>
        <w:pStyle w:val="Verzeichnis3"/>
        <w:rPr>
          <w:rFonts w:asciiTheme="minorHAnsi" w:eastAsiaTheme="minorEastAsia" w:hAnsiTheme="minorHAnsi" w:cstheme="minorBidi"/>
          <w:i w:val="0"/>
          <w:noProof/>
          <w:sz w:val="22"/>
          <w:szCs w:val="22"/>
        </w:rPr>
      </w:pPr>
      <w:hyperlink w:anchor="_Toc451849536" w:history="1">
        <w:r w:rsidR="00D30969" w:rsidRPr="003C2C56">
          <w:rPr>
            <w:rStyle w:val="Hyperlink"/>
            <w:noProof/>
          </w:rPr>
          <w:t>8.3 Anlagenkataster und Meldepflicht</w:t>
        </w:r>
        <w:r w:rsidR="00D30969">
          <w:rPr>
            <w:noProof/>
            <w:webHidden/>
          </w:rPr>
          <w:tab/>
        </w:r>
        <w:r w:rsidR="00D30969">
          <w:rPr>
            <w:noProof/>
            <w:webHidden/>
          </w:rPr>
          <w:fldChar w:fldCharType="begin"/>
        </w:r>
        <w:r w:rsidR="00D30969">
          <w:rPr>
            <w:noProof/>
            <w:webHidden/>
          </w:rPr>
          <w:instrText xml:space="preserve"> PAGEREF _Toc451849536 \h </w:instrText>
        </w:r>
        <w:r w:rsidR="00D30969">
          <w:rPr>
            <w:noProof/>
            <w:webHidden/>
          </w:rPr>
        </w:r>
        <w:r w:rsidR="00D30969">
          <w:rPr>
            <w:noProof/>
            <w:webHidden/>
          </w:rPr>
          <w:fldChar w:fldCharType="separate"/>
        </w:r>
        <w:r>
          <w:rPr>
            <w:noProof/>
            <w:webHidden/>
          </w:rPr>
          <w:t>54</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37" w:history="1">
        <w:r w:rsidR="00D30969" w:rsidRPr="003C2C56">
          <w:rPr>
            <w:rStyle w:val="Hyperlink"/>
            <w:noProof/>
          </w:rPr>
          <w:t>9 Aufhebung</w:t>
        </w:r>
        <w:r w:rsidR="00D30969">
          <w:rPr>
            <w:noProof/>
            <w:webHidden/>
          </w:rPr>
          <w:tab/>
        </w:r>
        <w:r w:rsidR="00D30969">
          <w:rPr>
            <w:noProof/>
            <w:webHidden/>
          </w:rPr>
          <w:fldChar w:fldCharType="begin"/>
        </w:r>
        <w:r w:rsidR="00D30969">
          <w:rPr>
            <w:noProof/>
            <w:webHidden/>
          </w:rPr>
          <w:instrText xml:space="preserve"> PAGEREF _Toc451849537 \h </w:instrText>
        </w:r>
        <w:r w:rsidR="00D30969">
          <w:rPr>
            <w:noProof/>
            <w:webHidden/>
          </w:rPr>
        </w:r>
        <w:r w:rsidR="00D30969">
          <w:rPr>
            <w:noProof/>
            <w:webHidden/>
          </w:rPr>
          <w:fldChar w:fldCharType="separate"/>
        </w:r>
        <w:r>
          <w:rPr>
            <w:noProof/>
            <w:webHidden/>
          </w:rPr>
          <w:t>54</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38" w:history="1">
        <w:r w:rsidR="00D30969" w:rsidRPr="003C2C56">
          <w:rPr>
            <w:rStyle w:val="Hyperlink"/>
            <w:noProof/>
          </w:rPr>
          <w:t>Anhang zum Windenergie-Erlass vom 4.11.2015</w:t>
        </w:r>
        <w:r w:rsidR="00D30969">
          <w:rPr>
            <w:noProof/>
            <w:webHidden/>
          </w:rPr>
          <w:tab/>
        </w:r>
        <w:r w:rsidR="00D30969">
          <w:rPr>
            <w:noProof/>
            <w:webHidden/>
          </w:rPr>
          <w:fldChar w:fldCharType="begin"/>
        </w:r>
        <w:r w:rsidR="00D30969">
          <w:rPr>
            <w:noProof/>
            <w:webHidden/>
          </w:rPr>
          <w:instrText xml:space="preserve"> PAGEREF _Toc451849538 \h </w:instrText>
        </w:r>
        <w:r w:rsidR="00D30969">
          <w:rPr>
            <w:noProof/>
            <w:webHidden/>
          </w:rPr>
        </w:r>
        <w:r w:rsidR="00D30969">
          <w:rPr>
            <w:noProof/>
            <w:webHidden/>
          </w:rPr>
          <w:fldChar w:fldCharType="separate"/>
        </w:r>
        <w:r>
          <w:rPr>
            <w:noProof/>
            <w:webHidden/>
          </w:rPr>
          <w:t>55</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39" w:history="1">
        <w:r w:rsidR="00D30969" w:rsidRPr="003C2C56">
          <w:rPr>
            <w:rStyle w:val="Hyperlink"/>
            <w:noProof/>
          </w:rPr>
          <w:t>Anlage 1</w:t>
        </w:r>
        <w:r w:rsidR="00D30969">
          <w:rPr>
            <w:noProof/>
            <w:webHidden/>
          </w:rPr>
          <w:tab/>
        </w:r>
        <w:r w:rsidR="00D30969">
          <w:rPr>
            <w:noProof/>
            <w:webHidden/>
          </w:rPr>
          <w:fldChar w:fldCharType="begin"/>
        </w:r>
        <w:r w:rsidR="00D30969">
          <w:rPr>
            <w:noProof/>
            <w:webHidden/>
          </w:rPr>
          <w:instrText xml:space="preserve"> PAGEREF _Toc451849539 \h </w:instrText>
        </w:r>
        <w:r w:rsidR="00D30969">
          <w:rPr>
            <w:noProof/>
            <w:webHidden/>
          </w:rPr>
        </w:r>
        <w:r w:rsidR="00D30969">
          <w:rPr>
            <w:noProof/>
            <w:webHidden/>
          </w:rPr>
          <w:fldChar w:fldCharType="separate"/>
        </w:r>
        <w:r>
          <w:rPr>
            <w:noProof/>
            <w:webHidden/>
          </w:rPr>
          <w:t>57</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40" w:history="1">
        <w:r w:rsidR="00D30969" w:rsidRPr="003C2C56">
          <w:rPr>
            <w:rStyle w:val="Hyperlink"/>
            <w:noProof/>
          </w:rPr>
          <w:t>Anlage 2</w:t>
        </w:r>
        <w:r w:rsidR="00D30969">
          <w:rPr>
            <w:noProof/>
            <w:webHidden/>
          </w:rPr>
          <w:tab/>
        </w:r>
        <w:r w:rsidR="00D30969">
          <w:rPr>
            <w:noProof/>
            <w:webHidden/>
          </w:rPr>
          <w:fldChar w:fldCharType="begin"/>
        </w:r>
        <w:r w:rsidR="00D30969">
          <w:rPr>
            <w:noProof/>
            <w:webHidden/>
          </w:rPr>
          <w:instrText xml:space="preserve"> PAGEREF _Toc451849540 \h </w:instrText>
        </w:r>
        <w:r w:rsidR="00D30969">
          <w:rPr>
            <w:noProof/>
            <w:webHidden/>
          </w:rPr>
        </w:r>
        <w:r w:rsidR="00D30969">
          <w:rPr>
            <w:noProof/>
            <w:webHidden/>
          </w:rPr>
          <w:fldChar w:fldCharType="separate"/>
        </w:r>
        <w:r>
          <w:rPr>
            <w:noProof/>
            <w:webHidden/>
          </w:rPr>
          <w:t>63</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41" w:history="1">
        <w:r w:rsidR="00D30969" w:rsidRPr="003C2C56">
          <w:rPr>
            <w:rStyle w:val="Hyperlink"/>
            <w:noProof/>
          </w:rPr>
          <w:t>Anlage 3</w:t>
        </w:r>
        <w:r w:rsidR="00D30969">
          <w:rPr>
            <w:noProof/>
            <w:webHidden/>
          </w:rPr>
          <w:tab/>
        </w:r>
        <w:r w:rsidR="00D30969">
          <w:rPr>
            <w:noProof/>
            <w:webHidden/>
          </w:rPr>
          <w:fldChar w:fldCharType="begin"/>
        </w:r>
        <w:r w:rsidR="00D30969">
          <w:rPr>
            <w:noProof/>
            <w:webHidden/>
          </w:rPr>
          <w:instrText xml:space="preserve"> PAGEREF _Toc451849541 \h </w:instrText>
        </w:r>
        <w:r w:rsidR="00D30969">
          <w:rPr>
            <w:noProof/>
            <w:webHidden/>
          </w:rPr>
        </w:r>
        <w:r w:rsidR="00D30969">
          <w:rPr>
            <w:noProof/>
            <w:webHidden/>
          </w:rPr>
          <w:fldChar w:fldCharType="separate"/>
        </w:r>
        <w:r>
          <w:rPr>
            <w:noProof/>
            <w:webHidden/>
          </w:rPr>
          <w:t>73</w:t>
        </w:r>
        <w:r w:rsidR="00D30969">
          <w:rPr>
            <w:noProof/>
            <w:webHidden/>
          </w:rPr>
          <w:fldChar w:fldCharType="end"/>
        </w:r>
      </w:hyperlink>
    </w:p>
    <w:p w:rsidR="00D30969" w:rsidRDefault="00F674F0">
      <w:pPr>
        <w:pStyle w:val="Verzeichnis2"/>
        <w:rPr>
          <w:rFonts w:asciiTheme="minorHAnsi" w:eastAsiaTheme="minorEastAsia" w:hAnsiTheme="minorHAnsi" w:cstheme="minorBidi"/>
          <w:smallCaps w:val="0"/>
          <w:noProof/>
          <w:sz w:val="22"/>
          <w:szCs w:val="22"/>
        </w:rPr>
      </w:pPr>
      <w:hyperlink w:anchor="_Toc451849542" w:history="1">
        <w:r w:rsidR="00D30969" w:rsidRPr="003C2C56">
          <w:rPr>
            <w:rStyle w:val="Hyperlink"/>
            <w:noProof/>
          </w:rPr>
          <w:t>Anlage 4</w:t>
        </w:r>
        <w:r w:rsidR="00D30969">
          <w:rPr>
            <w:noProof/>
            <w:webHidden/>
          </w:rPr>
          <w:tab/>
        </w:r>
        <w:r w:rsidR="00D30969">
          <w:rPr>
            <w:noProof/>
            <w:webHidden/>
          </w:rPr>
          <w:fldChar w:fldCharType="begin"/>
        </w:r>
        <w:r w:rsidR="00D30969">
          <w:rPr>
            <w:noProof/>
            <w:webHidden/>
          </w:rPr>
          <w:instrText xml:space="preserve"> PAGEREF _Toc451849542 \h </w:instrText>
        </w:r>
        <w:r w:rsidR="00D30969">
          <w:rPr>
            <w:noProof/>
            <w:webHidden/>
          </w:rPr>
        </w:r>
        <w:r w:rsidR="00D30969">
          <w:rPr>
            <w:noProof/>
            <w:webHidden/>
          </w:rPr>
          <w:fldChar w:fldCharType="separate"/>
        </w:r>
        <w:r>
          <w:rPr>
            <w:noProof/>
            <w:webHidden/>
          </w:rPr>
          <w:t>74</w:t>
        </w:r>
        <w:r w:rsidR="00D30969">
          <w:rPr>
            <w:noProof/>
            <w:webHidden/>
          </w:rPr>
          <w:fldChar w:fldCharType="end"/>
        </w:r>
      </w:hyperlink>
    </w:p>
    <w:p w:rsidR="001C22C8" w:rsidRPr="00162761" w:rsidRDefault="00D30969" w:rsidP="00162761">
      <w:pPr>
        <w:pStyle w:val="GesAbsatz"/>
      </w:pPr>
      <w:r>
        <w:fldChar w:fldCharType="end"/>
      </w:r>
    </w:p>
    <w:p w:rsidR="001C22C8" w:rsidRDefault="001C22C8" w:rsidP="001C22C8">
      <w:pPr>
        <w:pStyle w:val="GesAbsatz"/>
      </w:pPr>
    </w:p>
    <w:p w:rsidR="001C22C8" w:rsidRDefault="001C22C8" w:rsidP="001C22C8">
      <w:pPr>
        <w:pStyle w:val="GesAbsatz"/>
      </w:pPr>
      <w:r>
        <w:t>Der Klimawandel ist eine der größten Herausforderungen, vor der die Welt derzeit steht; der Klimaschutz eine wichtige Aufgabe von Bürgerinnen und Bürgern, Bund, Ländern und Kommunen.</w:t>
      </w:r>
    </w:p>
    <w:p w:rsidR="001C22C8" w:rsidRDefault="001C22C8" w:rsidP="001C22C8">
      <w:pPr>
        <w:pStyle w:val="GesAbsatz"/>
      </w:pPr>
      <w:r>
        <w:lastRenderedPageBreak/>
        <w:t>Das Land Nordrhein-Westfalen will Vorreiter beim Klimaschutz werden und hat deshalb als erstes Bunde</w:t>
      </w:r>
      <w:r>
        <w:t>s</w:t>
      </w:r>
      <w:r>
        <w:t>land verbindliche Klimaschutzziele in Form eines Klimaschutzgesetzes verabschiedet, und erarbeitet einen Klimaschutzplan und einen neuen Landesentwicklungsplan. Die Förderung der erneuerbaren Energien und auch der Ausbau der Windenergienutzung sind Teil dieser Strategie.</w:t>
      </w:r>
    </w:p>
    <w:p w:rsidR="001C22C8" w:rsidRDefault="001C22C8" w:rsidP="001C22C8">
      <w:pPr>
        <w:pStyle w:val="GesAbsatz"/>
      </w:pPr>
      <w:r>
        <w:t>Das Land stellt dafür durch das Ministerium für Klimaschutz, Umwelt, Landwirtschaft, Natur- und Verbra</w:t>
      </w:r>
      <w:r>
        <w:t>u</w:t>
      </w:r>
      <w:r>
        <w:t>cherschutz (MKULNV), das Landesamt für Natur, Umwelt und Verbraucherschutz des Landes Nordrhein-Westfalen (LANUV) und die Energieagentur. NRW ein Maßnahmenpaket zur Verfügung: Dazu gehören n</w:t>
      </w:r>
      <w:r>
        <w:t>e</w:t>
      </w:r>
      <w:r>
        <w:t>ben diesem gemeinsamen Runderlass, der Leitfaden „Rahmenbedingungen für Windenergieanlagen auf Waldflächen in Nordrhein-Westfalen“, der Leitfaden „Umsetzung des Arten- und Habitatschutzes bei der Planung und Genehmigung von Windenergieanlagen in Nordrhein-Westfalen“ die Windenergie-Potenzial</w:t>
      </w:r>
      <w:r w:rsidR="00162761">
        <w:softHyphen/>
      </w:r>
      <w:r>
        <w:t>studie des Landesamtes für Umwelt, Natur und Verbraucherschutz des Landes Nordrhein-Westfalen als Energieatlas NRW und der Energiedialog. NRW, der bei der Lösung von Konflikten im Vorfeld Hilfestellung leistet.</w:t>
      </w:r>
    </w:p>
    <w:p w:rsidR="001C22C8" w:rsidRDefault="001C22C8" w:rsidP="00670234">
      <w:pPr>
        <w:pStyle w:val="berschrift2"/>
        <w:jc w:val="left"/>
      </w:pPr>
      <w:bookmarkStart w:id="2" w:name="_Toc451849504"/>
      <w:r>
        <w:t>1</w:t>
      </w:r>
      <w:r w:rsidR="00670234">
        <w:t xml:space="preserve"> </w:t>
      </w:r>
      <w:r>
        <w:t>Allgemeine Hinweise</w:t>
      </w:r>
      <w:bookmarkEnd w:id="2"/>
    </w:p>
    <w:p w:rsidR="001C22C8" w:rsidRDefault="001C22C8" w:rsidP="00670234">
      <w:pPr>
        <w:pStyle w:val="berschrift3"/>
        <w:jc w:val="left"/>
      </w:pPr>
      <w:bookmarkStart w:id="3" w:name="_Toc451849505"/>
      <w:r>
        <w:t>1.1</w:t>
      </w:r>
      <w:r w:rsidR="00670234">
        <w:t xml:space="preserve"> </w:t>
      </w:r>
      <w:r>
        <w:t>Energie- und klimapolitische Bedeutung der Windenergienutzung</w:t>
      </w:r>
      <w:bookmarkEnd w:id="3"/>
    </w:p>
    <w:p w:rsidR="001C22C8" w:rsidRDefault="001C22C8" w:rsidP="001C22C8">
      <w:pPr>
        <w:pStyle w:val="GesAbsatz"/>
      </w:pPr>
      <w:r>
        <w:t>Die Landesregierung hat sich das Ziel gesetzt, den CO</w:t>
      </w:r>
      <w:r w:rsidRPr="00367177">
        <w:rPr>
          <w:vertAlign w:val="subscript"/>
        </w:rPr>
        <w:t>2</w:t>
      </w:r>
      <w:r>
        <w:t>-Ausstoß in Nordrhein-Westfalen bis zum Jahre 2020 im Vergleich zu den Gesamtemissionen des Jahres 1990 um mindestens 25 Prozent und bis zum Jahre 2050 um mindestens 80 Prozent zu reduzieren. Dies bedingt unter anderem eine Steigerung der Strome</w:t>
      </w:r>
      <w:r>
        <w:t>r</w:t>
      </w:r>
      <w:r>
        <w:t>zeugung aus erneuerbaren Energien. Nach dem Stand der Wissenschaft ist diese Reduzierung erforderlich, um die vorhandenen Ökosysteme zu erhalten und somit die Lebensgrundlage für die nachfolgenden Gen</w:t>
      </w:r>
      <w:r>
        <w:t>e</w:t>
      </w:r>
      <w:r>
        <w:t>rationen zu sichern.</w:t>
      </w:r>
    </w:p>
    <w:p w:rsidR="001C22C8" w:rsidRDefault="001C22C8" w:rsidP="001C22C8">
      <w:pPr>
        <w:pStyle w:val="GesAbsatz"/>
      </w:pPr>
      <w:r>
        <w:t>Die Windenergie ist eine der tragenden Säulen der erneuerbaren Energien. Nordrhein-Westfalen ist ein g</w:t>
      </w:r>
      <w:r>
        <w:t>u</w:t>
      </w:r>
      <w:r>
        <w:t>ter Windenergiestandort, hat jedoch Nachholbedarf beim Windenergieausbau. So waren die Anlagen in Nordrhein-Westfalen in den letzten Jahren von niedrigerer Leistung und Höhe als im Bundesdurchschnitt, auch wenn sich hier Steigerungen zeigen. Dies hat zur Folge, dass die natürlichen Potentiale für die Win</w:t>
      </w:r>
      <w:r>
        <w:t>d</w:t>
      </w:r>
      <w:r>
        <w:t>energienutzung über die Dauer der geplanten Betriebszeit in Nordrhein-Westfalen noch nicht optimal genutzt werden.</w:t>
      </w:r>
    </w:p>
    <w:p w:rsidR="001C22C8" w:rsidRDefault="001C22C8" w:rsidP="001C22C8">
      <w:pPr>
        <w:pStyle w:val="GesAbsatz"/>
      </w:pPr>
      <w:r>
        <w:t>Ohne einen deutlichen und effizienteren Ausbau der Windenergie werden jedoch die Klimaschutzziele in Nordrhein-Westfalen nicht erreicht werden. Deshalb soll nach dem Willen der Landesregierung der Anteil der Windenergie in Nordrhein-Westfalen von heute rund 4 Prozent an der Stromerzeugung auf mindestens 15 Prozent im Jahre 2020 ausgebaut werden. Auch die Zielsetzung von 30 Prozent Erneuerbare Energien-Strom im Jahre 2025 soll zu zwei Dritteln über den Windenergieausbau erreicht werden. Diese Zielsetzu</w:t>
      </w:r>
      <w:r>
        <w:t>n</w:t>
      </w:r>
      <w:r>
        <w:t>gen soll zum einen durch das Repowering, den Ersatz alter Anlagen durch neuere leistungsstärkere Anl</w:t>
      </w:r>
      <w:r>
        <w:t>a</w:t>
      </w:r>
      <w:r>
        <w:t>gen, erreicht werden.</w:t>
      </w:r>
    </w:p>
    <w:p w:rsidR="001C22C8" w:rsidRDefault="001C22C8" w:rsidP="001C22C8">
      <w:pPr>
        <w:pStyle w:val="GesAbsatz"/>
      </w:pPr>
      <w:r>
        <w:t>Zum anderen sind zur Erreichung der Ausbauziele auch neue Bereiche für die Windenergienutzung bezi</w:t>
      </w:r>
      <w:r>
        <w:t>e</w:t>
      </w:r>
      <w:r>
        <w:t>hungsweise Konzentrationszonen für die Windenergienutzung erforderlich. Dass hier auch in Nordrhein-Westfalen hinreichend Potentiale zur Umsetzung der Landesziele bestehen, zeigt die Potenzialstudie E</w:t>
      </w:r>
      <w:r>
        <w:t>r</w:t>
      </w:r>
      <w:r>
        <w:t>neuerbare Energien NRW – Teil 1 – Windenergie des Landesamt für Natur, Umwelt und Verbraucherschutz</w:t>
      </w:r>
      <w:r w:rsidR="00162761">
        <w:t xml:space="preserve"> </w:t>
      </w:r>
      <w:r>
        <w:t>NRW die als Fachbericht 40 sowie als Energieatlas NRW im Internet zur Verfügung steht (siehe unter http://www.energieatlas.nrw.de). Die Überprüfung bestehender und die Planung neuer Bereiche für die Windenergienutzung beziehungsweise Konzentrationszonen für die Windenergienutzung muss dabei auch der Wirtschaftlichkeit des Betriebs von Windenergieanlagen Rechnung tragen.</w:t>
      </w:r>
    </w:p>
    <w:p w:rsidR="001C22C8" w:rsidRDefault="001C22C8" w:rsidP="001C22C8">
      <w:pPr>
        <w:pStyle w:val="GesAbsatz"/>
      </w:pPr>
      <w:r>
        <w:t>Für eine effiziente Inanspruchnahme der Flächen sollte, beziehungsweise muss sich die Planung von Win</w:t>
      </w:r>
      <w:r>
        <w:t>d</w:t>
      </w:r>
      <w:r>
        <w:t>energieanlagen im Hinblick auf die Standortwahl und Anlagentechnik an einer energetisch optimalen Nu</w:t>
      </w:r>
      <w:r>
        <w:t>t</w:t>
      </w:r>
      <w:r>
        <w:t>zung der natürlichen Potentiale orientieren. Große Windenergieanlagen bieten nämlich den Vorteil, dass sie eine erheblich höhere Stromproduktion aufweisen als mehrere kleinere Anlagen mit der gleichen G</w:t>
      </w:r>
      <w:r>
        <w:t>e</w:t>
      </w:r>
      <w:r>
        <w:t>samtnennleistung, da sie durch die Anlagenhöhe einer größeren Windstärke ausgesetzt sind. Aufgrund der geringeren Zahl der Anlagen können Windenergieflächen somit besser und effizienter genutzt werden.</w:t>
      </w:r>
    </w:p>
    <w:p w:rsidR="001C22C8" w:rsidRDefault="001C22C8" w:rsidP="001C22C8">
      <w:pPr>
        <w:pStyle w:val="GesAbsatz"/>
      </w:pPr>
      <w:r>
        <w:t>Diese Zielsetzungen im Einzelnen lassen sich nicht selbst im Windenergie-Erlass regeln. Sie sind Gege</w:t>
      </w:r>
      <w:r>
        <w:t>n</w:t>
      </w:r>
      <w:r>
        <w:t>stand anderer Regelungen zum Beispiel zu Klimaschutz und Raumordnung.</w:t>
      </w:r>
    </w:p>
    <w:p w:rsidR="001C22C8" w:rsidRDefault="001C22C8" w:rsidP="00367177">
      <w:pPr>
        <w:pStyle w:val="berschrift3"/>
        <w:jc w:val="left"/>
      </w:pPr>
      <w:bookmarkStart w:id="4" w:name="_Toc451849506"/>
      <w:r>
        <w:t>1.2</w:t>
      </w:r>
      <w:r w:rsidR="00367177">
        <w:t xml:space="preserve"> </w:t>
      </w:r>
      <w:r>
        <w:t>Wirtschaftliche Bedeutung der Windenergienutzung</w:t>
      </w:r>
      <w:bookmarkEnd w:id="4"/>
    </w:p>
    <w:p w:rsidR="001C22C8" w:rsidRDefault="001C22C8" w:rsidP="001C22C8">
      <w:pPr>
        <w:pStyle w:val="GesAbsatz"/>
      </w:pPr>
      <w:r>
        <w:t>Der Ausbau der Windenergie mit modernen und leistungsstarken Anlagen hat auch eine besondere wir</w:t>
      </w:r>
      <w:r>
        <w:t>t</w:t>
      </w:r>
      <w:r>
        <w:t>schafts- und industriepolitische Bedeutung: In Nordrhein-Westfalen sind die Zuliefererindustrie sowie Fo</w:t>
      </w:r>
      <w:r>
        <w:t>r</w:t>
      </w:r>
      <w:r>
        <w:t>schung, Entwicklung und Lehre rund um den Maschinenbau, Werkstoffe, die Elektrotechnik und die Ene</w:t>
      </w:r>
      <w:r>
        <w:t>r</w:t>
      </w:r>
      <w:r>
        <w:t xml:space="preserve">giewirtschaft gebündelt. So entwickeln und produzieren zum Beispiel die Hersteller von Spezialmaschinen </w:t>
      </w:r>
      <w:r>
        <w:lastRenderedPageBreak/>
        <w:t>für den Bergbau heute auch für Windenergieanlagen: Getriebe, Generatoren, Stromrichter, Stahltürme, Wälzlager und Großgussteile sind „</w:t>
      </w:r>
      <w:proofErr w:type="spellStart"/>
      <w:r w:rsidRPr="001066CA">
        <w:t>made</w:t>
      </w:r>
      <w:proofErr w:type="spellEnd"/>
      <w:r>
        <w:t xml:space="preserve"> in NRW“. Aber auch Unternehmen aus anderen Branchen sind im Bereich der Windenergie tätig: Chemie, Maschinen- und Anlagenbau, Stahlbau, Bergbau, Logistik, Bank- und Versicherungswesen. Weitergehende Informationen können unter anderem der Studie „Die ökonom</w:t>
      </w:r>
      <w:r>
        <w:t>i</w:t>
      </w:r>
      <w:r>
        <w:t xml:space="preserve">sche Bedeutung der Windenergiebranche – Windenergie an Land in Deutschland und in Nordrhein-Westfalen“ der DIW </w:t>
      </w:r>
      <w:proofErr w:type="spellStart"/>
      <w:r>
        <w:t>Econ</w:t>
      </w:r>
      <w:proofErr w:type="spellEnd"/>
      <w:r>
        <w:t xml:space="preserve"> GmbH (abrufbar unter </w:t>
      </w:r>
      <w:hyperlink r:id="rId10" w:history="1">
        <w:r w:rsidR="00FA1FF3" w:rsidRPr="003F7773">
          <w:rPr>
            <w:rStyle w:val="Hyperlink"/>
          </w:rPr>
          <w:t>http://www.lee-nrw.de/wp-content/uploads/2015/10/</w:t>
        </w:r>
        <w:r w:rsidR="00FA1FF3" w:rsidRPr="003F7773">
          <w:rPr>
            <w:rStyle w:val="Hyperlink"/>
          </w:rPr>
          <w:softHyphen/>
          <w:t>20140628_diw_econ_oekonomische_bedeutung_windenergie_d_und_nrw.pdf)</w:t>
        </w:r>
      </w:hyperlink>
      <w:r>
        <w:t xml:space="preserve"> und dem Branchenführer – Windenergie in NRW 2015 der EnergieAgentur.NRW entnommen werden (</w:t>
      </w:r>
      <w:hyperlink r:id="rId11" w:history="1">
        <w:r w:rsidR="0011400A" w:rsidRPr="003F7773">
          <w:rPr>
            <w:rStyle w:val="Hyperlink"/>
          </w:rPr>
          <w:t>https://broschueren.nordrhein</w:t>
        </w:r>
        <w:r w:rsidR="0011400A" w:rsidRPr="003F7773">
          <w:rPr>
            <w:rStyle w:val="Hyperlink"/>
          </w:rPr>
          <w:softHyphen/>
          <w:t>westfalendirekt.de/broschuerenservice/energieagentur/branchenfuehrer-windenergie-in-nrw-2015/1959</w:t>
        </w:r>
      </w:hyperlink>
      <w:r>
        <w:t>).</w:t>
      </w:r>
    </w:p>
    <w:p w:rsidR="001C22C8" w:rsidRDefault="001C22C8" w:rsidP="002F0C33">
      <w:pPr>
        <w:pStyle w:val="berschrift3"/>
        <w:jc w:val="left"/>
      </w:pPr>
      <w:bookmarkStart w:id="5" w:name="_Toc451849507"/>
      <w:r>
        <w:t>1.3</w:t>
      </w:r>
      <w:r w:rsidR="002F0C33">
        <w:t xml:space="preserve"> </w:t>
      </w:r>
      <w:r>
        <w:t>Kommunale Wertschöpfung</w:t>
      </w:r>
      <w:bookmarkEnd w:id="5"/>
    </w:p>
    <w:p w:rsidR="001C22C8" w:rsidRDefault="001C22C8" w:rsidP="001C22C8">
      <w:pPr>
        <w:pStyle w:val="GesAbsatz"/>
      </w:pPr>
      <w:r>
        <w:t>Auch Kommunen und deren Einwohnerinnen und Einwohner können wirtschaftliche Vorteile aus dem Au</w:t>
      </w:r>
      <w:r>
        <w:t>s</w:t>
      </w:r>
      <w:r>
        <w:t>bau der Windenergie ziehen. Im Einzelnen kann die Ansiedlung von Windenergieanlagen zu Gewinnen von in der Kommune ansässigen Unternehmen, gesteigerten Einkünften Beteiligter, Zunahme des kommunalen Steueraufkommens sowie zusätzlichen Pachteinnahmen für die jeweilige Gemeinde oder deren Einwohn</w:t>
      </w:r>
      <w:r>
        <w:t>e</w:t>
      </w:r>
      <w:r>
        <w:t>rinnen und Einwohner führen.</w:t>
      </w:r>
    </w:p>
    <w:p w:rsidR="001C22C8" w:rsidRDefault="001C22C8" w:rsidP="001C22C8">
      <w:pPr>
        <w:pStyle w:val="GesAbsatz"/>
      </w:pPr>
      <w:r>
        <w:t>Zunächst können sich – zumeist nach einigen Jahren – für die Standortkommunen Gewerbesteuerzahlu</w:t>
      </w:r>
      <w:r>
        <w:t>n</w:t>
      </w:r>
      <w:r>
        <w:t>gen ergeben. Die Höhe dieser Einnahmen ist auch von der Ortsansässigkeit des Investors abhängig. Die Standortgemeinde erhält nur dann das gesamte Gewerbesteueraufkommen, wenn der Investor auch in i</w:t>
      </w:r>
      <w:r>
        <w:t>h</w:t>
      </w:r>
      <w:r>
        <w:t>rem Gemeindegebiet ansässig ist. Andernfalls wird der Gewerbesteuermessbetrag zwischen der Standor</w:t>
      </w:r>
      <w:r>
        <w:t>t</w:t>
      </w:r>
      <w:r>
        <w:t>kommune und der Sitzkommune des Investors zerlegt. Zerlegungsmaßstab ist gemäß § 29 Absatz 1 Nu</w:t>
      </w:r>
      <w:r>
        <w:t>m</w:t>
      </w:r>
      <w:r>
        <w:t>mer 2 des Gewerbesteuergesetzes (GewStG) zu drei Zehnteln das Verhältnis der Arbeitslöhne und zu si</w:t>
      </w:r>
      <w:r>
        <w:t>e</w:t>
      </w:r>
      <w:r>
        <w:t>ben Zehnteln das Verhältnis des Sachanlagevermögens (ohne Betriebs- und Geschäftsausstattung, gelei</w:t>
      </w:r>
      <w:r>
        <w:t>s</w:t>
      </w:r>
      <w:r>
        <w:t>tete Anzahlungen und Anlagen in Bau), wenn Gegenstand des Unternehmens des Investors ausschließlich der Betrieb von Windenergieanlagen und gegebenenfalls Solaranlagen ist. Damit steht der Standortkomm</w:t>
      </w:r>
      <w:r>
        <w:t>u</w:t>
      </w:r>
      <w:r>
        <w:t>ne im Ergebnis 70 Prozent und der Sitzkommune des Investors 30 Prozent des Gewerbesteuermessbetrags zu, wenn sich in der Sitzkommune kein Sachanlagevermögen befindet. Zu berücksichtigen ist, dass sich der Wert des Sachanlagevermögens jährlich um die Abschreibungsbeträge reduziert und sich der Zerlegungsa</w:t>
      </w:r>
      <w:r>
        <w:t>n</w:t>
      </w:r>
      <w:r>
        <w:t>teil der Standortgemeinde infolge dessen verringert. Sofern Gegenstand des Unternehmens des Investors weitere Tätigkeiten als der Betrieb von Windenergieanlagen und gegebenenfalls Solaranlagen sind, ist Ze</w:t>
      </w:r>
      <w:r>
        <w:t>r</w:t>
      </w:r>
      <w:r>
        <w:t>legungsmaßstab das Verhältnis der Arbeitslöhne. In diesem Fall ist der Standortkommune kein Anteil am Gewerbesteuermessbetrag zuzurechnen, wenn dort keine Arbeitnehmerinnen oder Arbeitnehmer beschäftigt werden. Die Höhe der vom Investor zu zahlenden Gewerbesteuer ist zusätzlich vom Gewerbesteuerheb</w:t>
      </w:r>
      <w:r>
        <w:t>e</w:t>
      </w:r>
      <w:r>
        <w:t>satz der Gemeinden abhängig.</w:t>
      </w:r>
    </w:p>
    <w:p w:rsidR="001C22C8" w:rsidRDefault="001C22C8" w:rsidP="001C22C8">
      <w:pPr>
        <w:pStyle w:val="GesAbsatz"/>
      </w:pPr>
      <w:r>
        <w:t>Bei der Vergabe von Aufträgen für die Errichtung von Windenergieanlagen können die Kommunen Klauseln in die Nutzungsverträge mit den Betreiberinnen und Betreibern von Windenergieanlagen aufnehmen, nach denen angemessene Zusatzleistungen festgelegt werden, wie zum Beispiel. die Erbringung besonderer Se</w:t>
      </w:r>
      <w:r>
        <w:t>r</w:t>
      </w:r>
      <w:r>
        <w:t>viceleistungen und die Ermöglichung jederzeitiger zügiger Wartungsarbeiten. Dies ermöglicht es vor allem mittelständischen Unternehmen mit starker regionaler Verankerung, sich mit Erfolg an diesbezüglichen Au</w:t>
      </w:r>
      <w:r>
        <w:t>s</w:t>
      </w:r>
      <w:r>
        <w:t>schreibungen zu beteiligen. Im Interesse der Vertragssicherheit sollte hier allerdings darauf geachtet we</w:t>
      </w:r>
      <w:r>
        <w:t>r</w:t>
      </w:r>
      <w:r>
        <w:t>den, eine unangemessene Benachteiligung der Betreiberinnen und Betreiber zu vermeiden. Eine solche könnte insbesondere vorliegen, wenn sich die Betreiberin oder der Betreiber bereits selbst an bestimmte Unternehmen gebunden hat. Soweit kein Vergabeverfahren erforderlich ist, muss sichergestellt werden, dass die Vergütung des beauftragten Unternehmens zu Marktkonditionen erfolgt.</w:t>
      </w:r>
    </w:p>
    <w:p w:rsidR="001C22C8" w:rsidRDefault="001C22C8" w:rsidP="001C22C8">
      <w:pPr>
        <w:pStyle w:val="GesAbsatz"/>
      </w:pPr>
      <w:r>
        <w:t>Ferner kann auch vereinbart werden, dass die Betreiberin oder der Betreiber einer Windenergieanlage and</w:t>
      </w:r>
      <w:r>
        <w:t>e</w:t>
      </w:r>
      <w:r>
        <w:t>re Gegenleistungen erbringt, welche den Einwohnerinnen und Einwohnern der betreffenden Kommune direkt zugutekommen würden. So könnte die Förderung von sozialen, kulturellen oder ökologischen Belangen in der Kommune durch die Betreiberin oder den Betreiber erwogen und mittels eines öffentlich-rechtlichen Ve</w:t>
      </w:r>
      <w:r>
        <w:t>r</w:t>
      </w:r>
      <w:r>
        <w:t>trags abgesichert werden. Durch eine solche Vorgehensweise könnte die Akzeptanz der Windenergieanl</w:t>
      </w:r>
      <w:r>
        <w:t>a</w:t>
      </w:r>
      <w:r>
        <w:t>gen vor Ort voraussichtlich erheblich gesteigert werden und so ein über rein monetäre Gesichtspunkte hi</w:t>
      </w:r>
      <w:r>
        <w:t>n</w:t>
      </w:r>
      <w:r>
        <w:t>ausgehender Mehrwert geschaffen werden, der durch die Vereinigung von ökologischen, ökonomischen und sozialen Aspekten dem Leitbild der nachhaltigen kommunalen Entwicklung entsprechen würde. Im Rahmen einer solchen Vorgehensweise ist allerdings darauf zu achten, dass das Koppelungsverbot nicht verletzt wird. Aus diesem Grunde scheiden direkte Zahlungen seitens der Betreiberinnen und Betreiber regelmäßig aus. Empfehlenswert ist stattdessen eine indirekte Förderung über die Gründung einer Bürgerstiftung, we</w:t>
      </w:r>
      <w:r>
        <w:t>l</w:t>
      </w:r>
      <w:r>
        <w:t>che mit Vertretern verschiedener lokaler Vereine, Verbände und Gremien besetzt ist. Die Stiftung könnte von der Betreiberin oder dem Betreiber mit Finanzmitteln ausgestattet werden.</w:t>
      </w:r>
    </w:p>
    <w:p w:rsidR="001C22C8" w:rsidRDefault="001C22C8" w:rsidP="001C22C8">
      <w:pPr>
        <w:pStyle w:val="GesAbsatz"/>
      </w:pPr>
      <w:r>
        <w:t>Am weitreichendsten ist die kommunale Wertschöpfung, wenn die Windenergienutzung auf Flächen stattfi</w:t>
      </w:r>
      <w:r>
        <w:t>n</w:t>
      </w:r>
      <w:r>
        <w:t xml:space="preserve">det, die im Eigentum einer Kommune stehen oder auf denen die Kommune ein Nutzungsrecht hat. Dadurch wird die Erhebung eines Pachtzinses für die Nutzung der Flächen ermöglicht. Die Höhe der jährlichen Pacht </w:t>
      </w:r>
      <w:r>
        <w:lastRenderedPageBreak/>
        <w:t>wird sich in der Regel an der Anzahl und der Leistungsfähigkeit der auf dem betreffenden Grundstück erric</w:t>
      </w:r>
      <w:r>
        <w:t>h</w:t>
      </w:r>
      <w:r>
        <w:t>teten Windenergieanlagen orientieren. Auf diese Weise können Kommunen an den Erträgen und Potentialen teilhaben. Soweit die Verpachtung von Grundstücken durch die Kommune mit einer Verpflichtung des Inve</w:t>
      </w:r>
      <w:r>
        <w:t>s</w:t>
      </w:r>
      <w:r>
        <w:t>tors zur Errichtung von Windenergieanlagen auf dem Grundstück verbunden wird, ist in dieser eine öffentl</w:t>
      </w:r>
      <w:r>
        <w:t>i</w:t>
      </w:r>
      <w:r>
        <w:t>che Baukonzession zu sehen, was die Anwendbarkeit des Vergaberechts zur Folge hat (OLG Bremen, B</w:t>
      </w:r>
      <w:r>
        <w:t>e</w:t>
      </w:r>
      <w:r>
        <w:t xml:space="preserve">schl. v. 13.3.2008 – </w:t>
      </w:r>
      <w:proofErr w:type="spellStart"/>
      <w:r>
        <w:t>Verg</w:t>
      </w:r>
      <w:proofErr w:type="spellEnd"/>
      <w:r>
        <w:t xml:space="preserve"> 5/07).</w:t>
      </w:r>
    </w:p>
    <w:p w:rsidR="001C22C8" w:rsidRDefault="001C22C8" w:rsidP="001C22C8">
      <w:pPr>
        <w:pStyle w:val="GesAbsatz"/>
      </w:pPr>
      <w:r>
        <w:t>Eine nähere Beratung kann unter anderem durch die Fachagentur Windenergie an Land e.V. (http://www.fachagentur-windenergie.de/) erfolgen, zu deren Mitgliedern sowohl das Ministerium für Klim</w:t>
      </w:r>
      <w:r>
        <w:t>a</w:t>
      </w:r>
      <w:r>
        <w:t>schutz, Umwelt, Landwirtschaft, Natur- und Verbraucherschutz des Landes Nordrhein-Westfalen als auch der Städte- und Gemeindebund, der Städtetag und der Verband kommunaler Unternehmen zählen.</w:t>
      </w:r>
    </w:p>
    <w:p w:rsidR="001C22C8" w:rsidRDefault="001C22C8" w:rsidP="002F0C33">
      <w:pPr>
        <w:pStyle w:val="berschrift3"/>
        <w:jc w:val="left"/>
      </w:pPr>
      <w:bookmarkStart w:id="6" w:name="_Toc451849508"/>
      <w:r>
        <w:t>1.4</w:t>
      </w:r>
      <w:r w:rsidR="002F0C33">
        <w:t xml:space="preserve"> </w:t>
      </w:r>
      <w:r>
        <w:t>Bürgerwindparks</w:t>
      </w:r>
      <w:bookmarkEnd w:id="6"/>
    </w:p>
    <w:p w:rsidR="001C22C8" w:rsidRDefault="001C22C8" w:rsidP="001C22C8">
      <w:pPr>
        <w:pStyle w:val="GesAbsatz"/>
      </w:pPr>
      <w:r>
        <w:t>Bürgerwindparks sind Windparks, an denen sich die ortsansässigen Bürgerinnen und Bürger konzeptionell und finanziell beteiligen können. Die hiermit einhergehenden Mitsprache- und Profitmöglichkeiten sind häufig geeignet, anfängliche Skepsis gegenüber der örtlichen Windenergienutzung abzubauen und die Akzeptanz der Windenergienutzung allgemein zu erhöhen. Theoretisch kann sich eine Gemeinde selbst an einem Bü</w:t>
      </w:r>
      <w:r>
        <w:t>r</w:t>
      </w:r>
      <w:r>
        <w:t>gerwindpark beteiligen. Sie sollte aber im Interesse der erhofften Akzeptanzsteigerung vorrangig ihren Bü</w:t>
      </w:r>
      <w:r>
        <w:t>r</w:t>
      </w:r>
      <w:r>
        <w:t>gerinnen und Bürgern direkt diese Möglichkeit überlassen.</w:t>
      </w:r>
    </w:p>
    <w:p w:rsidR="001C22C8" w:rsidRDefault="001C22C8" w:rsidP="001C22C8">
      <w:pPr>
        <w:pStyle w:val="GesAbsatz"/>
      </w:pPr>
      <w:r>
        <w:t>Der Begriff des Bürgerwindparks ist gesetzlich nicht geregelt und daher so offen, dass hinsichtlich der ko</w:t>
      </w:r>
      <w:r>
        <w:t>n</w:t>
      </w:r>
      <w:r>
        <w:t>kreten gesellschaftsrechtlichen Ausgestaltung große Spielräume bestehen. Es empfiehlt sich allerdings, eine Rechtsform zu wählen, bei der die beteiligten Bürgerinnen und Bürger nicht mit ihrem Privatvermögen ha</w:t>
      </w:r>
      <w:r>
        <w:t>f</w:t>
      </w:r>
      <w:r>
        <w:t>ten. In Frage kommt damit in erster Linie die Ausgestaltung eines Bürgerwindparks als GmbH &amp; Co. KG oder als Genossenschaft. Angesichts des vorrangigen Ziels der Akzeptanzsteigerung sollte im Gesellschaftsve</w:t>
      </w:r>
      <w:r>
        <w:t>r</w:t>
      </w:r>
      <w:r>
        <w:t>trag beziehungsweise der Satzung geregelt werden, welche Anteilsmenge jede Bürgerin und jeder Bürger maximal erwerben kann, um möglichst viele Bürgerinnen und Bürgern die finanzielle Teilhabe zu ermögl</w:t>
      </w:r>
      <w:r>
        <w:t>i</w:t>
      </w:r>
      <w:r>
        <w:t>chen und die Anhäufung von vielen Anteilen in den Händen weniger Beteiligter zu verhindern. Auch ist es denkbar, den Kreis der potentiell Beteiligten genau zu definieren und diesen etwa auf die von den tatsächl</w:t>
      </w:r>
      <w:r>
        <w:t>i</w:t>
      </w:r>
      <w:r>
        <w:t>chen Auswirkungen der Anlagen vornehmlich betroffenen Bürgerinnen und Bürger in der näheren Umg</w:t>
      </w:r>
      <w:r>
        <w:t>e</w:t>
      </w:r>
      <w:r>
        <w:t>bung des Windparks zu beschränken. Darüber hinaus könnte den Anteilseignerinnen und Anteilseignern direkt im Windpark erzeugter Strom zur Verfügung gestellt werden (siehe hierzu Nummer 1.3). Bezüglich der steuerlichen Vor- und Nachteile der verschiedenen Rechtsformen für beteiligte Bürgerinnen und Bürger empfiehlt sich die Einschaltung einer Steuerberatung.</w:t>
      </w:r>
    </w:p>
    <w:p w:rsidR="001C22C8" w:rsidRDefault="001C22C8" w:rsidP="001C22C8">
      <w:pPr>
        <w:pStyle w:val="GesAbsatz"/>
      </w:pPr>
      <w:r>
        <w:t>Planungsrechtlich ist ein Bürgerwindpark wie jeder andere Windpark zu bewerten. Ein Bürgerwindpark kann auch auf Initiative einer Gemeinde gegebenenfalls unter Beteiligung des örtlichen Energieversorgers entst</w:t>
      </w:r>
      <w:r>
        <w:t>e</w:t>
      </w:r>
      <w:r>
        <w:t>hen. In einem solchen Fall könnte die Absicherung des Projekts durch einen öffentlich-rechtlichen Vertrag erfolgen. Es kann sich anbieten, einen Bürgerwindpark auch aus Anlass des Repowerings (siehe Nummer</w:t>
      </w:r>
      <w:r w:rsidR="00673B61">
        <w:t xml:space="preserve"> </w:t>
      </w:r>
      <w:r>
        <w:t>4.9) einzurichten.</w:t>
      </w:r>
    </w:p>
    <w:p w:rsidR="001C22C8" w:rsidRDefault="001C22C8" w:rsidP="002F0C33">
      <w:pPr>
        <w:pStyle w:val="berschrift3"/>
        <w:jc w:val="left"/>
      </w:pPr>
      <w:bookmarkStart w:id="7" w:name="_Toc451849509"/>
      <w:r>
        <w:t>1.5</w:t>
      </w:r>
      <w:r w:rsidR="002F0C33">
        <w:t xml:space="preserve"> </w:t>
      </w:r>
      <w:r>
        <w:t>Öffentlichkeitsbeteiligung</w:t>
      </w:r>
      <w:bookmarkEnd w:id="7"/>
    </w:p>
    <w:p w:rsidR="001C22C8" w:rsidRDefault="001C22C8" w:rsidP="001C22C8">
      <w:pPr>
        <w:pStyle w:val="GesAbsatz"/>
      </w:pPr>
      <w:r>
        <w:t>Der Errichtung neuer Windenergieanlagen geht in der ganz überwiegenden Zahl der Fälle ein Planverfahren voraus, zu dem ein Beteiligungsverfahren durchzuführen ist. Insoweit besteht für alle Interessierten, unter anderem Bürgerinnen und Bürger, sowie Umweltvereinigungen die Gelegenheit ihre Belange im Rahmen des Beteiligungsverfahrens einzubringen.</w:t>
      </w:r>
    </w:p>
    <w:p w:rsidR="001C22C8" w:rsidRDefault="001C22C8" w:rsidP="001C22C8">
      <w:pPr>
        <w:pStyle w:val="GesAbsatz"/>
      </w:pPr>
      <w:r>
        <w:t>Darüber hinaus kann die Immissionsschutzbehörde als Genehmigungsbehörde nach § 25 Absatz 3 des Verwaltungsverfahrensgesetzes verpflichtet sein, auf eine frühe Öffentlichkeitsbeteiligung vor dem Gene</w:t>
      </w:r>
      <w:r>
        <w:t>h</w:t>
      </w:r>
      <w:r>
        <w:t>migungsverfahren hinzuwirken. (Auf das Baugenehmigungsverfahren findet § 25 Absatz 3 des Verwaltung</w:t>
      </w:r>
      <w:r>
        <w:t>s</w:t>
      </w:r>
      <w:r>
        <w:t>verfahrensgesetzes keine Anwendung, § 74 Absatz 1 der Landesbauordnung des Landes Nordrhein-Westfalen – BauO NRW.) Die Behörde wirkt danach darauf hin, dass der Träger bei der Planung von Vorh</w:t>
      </w:r>
      <w:r>
        <w:t>a</w:t>
      </w:r>
      <w:r>
        <w:t>ben, die nicht nur unwesentliche Auswirkungen auf die Belange einer größeren Zahl von Dritten haben kö</w:t>
      </w:r>
      <w:r>
        <w:t>n</w:t>
      </w:r>
      <w:r>
        <w:t>nen, die betroffene Öffentlichkeit frühzeitig über die Ziele des Vorhabens, die Mittel, es zu verwirklichen, und die voraussichtlichen Auswirkungen des Vorhabens unterrichtet. Die frühe Öffentlichkeitsbeteiligung soll möglichst bereits vor Stellung eines Antrags stattfinden. Der betroffenen Öffentlichkeit soll Gelegenheit zur Äußerung und zur Erörterung gegeben werden. Das Ergebnis der vor Antragstellung durchgeführten frühen Öffentlichkeitsbeteiligung soll der betroffenen Öffentlichkeit und der Behörde spätestens mit der Antragste</w:t>
      </w:r>
      <w:r>
        <w:t>l</w:t>
      </w:r>
      <w:r>
        <w:t>lung, im Übrigen unverzüglich mitgeteilt werden. Die frühe Öffentlichkeitsbeteiligung gilt nicht, soweit die betroffene Öffentlichkeit bereits nach anderen Rechtsvorschriften vor der Antragstellung zu beteiligen ist. Beteiligungsrechte nach anderen Rechtsvorschriften bleiben unberührt.</w:t>
      </w:r>
    </w:p>
    <w:p w:rsidR="001C22C8" w:rsidRDefault="001C22C8" w:rsidP="001C22C8">
      <w:pPr>
        <w:pStyle w:val="GesAbsatz"/>
      </w:pPr>
      <w:r>
        <w:t>Ob im Rahmen der Genehmigung von Windenergieanlagen eine frühe Öffentlichkeitsbeteiligung durchzufü</w:t>
      </w:r>
      <w:r>
        <w:t>h</w:t>
      </w:r>
      <w:r>
        <w:t xml:space="preserve">ren ist, muss im Einzelfall entschieden werden. Eine frühe Öffentlichkeitsbeteiligung ist insbesondere in den </w:t>
      </w:r>
      <w:r>
        <w:lastRenderedPageBreak/>
        <w:t>Fällen angezeigt, in denen kein vorgelagertes Planverfahren und dadurch vorangehendes Beteiligungsve</w:t>
      </w:r>
      <w:r>
        <w:t>r</w:t>
      </w:r>
      <w:r>
        <w:t>fahren stattgefunden hat.</w:t>
      </w:r>
    </w:p>
    <w:p w:rsidR="001C22C8" w:rsidRDefault="001C22C8" w:rsidP="001C22C8">
      <w:pPr>
        <w:pStyle w:val="GesAbsatz"/>
      </w:pPr>
      <w:r>
        <w:t>Über die gesetzlichen Beteiligungsvorgaben hinaus und unabhängig von der Hinwirkungspflicht hat es sich bei der Projektierung von neuen Windenergieanlagen in vielen Fällen als hilfreich erwiesen, frühzeitig auf eine angemessene Information und Einbeziehung von Bürgerinnen und Bürgern, sowie einschlägigen Ve</w:t>
      </w:r>
      <w:r>
        <w:t>r</w:t>
      </w:r>
      <w:r>
        <w:t>bänden zu achten. Es wird daher allen Projektierenden von Windenergieanlagen empfohlen, frühzeitig eine entsprechende Öffentlichkeitsbeteiligung einzuplanen.</w:t>
      </w:r>
    </w:p>
    <w:p w:rsidR="001C22C8" w:rsidRDefault="001C22C8" w:rsidP="001C22C8">
      <w:pPr>
        <w:pStyle w:val="GesAbsatz"/>
      </w:pPr>
      <w:r>
        <w:t>Die frühe Öffentlichkeitsbeteiligung nach § 25 Absatz 3 des Verwaltungsverfahrensgesetzes für das Land Nordrhein-Westfalen tritt zu den bestehenden Regelungen für eine Beteiligung der Öffentlichkeit während des immissionsschutzrechtlichen Genehmigungsverfahrens hinzu.</w:t>
      </w:r>
    </w:p>
    <w:p w:rsidR="001C22C8" w:rsidRDefault="001C22C8" w:rsidP="002F0C33">
      <w:pPr>
        <w:pStyle w:val="berschrift2"/>
        <w:jc w:val="left"/>
      </w:pPr>
      <w:bookmarkStart w:id="8" w:name="_Toc451849510"/>
      <w:r>
        <w:t>2</w:t>
      </w:r>
      <w:r w:rsidR="002F0C33">
        <w:t xml:space="preserve"> </w:t>
      </w:r>
      <w:r>
        <w:t>Hinweise zur Zielsetzung und den Adressaten</w:t>
      </w:r>
      <w:bookmarkEnd w:id="8"/>
    </w:p>
    <w:p w:rsidR="001C22C8" w:rsidRDefault="001C22C8" w:rsidP="001C22C8">
      <w:pPr>
        <w:pStyle w:val="GesAbsatz"/>
      </w:pPr>
      <w:r>
        <w:t>Aufgabe des Windenergie-Erlasses ist es zu zeigen, welche planerischen Möglichkeiten bestehen, einen Ausbau der Windenergienutzung zu ermöglichen, und Hilfestellung zur rechtmäßigen Einzelfallprüfung zu leisten.</w:t>
      </w:r>
    </w:p>
    <w:p w:rsidR="001C22C8" w:rsidRDefault="001C22C8" w:rsidP="001C22C8">
      <w:pPr>
        <w:pStyle w:val="GesAbsatz"/>
      </w:pPr>
      <w:r>
        <w:t>Der Erlass besitzt für alle nachgeordneten Behörden verwaltungsinterne Verbindlichkeit. Für die Gemeinden als Trägerinnen der Planungshoheit ist der Windenergie-Erlass Empfehlung und Hilfe zur Abwägung. Für Investitionswillige, sowie Bürgerinnen und Bürger zeigt er den Rechtsrahmen auf, gibt Hinweise zu frühzeit</w:t>
      </w:r>
      <w:r>
        <w:t>i</w:t>
      </w:r>
      <w:r>
        <w:t>gen Abstimmungsmöglichkeiten mit den Behörden und trägt somit zur Planungs- und Investitionssicherheit bei.</w:t>
      </w:r>
    </w:p>
    <w:p w:rsidR="001C22C8" w:rsidRDefault="001C22C8" w:rsidP="001C22C8">
      <w:pPr>
        <w:pStyle w:val="GesAbsatz"/>
      </w:pPr>
      <w:r>
        <w:t>Der beabsichtigte erhebliche Ausbau der Stromerzeugung aus der Windenergie in Nordrhein-Westfalen ist ohne eine gesellschaftliche Akzeptanz der Bürgerinnen und Bürger nicht leistbar. Die Voraussetzungen d</w:t>
      </w:r>
      <w:r>
        <w:t>a</w:t>
      </w:r>
      <w:r>
        <w:t xml:space="preserve">für sind grundsätzlich gut. Nach Umfragen begrüßt die große Mehrheit der Bürgerinnen und Bürger den Ausbau von Erneuerbaren Energien und auch der Windenergienutzung (vgl. z.B. </w:t>
      </w:r>
      <w:proofErr w:type="spellStart"/>
      <w:r>
        <w:t>forsa</w:t>
      </w:r>
      <w:proofErr w:type="spellEnd"/>
      <w:r>
        <w:t>, Industriebild NRW, Ministerium für Wirtschaft, Energie, Industrie, Mittelstand und Handwerk des Landes Nordrhein-Westfalen, http://www.dialog-schafft-zukunft.nrw.de/fileadmin/redaktion/PDF/jugendkongress_grafiken.pdf; TNS Emnid, Akzeptanzumfrage 2014, Agentur für Erneuerbare Energien e.V., http://www.unendlich-viel-energie.de/themen/akzeptanz2/akzeptanz-umfrage/akzeptanzumfrage-2014; Hübner/ Pohl, Mehr Abstand – mehr Akzeptanz? Ein umweltpsychologischer Studienvergleich, Fachagentur Windenergie an Land e.V., 2015, http://www.fachagentur-windenergie.de/fileadmin/files/Akzeptanz/FA-Wind_Abstand-Akzeptanz_Broschuere_2015_web.pdf). Gleichwohl kann die Planung und Genehmigung von Windenergi</w:t>
      </w:r>
      <w:r>
        <w:t>e</w:t>
      </w:r>
      <w:r>
        <w:t>anlagen zu Interessenkonflikten zwischen Anwohnerinnen und Anwohnern, Naturschutzbelangen und Win</w:t>
      </w:r>
      <w:r>
        <w:t>d</w:t>
      </w:r>
      <w:r>
        <w:t>energienutzung führen. Hierbei empfiehlt es sich, Lösungen im größtmöglichen Konsens anzustreben. Ein Weg dazu sind Moderations- oder Mediationsverfahren. Die Bürgerinnen und Bürger sollten in jedem Verfa</w:t>
      </w:r>
      <w:r>
        <w:t>h</w:t>
      </w:r>
      <w:r>
        <w:t>ren frühzeitig an der Planung und Nutzung von Windenergieanlagen beteiligt werden (siehe Nummer 1.5). Mit zur Akzeptanz trägt auch der Einsatz der optimal verfügbaren Technik zur Minimierung von Umweltei</w:t>
      </w:r>
      <w:r>
        <w:t>n</w:t>
      </w:r>
      <w:r>
        <w:t xml:space="preserve">wirkungen bei. Fördernd </w:t>
      </w:r>
      <w:proofErr w:type="gramStart"/>
      <w:r>
        <w:t>ist</w:t>
      </w:r>
      <w:proofErr w:type="gramEnd"/>
      <w:r>
        <w:t xml:space="preserve"> auch die mögliche Beteiligung der Kommune sowie die Beteiligung möglichst vieler Bürgerinnen und Bürger insbesondere im Umfeld von Windparks und Windenergieanlagen an der Nutzung der Windenergie. Wenn Personen oder Gruppen vor Ort beispielsweise im Rahmen eines Bürge</w:t>
      </w:r>
      <w:r>
        <w:t>r</w:t>
      </w:r>
      <w:r>
        <w:t>windparks an den Gewinnen beteiligt werden, steigt die Toleranz für die Emissionen und landschaftlichen Veränderungen.</w:t>
      </w:r>
    </w:p>
    <w:p w:rsidR="001C22C8" w:rsidRDefault="001C22C8" w:rsidP="002F0C33">
      <w:pPr>
        <w:pStyle w:val="berschrift2"/>
        <w:jc w:val="left"/>
      </w:pPr>
      <w:bookmarkStart w:id="9" w:name="_Toc451849511"/>
      <w:r>
        <w:t>3</w:t>
      </w:r>
      <w:r w:rsidR="002F0C33">
        <w:t xml:space="preserve"> </w:t>
      </w:r>
      <w:r>
        <w:t>Landes- und Regionalplanung</w:t>
      </w:r>
      <w:bookmarkEnd w:id="9"/>
    </w:p>
    <w:p w:rsidR="001C22C8" w:rsidRDefault="001C22C8" w:rsidP="002F0C33">
      <w:pPr>
        <w:pStyle w:val="berschrift3"/>
        <w:jc w:val="left"/>
      </w:pPr>
      <w:bookmarkStart w:id="10" w:name="_Toc451849512"/>
      <w:r>
        <w:t>3.1</w:t>
      </w:r>
      <w:r w:rsidR="002F0C33">
        <w:t xml:space="preserve"> </w:t>
      </w:r>
      <w:r>
        <w:t>Landesplanung</w:t>
      </w:r>
      <w:bookmarkEnd w:id="10"/>
    </w:p>
    <w:p w:rsidR="001C22C8" w:rsidRDefault="001C22C8" w:rsidP="001C22C8">
      <w:pPr>
        <w:pStyle w:val="GesAbsatz"/>
      </w:pPr>
      <w:r>
        <w:t>Der Landesentwicklungsplan Nordrhein-Westfalen (LEP NRW) von 1995 trifft in Ziel D.II.2.1 und in Ziel D.II.2.4 folgende Festlegungen zu erneuerbaren Energien:</w:t>
      </w:r>
    </w:p>
    <w:p w:rsidR="001C22C8" w:rsidRDefault="001C22C8" w:rsidP="001C22C8">
      <w:pPr>
        <w:pStyle w:val="GesAbsatz"/>
      </w:pPr>
      <w:r>
        <w:t>„Es sollen insbesondere heimische Primärenergieträger zur Stromerzeugung eingesetzt werden. Regener</w:t>
      </w:r>
      <w:r>
        <w:t>a</w:t>
      </w:r>
      <w:r>
        <w:t>tive Energien müssen stärker genutzt werden. Die Energieproduktivität muss erhöht werden.“ (D.II.2.1)</w:t>
      </w:r>
    </w:p>
    <w:p w:rsidR="001C22C8" w:rsidRDefault="001C22C8" w:rsidP="001C22C8">
      <w:pPr>
        <w:pStyle w:val="GesAbsatz"/>
      </w:pPr>
      <w:r>
        <w:t>„Die Voraussetzungen für den Einsatz erneuerbarer Energien (vor allem Wasser-, Wind- und Solarenergie sowie nachwachsende Rohstoffe) sind zu verbessern und zu schaffen. Gebiete, die sich für die Nutzung erneuerbarer Energien aufgrund von Naturgegebenheiten besonders eignen, sind in den Gebietsentwic</w:t>
      </w:r>
      <w:r>
        <w:t>k</w:t>
      </w:r>
      <w:r>
        <w:t>lungsplänen als „Bereiche mit Eignung für die Nutzung erneuerbarer Energien“ darzustellen. Das besondere Landesinteresse an einer Nutzung erneuerbarer Energien ist bei der Abwägung gegenüber konkurrierenden Belangen als besonderer Belang einzustellen.“ (D.II.2.4).</w:t>
      </w:r>
    </w:p>
    <w:p w:rsidR="001C22C8" w:rsidRDefault="001C22C8" w:rsidP="001C22C8">
      <w:pPr>
        <w:pStyle w:val="GesAbsatz"/>
      </w:pPr>
      <w:r>
        <w:t>In den Erläuterungen heißt es weiter:</w:t>
      </w:r>
    </w:p>
    <w:p w:rsidR="001C22C8" w:rsidRDefault="001C22C8" w:rsidP="001C22C8">
      <w:pPr>
        <w:pStyle w:val="GesAbsatz"/>
      </w:pPr>
      <w:r>
        <w:lastRenderedPageBreak/>
        <w:t>„Für erneuerbare Energien, für die aufgrund der naturräumlichen Standortvoraussetzungen weitläufige Suc</w:t>
      </w:r>
      <w:r>
        <w:t>h</w:t>
      </w:r>
      <w:r>
        <w:t>räume zur Verfügung stehen, sind – wie bei allen anderen raumbedeutsamen Planungen und Maßnahmen auch – Standortentscheidungen aufgrund umfassender Abwägung zu treffen. Das besondere Landesint</w:t>
      </w:r>
      <w:r>
        <w:t>e</w:t>
      </w:r>
      <w:r>
        <w:t>resse am verstärkten Einsatz erneuerbarer umwelt- und ressourcenschonender Energien ist in solchen Fä</w:t>
      </w:r>
      <w:r>
        <w:t>l</w:t>
      </w:r>
      <w:r>
        <w:t>len als besonderer Belang in Abwägungsentscheidungen einzustellen. Dies gilt insbesondere für Standorte für eine linien- und flächenhafte Bündelung von Windenergieanlagen, die aufgrund der Naturgegebenheiten von zunehmender planerischer Relevanz sind.“</w:t>
      </w:r>
    </w:p>
    <w:p w:rsidR="001C22C8" w:rsidRDefault="001C22C8" w:rsidP="001C22C8">
      <w:pPr>
        <w:pStyle w:val="GesAbsatz"/>
      </w:pPr>
      <w:r>
        <w:t>Diese Ziele sind von den öffentlichen Stellen, die der Bindungswirkung des § 4 des Raumordnungsgesetzes (ROG) unterliegen, zu beachten. Es ist Aufgabe der regionalen Planungsträger diese Ziele in der Gesam</w:t>
      </w:r>
      <w:r>
        <w:t>t</w:t>
      </w:r>
      <w:r>
        <w:t>schau mit den anderen Zielen des Landesentwicklungsplans Nordrhein-Westfalen 1995 in den Regionalpl</w:t>
      </w:r>
      <w:r>
        <w:t>ä</w:t>
      </w:r>
      <w:r>
        <w:t>nen und ihren Teilabschnitten zu konkretisieren.</w:t>
      </w:r>
    </w:p>
    <w:p w:rsidR="001C22C8" w:rsidRDefault="001C22C8" w:rsidP="001C22C8">
      <w:pPr>
        <w:pStyle w:val="GesAbsatz"/>
      </w:pPr>
      <w:r>
        <w:t>Zurzeit läuft das Aufstellungsverfahren für den neuen Landesentwicklungsplan Nordrhein-Westfalen. Die Ziele des in Aufstellung befindlichen Landesentwicklungsplans Nordrhein-Westfalen sind als sonstige Erfo</w:t>
      </w:r>
      <w:r>
        <w:t>r</w:t>
      </w:r>
      <w:r>
        <w:t>dernisse der Raumordnung in die planerische Abwägung nachgeordneter Planungen einzustellen.</w:t>
      </w:r>
    </w:p>
    <w:p w:rsidR="001C22C8" w:rsidRDefault="001C22C8" w:rsidP="001C22C8">
      <w:pPr>
        <w:pStyle w:val="GesAbsatz"/>
      </w:pPr>
      <w:r>
        <w:t>Die Regionalplanung kann Vorranggebiete für die Windenergie festlegen; dafür steht das Planzeichen 2.ed) Anlage 3 Planzeicheninhalte/-merkmale zur LandesplanungsgesetzDVO (LPlG DVO) Windenergiebereiche zur Verfügung. Bei dieser Festlegung handelt es sich um Vorranggebiete gemäß § 8 Absatz 7 Nummer 1 des Raumordnungsgesetzes ohne die Wirkung von Eignungsgebieten.</w:t>
      </w:r>
    </w:p>
    <w:p w:rsidR="001C22C8" w:rsidRDefault="001C22C8" w:rsidP="001C22C8">
      <w:pPr>
        <w:pStyle w:val="GesAbsatz"/>
      </w:pPr>
      <w:r>
        <w:t>Vorranggebiete sind dabei Gebiete, die für die Windenergienutzung vorgesehen sind und die andere rau</w:t>
      </w:r>
      <w:r>
        <w:t>m</w:t>
      </w:r>
      <w:r>
        <w:t>bedeutsame Nutzungen innerhalb dieses Gebietes ausschließen, soweit diese mit der vorrangigen Win</w:t>
      </w:r>
      <w:r>
        <w:t>d</w:t>
      </w:r>
      <w:r>
        <w:t>energienutzung nicht vereinbar sind. Es handelt sich bei einem Vorranggebiet um ein Ziel der Raumordnung, das gemäß § 4 des Raumordnungsgesetzes zu beachten ist. Das heißt, das Ziel kann in der nachfolgenden Planungsabwägung beziehungsweise Ermessensentscheidung nicht überwunden werden.</w:t>
      </w:r>
    </w:p>
    <w:p w:rsidR="001C22C8" w:rsidRDefault="001C22C8" w:rsidP="001C22C8">
      <w:pPr>
        <w:pStyle w:val="GesAbsatz"/>
      </w:pPr>
      <w:r>
        <w:t>Außerhalb der Vorranggebiete ist die Windenergienutzung nicht ausgeschlossen. Dies ermöglicht den ko</w:t>
      </w:r>
      <w:r>
        <w:t>m</w:t>
      </w:r>
      <w:r>
        <w:t>munalen Planungsträgern, weitere Flächen für die Windenergienutzung in ihren Bauleitplänen im Interesse des Ausbaus erneuerbarer Energien darzustellen.</w:t>
      </w:r>
    </w:p>
    <w:p w:rsidR="001C22C8" w:rsidRDefault="001C22C8" w:rsidP="002F0C33">
      <w:pPr>
        <w:pStyle w:val="berschrift3"/>
        <w:jc w:val="left"/>
      </w:pPr>
      <w:bookmarkStart w:id="11" w:name="_Toc451849513"/>
      <w:r>
        <w:t>3.2</w:t>
      </w:r>
      <w:r w:rsidR="002F0C33">
        <w:t xml:space="preserve"> </w:t>
      </w:r>
      <w:r>
        <w:t>Regionalplanung</w:t>
      </w:r>
      <w:bookmarkEnd w:id="11"/>
    </w:p>
    <w:p w:rsidR="001C22C8" w:rsidRPr="00573570" w:rsidRDefault="001C22C8" w:rsidP="001C22C8">
      <w:pPr>
        <w:pStyle w:val="GesAbsatz"/>
        <w:rPr>
          <w:b/>
        </w:rPr>
      </w:pPr>
      <w:r w:rsidRPr="00573570">
        <w:rPr>
          <w:b/>
        </w:rPr>
        <w:t>3.2.1</w:t>
      </w:r>
      <w:r w:rsidR="002F0C33" w:rsidRPr="00573570">
        <w:rPr>
          <w:b/>
        </w:rPr>
        <w:t xml:space="preserve"> </w:t>
      </w:r>
      <w:r w:rsidRPr="00573570">
        <w:rPr>
          <w:b/>
        </w:rPr>
        <w:t>Allgemeines</w:t>
      </w:r>
    </w:p>
    <w:p w:rsidR="001C22C8" w:rsidRDefault="001C22C8" w:rsidP="001C22C8">
      <w:pPr>
        <w:pStyle w:val="GesAbsatz"/>
      </w:pPr>
      <w:r>
        <w:t>In den Regionalplänen können Ziele und Grundsätze zur Steuerung der Windenergienutzung textlich und/oder zeichnerisch festgelegt werden. Alle Regionalpläne mit Ausnahme derer für den Regierungsbezirk Arnsberg enthalten bereits heute textliche Festlegungen zur Windenergienutzung. Die Regionalpläne Arn</w:t>
      </w:r>
      <w:r>
        <w:t>s</w:t>
      </w:r>
      <w:r>
        <w:t>berg („Sachlicher Teilplan Energie“), Düsseldorf und Münster („Regionalplan Münsterland – Sachlicher Tei</w:t>
      </w:r>
      <w:r>
        <w:t>l</w:t>
      </w:r>
      <w:r>
        <w:t>plan Energie“) befinden sich aktuell (August 2015) im Fortschreibungsverfahren. Es sollen zukünftig Vo</w:t>
      </w:r>
      <w:r>
        <w:t>r</w:t>
      </w:r>
      <w:r>
        <w:t>rangbereiche für die Windenenergienutzung dargestellt werden.</w:t>
      </w:r>
    </w:p>
    <w:p w:rsidR="001C22C8" w:rsidRPr="00573570" w:rsidRDefault="001C22C8" w:rsidP="001C22C8">
      <w:pPr>
        <w:pStyle w:val="GesAbsatz"/>
        <w:rPr>
          <w:b/>
        </w:rPr>
      </w:pPr>
      <w:r w:rsidRPr="00573570">
        <w:rPr>
          <w:b/>
        </w:rPr>
        <w:t>3.2.2</w:t>
      </w:r>
      <w:r w:rsidR="002F0C33" w:rsidRPr="00573570">
        <w:rPr>
          <w:b/>
        </w:rPr>
        <w:t xml:space="preserve"> </w:t>
      </w:r>
      <w:r w:rsidRPr="00573570">
        <w:rPr>
          <w:b/>
        </w:rPr>
        <w:t>Zeichnerische Darstellung von Bereichen für die Windenergienutzung im Regionalplan</w:t>
      </w:r>
    </w:p>
    <w:p w:rsidR="001C22C8" w:rsidRDefault="001C22C8" w:rsidP="001C22C8">
      <w:pPr>
        <w:pStyle w:val="GesAbsatz"/>
      </w:pPr>
      <w:r>
        <w:t>In Regionalplänen können zeichnerische Festlegungen für die Windenergienutzung erfolgen.</w:t>
      </w:r>
    </w:p>
    <w:p w:rsidR="001C22C8" w:rsidRDefault="001C22C8" w:rsidP="001C22C8">
      <w:pPr>
        <w:pStyle w:val="GesAbsatz"/>
      </w:pPr>
      <w:r>
        <w:t>3.2.2.1</w:t>
      </w:r>
      <w:r w:rsidR="002F0C33">
        <w:t xml:space="preserve"> </w:t>
      </w:r>
      <w:proofErr w:type="gramStart"/>
      <w:r>
        <w:t>Planungskonzept</w:t>
      </w:r>
      <w:proofErr w:type="gramEnd"/>
    </w:p>
    <w:p w:rsidR="001C22C8" w:rsidRDefault="001C22C8" w:rsidP="001C22C8">
      <w:pPr>
        <w:pStyle w:val="GesAbsatz"/>
      </w:pPr>
      <w:r>
        <w:t>Dem Plan muss dabei ein Planungskonzept zugrunde liegen, das den zu beplanenden Raum in den Blick nimmt sowie den allgemeinen Anforderungen des planungsrechtlichen und planungsebenenspezifischen Abwägungsgebots gerecht wird. Dabei berücksichtigt die Regionalplanung die vorhandenen und in Aufste</w:t>
      </w:r>
      <w:r>
        <w:t>l</w:t>
      </w:r>
      <w:r>
        <w:t>lung befindlichen gemeindlichen Windenergie-Konzentrationszonen (Gegenstromprinzip), übernimmt diese jedoch nicht ohne eigene Abwägung. Eine Übernahme kommunaler Zonen in den Regionalplan kann nur auf Grund eigener regionalplanerischer Abwägung erfolgen.</w:t>
      </w:r>
    </w:p>
    <w:p w:rsidR="001C22C8" w:rsidRDefault="001C22C8" w:rsidP="001C22C8">
      <w:pPr>
        <w:pStyle w:val="GesAbsatz"/>
      </w:pPr>
      <w:r>
        <w:t>Vorranggebiete entfalten nur innergebietliche Wirkung und lassen darüber hinaus auf der nachgeordneten kommunalen Ebene auch die Darstellungen von weiteren Konzentrationszonen für die Windenergienutzung zu. Deshalb muss bei der Festlegung von solchen Vorranggebieten in der Regionalplanung das Planung</w:t>
      </w:r>
      <w:r>
        <w:t>s</w:t>
      </w:r>
      <w:r>
        <w:t>konzept nicht dem Anspruch entsprechen, für die Windenergienutzung „substanziell Raum zu schaffen“.</w:t>
      </w:r>
    </w:p>
    <w:p w:rsidR="001C22C8" w:rsidRDefault="001C22C8" w:rsidP="001C22C8">
      <w:pPr>
        <w:pStyle w:val="GesAbsatz"/>
      </w:pPr>
      <w:r>
        <w:t>3.2.2.2</w:t>
      </w:r>
      <w:r w:rsidR="002F0C33">
        <w:t xml:space="preserve"> </w:t>
      </w:r>
      <w:r>
        <w:t>Windhöffigkeit</w:t>
      </w:r>
    </w:p>
    <w:p w:rsidR="001C22C8" w:rsidRDefault="001C22C8" w:rsidP="001C22C8">
      <w:pPr>
        <w:pStyle w:val="GesAbsatz"/>
      </w:pPr>
      <w:r>
        <w:t>Im Rahmen der Erarbeitung des Planungskonzepts ist für das gesamte Planungsgebiet zu ermitteln, welche Bereiche sich aufgrund ihrer Windhöffigkeit für die Windenergienutzung eignen. Nähere Informationen zu relevanten meteorologischen Daten können unter anderem der landesweiten Potentialstudie entnommen werden, die als Energieatlas Nordrhein-Westfalen auf den Internetseiten des Landesamt für Natur, Umwelt und Verbraucherschutz NRW zur Verfügung steht (http://www.energieatlasnrw.de/site/).</w:t>
      </w:r>
    </w:p>
    <w:p w:rsidR="001C22C8" w:rsidRDefault="001C22C8" w:rsidP="001C22C8">
      <w:pPr>
        <w:pStyle w:val="GesAbsatz"/>
      </w:pPr>
      <w:r>
        <w:t>3.2.2.3</w:t>
      </w:r>
      <w:r w:rsidR="002F0C33">
        <w:t xml:space="preserve"> </w:t>
      </w:r>
      <w:r>
        <w:t>Bereiche für die Windenergienutzung entlang vorhandener Infrastrukturtrassen</w:t>
      </w:r>
    </w:p>
    <w:p w:rsidR="001C22C8" w:rsidRDefault="001C22C8" w:rsidP="001C22C8">
      <w:pPr>
        <w:pStyle w:val="GesAbsatz"/>
      </w:pPr>
      <w:r>
        <w:lastRenderedPageBreak/>
        <w:t>Im Rahmen der Erarbeitung des Planungskonzepts sollen auch die Möglichkeiten untersucht werden, Win</w:t>
      </w:r>
      <w:r>
        <w:t>d</w:t>
      </w:r>
      <w:r>
        <w:t>energieanlagen an Standorten zu konzentrieren, an denen sie nicht oder nur zu geringfügig zusätzlichen Belastungen führen. Dieser Ansatz kann zum Beispiel entlang von Infrastrukturtrassen (Bundesfernstraßen, Hauptschienenwege, Hochspannungsfreileitungen) zum Tragen kommen, da von Infrastrukturtrassen und Windenergieanlagen vergleichbare oder ähnliche Umweltauswirkungen ausgehen. Diese können sich so überlagern, dass die zusätzlichen Belastungen durch neue Windenergieanlagen in Trassenkorridoren kaum wahrnehmbar sind. Auf diese Weise können bisher weniger belastete Räume vor der Inanspruchnahme für die Windenergienutzung geschützt werden und gleichzeitig die Windenergienutzung weiter ausgebaut we</w:t>
      </w:r>
      <w:r>
        <w:t>r</w:t>
      </w:r>
      <w:r>
        <w:t>den. Auch bei der Planung von Bereichen für die Windenergienutzung entlang von Infrastrukturtrassen ist zu beachten, dass alle gesetzlichen Anforderungen eingehalten werden.</w:t>
      </w:r>
    </w:p>
    <w:p w:rsidR="001C22C8" w:rsidRPr="00573570" w:rsidRDefault="001C22C8" w:rsidP="001C22C8">
      <w:pPr>
        <w:pStyle w:val="GesAbsatz"/>
        <w:rPr>
          <w:b/>
        </w:rPr>
      </w:pPr>
      <w:r w:rsidRPr="00573570">
        <w:rPr>
          <w:b/>
        </w:rPr>
        <w:t>3.2.3</w:t>
      </w:r>
      <w:r w:rsidR="002F0C33" w:rsidRPr="00573570">
        <w:rPr>
          <w:b/>
        </w:rPr>
        <w:t xml:space="preserve"> </w:t>
      </w:r>
      <w:r w:rsidRPr="00573570">
        <w:rPr>
          <w:b/>
        </w:rPr>
        <w:t>Raumbedeutsamkeit von Windenergieanlagen</w:t>
      </w:r>
    </w:p>
    <w:p w:rsidR="001C22C8" w:rsidRDefault="001C22C8" w:rsidP="001C22C8">
      <w:pPr>
        <w:pStyle w:val="GesAbsatz"/>
      </w:pPr>
      <w:r>
        <w:t>Raumbedeutsam ist eine Planung, durch die die räumliche Entwicklung oder Funktion eines Gebietes beei</w:t>
      </w:r>
      <w:r>
        <w:t>n</w:t>
      </w:r>
      <w:r>
        <w:t>flusst oder Raum in Anspruch genommen wird, (vgl. § 3 Absatz 1 Nummer 6 ROG). Bei Vorliegen einer Windfarm im Sinn des Gesetzes über die Umweltverträglichkeitsprüfung (UVPG) –</w:t>
      </w:r>
      <w:r w:rsidR="00573570">
        <w:t xml:space="preserve"> </w:t>
      </w:r>
      <w:r>
        <w:t>mindestens drei Anlagen – kann grundsätzlich von einer Raumbedeutsamkeit ausgegangen werden. In der Regel wird eine Einzela</w:t>
      </w:r>
      <w:r>
        <w:t>n</w:t>
      </w:r>
      <w:r>
        <w:t>lage mit einer Gesamthöhe von mehr als 100 Metern als raumbedeutsam anzusehen sein, zumal sie ab dieser Höhe luftverkehrsrechtlich relevant ist. Ob eine einzelne Windenergieanlage im Sinn von § 3 Absatz 1 Nummer 6 des Raumordnungsgesetzes im Übrigen raumbedeutsam ist, beurteilt sich nach den tatsächl</w:t>
      </w:r>
      <w:r>
        <w:t>i</w:t>
      </w:r>
      <w:r>
        <w:t>chen Umständen des Einzelfalls. Kriterien für die Beurteilung sind insbesondere der Standort der Anlage, die Vorbelastung des Standortes und die Auswirkungen auf andere Ziele der Raumordnung.</w:t>
      </w:r>
    </w:p>
    <w:p w:rsidR="001C22C8" w:rsidRPr="00573570" w:rsidRDefault="001C22C8" w:rsidP="001C22C8">
      <w:pPr>
        <w:pStyle w:val="GesAbsatz"/>
        <w:rPr>
          <w:b/>
        </w:rPr>
      </w:pPr>
      <w:r w:rsidRPr="00573570">
        <w:rPr>
          <w:b/>
        </w:rPr>
        <w:t>3.2.4</w:t>
      </w:r>
      <w:r w:rsidR="002F0C33" w:rsidRPr="00573570">
        <w:rPr>
          <w:b/>
        </w:rPr>
        <w:t xml:space="preserve"> </w:t>
      </w:r>
      <w:r w:rsidRPr="00573570">
        <w:rPr>
          <w:b/>
        </w:rPr>
        <w:t>Anpassung der Bauleitplanung an die Ziele der Raumordnung gemäß § 34 des Landespl</w:t>
      </w:r>
      <w:r w:rsidRPr="00573570">
        <w:rPr>
          <w:b/>
        </w:rPr>
        <w:t>a</w:t>
      </w:r>
      <w:r w:rsidRPr="00573570">
        <w:rPr>
          <w:b/>
        </w:rPr>
        <w:t>nungsgesetzes</w:t>
      </w:r>
    </w:p>
    <w:p w:rsidR="001C22C8" w:rsidRDefault="001C22C8" w:rsidP="001C22C8">
      <w:pPr>
        <w:pStyle w:val="GesAbsatz"/>
      </w:pPr>
      <w:r>
        <w:t>Die Regionalplanungsbehörde prüft gemäß § 34 des Landesplanungsgesetzes NRW (LPlG NRW) anhand der textlichen und zeichnerischen Ziele der Raumordnung, ob die Voraussetzungen für die Darstellung von Konzentrationszonen für die Windenergienutzung in der kommunalen Bauleitplanung vorliegen.</w:t>
      </w:r>
    </w:p>
    <w:p w:rsidR="001C22C8" w:rsidRDefault="001C22C8" w:rsidP="001C22C8">
      <w:pPr>
        <w:pStyle w:val="GesAbsatz"/>
      </w:pPr>
      <w:r>
        <w:t>Enthält der Regionalplan keine zeichnerischen Festlegungen für die Windenergienutzung, ist die Darstellung von Konzentrationszonen für die Windenergienutzung in der Bauleitplanung anhand der anderen zeichner</w:t>
      </w:r>
      <w:r>
        <w:t>i</w:t>
      </w:r>
      <w:r>
        <w:t>schen und textlichen Festlegungen (Ziele der Raumordnung) des Regionalplans zu prüfen.</w:t>
      </w:r>
    </w:p>
    <w:p w:rsidR="001C22C8" w:rsidRDefault="001C22C8" w:rsidP="001C22C8">
      <w:pPr>
        <w:pStyle w:val="GesAbsatz"/>
      </w:pPr>
      <w:r>
        <w:t>Dabei ist, sofern der Regionalplan keine konkreteren oder weitergehenden textlichen Ziele enthält, hinsich</w:t>
      </w:r>
      <w:r>
        <w:t>t</w:t>
      </w:r>
      <w:r>
        <w:t>lich der Eignung der zeichnerischen Darstellungen im Regionalplan zu unterscheiden zwischen:</w:t>
      </w:r>
    </w:p>
    <w:p w:rsidR="001C22C8" w:rsidRDefault="001C22C8" w:rsidP="001C22C8">
      <w:pPr>
        <w:pStyle w:val="GesAbsatz"/>
      </w:pPr>
      <w:r>
        <w:t>–</w:t>
      </w:r>
      <w:r w:rsidR="002F0C33">
        <w:tab/>
      </w:r>
      <w:r>
        <w:t>Tabubereichen (siehe Nummer 3.2.4.1),</w:t>
      </w:r>
    </w:p>
    <w:p w:rsidR="001C22C8" w:rsidRDefault="001C22C8" w:rsidP="001C22C8">
      <w:pPr>
        <w:pStyle w:val="GesAbsatz"/>
      </w:pPr>
      <w:r>
        <w:t>–</w:t>
      </w:r>
      <w:r w:rsidR="002F0C33">
        <w:tab/>
      </w:r>
      <w:r>
        <w:t>Bereichen, für die eine Einzelfallprüfung durchzuführen ist (siehe Nummer 3.2.4.2), und</w:t>
      </w:r>
    </w:p>
    <w:p w:rsidR="001C22C8" w:rsidRDefault="001C22C8" w:rsidP="001C22C8">
      <w:pPr>
        <w:pStyle w:val="GesAbsatz"/>
      </w:pPr>
      <w:r>
        <w:t>–</w:t>
      </w:r>
      <w:r w:rsidR="002F0C33">
        <w:tab/>
      </w:r>
      <w:r>
        <w:t>geeigneten Bereichen, (siehe Nummer 3.2.4.3).</w:t>
      </w:r>
    </w:p>
    <w:p w:rsidR="001C22C8" w:rsidRDefault="001C22C8" w:rsidP="001C22C8">
      <w:pPr>
        <w:pStyle w:val="GesAbsatz"/>
      </w:pPr>
      <w:r>
        <w:t>3.2.4.1</w:t>
      </w:r>
      <w:r w:rsidR="002F0C33">
        <w:t xml:space="preserve"> </w:t>
      </w:r>
      <w:r>
        <w:t>Tabubereiche</w:t>
      </w:r>
    </w:p>
    <w:p w:rsidR="001C22C8" w:rsidRDefault="001C22C8" w:rsidP="001C22C8">
      <w:pPr>
        <w:pStyle w:val="GesAbsatz"/>
      </w:pPr>
      <w:r>
        <w:t>Die Ausweisung von Gebieten für die Windenergienutzung ist in Allgemeinen Siedlungsbereichen (ASB) nicht zulässig.</w:t>
      </w:r>
    </w:p>
    <w:p w:rsidR="001C22C8" w:rsidRDefault="001C22C8" w:rsidP="001C22C8">
      <w:pPr>
        <w:pStyle w:val="GesAbsatz"/>
      </w:pPr>
      <w:r>
        <w:t>Die Ausweisung von Gebieten für die Windenergienutzung als Außenbereichsplanung kommt in Gewerbe- und Industrieansiedlungsbereichen (GIB) als Innenbereichskategorie nicht in Betracht. Gleichwohl können GIB im Einzelfall für die Errichtung von Windenergieanlagen genutzt werden (siehe unter Nummer 5.2.2).</w:t>
      </w:r>
    </w:p>
    <w:p w:rsidR="001C22C8" w:rsidRDefault="001C22C8" w:rsidP="001C22C8">
      <w:pPr>
        <w:pStyle w:val="GesAbsatz"/>
      </w:pPr>
      <w:r>
        <w:t>Die Ausweisung von Gebieten für die Windenergienutzung kommt in Bereichen für den Schutz der Natur (BSN) nicht in Betracht.</w:t>
      </w:r>
    </w:p>
    <w:p w:rsidR="001C22C8" w:rsidRDefault="001C22C8" w:rsidP="001C22C8">
      <w:pPr>
        <w:pStyle w:val="GesAbsatz"/>
      </w:pPr>
      <w:r>
        <w:t>3.2.4.2</w:t>
      </w:r>
      <w:r w:rsidR="002F0C33">
        <w:t xml:space="preserve"> </w:t>
      </w:r>
      <w:r>
        <w:t>Bereiche, für die eine Einzelfallprüfung durchzuführen ist</w:t>
      </w:r>
    </w:p>
    <w:p w:rsidR="001C22C8" w:rsidRDefault="001C22C8" w:rsidP="001C22C8">
      <w:pPr>
        <w:pStyle w:val="GesAbsatz"/>
      </w:pPr>
      <w:r>
        <w:t>Für die Darstellung von Gebieten für die Windenergienutzung (Konzentrationszonen) in der Bauleitplanung sind insbesondere folgende zeichnerische Darstellungen der Regionalpläne unter Beachtung der textlichen Festlegungen im Einzelfall zu prüfen:</w:t>
      </w:r>
    </w:p>
    <w:p w:rsidR="001C22C8" w:rsidRDefault="001C22C8" w:rsidP="002F0C33">
      <w:pPr>
        <w:pStyle w:val="GesAbsatz"/>
        <w:ind w:left="426" w:hanging="426"/>
      </w:pPr>
      <w:r>
        <w:t>–</w:t>
      </w:r>
      <w:r w:rsidR="002F0C33">
        <w:tab/>
      </w:r>
      <w:r>
        <w:t>Nach Ziel C.IV.2.2.3 des Landesentwicklungsplans Nordrhein-Westfalen kommt die Darstellung von Gebieten für die Windenergienutzung in „Reservegebieten für den oberirdischen Abbau nicht energet</w:t>
      </w:r>
      <w:r>
        <w:t>i</w:t>
      </w:r>
      <w:r>
        <w:t>scher Bodenschätze“ in den Erläuterungsberichten zu den Regionalplänen für andere Nutzungen nur in Betracht, soweit die Inanspruchnahme von vorübergehender Art ist und die Nutzung der Lagerstätte langfristig nicht in Frage gestellt wird. Windenergieanlagen dürfen auf diesen Flächen nur befristet z</w:t>
      </w:r>
      <w:r>
        <w:t>u</w:t>
      </w:r>
      <w:r>
        <w:t>gelassen werden.</w:t>
      </w:r>
    </w:p>
    <w:p w:rsidR="001C22C8" w:rsidRDefault="001C22C8" w:rsidP="002F0C33">
      <w:pPr>
        <w:pStyle w:val="GesAbsatz"/>
        <w:ind w:left="426" w:hanging="426"/>
      </w:pPr>
      <w:r>
        <w:t>–</w:t>
      </w:r>
      <w:r w:rsidR="002F0C33">
        <w:tab/>
      </w:r>
      <w:r>
        <w:t>Wegen der besonders langfristigen Sicherung von Flächen für den Braunkohlentagebau gilt die vorg</w:t>
      </w:r>
      <w:r>
        <w:t>e</w:t>
      </w:r>
      <w:r>
        <w:t>nannte Verfahrensweise für Darstellungen von Braunkohlentagebauen entsprechend.</w:t>
      </w:r>
    </w:p>
    <w:p w:rsidR="001C22C8" w:rsidRDefault="001C22C8" w:rsidP="002F0C33">
      <w:pPr>
        <w:pStyle w:val="GesAbsatz"/>
        <w:ind w:left="426" w:hanging="426"/>
      </w:pPr>
      <w:r>
        <w:t>–</w:t>
      </w:r>
      <w:r w:rsidR="002F0C33">
        <w:tab/>
      </w:r>
      <w:r>
        <w:t>Als Nachfolgenutzung kommen grundsätzlich auch die Bereiche für Aufschüttungen und Ablagerungen (Standorte für Abfalldeponien und Halden) und für die Sicherung und den Abbau oberflächennaher B</w:t>
      </w:r>
      <w:r>
        <w:t>o</w:t>
      </w:r>
      <w:r>
        <w:lastRenderedPageBreak/>
        <w:t>denschätze (BSAB) für die Darstellung von Gebieten für die Windenergienutzung in Frage, wenn dem nicht andere Freiraumfunktionen entgegenstehen.</w:t>
      </w:r>
    </w:p>
    <w:p w:rsidR="001C22C8" w:rsidRDefault="001C22C8" w:rsidP="002F0C33">
      <w:pPr>
        <w:pStyle w:val="GesAbsatz"/>
        <w:ind w:left="426" w:hanging="426"/>
      </w:pPr>
      <w:r>
        <w:t>–</w:t>
      </w:r>
      <w:r w:rsidR="002F0C33">
        <w:tab/>
      </w:r>
      <w:r>
        <w:t>Die Ausweisung von Gebieten für die Windenergienutzung in Bereichen für den Schutz der Landschaft und die landschaftsorientierte Erholung (BSLE) sowie in regionalen Grünzügen ist möglich, wenn die Windenergienutzung mit der konkreten Schutzfunktion des jeweiligen Bereiches vereinbar ist. Für die Bewertung sind die Maßstäbe aus Nummer 8.2.2.5 heranzuziehen.</w:t>
      </w:r>
    </w:p>
    <w:p w:rsidR="001C22C8" w:rsidRDefault="001C22C8" w:rsidP="002F0C33">
      <w:pPr>
        <w:pStyle w:val="GesAbsatz"/>
        <w:ind w:left="426" w:hanging="426"/>
      </w:pPr>
      <w:r>
        <w:t>–</w:t>
      </w:r>
      <w:r w:rsidR="002F0C33">
        <w:tab/>
      </w:r>
      <w:r>
        <w:t>Innerhalb der Bereiche für den Grundwasser- und Gewässerschutz (BGG) ist die Ausweisung von G</w:t>
      </w:r>
      <w:r>
        <w:t>e</w:t>
      </w:r>
      <w:r>
        <w:t>bieten für die Windenergienutzung möglich, soweit sich aus fachrechtlich festgesetzten oder vorläufig gesicherten Wasser- und Heilquellenschutzgebieten nach den §§ 51, 52 des Wasserhaushaltsgesetzes (WHG) nicht entgegenstehendes ergibt.</w:t>
      </w:r>
    </w:p>
    <w:p w:rsidR="001C22C8" w:rsidRDefault="001C22C8" w:rsidP="002F0C33">
      <w:pPr>
        <w:pStyle w:val="GesAbsatz"/>
        <w:ind w:left="426" w:hanging="426"/>
      </w:pPr>
      <w:r>
        <w:t>–</w:t>
      </w:r>
      <w:r w:rsidR="002F0C33">
        <w:tab/>
      </w:r>
      <w:r>
        <w:t>Innerhalb der Überschwemmungsbereiche (ÜSG) ist die Ausweisung von Gebieten für die Windene</w:t>
      </w:r>
      <w:r>
        <w:t>r</w:t>
      </w:r>
      <w:r>
        <w:t>gienutzung möglich, soweit sich aus fachrechtlich festgesetzten oder vorläufig gesicherten Übe</w:t>
      </w:r>
      <w:r>
        <w:t>r</w:t>
      </w:r>
      <w:r>
        <w:t>schwemmungsgebieten nichts anderes ergibt.</w:t>
      </w:r>
    </w:p>
    <w:p w:rsidR="001C22C8" w:rsidRDefault="001C22C8" w:rsidP="002F0C33">
      <w:pPr>
        <w:pStyle w:val="GesAbsatz"/>
        <w:ind w:left="426" w:hanging="426"/>
      </w:pPr>
      <w:r>
        <w:t>–</w:t>
      </w:r>
      <w:r w:rsidR="002F0C33">
        <w:tab/>
      </w:r>
      <w:r>
        <w:t>Die landesplanerischen Voraussetzungen für eine Inanspruchnahme von Waldflächen können unter Berücksichtigung des Urteils des Oberverwaltungsgerichts vom 22.9.2015 (10 D 82/13.NE) dadurch e</w:t>
      </w:r>
      <w:r>
        <w:t>r</w:t>
      </w:r>
      <w:r>
        <w:t>füllt werden, dass in einem Planungskonzept für das Gemeindegebiet nachgewiesen wird, dass Gebiete für die Windenergienutzung außerhalb des Waldes nicht mit vertretbarem Aufwand realisierbar sind. Weiterhin muss der Eingriff in den Wald bei einer Inanspruchnahme für die Windenergienutzung auf das unbedingt erforderliche Maß beschränkt werden. Deshalb eignen sich für eine Ausweisung von Gebi</w:t>
      </w:r>
      <w:r>
        <w:t>e</w:t>
      </w:r>
      <w:r>
        <w:t>ten für die Windenergienutzung insbesondere Kahlflächen, die aufgrund von Schadensereignissen en</w:t>
      </w:r>
      <w:r>
        <w:t>t</w:t>
      </w:r>
      <w:r>
        <w:t>standen sind. Eine Ausweisung kommt nicht in Betracht, wenn es sich um besonders wertvolle Waldg</w:t>
      </w:r>
      <w:r>
        <w:t>e</w:t>
      </w:r>
      <w:r>
        <w:t>biete (insbesondere standortgerechte Laubwälder, Prozessschutzflächen) handelt.</w:t>
      </w:r>
    </w:p>
    <w:p w:rsidR="001C22C8" w:rsidRDefault="001C22C8" w:rsidP="001C22C8">
      <w:pPr>
        <w:pStyle w:val="GesAbsatz"/>
      </w:pPr>
      <w:r>
        <w:t xml:space="preserve">Näheres zu den Waldfunktionen im Sinn des Landesentwicklungsplanes sowie weitere Informationen finden sich im Leitfaden „Rahmenbedingungen für Windenergieanlagen auf Waldflächen in Nordrhein-Westfalen“ in der jeweils gültigen Fassung (abrufbar unter </w:t>
      </w:r>
      <w:hyperlink r:id="rId12" w:history="1">
        <w:r w:rsidR="00AA7DB7" w:rsidRPr="003F7773">
          <w:rPr>
            <w:rStyle w:val="Hyperlink"/>
          </w:rPr>
          <w:t>https://www.umwelt.nrw.de/fileadmin/</w:t>
        </w:r>
        <w:r w:rsidR="00AA7DB7" w:rsidRPr="003F7773">
          <w:rPr>
            <w:rStyle w:val="Hyperlink"/>
          </w:rPr>
          <w:softHyphen/>
          <w:t>redaktion/PDFs/klima/</w:t>
        </w:r>
        <w:r w:rsidR="00AA7DB7" w:rsidRPr="003F7773">
          <w:rPr>
            <w:rStyle w:val="Hyperlink"/>
          </w:rPr>
          <w:softHyphen/>
          <w:t>leitfaden_wind_im_wald.pdf</w:t>
        </w:r>
      </w:hyperlink>
      <w:r>
        <w:t>).</w:t>
      </w:r>
    </w:p>
    <w:p w:rsidR="001C22C8" w:rsidRDefault="001C22C8" w:rsidP="001C22C8">
      <w:pPr>
        <w:pStyle w:val="GesAbsatz"/>
      </w:pPr>
      <w:r>
        <w:t>3.2.4.3</w:t>
      </w:r>
      <w:r w:rsidR="002F0C33">
        <w:t xml:space="preserve"> </w:t>
      </w:r>
      <w:r>
        <w:t>Geeignete Bereiche</w:t>
      </w:r>
    </w:p>
    <w:p w:rsidR="001C22C8" w:rsidRDefault="001C22C8" w:rsidP="001C22C8">
      <w:pPr>
        <w:pStyle w:val="GesAbsatz"/>
      </w:pPr>
      <w:r>
        <w:t>Für die Darstellung von Gebieten für die Windenergienutzung in der Bauleitplanung kommen insbesondere die allgemeinen Freiraum- und Agrarbereiche in Betracht, sofern sie nicht gleichzeitig entgegenstehende Funktionen, insbesondere aus Sicht des Arten- und Biotopschutzes, erfüllen.</w:t>
      </w:r>
    </w:p>
    <w:p w:rsidR="001C22C8" w:rsidRDefault="001C22C8" w:rsidP="001C22C8">
      <w:pPr>
        <w:pStyle w:val="GesAbsatz"/>
      </w:pPr>
      <w:r>
        <w:t>3.2.4.4</w:t>
      </w:r>
      <w:r w:rsidR="002F0C33">
        <w:t xml:space="preserve"> </w:t>
      </w:r>
      <w:proofErr w:type="gramStart"/>
      <w:r>
        <w:t>Abweichende Ausweisung</w:t>
      </w:r>
      <w:proofErr w:type="gramEnd"/>
    </w:p>
    <w:p w:rsidR="001C22C8" w:rsidRDefault="001C22C8" w:rsidP="001C22C8">
      <w:pPr>
        <w:pStyle w:val="GesAbsatz"/>
      </w:pPr>
      <w:r>
        <w:t>Die Ausweisung von Konzentrationszonen, die diesen Anforderungen nicht entsprechen, ist nur möglich, wenn zuvor der Regionalplan hinsichtlich einer die Ausweisung zulassenden Darstellung geändert worden ist.</w:t>
      </w:r>
    </w:p>
    <w:p w:rsidR="001C22C8" w:rsidRDefault="001C22C8" w:rsidP="001C22C8">
      <w:pPr>
        <w:pStyle w:val="GesAbsatz"/>
      </w:pPr>
      <w:r>
        <w:t>Zudem kann gemäß § 16 des Landesplanungsgesetzes NRW beziehungsweise § 6 des Raumordnungsg</w:t>
      </w:r>
      <w:r>
        <w:t>e</w:t>
      </w:r>
      <w:r>
        <w:t>setzes ein Zielabweichungsverfahren durchgeführt werden.</w:t>
      </w:r>
    </w:p>
    <w:p w:rsidR="001C22C8" w:rsidRDefault="001C22C8" w:rsidP="001C22C8">
      <w:pPr>
        <w:pStyle w:val="GesAbsatz"/>
      </w:pPr>
      <w:r>
        <w:t>Danach kann von Zielen der Raumordnung im Einzelfall in einem besonderen Verfahren abgewichen we</w:t>
      </w:r>
      <w:r>
        <w:t>r</w:t>
      </w:r>
      <w:r>
        <w:t>den, wenn die Grundzüge der Planung nicht berührt werden und die Abweichung unter raumordnerischen Gesichtspunkten vertretbar ist.</w:t>
      </w:r>
    </w:p>
    <w:p w:rsidR="001C22C8" w:rsidRDefault="001C22C8" w:rsidP="001C22C8">
      <w:pPr>
        <w:pStyle w:val="GesAbsatz"/>
      </w:pPr>
      <w:r>
        <w:t>Antragsbefugt sind die öffentlichen Stellen und Personen des Privatrechts, die das Ziel der Raumordnung zu beachten haben.</w:t>
      </w:r>
    </w:p>
    <w:p w:rsidR="001C22C8" w:rsidRDefault="001C22C8" w:rsidP="001C22C8">
      <w:pPr>
        <w:pStyle w:val="GesAbsatz"/>
      </w:pPr>
      <w:r>
        <w:t>Zuständig für das Zielabweichungsverfahren beim Landesentwicklungsplan ist die Landesplanungsbehörde.</w:t>
      </w:r>
    </w:p>
    <w:p w:rsidR="001C22C8" w:rsidRDefault="001C22C8" w:rsidP="001C22C8">
      <w:pPr>
        <w:pStyle w:val="GesAbsatz"/>
      </w:pPr>
      <w:r>
        <w:t>Bei Zielabweichung vom Regionalplan ist die Regionalplanungsbehörde zuständig. Die Landesplanungs- beziehungsweise Regionalplanungsbehörde entscheidet über den Antrag unter den in § 16 Absatz 3, 4 des Landesplanungsgesetzes NRW genannten Voraussetzungen.</w:t>
      </w:r>
    </w:p>
    <w:p w:rsidR="001C22C8" w:rsidRDefault="001C22C8" w:rsidP="002F0C33">
      <w:pPr>
        <w:pStyle w:val="berschrift2"/>
        <w:jc w:val="left"/>
      </w:pPr>
      <w:bookmarkStart w:id="12" w:name="_Toc451849514"/>
      <w:r>
        <w:t>4</w:t>
      </w:r>
      <w:r w:rsidR="002F0C33">
        <w:t xml:space="preserve"> </w:t>
      </w:r>
      <w:r>
        <w:t>Bauleitplanung</w:t>
      </w:r>
      <w:bookmarkEnd w:id="12"/>
    </w:p>
    <w:p w:rsidR="001C22C8" w:rsidRDefault="001C22C8" w:rsidP="002F0C33">
      <w:pPr>
        <w:pStyle w:val="berschrift3"/>
        <w:jc w:val="left"/>
      </w:pPr>
      <w:bookmarkStart w:id="13" w:name="_Toc451849515"/>
      <w:r>
        <w:t>4.1</w:t>
      </w:r>
      <w:r w:rsidR="002F0C33">
        <w:t xml:space="preserve"> </w:t>
      </w:r>
      <w:r>
        <w:t>Allgemeines</w:t>
      </w:r>
      <w:bookmarkEnd w:id="13"/>
    </w:p>
    <w:p w:rsidR="001C22C8" w:rsidRDefault="001C22C8" w:rsidP="001C22C8">
      <w:pPr>
        <w:pStyle w:val="GesAbsatz"/>
      </w:pPr>
      <w:r>
        <w:t>Gemäß § 35 Absatz 1 Nummer 5 des Baugesetzbuches (BauGB) sind Windenergieanlagen im Außenb</w:t>
      </w:r>
      <w:r>
        <w:t>e</w:t>
      </w:r>
      <w:r>
        <w:t>reich privilegiert zulässig. Mit der Einführung der Privilegierung für Windenergieanlagen ist gleichzeitig der sogenannte Planungsvorbehalt ins Baugesetzbuch aufgenommen worden. Hierunter wird die Möglichkeit verstanden, unter anderem die Windenergienutzung im Außenbereich zu steuern. Nach § 5 in Verbindung mit § 35 Absatz 3 Satz 3 des Baugesetzbuches können die Gemeinden im Flächennutzungsplan „Konzen</w:t>
      </w:r>
      <w:r>
        <w:t>t</w:t>
      </w:r>
      <w:r>
        <w:lastRenderedPageBreak/>
        <w:t>rationszonen für Windenergieanlagen“ darstellen. Eine solche Darstellung hat das Gewicht eines öffentlichen Belanges, der einer Windenergieanlage an anderer Stelle in der Regel entgegensteht.</w:t>
      </w:r>
    </w:p>
    <w:p w:rsidR="001C22C8" w:rsidRDefault="001C22C8" w:rsidP="001C22C8">
      <w:pPr>
        <w:pStyle w:val="GesAbsatz"/>
      </w:pPr>
      <w:r>
        <w:t>Bei der Ausweisung von Konzentrationszonen für Windenergieanlagen in Bauleitplänen sind die unter Nummer 8 aufgeführten spezialgesetzlichen Regelungen zu beachten.</w:t>
      </w:r>
    </w:p>
    <w:p w:rsidR="001C22C8" w:rsidRDefault="001C22C8" w:rsidP="002F0C33">
      <w:pPr>
        <w:pStyle w:val="berschrift3"/>
        <w:jc w:val="left"/>
      </w:pPr>
      <w:bookmarkStart w:id="14" w:name="_Toc451849516"/>
      <w:r>
        <w:t>4.2</w:t>
      </w:r>
      <w:r w:rsidR="002F0C33">
        <w:t xml:space="preserve"> </w:t>
      </w:r>
      <w:r>
        <w:t>Anpassungspflicht an Ziele der Raumordnung gemäß § 1 Absatz 4 des Baugesetzbuches</w:t>
      </w:r>
      <w:bookmarkEnd w:id="14"/>
    </w:p>
    <w:p w:rsidR="001C22C8" w:rsidRDefault="001C22C8" w:rsidP="001C22C8">
      <w:pPr>
        <w:pStyle w:val="GesAbsatz"/>
      </w:pPr>
      <w:r>
        <w:t>Gemäß § 1 Absatz 4 des Baugesetzbuches sind die Bauleitpläne den Zielen der Raumordnung anzupassen. Der Regelungszweck des § 1 Absatz 4 des Baugesetzbuches liegt in der „Gewährleistung einer umfasse</w:t>
      </w:r>
      <w:r>
        <w:t>n</w:t>
      </w:r>
      <w:r>
        <w:t>den materiellen Konkordanz“ zwischen der übergeordneten Regionalplanung und der gemeindlichen Ba</w:t>
      </w:r>
      <w:r>
        <w:t>u</w:t>
      </w:r>
      <w:r>
        <w:t>leitplanung. Die Pflicht zur Anpassung, die § 1 Absatz 4 des Baugesetzbuches statuiert, zielt dabei nicht auf eine punktuelle Kooperation, sondern auf die dauerhafte Übereinstimmung der beiden Planungsebenen. Daher ist eine Kommune nicht nur dann zur Anpassung an die Ziele der Raumordnung verpflichtet, wenn sie Bauleitpläne aus eigenem Entschluss und allein aus städtebaulichen Gründen aufstellt oder ändert, sondern sie muss auch dann planerisch aktiv werden, wenn allein geänderte oder neue Ziele der Raumordnung eine Anpassung der Bauleitpläne erfordern (BVerwG, Urt. v. 17.9.2003 – C 14.01). Ziele der Raumordnung sind für die Bauleitplanung unmittelbar bindende Vorgaben und nicht Gegenstand der Abwägung nach § 1 Absatz</w:t>
      </w:r>
      <w:r w:rsidR="001066CA">
        <w:t xml:space="preserve"> </w:t>
      </w:r>
      <w:r>
        <w:t>7 des Baugesetzbuches. Ein zu beachtendes Ziel der Raumordnung wird in der Regel durch die planenden Gemeinde zwar konkretisierbar sein, ist in seinem Kern aber durch die gemeindliche Abwägung nicht übe</w:t>
      </w:r>
      <w:r>
        <w:t>r</w:t>
      </w:r>
      <w:r>
        <w:t>windbar (vgl. BVerwG, Beschl. v. 20.8.1992 – 4 NB 20.91). Hier gilt der Grundsatz: „konkretisieren ohne zu konterkarieren“. Soweit entsprechende Zielvorgaben bestehen, ist es einer Gemeinde verwehrt, die im Reg</w:t>
      </w:r>
      <w:r>
        <w:t>i</w:t>
      </w:r>
      <w:r>
        <w:t>onalplan getroffene raumordnerische Eignungsfestlegung zu konterkarieren beziehungsweise auszuhöhlen. Will sie von den bindenden Zielvorgaben abweichen, bedarf es einer Änderung des Regionalplans bezi</w:t>
      </w:r>
      <w:r>
        <w:t>e</w:t>
      </w:r>
      <w:r>
        <w:t>hungsweise der Durchführung eines Zielabweichungsverfahrens (vgl. OVG NRW, Urt. v. 28.1.2005 – 7 D 35/03.NE). Im landesplanerischen Anpassungsverfahren nach § 34 des Landesplanungsgesetzes NRW werden Darstellungen beziehungsweise Festsetzungen für die Windenergienutzung in Bauleitplänen darauf überprüft, ob sie an die Ziele der Raumordnung angepasst sind.</w:t>
      </w:r>
    </w:p>
    <w:p w:rsidR="001C22C8" w:rsidRDefault="001C22C8" w:rsidP="001C22C8">
      <w:pPr>
        <w:pStyle w:val="GesAbsatz"/>
      </w:pPr>
      <w:r>
        <w:t>Hier sind grundsätzlich zwei Fallkonstellationen zu unterscheiden:</w:t>
      </w:r>
    </w:p>
    <w:p w:rsidR="001C22C8" w:rsidRDefault="001C22C8" w:rsidP="00482492">
      <w:pPr>
        <w:pStyle w:val="GesAbsatz"/>
        <w:ind w:left="426" w:hanging="426"/>
      </w:pPr>
      <w:r>
        <w:t>a)</w:t>
      </w:r>
      <w:r w:rsidR="002F0C33">
        <w:tab/>
      </w:r>
      <w:r>
        <w:t>Durch Verordnung zur Änderung der LandesplanungsgesetzDVO vom 13. März 2012 (GV. NRW. S.</w:t>
      </w:r>
      <w:r w:rsidR="00896485">
        <w:t xml:space="preserve"> </w:t>
      </w:r>
      <w:r>
        <w:t>146), ist in der LandesplanungsgesetzDVO ein neues Planzeichen 2.ed) Windenergiebereiche eing</w:t>
      </w:r>
      <w:r>
        <w:t>e</w:t>
      </w:r>
      <w:r>
        <w:t>führt worden. Bei den Windenergiebereichen handelt es sich um Vorranggebiete gemäß § 8 Absatz 7 Nummer 1 des Raumordnungsgesetzes ohne die Wirkung von Eignungsgebieten.</w:t>
      </w:r>
    </w:p>
    <w:p w:rsidR="001C22C8" w:rsidRDefault="001C22C8" w:rsidP="00896485">
      <w:pPr>
        <w:pStyle w:val="GesAbsatz"/>
        <w:tabs>
          <w:tab w:val="clear" w:pos="425"/>
          <w:tab w:val="left" w:pos="426"/>
        </w:tabs>
        <w:ind w:left="426"/>
      </w:pPr>
      <w:r>
        <w:t>Die regionalplanerischen Vorranggebiete ohne Funktion von Eignungsgebieten sind bei einer komm</w:t>
      </w:r>
      <w:r>
        <w:t>u</w:t>
      </w:r>
      <w:r>
        <w:t>nalen Darstellung von Windenergie-Konzentrationszonen zu übernehmen. Die Maßstäblichkeiten und Prüftiefen der Regionalplanung und der Bauleitplanung sind ebenenspezifisch verschieden. Die im R</w:t>
      </w:r>
      <w:r>
        <w:t>e</w:t>
      </w:r>
      <w:r>
        <w:t>gionalplan festgelegten Ziele bieten den Gemeinden Konkretisierungsspielräume. Dies folgt bereits r</w:t>
      </w:r>
      <w:r>
        <w:t>e</w:t>
      </w:r>
      <w:r>
        <w:t>gelmäßig aus der Maßstäblichkeit der Raumordnungspläne. Die textlichen Festlegungen können da</w:t>
      </w:r>
      <w:r>
        <w:t>r</w:t>
      </w:r>
      <w:r>
        <w:t>über hinaus Spielräume eröffnen. Maßgeblich für die Übernahme ist die Lage der Fläche in der zeichn</w:t>
      </w:r>
      <w:r>
        <w:t>e</w:t>
      </w:r>
      <w:r>
        <w:t>rischen Festlegung des Regionalplans und nicht der zugrundeliegende Kriterienkatalog der Regiona</w:t>
      </w:r>
      <w:r>
        <w:t>l</w:t>
      </w:r>
      <w:r>
        <w:t>planung, die Referenzanlage oder die genaue Hektarzahl.</w:t>
      </w:r>
    </w:p>
    <w:p w:rsidR="001C22C8" w:rsidRDefault="001C22C8" w:rsidP="00482492">
      <w:pPr>
        <w:pStyle w:val="GesAbsatz"/>
        <w:ind w:left="426" w:hanging="426"/>
      </w:pPr>
      <w:r>
        <w:t>b)</w:t>
      </w:r>
      <w:r w:rsidR="00482492">
        <w:tab/>
      </w:r>
      <w:r>
        <w:t xml:space="preserve">Sofern keine Windenergiebereiche im Regionalplan ausgewiesen sind, </w:t>
      </w:r>
      <w:proofErr w:type="gramStart"/>
      <w:r>
        <w:t>ist</w:t>
      </w:r>
      <w:proofErr w:type="gramEnd"/>
      <w:r>
        <w:t xml:space="preserve"> die Gemeinde hier lediglich über die anderen Ziele gemäß § 1 Absatz 4 des Baugesetzbuches gebunden (siehe hierzu Nummer</w:t>
      </w:r>
      <w:r w:rsidR="00896485">
        <w:t xml:space="preserve"> </w:t>
      </w:r>
      <w:r>
        <w:t>3.2.4).</w:t>
      </w:r>
    </w:p>
    <w:p w:rsidR="001C22C8" w:rsidRDefault="001C22C8" w:rsidP="00573570">
      <w:pPr>
        <w:pStyle w:val="GesAbsatz"/>
        <w:tabs>
          <w:tab w:val="clear" w:pos="425"/>
          <w:tab w:val="left" w:pos="426"/>
        </w:tabs>
      </w:pPr>
      <w:r>
        <w:t>Die generellen Tabubereiche (siehe Nummer 3.2.4.1) und die Bereiche, die bei einer Einzelfallprüfung im Rahmen des Anpassungsverfahrens nach § 34 des Landesplanungsgesetzes NRW (siehe Nummer</w:t>
      </w:r>
      <w:r w:rsidR="00482492">
        <w:t> </w:t>
      </w:r>
      <w:r>
        <w:t>3.2.4.2) für die Darstellung als Konzentrationszonen für die Windenergie aus landes- und regionalplanerischen Gründen nicht in Frage kommen, stellen für die planende Gemeinde verbindliche Vorgaben dar, die im Rahmen der Abwägung nicht überwunden werden können.</w:t>
      </w:r>
    </w:p>
    <w:p w:rsidR="001C22C8" w:rsidRDefault="001C22C8" w:rsidP="00447FEE">
      <w:pPr>
        <w:pStyle w:val="berschrift3"/>
        <w:jc w:val="left"/>
      </w:pPr>
      <w:bookmarkStart w:id="15" w:name="_Toc451849517"/>
      <w:r>
        <w:t>4.3</w:t>
      </w:r>
      <w:r w:rsidR="00447FEE">
        <w:t xml:space="preserve"> </w:t>
      </w:r>
      <w:r>
        <w:t>Konzentrationszonen im Flächennutzungsplan</w:t>
      </w:r>
      <w:bookmarkEnd w:id="15"/>
    </w:p>
    <w:p w:rsidR="001C22C8" w:rsidRPr="00573570" w:rsidRDefault="001C22C8" w:rsidP="001C22C8">
      <w:pPr>
        <w:pStyle w:val="GesAbsatz"/>
        <w:rPr>
          <w:b/>
        </w:rPr>
      </w:pPr>
      <w:r w:rsidRPr="00573570">
        <w:rPr>
          <w:b/>
        </w:rPr>
        <w:t>4.3.1</w:t>
      </w:r>
      <w:r w:rsidR="00447FEE" w:rsidRPr="00573570">
        <w:rPr>
          <w:b/>
        </w:rPr>
        <w:t xml:space="preserve"> </w:t>
      </w:r>
      <w:r w:rsidRPr="00573570">
        <w:rPr>
          <w:b/>
        </w:rPr>
        <w:t>Allgemeine Anforderungen an die Darstellung von Konzentrationszonen</w:t>
      </w:r>
    </w:p>
    <w:p w:rsidR="001C22C8" w:rsidRDefault="001C22C8" w:rsidP="001C22C8">
      <w:pPr>
        <w:pStyle w:val="GesAbsatz"/>
      </w:pPr>
      <w:r>
        <w:t>Nach § 5 in Verbindung mit § 35 Absatz 3 Satz 3 des Baugesetzbuches können die Gemeinden im Fläche</w:t>
      </w:r>
      <w:r>
        <w:t>n</w:t>
      </w:r>
      <w:r>
        <w:t>nutzungsplan „Konzentrationszonen für Windenergieanlagen“ darstellen. Eine solche Darstellung hat das Gewicht eines öffentlichen Belanges, der einer Windenergieanlage an anderer Stelle in der Regel entgege</w:t>
      </w:r>
      <w:r>
        <w:t>n</w:t>
      </w:r>
      <w:r>
        <w:t>steht, sofern die Gemeinde die Absicht im Flächennutzungsplan oder seiner Begründung zum Ausdruck bringt. Demgegenüber kann die Gemeinde auch eine reine Positivplanung vorsehen und lediglich die darg</w:t>
      </w:r>
      <w:r>
        <w:t>e</w:t>
      </w:r>
      <w:r>
        <w:t>stellten Flächen für die Windenergienutzung vorhalten und gegen konkurrierende Nutzungen sichern. In einem solchen Fall entfallen sowohl die spezifischen Rechtfertigungsanforderungen als auch die Rechtswi</w:t>
      </w:r>
      <w:r>
        <w:t>r</w:t>
      </w:r>
      <w:r>
        <w:t>kungen des § 35 Absatz 3 Satz 3 des Baugesetzbuches (BVerwG, Urt. v. 31.1.2013 – 4 CN 1.12).</w:t>
      </w:r>
    </w:p>
    <w:p w:rsidR="001C22C8" w:rsidRDefault="001C22C8" w:rsidP="001C22C8">
      <w:pPr>
        <w:pStyle w:val="GesAbsatz"/>
      </w:pPr>
      <w:r>
        <w:lastRenderedPageBreak/>
        <w:t>Die Gemeinde ist nicht verpflichtet, von dem Planvorbehalt des § 35 Absatz 3 Satz 3 des Baugesetzbuches Gebrauch zu machen, wenn geeignete Flächen vorhanden sind. Die Gemeinde wäre dann darauf b</w:t>
      </w:r>
      <w:r>
        <w:t>e</w:t>
      </w:r>
      <w:r>
        <w:t>schränkt, im Rahmen des § 36 des Baugesetzbuches geltend zu machen, dass einem bestimmten Vorhaben öffentliche Belange im Sinn des § 35 Absatz 3 Satz 1 und 2 des Baugesetzbuches entgegenstehen. Bei der Versagung des gemeindlichen Einvernehmens ist die Gemeinde an städtebauliche Gründe gebunden. Bei rechtswidriger Versagung muss sie mit der Ersetzung ihres Einvernehmens durch die Genehmigungsbehö</w:t>
      </w:r>
      <w:r>
        <w:t>r</w:t>
      </w:r>
      <w:r>
        <w:t>de rechnen (siehe auch BGH, Urt. v. 16.9.2010 – III ZR 29/10-). Ist hingegen im gesamten Gemeindegebiet keine geeignete Fläche zu finden, darf die Gemeinde keine Konzentrationszonen im Flächennutzungsplan vorsehen, weil mit der Darstellung von für die Windenergienutzung ungeeigneten Flächen der Gesetze</w:t>
      </w:r>
      <w:r>
        <w:t>s</w:t>
      </w:r>
      <w:r>
        <w:t>zweck des § 35 Absatz 3 Satz 3 des Baugesetzbuches verfehlt würde. Auch in diesem Fall bleibt es beim allgemeinen Zulässigkeitstatbestand des § 35 Absatz 1 Nummer 5 des Baugesetzbuches. Es gibt keine „n</w:t>
      </w:r>
      <w:r>
        <w:t>e</w:t>
      </w:r>
      <w:r>
        <w:t>gative“ Darstellung im Flächennutzungsplan, die Windenergieanlagen im Gemeindegebiet gänzlich verhi</w:t>
      </w:r>
      <w:r>
        <w:t>n</w:t>
      </w:r>
      <w:r>
        <w:t>dern. Als Alternative böte sich eine Darstellung in einem gemeinsamen Flächennutzungsplan benachbarter Gemeinden gemäß § 204 des Baugesetzbuches an. Voraussetzung für die Steuerungswirkung nach § 35 Absatz 3 Satz 3 des Baugesetzbuches ist bei einem gemeinsamen Flächennutzungsplan, dass insgesamt im gemeinsamen Planungsraum Konzentrationszonen ausgewiesen werden.</w:t>
      </w:r>
    </w:p>
    <w:p w:rsidR="001C22C8" w:rsidRDefault="001C22C8" w:rsidP="001C22C8">
      <w:pPr>
        <w:pStyle w:val="GesAbsatz"/>
      </w:pPr>
      <w:r>
        <w:t>Bei der Darstellung von Konzentrationszonen im Flächennutzungsplan empfiehlt es sich, neben der Grun</w:t>
      </w:r>
      <w:r>
        <w:t>d</w:t>
      </w:r>
      <w:r>
        <w:t>nutzung (z.B. „Fläche für die Landwirtschaft“) die Konzentrationszonen für die Windenergieanlagen oder auch Flächen für Versorgungsanlagen als zusätzliche Nutzungsmöglichkeit durch Randsignatur darzustellen (überlagernde Darstellung).</w:t>
      </w:r>
    </w:p>
    <w:p w:rsidR="001C22C8" w:rsidRDefault="001C22C8" w:rsidP="001C22C8">
      <w:pPr>
        <w:pStyle w:val="GesAbsatz"/>
      </w:pPr>
      <w:r>
        <w:t>Windfarmen können außerdem im Flächennutzungsplan gemäß § 11 Absatz 2 der Baunutzungsverordnung (BauNVO) als sonstige Sondergebiete ausgewiesen werden. Dabei ist die Zweckbestimmung (z.B. Sonde</w:t>
      </w:r>
      <w:r>
        <w:t>r</w:t>
      </w:r>
      <w:r>
        <w:t>gebiet „Windfarm“) textlich darzustellen. Die Flächen für Windenergieanlagen können auch als „Flächen für Versorgungsanlagen“ gemäß § 5 Absatz 2 Nummer 4 des Baugesetzbuches beziehungsweise mit Standor</w:t>
      </w:r>
      <w:r>
        <w:t>t</w:t>
      </w:r>
      <w:r>
        <w:t>symbol für Versorgungsanlagen dargestellt werden.</w:t>
      </w:r>
    </w:p>
    <w:p w:rsidR="001C22C8" w:rsidRDefault="001C22C8" w:rsidP="001C22C8">
      <w:pPr>
        <w:pStyle w:val="GesAbsatz"/>
      </w:pPr>
      <w:r>
        <w:t>Das bauliche Vorhaben einer Windenergieanlage gemäß der §§ 29 und 35 Absatz 1 Nummer 5 des Baug</w:t>
      </w:r>
      <w:r>
        <w:t>e</w:t>
      </w:r>
      <w:r>
        <w:t>setzbuches ist gleichermaßen durch den Turm wie den Rotor gekennzeichnet. Auch die öffentlichen Belange können sowohl durch den sich drehenden Rotor als auch durch den Turm berührt werden. Eine gedankliche Trennung des Vorhabens „Windenergieanlage“ in Turm und Rotor kommt für die Ausweisung von Konzen</w:t>
      </w:r>
      <w:r>
        <w:t>t</w:t>
      </w:r>
      <w:r>
        <w:t>rationszonen schon daher nicht in Betracht. Der Zweck des § 35 Absatz 3 Satz 3 des Baugesetzbuches ist es, Vorhaben nach Absatz 1 Nummern 2 bis 6 zu steuern und nicht Bestandteile dieser Vorhaben. Insofern hat auch das Bundesverwaltungsgericht in seinem Urteil vom 21. Oktober 2004 (4 C 3/04) nachvollziehbar festgestellt, dass die äußeren Grenzen des Bauleitplans oder die Grenzen der Baugebiete oder Bauflächen stets von der gesamten Windenergieanlage einschließlich des Rotors einzuhalten sind (so auch VG Hann</w:t>
      </w:r>
      <w:r>
        <w:t>o</w:t>
      </w:r>
      <w:r>
        <w:t>ver, Urt. v. 22.9.2011 – 4 A 1052/10).</w:t>
      </w:r>
    </w:p>
    <w:p w:rsidR="001C22C8" w:rsidRDefault="001C22C8" w:rsidP="001C22C8">
      <w:pPr>
        <w:pStyle w:val="GesAbsatz"/>
      </w:pPr>
      <w:r>
        <w:t>Nach der Rechtsprechung des Bundesverwaltungsgerichts vollzieht sich die Planung von Konzentrationsz</w:t>
      </w:r>
      <w:r>
        <w:t>o</w:t>
      </w:r>
      <w:r>
        <w:t>nen abschnittsweise (vgl. BVerwG, Beschl. v. 15.9.2009 – 4 BN 25.09). In einem ersten Arbeitsschritt sind diejenigen Bereiche als „Tabuzonen“ zu ermitteln, die für die Nutzung der Windenergie nicht zur Verfügung stehen. Die Tabuzonen lassen sich in harte und weiche Tabuzonen untergliedern (vgl. BVerwG, Urt. v. 21.10.2004 – 4 C 2.04).</w:t>
      </w:r>
    </w:p>
    <w:p w:rsidR="001C22C8" w:rsidRDefault="001C22C8" w:rsidP="001C22C8">
      <w:pPr>
        <w:pStyle w:val="GesAbsatz"/>
      </w:pPr>
      <w:r>
        <w:t>Die Potenzialflächen, die nach Abzug der harten und weichen Tabuzonen übrig bleiben, sind in einem weit</w:t>
      </w:r>
      <w:r>
        <w:t>e</w:t>
      </w:r>
      <w:r>
        <w:t>ren Arbeitsschritt mit den öffentlichen Belangen, die gegen die Ausweisung eines Landschaftsraums als Konzentrationszone sprechen, abzuwägen (BVerwG, Urt. v. 13.12.2012 – 4 CN 1.11). Zu den Arbeitsschri</w:t>
      </w:r>
      <w:r>
        <w:t>t</w:t>
      </w:r>
      <w:r>
        <w:t>ten im Einzelnen wird auf Nummer 4.3.3 verwiesen.</w:t>
      </w:r>
    </w:p>
    <w:p w:rsidR="001C22C8" w:rsidRDefault="001C22C8" w:rsidP="001C22C8">
      <w:pPr>
        <w:pStyle w:val="GesAbsatz"/>
      </w:pPr>
      <w:r>
        <w:t>Nach § 3 Absatz 2 Satz 2 des Baugesetzbuches sind in der Bekanntmachung zur Öffentlichkeitsbeteiligung unter anderem Angaben zu machen, welche Arten umweltbezogener Informationen verfügbar sind (siehe hierzu auch http://www.bauministerkonferenz.de; „Angabe der Arten umweltbezogener Informationen in der Bekanntmachung nach § 3 Absatz 2 Satz 2 BauGB“). Das Bundesverwaltungsgericht hat mit Urteil vom 18.</w:t>
      </w:r>
      <w:r w:rsidR="00896485">
        <w:t xml:space="preserve"> </w:t>
      </w:r>
      <w:r>
        <w:t>Juli 2013 (Az. 4 CN 3.12) die dafür geltenden Anforderungen konkretisiert und festgestellt, dass § 3 Absatz 2 Satz 2 des Baugesetzbuches die Gemeinden verpflichtet, die in den vorhandenen Stellungnahmen und U</w:t>
      </w:r>
      <w:r>
        <w:t>n</w:t>
      </w:r>
      <w:r>
        <w:t>terlagen behandelten Umweltthemen nach Themenblöcken zusammenzufassen und diese in der Ausl</w:t>
      </w:r>
      <w:r>
        <w:t>e</w:t>
      </w:r>
      <w:r>
        <w:t>gungsbekanntmachung schlagwortartig zu charakterisieren. Das Bekanntmachungserfordernis erstrecke sich auch auf solche Arten verfügbarer Umweltinformationen, die in Stellungnahmen enthalten sind, die die Gemeinde für unwesentlich hält und deshalb nicht auszulegen beabsichtigt.</w:t>
      </w:r>
    </w:p>
    <w:p w:rsidR="001C22C8" w:rsidRPr="00801060" w:rsidRDefault="001C22C8" w:rsidP="001C22C8">
      <w:pPr>
        <w:pStyle w:val="GesAbsatz"/>
        <w:rPr>
          <w:b/>
        </w:rPr>
      </w:pPr>
      <w:r w:rsidRPr="00801060">
        <w:rPr>
          <w:b/>
        </w:rPr>
        <w:t>4.3.2</w:t>
      </w:r>
      <w:r w:rsidR="00254BEC" w:rsidRPr="00801060">
        <w:rPr>
          <w:b/>
        </w:rPr>
        <w:t xml:space="preserve"> </w:t>
      </w:r>
      <w:r w:rsidRPr="00801060">
        <w:rPr>
          <w:b/>
        </w:rPr>
        <w:t>Erfordernis eines schlüssigen Plankonzepts</w:t>
      </w:r>
    </w:p>
    <w:p w:rsidR="001C22C8" w:rsidRDefault="001C22C8" w:rsidP="001C22C8">
      <w:pPr>
        <w:pStyle w:val="GesAbsatz"/>
      </w:pPr>
      <w:r>
        <w:t xml:space="preserve">Die Ausschlusswirkung von § 35 Absatz 3 Satz 3 des Baugesetzbuches liegt nur vor, wenn der Darstellung einer Konzentrationszone ein schlüssiges Plankonzept zugrunde liegt, das sich auf das gesamte Plangebiet erstreckt. Ergebnis des Plankonzepts kann auch die Ausweisung nur einer einzigen Konzentrationszone sein; die Größe der ausgewiesenen Fläche ist nicht nur in Relation zur Gemeindegröße, sondern auch zur </w:t>
      </w:r>
      <w:r>
        <w:lastRenderedPageBreak/>
        <w:t>Größe der Gemeindegebietsteile zu setzen, die für eine Windenergienutzung nicht in Betracht kommen (BVerwG, Urt. v. 17.12.2002 – 4 C 15.1). Das Planungskonzept muss im Ansatz so ausgerichtet sein, dass eine spätere Windenergienutzung auf Grund der prognostizierten Windhöffigkeit tatsächlich möglich ist. Der Planungsträger muss die Entscheidung des Gesetzgebers, Windenergieanlagen im Außenbereich zu privil</w:t>
      </w:r>
      <w:r>
        <w:t>e</w:t>
      </w:r>
      <w:r>
        <w:t>gieren (§ 35 Absatz 1 Nummer 5 BauGB), beachten und für die Windenergienutzung im Plangebiet in su</w:t>
      </w:r>
      <w:r>
        <w:t>b</w:t>
      </w:r>
      <w:r>
        <w:t>stantieller Weise Raum schaffen. Nur auf diese Weise kann er den Vorwurf einer unzulässigen Negativpl</w:t>
      </w:r>
      <w:r>
        <w:t>a</w:t>
      </w:r>
      <w:r>
        <w:t>nung entkräften. Wo die Grenze zur unzulässigen Negativplanung verläuft, lässt sich nicht abstrakt besti</w:t>
      </w:r>
      <w:r>
        <w:t>m</w:t>
      </w:r>
      <w:r>
        <w:t>men. Ob diese Grenze überschritten ist, kann nur angesichts der tatsächlichen Verhältnisse im jeweiligen Planungsraum entschieden werden (BVerwG, Urt. v. 13.3.2003 – 4 C 4.02-). Das Bundesverwaltungsgericht hat sich dagegen ausgesprochen, die Frage, ob ein Plan der Windenergie substantiell Raum verschaffe, ausschließlich nach dem Verhältnis zwischen der Größe der im Flächennutzungsplan dargestellten Konzen</w:t>
      </w:r>
      <w:r>
        <w:t>t</w:t>
      </w:r>
      <w:r>
        <w:t>rationsfläche und der Größe derjenigen Potenzialflächen zu beantworten, die sich nach Abzug der harten Tabuzonen von der Gesamtheit der gemeindlichen Außenbereichsflächen ergibt. Das Bundesverwaltung</w:t>
      </w:r>
      <w:r>
        <w:t>s</w:t>
      </w:r>
      <w:r>
        <w:t>gericht hat die Entscheidung, anhand welcher Kriterien sich beantworten lässt, ob eine Konzentrationsfl</w:t>
      </w:r>
      <w:r>
        <w:t>ä</w:t>
      </w:r>
      <w:r>
        <w:t>chenplanung nach § 35 Absatz 3 Satz 3 des Baugesetzbuches für die Nutzung der Windenergie in substa</w:t>
      </w:r>
      <w:r>
        <w:t>n</w:t>
      </w:r>
      <w:r>
        <w:t>zieller Weise Raum schafft, den Tatsachengerichten vorbehalten (BVerwG, Beschl. v. 29.3.2010 – 4 BN 65.09) und verschiedene Modelle gebilligt (vgl. BVerwG, Beschl. v. 22.4.2010 – 4 B 68.09 – und Urt. v. 20.5.2010 – 4 C 7.09). Daran hält das Bundesverwaltungsgericht mit dem Zusatz fest, dass die von den Tatsachengerichten entwickelten Kriterien revisionsrechtlich hinzunehmen sind, wenn sie nicht von einem Rechtsirrtum infiziert sind, gegen Denkgesetze oder allgemeine Erfahrungssätze verstoßen oder ansonsten für die Beurteilung des Sachverhalts schlechthin ungeeignet sind (BVerwG, Urt. 13.12.2012 –  4 CN 1.11).</w:t>
      </w:r>
    </w:p>
    <w:p w:rsidR="001C22C8" w:rsidRDefault="001C22C8" w:rsidP="001C22C8">
      <w:pPr>
        <w:pStyle w:val="GesAbsatz"/>
      </w:pPr>
      <w:r>
        <w:t>In dem Urteil vom 20. Mai 2010 hat das Bundesverwaltungsgericht (Az. 4 C 7.09) beispielsweise eine Beu</w:t>
      </w:r>
      <w:r>
        <w:t>r</w:t>
      </w:r>
      <w:r>
        <w:t>teilung der Frage nach der Schaffung substantiellen Raums für die Windenergie gebilligt, in die sowohl ve</w:t>
      </w:r>
      <w:r>
        <w:t>r</w:t>
      </w:r>
      <w:r>
        <w:t>schiedene Relationen, als auch andere Gesichtspunkte wie etwa das Gewicht der Ausschlusskriterien eing</w:t>
      </w:r>
      <w:r>
        <w:t>e</w:t>
      </w:r>
      <w:r>
        <w:t>flossen sind. Kriterien für die Bewertung können unter anderem sein: Größe der Konzentrationsfläche im Vergleich zur Gemeindegebietsgröße, zur Größe der im Regionalplan Südhessen vorgesehenen Mindes</w:t>
      </w:r>
      <w:r>
        <w:t>t</w:t>
      </w:r>
      <w:r>
        <w:t>größe für Konzentrationsflächen für Windenergieanlagen und zur Größe der für die Nutzung der Windene</w:t>
      </w:r>
      <w:r>
        <w:t>r</w:t>
      </w:r>
      <w:r>
        <w:t>gie reservierten Flächen in den Nachbargemeinden; Anzahl und Energiemenge der Windenergieanlagen.</w:t>
      </w:r>
    </w:p>
    <w:p w:rsidR="001C22C8" w:rsidRDefault="001C22C8" w:rsidP="001C22C8">
      <w:pPr>
        <w:pStyle w:val="GesAbsatz"/>
      </w:pPr>
      <w:r>
        <w:t>Bei der Darstellung von Konzentrationszonen kann beispielsweise auch auf die Ausweisung solcher Gebiete verzichtet werden, die zu einer Einkreisung von Siedlungsbereichen führen würden (OVG Magdeburg, B</w:t>
      </w:r>
      <w:r>
        <w:t>e</w:t>
      </w:r>
      <w:r>
        <w:t>schl. v. 16.3.2012 – 2 L 2/11).</w:t>
      </w:r>
    </w:p>
    <w:p w:rsidR="001C22C8" w:rsidRDefault="001C22C8" w:rsidP="001C22C8">
      <w:pPr>
        <w:pStyle w:val="GesAbsatz"/>
      </w:pPr>
      <w:r>
        <w:t>In der Begründung des Flächennutzungsplans ist im Einzelnen darzustellen, welche Zielsetzung und Krit</w:t>
      </w:r>
      <w:r>
        <w:t>e</w:t>
      </w:r>
      <w:r>
        <w:t>rien für die Abgrenzung der Konzentrationszonen maßgebend waren. Die gemeindliche Entscheidung muss jedoch nicht nur Auskunft darüber geben, von welchen Erwägungen die positive Standortausweisung getr</w:t>
      </w:r>
      <w:r>
        <w:t>a</w:t>
      </w:r>
      <w:r>
        <w:t>gen wird, sondern auch deutlich machen, welche Gründe es rechtfertigen, den übrigen Planungsraum von Windenergieanlagen freizuhalten (vgl. BVerwG, Beschl. v. 15.9.2009 – 4 BN 25.09). Ein schlüssiges G</w:t>
      </w:r>
      <w:r>
        <w:t>e</w:t>
      </w:r>
      <w:r>
        <w:t>samtkonzept liegt jedoch nur dann vor, wenn die Gemeinde die als abwägungserheblich zu erkennenden Belange vollständig ermittelt (vgl. OVG Rheinland-Pfalz, Urt. v. 28.2.2008 – 1 C 11131/07).</w:t>
      </w:r>
    </w:p>
    <w:p w:rsidR="001C22C8" w:rsidRPr="00801060" w:rsidRDefault="001C22C8" w:rsidP="001C22C8">
      <w:pPr>
        <w:pStyle w:val="GesAbsatz"/>
        <w:rPr>
          <w:b/>
        </w:rPr>
      </w:pPr>
      <w:r w:rsidRPr="00801060">
        <w:rPr>
          <w:b/>
        </w:rPr>
        <w:t>4.3.3</w:t>
      </w:r>
      <w:r w:rsidR="00254BEC" w:rsidRPr="00801060">
        <w:rPr>
          <w:b/>
        </w:rPr>
        <w:t xml:space="preserve"> </w:t>
      </w:r>
      <w:r w:rsidRPr="00801060">
        <w:rPr>
          <w:b/>
        </w:rPr>
        <w:t>Differenzierung nach harten und weichen Tabuzonen</w:t>
      </w:r>
    </w:p>
    <w:p w:rsidR="001C22C8" w:rsidRDefault="001C22C8" w:rsidP="001C22C8">
      <w:pPr>
        <w:pStyle w:val="GesAbsatz"/>
      </w:pPr>
      <w:r>
        <w:t>Das Bundesverwaltungsgericht stellt in dem Urteil vom 13. Dezember 2012 fest, dass sich die Gemeinde den Unterschied zwischen harten und weichen Tabuzonen bewusst machen und ihn dokumentieren muss, da die beiden Arten der Tabuzonen nicht demselben rechtlichen Regime unterliegen.</w:t>
      </w:r>
    </w:p>
    <w:p w:rsidR="001C22C8" w:rsidRDefault="001C22C8" w:rsidP="001C22C8">
      <w:pPr>
        <w:pStyle w:val="GesAbsatz"/>
      </w:pPr>
      <w:r>
        <w:t>Bei den harten Tabuzonen handelt es sich um Flächen, deren Bereitstellung für die Windenergienutzung an § 1 Absatz 3 Satz 1 des Baugesetzbuches scheitert. Danach haben die Gemeinden die Bauleitpläne aufz</w:t>
      </w:r>
      <w:r>
        <w:t>u</w:t>
      </w:r>
      <w:r>
        <w:t>stellen, sobald und soweit es für die städtebauliche Entwicklung und Ordnung erforderlich ist. Nicht erforde</w:t>
      </w:r>
      <w:r>
        <w:t>r</w:t>
      </w:r>
      <w:r>
        <w:t>lich ist ein Bauleitplan, wenn seiner Verwirklichung auf unabsehbare Zeit rechtliche oder tatsächliche Hi</w:t>
      </w:r>
      <w:r>
        <w:t>n</w:t>
      </w:r>
      <w:r>
        <w:t>dernisse im Wege stehen (vgl. BVerwG, Urt. v. 18.3.2004 – 4 CN 4.03). Harte Tabuflächen können sich aus dem Fachrecht und den Zielen der Raumordnung ergeben. Sie sind einer Abwägung zwischen den Bela</w:t>
      </w:r>
      <w:r>
        <w:t>n</w:t>
      </w:r>
      <w:r>
        <w:t>gen der Windenergienutzung und widerstreitenden Belangen (§ 1 Absatz 7 BauGB) entzogen.</w:t>
      </w:r>
    </w:p>
    <w:p w:rsidR="001C22C8" w:rsidRDefault="001C22C8" w:rsidP="001C22C8">
      <w:pPr>
        <w:pStyle w:val="GesAbsatz"/>
      </w:pPr>
      <w:r>
        <w:t>Demgegenüber sind weiche Tabuzonen zu den Flächen zu rechnen, die einer Berücksichtigung im Rahmen der Abwägung zugänglich sind. Zwar dürfen sie anhand einheitlicher Kriterien ermittelt und vorab ausg</w:t>
      </w:r>
      <w:r>
        <w:t>e</w:t>
      </w:r>
      <w:r>
        <w:t>schieden werden, bevor diejenigen Belange abgewogen werden, die im Einzelfall für und gegen die Nutzung einer Fläche für die Windenergie sprechen. Das ändert aber nichts daran, dass sie keine eigenständige K</w:t>
      </w:r>
      <w:r>
        <w:t>a</w:t>
      </w:r>
      <w:r>
        <w:t>tegorie im System des Rechts der Bauleitplanung bilden, sondern der Ebene der Abwägung zuzuordnen sind. Sie sind disponibel, was sich daran zeigt, dass städtebauliche Gesichtspunkte hier nicht von vornherein vorrangig sind und der Plangeber die weichen Tabuzonen, einer erneuten Betrachtung und Bewertung u</w:t>
      </w:r>
      <w:r>
        <w:t>n</w:t>
      </w:r>
      <w:r>
        <w:t>terziehen muss, wenn er als Ergebnis seiner Untersuchung erkennt, dass er für die Windenergienutzung nicht substanziell Raum schafft (BVerwG, Urt. v. 13.12.2012 – 4 CN 1.11).</w:t>
      </w:r>
    </w:p>
    <w:p w:rsidR="001C22C8" w:rsidRDefault="001C22C8" w:rsidP="001C22C8">
      <w:pPr>
        <w:pStyle w:val="GesAbsatz"/>
      </w:pPr>
      <w:r>
        <w:lastRenderedPageBreak/>
        <w:t>Die Angelegenheiten der örtlichen Gemeinschaft – somit auch die kommunale Bauleitplanung – regeln die Gemeinden im Rahmen der Gesetze in eigener Verantwortung. Die kommunale Bauleitplanung ist insofern über das Fachrecht und die Ziele der Raumordnung begrenzt. Auf dieser Begrenzung fußt die Differenzi</w:t>
      </w:r>
      <w:r>
        <w:t>e</w:t>
      </w:r>
      <w:r>
        <w:t xml:space="preserve">rung zwischen harten und weichen Tabuzonen. Harte Tabuzonen ergeben sich somit über das Fachrecht und die Ziele der Raumordnung, während </w:t>
      </w:r>
      <w:proofErr w:type="gramStart"/>
      <w:r>
        <w:t>die planerische</w:t>
      </w:r>
      <w:proofErr w:type="gramEnd"/>
      <w:r>
        <w:t xml:space="preserve"> Entscheidung über weiche Tabuzonen dem B</w:t>
      </w:r>
      <w:r>
        <w:t>e</w:t>
      </w:r>
      <w:r>
        <w:t>reich der kommunalen Planungshoheit zuzuordnen ist.</w:t>
      </w:r>
    </w:p>
    <w:p w:rsidR="001C22C8" w:rsidRDefault="001C22C8" w:rsidP="001C22C8">
      <w:pPr>
        <w:pStyle w:val="GesAbsatz"/>
      </w:pPr>
      <w:r>
        <w:t>Die von der Rechtsprechung geforderte Differenzierung zwischen harten und weichen Tabuzonen knüpft an das Gebot der Abwägung gemäß § 1 Absatz 7 des Baugesetzbuches an, das heißt zum Zeitpunkt der A</w:t>
      </w:r>
      <w:r>
        <w:t>b</w:t>
      </w:r>
      <w:r>
        <w:t>wägung muss sich die Gemeinde über die geforderte Differenzierung zwischen harten und weichen Tabuz</w:t>
      </w:r>
      <w:r>
        <w:t>o</w:t>
      </w:r>
      <w:r>
        <w:t>nen im Klaren sein. Nach der Rechtsprechung des Bundesverwaltungsgerichtes vollzieht sich die Ausarbe</w:t>
      </w:r>
      <w:r>
        <w:t>i</w:t>
      </w:r>
      <w:r>
        <w:t>tung des Planungskonzepts jedoch abschnittsweise (vgl. BVerwG, Beschl. v. 15.9.2009 – 4 BN 25.09). In einem ersten Arbeitsschritt sind diejenigen Bereiche als Tabuzonen zu ermitteln beziehungsweise zu defini</w:t>
      </w:r>
      <w:r>
        <w:t>e</w:t>
      </w:r>
      <w:r>
        <w:t>ren, die für die Nutzung der Windenergie nicht zur Verfügung stehen. Die Tabuzonen lassen sich in harte und weiche untergliedern. Der Begriff der harten Tabuzonen dient der Kennzeichnung von Gemeindeg</w:t>
      </w:r>
      <w:r>
        <w:t>e</w:t>
      </w:r>
      <w:r>
        <w:t>bietsteilen, die für eine Windenergienutzung, aus welchen Gründen immer, nicht in Betracht kommen, mithin für eine Windenergienutzung schlechthin ungeeignet sind, mit dem Begriff der weichen Tabuzonen werden Bereiche des Gemeindegebiets erfasst, in denen nach dem Willen der Gemeinde aus unterschiedlichen Gründen die Errichtung von Windenergieanlagen von vornherein ausgeschlossen werden „soll“ (vgl. BVerwG, Urt. v. 21.10.2004 – 4 C 2.04). Die Potenzialflächen, die nach Abzug der harten und weichen Tabuzonen übrig bleiben, sind in einem weiteren Arbeitsschritt zu den auf ihnen konkurrierenden Nutzungen in Beziehung zu setzen, das heißt die öffentlichen Belange, die gegen die Ausweisung eines Landschaft</w:t>
      </w:r>
      <w:r>
        <w:t>s</w:t>
      </w:r>
      <w:r>
        <w:t>raums als Konzentrationszone sprechen, sind mit dem Anliegen abzuwägen, der Windenergienutzung an geeigneten Standorten eine Chance zu geben, die ihrer Privilegierung nach § 35 Absatz 1 Nummer 5 des Baugesetzbuches gerecht wird (BVerwG, Urt. v. 13.12.2012 – 4 CN 1.11).</w:t>
      </w:r>
    </w:p>
    <w:p w:rsidR="001C22C8" w:rsidRDefault="001C22C8" w:rsidP="001C22C8">
      <w:pPr>
        <w:pStyle w:val="GesAbsatz"/>
      </w:pPr>
      <w:r>
        <w:t>Im Erarbeitungsprozess eines Flächennutzungsplans kann sich die gemeindliche Bewertung einer Tabuzone in hart und weich jedoch ändern, da die Gemeinde erst über die Beteiligung der jeweiligen Fachbehörden Klarheit darüber erlangt, ob ein Bereich für die Windenergienutzung schlechthin ungeeignet ist oder zur Di</w:t>
      </w:r>
      <w:r>
        <w:t>s</w:t>
      </w:r>
      <w:r>
        <w:t>position steht. Hierbei bildet die Stellungnahme der zuständigen Fachbehörde ein gewichtiges Indiz (BVerwG, Urt. v. 17.12.2002 – 4 C 15.01). Auch ist es einer Gemeinde unbenommen, Planungen in Bere</w:t>
      </w:r>
      <w:r>
        <w:t>i</w:t>
      </w:r>
      <w:r>
        <w:t>chen vorzusehen, die zwar zum Beginn des Planungsprozesses fachrechtlich oder raumordnungsrechtlich blockiert sind, bei denen die Gemeinde jedoch eine entsprechende Änderung der fachrechtlichen oder raumordnungsrechtlichen Beurteilungsgrundlage anregt beziehungsweise beantragt.</w:t>
      </w:r>
    </w:p>
    <w:p w:rsidR="001C22C8" w:rsidRDefault="001C22C8" w:rsidP="001C22C8">
      <w:pPr>
        <w:pStyle w:val="GesAbsatz"/>
      </w:pPr>
      <w:r>
        <w:t>Das Oberverwaltungsgericht (OVG NRW, Urt. v. 22.9.2015, 10 D 82/13.NE) hat die Auffassung vertreten, dass Waldflächen grundsätzlich keine harten Tabuzonen sind. Nach dem Forstrecht ist es nicht möglich, Windenergieanlagen im Wald ohne vorherige Waldumwandlungsgenehmigung nach § 39 des Landesfors</w:t>
      </w:r>
      <w:r>
        <w:t>t</w:t>
      </w:r>
      <w:r>
        <w:t>gesetzes zu errichten. Das Forstrecht eröffnet jedoch mit der Waldumwandlung die Möglichkeit, den Stan</w:t>
      </w:r>
      <w:r>
        <w:t>d</w:t>
      </w:r>
      <w:r>
        <w:t>ort der Windenergieanlage aus dem Forstrecht zu entlassen. Wenn die zuständige Forstbehörde im Verfa</w:t>
      </w:r>
      <w:r>
        <w:t>h</w:t>
      </w:r>
      <w:r>
        <w:t>ren zur Aufstellung eines Flächennutzungsplans eine Waldumwandlung für bestimmte Waldbereiche in Au</w:t>
      </w:r>
      <w:r>
        <w:t>s</w:t>
      </w:r>
      <w:r>
        <w:t>sicht stellt, ist es der Gemeinde grundsätzlich möglich, eine Konzentrationszone für Windenergie im Wald darzustellen. Ist eine Waldumwandlung nicht möglich, sind die Waldflächen als harte Tabuzonen anzusehen. Dabei ist zu beachten, dass die Tabukriterien abstrakt definiert und einheitlich angelegt werden müssen. Für eine differenzierte ortsbezogene Anwendung der Restriktionskriterien ist bei der Ermittlung der Potenzialfl</w:t>
      </w:r>
      <w:r>
        <w:t>ä</w:t>
      </w:r>
      <w:r>
        <w:t>chen kein Raum. Die Betrachtung der konkreten örtlichen Verhältnisse erfolgt erst auf der nächsten Stufe, nämlich wenn es darum geht, für die jeweilige Potenzialfläche im Wege der Abwägung zu entscheiden, ob sich auf ihr die Windenergie oder eine andere Nutzung durchsetzen soll (vgl. BVerwG, Beschl. v. 15.9.2009 – 4 BN 25/09). Für die Ermittlung von Tabubereichen reicht es beispielsweise nicht aus, festzustellen, dass auf einzelnen Waldflächen eine Waldumwandlung in Aussicht gestellt wird, wenn im Planungsraum ve</w:t>
      </w:r>
      <w:r>
        <w:t>r</w:t>
      </w:r>
      <w:r>
        <w:t>gleichbare Flächen zur Verfügung stehen. Die Tabukriterien müssen für den Planungsraum abstrakt definiert und einheitlich angelegt sein. Für den Bereich des Waldes würde dies erfordern, dass abstrakte einheitliche Differenzierungen erforderlich sind, welche Arten von Wald für eine Windenergienutzung zur Verfügung st</w:t>
      </w:r>
      <w:r>
        <w:t>e</w:t>
      </w:r>
      <w:r>
        <w:t>hen oder stehen sollen und welche Arten von Wald diese Nutzung nicht zulassen. Die Differenzierung kann sich aus naturräumlichen Gegebenheiten wie einer vorhandenen Vorbelastung von Flächen oder einer B</w:t>
      </w:r>
      <w:r>
        <w:t>e</w:t>
      </w:r>
      <w:r>
        <w:t>wertung der Waldflächen ergeben. Lässt sich eine derartige Differenzierung nicht vornehmen, kann eine Bewertung nach den Kriterien des Leitfadens „Rahmenbedingungen für Windenergieanlagen auf Waldfl</w:t>
      </w:r>
      <w:r>
        <w:t>ä</w:t>
      </w:r>
      <w:r>
        <w:t xml:space="preserve">chen in Nordrhein-Westfalen“ in der jeweils gültigen Fassung (abrufbar unter </w:t>
      </w:r>
      <w:hyperlink r:id="rId13" w:history="1">
        <w:r w:rsidR="00896485" w:rsidRPr="003F7773">
          <w:rPr>
            <w:rStyle w:val="Hyperlink"/>
          </w:rPr>
          <w:t>https://www.umwelt.nrw.de/</w:t>
        </w:r>
        <w:r w:rsidR="00896485" w:rsidRPr="003F7773">
          <w:rPr>
            <w:rStyle w:val="Hyperlink"/>
          </w:rPr>
          <w:softHyphen/>
          <w:t>fileadmin/redaktion/PDFs/klima/leitfaden_wind_im_wald.pdf</w:t>
        </w:r>
      </w:hyperlink>
      <w:r>
        <w:t>) erfolgen.</w:t>
      </w:r>
    </w:p>
    <w:p w:rsidR="001C22C8" w:rsidRDefault="001C22C8" w:rsidP="001C22C8">
      <w:pPr>
        <w:pStyle w:val="GesAbsatz"/>
      </w:pPr>
      <w:r>
        <w:t>Die jeweiligen Fachbehörden sind insofern gehalten, im Aufstellungsverfahren zum Flächennutzungsplan der Gemeinde verbindlich zu erklären, dass bestimmte Flächen für eine Windenergienutzung grundsätzlich in Frage kommen und sie – falls erforderlich – eine entsprechende Ausnahme oder Befreiung in Aussicht stellen. Nur über diese Auskunft ist es der Gemeinde möglich, zum Zeitpunkt der Abwägung (Feststellung</w:t>
      </w:r>
      <w:r>
        <w:t>s</w:t>
      </w:r>
      <w:r>
        <w:t xml:space="preserve">beschluss) verlässliche Aussagen über die Qualität der jeweiligen Tabuzone zu treffen. Dies entbindet die </w:t>
      </w:r>
      <w:r>
        <w:lastRenderedPageBreak/>
        <w:t>Gemeinde jedoch nicht, die geforderte Unterscheidung in harte und weiche Tabuzonen zunächst selber vo</w:t>
      </w:r>
      <w:r>
        <w:t>r</w:t>
      </w:r>
      <w:r>
        <w:t>zunehmen. Ist sich eine Gemeinde, auch mit Unterstützung der jeweiligen Fachbehörde, nicht sicher, ob eine Fläche zu den harten oder weichen Tabuzonen zu zählen ist, kann sie einen Fehler im Abwägungsvo</w:t>
      </w:r>
      <w:r>
        <w:t>r</w:t>
      </w:r>
      <w:r>
        <w:t>gang dadurch vermeiden, dass sie unterstellt, bei der Fläche handele es sich um eine weiche Tabufläche, und die maßgeblichen Kriterien bei der Abwägung den Belangen der Windenergie vorzieht (OVG NRW, Urt. v. 26.9.2013 – 16 A 1294/08; – 16 A 1295/08; – 16 A 1296/08).</w:t>
      </w:r>
    </w:p>
    <w:p w:rsidR="001C22C8" w:rsidRDefault="001C22C8" w:rsidP="001C22C8">
      <w:pPr>
        <w:pStyle w:val="GesAbsatz"/>
      </w:pPr>
      <w:r>
        <w:t>Öffentliche Planungsträger, die nach § 4 oder § 13 des Baugesetzbuches beteiligt wurden, haben ihre Pl</w:t>
      </w:r>
      <w:r>
        <w:t>a</w:t>
      </w:r>
      <w:r>
        <w:t>nungen gemäß § 7 des Baugesetzbuches dem Flächennutzungsplan insoweit anzupassen, als sie diesem Plan nicht widersprochen haben. Besteht jedoch beispielsweise bei Inkrafttreten des Flächennutzungsplans mit der Rechtswirkung des § 35 Absatz 3 Satz 3 des Baugesetzbuches ein Widerspruch zwischen dem Landschaftsplan und dem Flächennutzungsplan und der Träger der Landschaftsplanung hat im Flächennu</w:t>
      </w:r>
      <w:r>
        <w:t>t</w:t>
      </w:r>
      <w:r>
        <w:t>zungsplanverfahren nicht widersprochen, ist der Landschaftsplan zwar grundsätzlich anzupassen, soweit nicht in eine Ausnahme- oder Befreiungslage hineingeplant werden kann (S. Nummer 8.2.2.5). Um für den Zeitpunkt des Inkrafttretens des Flächennutzungsplans einem Plankonflikt vorzubeugen, der im Ergebnis auch zu einem Ausschluss der Windenergienutzung innerhalb der Konzentrationszone führen könnte, wird empfohlen, vor Änderung des Flächennutzungsplans die entsprechende Änderung des Landschaftsplans abzuwarten. Dabei ist eine parallele Änderung des Landschaftsplanes möglich.</w:t>
      </w:r>
    </w:p>
    <w:p w:rsidR="001C22C8" w:rsidRDefault="001C22C8" w:rsidP="001C22C8">
      <w:pPr>
        <w:pStyle w:val="GesAbsatz"/>
      </w:pPr>
      <w:r>
        <w:t>Das Oberverwaltungsgericht NRW weist grundsätzlich auf die fachrechtlichen Schranken der Bauleitplanung hin, die durch die Bauleitplanung selber nicht überwunden werden können (Urt. v. 1.7.2013 – 2 D 46/12.NE). Wie oben bereits ausgeführt, ist es der planenden Gemeinde jedoch möglich, eine entsprechende Änderung der fachrechtlichen oder raumordnungsrechtlichen Beurteilungsgrundlage anzuregen beziehungsweise zu beantragen. Bezüglich der naturschutzrechtlichen bedeutsamen Gebiete findet sich in den Nummer 8.2.2.2 und 8.2.2.5 eine entsprechend begründete Zuordnung zu harten und weichen Tabuzonen.</w:t>
      </w:r>
    </w:p>
    <w:p w:rsidR="001C22C8" w:rsidRPr="00BF766F" w:rsidRDefault="001C22C8" w:rsidP="001C22C8">
      <w:pPr>
        <w:pStyle w:val="GesAbsatz"/>
        <w:rPr>
          <w:i/>
        </w:rPr>
      </w:pPr>
      <w:r w:rsidRPr="00BF766F">
        <w:rPr>
          <w:i/>
        </w:rPr>
        <w:t>Grafik „Prüfschritte Konzentrationszonenplanung“ siehe Anhang.</w:t>
      </w:r>
    </w:p>
    <w:p w:rsidR="001C22C8" w:rsidRPr="00801060" w:rsidRDefault="001C22C8" w:rsidP="001C22C8">
      <w:pPr>
        <w:pStyle w:val="GesAbsatz"/>
        <w:rPr>
          <w:b/>
        </w:rPr>
      </w:pPr>
      <w:r w:rsidRPr="00801060">
        <w:rPr>
          <w:b/>
        </w:rPr>
        <w:t>4.3.4</w:t>
      </w:r>
      <w:r w:rsidR="00254BEC" w:rsidRPr="00801060">
        <w:rPr>
          <w:b/>
        </w:rPr>
        <w:t xml:space="preserve"> </w:t>
      </w:r>
      <w:r w:rsidRPr="00801060">
        <w:rPr>
          <w:b/>
        </w:rPr>
        <w:t>Änderung der Konzentrationszonen</w:t>
      </w:r>
    </w:p>
    <w:p w:rsidR="001C22C8" w:rsidRDefault="001C22C8" w:rsidP="001C22C8">
      <w:pPr>
        <w:pStyle w:val="GesAbsatz"/>
      </w:pPr>
      <w:r>
        <w:t>Plant eine Gemeinde zusätzliche Konzentrationszonen, verändert sie die Darstellung von Konzentrationsz</w:t>
      </w:r>
      <w:r>
        <w:t>o</w:t>
      </w:r>
      <w:r>
        <w:t>nen oder werden einzelne Zonen aufgehoben, bedarf es einer erneuten Abwägung.</w:t>
      </w:r>
    </w:p>
    <w:p w:rsidR="001C22C8" w:rsidRDefault="001C22C8" w:rsidP="001C22C8">
      <w:pPr>
        <w:pStyle w:val="GesAbsatz"/>
      </w:pPr>
      <w:r>
        <w:t>Bei einem Eingriff in einen einmal hergestellten Ausgleich zwischen Positiv- und Negativausweisungen ve</w:t>
      </w:r>
      <w:r>
        <w:t>r</w:t>
      </w:r>
      <w:r>
        <w:t>schiebt sich das Gesamtgefüge des Planungskonzepts. Im Hinblick auf diese Wirkungen muss die Gemei</w:t>
      </w:r>
      <w:r>
        <w:t>n</w:t>
      </w:r>
      <w:r>
        <w:t>de erneut in die Abwägung der für und gegen die wegfallenden oder hinzutretenden Standorte sprechenden Belange eintreten und dabei das gesamte Gemeindegebiet erneut in den Blick nehmen (vgl. OVG NRW, Urt. v. 19.6.2007 – 8 A 2677/06). Kann eine Gemeinde bei dieser Abwägung auf bereits vorhandenes Abw</w:t>
      </w:r>
      <w:r>
        <w:t>ä</w:t>
      </w:r>
      <w:r>
        <w:t>gungsmaterial – beispielsweise der Ermittlung der Windhöffigkeit – zurückgreifen, ist dies zulässig, soweit diese Untersuchungen noch aktuell sind und sie die Gemeinde in die Lage versetzen, zum Zeitpunkt der Abwägung den entsprechenden Belang ausreichend ermittelt zu haben.</w:t>
      </w:r>
    </w:p>
    <w:p w:rsidR="001C22C8" w:rsidRDefault="001C22C8" w:rsidP="001C22C8">
      <w:pPr>
        <w:pStyle w:val="GesAbsatz"/>
      </w:pPr>
      <w:r>
        <w:t>Dabei ist es durchaus möglich, bestehende Konzentrationszonen anders zu bewerten als neue. Eine diff</w:t>
      </w:r>
      <w:r>
        <w:t>e</w:t>
      </w:r>
      <w:r>
        <w:t>renzierte Behandlung von Bestand und Neuplanung ist der Bauleitplanung, beispielsweise bei der Baulei</w:t>
      </w:r>
      <w:r>
        <w:t>t</w:t>
      </w:r>
      <w:r>
        <w:t>planung in Gemengelagen, insgesamt nicht fremd. Hat eine Gemeinde beispielsweise im Rahmen eines früheren Bauleitplanverfahrens Abstände von 500 Metern zu Einzelgehöften im Außenbereich als weiches Tabukriterium gesetzt, kann dies zur Folge haben, dass die so ermittelten Konzentrationszonen bei einem neuen – nun größeren – Abstand von zum Beispiel 650 Metern deutlich kleiner aus- beziehungsweise in Gänze wegfielen. Entspricht dies nicht den planerischen Vorstellungen der Gemeinde, ist es durchaus den</w:t>
      </w:r>
      <w:r>
        <w:t>k</w:t>
      </w:r>
      <w:r>
        <w:t>bar, dass sie in ihrem aktuellen Konzept für die bestehenden Konzentrationszonen die bisherigen Abstände beibehält und für weitere Konzentrationszonen auch andere Abstände wählt. Die für eine differenzierte B</w:t>
      </w:r>
      <w:r>
        <w:t>e</w:t>
      </w:r>
      <w:r>
        <w:t>handlung von Bestand und Neuplanung sprechenden Gründe sind in der Abwägung und der Begründung nachvollziehbar zu dokumentieren.</w:t>
      </w:r>
    </w:p>
    <w:p w:rsidR="001C22C8" w:rsidRDefault="001C22C8" w:rsidP="001C22C8">
      <w:pPr>
        <w:pStyle w:val="GesAbsatz"/>
      </w:pPr>
      <w:r>
        <w:t>Weist die Gemeinde neue Konzentrationszonen aus, folgt daraus nicht, dass die vorhandenen Darstellungen des Flächennutzungsplanes zur Erzielung der Konzentrationswirkung nach § 35 Absatz 3 Satz 3 des Ba</w:t>
      </w:r>
      <w:r>
        <w:t>u</w:t>
      </w:r>
      <w:r>
        <w:t>gesetzbuches nicht ausreichend sind (§ 249 Absatz 1 BauGB). Es ist daher grundsätzlich davon auszug</w:t>
      </w:r>
      <w:r>
        <w:t>e</w:t>
      </w:r>
      <w:r>
        <w:t>hen, dass die bisherigen Ausweisungen ausreichend waren, um der Windenergienutzung in substantieller Weise Rechnung zu tragen. Auch im Fall einer Neuausweisung von Konzentrationszonen für Windenergie müssen alle Zonen im Planungsraum aus einem schlüssigen Gesamtkonzept abgeleitet sein. Eine davon abweichende isolierte Planung zusätzlicher Zonen ohne Beachtung des bisherigen Windenergiekonzeptes ist nicht durch § 249 Absatz 1 des Baugesetzbuches gedeckt.</w:t>
      </w:r>
    </w:p>
    <w:p w:rsidR="001C22C8" w:rsidRDefault="001C22C8" w:rsidP="001C22C8">
      <w:pPr>
        <w:pStyle w:val="GesAbsatz"/>
      </w:pPr>
      <w:r>
        <w:t>Bei der Aufhebung einzelner Konzentrationszonen ist die Frage, ob der Plan der Windenergie substantiell Raum verschafft, zu prüfen. Dazu wird auf die Ausführungen unter Nummer 4.3.2 verwiesen. Weiterhin sollte die Frage möglicher Entschädigungsansprüche (siehe Nummer 4.8) geprüft werden.</w:t>
      </w:r>
    </w:p>
    <w:p w:rsidR="001C22C8" w:rsidRPr="00801060" w:rsidRDefault="001C22C8" w:rsidP="001C22C8">
      <w:pPr>
        <w:pStyle w:val="GesAbsatz"/>
        <w:rPr>
          <w:b/>
        </w:rPr>
      </w:pPr>
      <w:r w:rsidRPr="00801060">
        <w:rPr>
          <w:b/>
        </w:rPr>
        <w:t>4.3.5</w:t>
      </w:r>
      <w:r w:rsidR="00254BEC" w:rsidRPr="00801060">
        <w:rPr>
          <w:b/>
        </w:rPr>
        <w:t xml:space="preserve"> </w:t>
      </w:r>
      <w:r w:rsidRPr="00801060">
        <w:rPr>
          <w:b/>
        </w:rPr>
        <w:t>Sachlicher und räumlicher Teilflächennutzungsplan</w:t>
      </w:r>
    </w:p>
    <w:p w:rsidR="001C22C8" w:rsidRDefault="001C22C8" w:rsidP="001C22C8">
      <w:pPr>
        <w:pStyle w:val="GesAbsatz"/>
      </w:pPr>
      <w:r>
        <w:lastRenderedPageBreak/>
        <w:t>Nach § 5 Absatz 2 Buchstabe b des Baugesetzbuches können für Darstellungen des Flächennutzungspl</w:t>
      </w:r>
      <w:r>
        <w:t>a</w:t>
      </w:r>
      <w:r>
        <w:t>nes mit den Rechtswirkungen des § 35 Absatz 3 Satz 3 des Baugesetzbuches auch sachliche Teilfläche</w:t>
      </w:r>
      <w:r>
        <w:t>n</w:t>
      </w:r>
      <w:r>
        <w:t>nutzungspläne aufgestellt werden; sie können auch für Teile des Gemeindegebietes aufgestellt werden (sachliche und räumliche Teilflächennutzungspläne). Die Anforderungen an die kommunale Planung zur Erlangung der Ausschlusswirkung beziehen sich dann nur auf das Gebiet des räumlichen Teilflächennu</w:t>
      </w:r>
      <w:r>
        <w:t>t</w:t>
      </w:r>
      <w:r>
        <w:t>zungsplanes. Ein Gesamtkonzept für das gesamte Gemeindegebiet ist in diesem Fall mithin nicht erforde</w:t>
      </w:r>
      <w:r>
        <w:t>r</w:t>
      </w:r>
      <w:r>
        <w:t>lich. Ein räumlicher Teilflächennutzungsplan kann möglicherweise sinnvoll für Kommunen sein, die bisher noch keine Konzentrationszonen für Windenergieanlagen ausgewiesen haben. Dieses Instrument kann dann zweckmäßig sein, wenn in einem Teil des Gemeindegebiets für die Windenergie städtebaulich begründet kein Steuerungsanlass besteht, sondern die Windenergie über § 35 Absatz 1 Nummer 5 des Baugesetzb</w:t>
      </w:r>
      <w:r>
        <w:t>u</w:t>
      </w:r>
      <w:r>
        <w:t>ches zulässig sein soll. Wenn Gemeinden bereits über Konzentrationszonen für die Windenergienutzung im gesamten Gemeindegebiet verfügen, ist vom Gebrauch des räumlichen Teilflächennutzungsplanes abzur</w:t>
      </w:r>
      <w:r>
        <w:t>a</w:t>
      </w:r>
      <w:r>
        <w:t>ten, da eine rechtssichere Abwägung aufgrund des vorhandenen Gesamtkonzepts kaum möglich erscheint.</w:t>
      </w:r>
    </w:p>
    <w:p w:rsidR="001C22C8" w:rsidRPr="00801060" w:rsidRDefault="001C22C8" w:rsidP="001C22C8">
      <w:pPr>
        <w:pStyle w:val="GesAbsatz"/>
        <w:rPr>
          <w:b/>
        </w:rPr>
      </w:pPr>
      <w:r w:rsidRPr="00801060">
        <w:rPr>
          <w:b/>
        </w:rPr>
        <w:t>4.3.6</w:t>
      </w:r>
      <w:r w:rsidR="00254BEC" w:rsidRPr="00801060">
        <w:rPr>
          <w:b/>
        </w:rPr>
        <w:t xml:space="preserve"> </w:t>
      </w:r>
      <w:r w:rsidRPr="00801060">
        <w:rPr>
          <w:b/>
        </w:rPr>
        <w:t>Konzentrationszonen entlang vorhandener Infrastruktur</w:t>
      </w:r>
    </w:p>
    <w:p w:rsidR="001C22C8" w:rsidRDefault="001C22C8" w:rsidP="001C22C8">
      <w:pPr>
        <w:pStyle w:val="GesAbsatz"/>
      </w:pPr>
      <w:r>
        <w:t>Bei der Erarbeitung eines schlüssigen Plankonzepts zur Steuerung der Standorte von Windenergieanlagen können Überlegungen zur Standortwahl von Windenergieanlagen entlang von Infrastrukturtrassen zum Tr</w:t>
      </w:r>
      <w:r>
        <w:t>a</w:t>
      </w:r>
      <w:r>
        <w:t>gen kommen.</w:t>
      </w:r>
    </w:p>
    <w:p w:rsidR="001C22C8" w:rsidRDefault="001C22C8" w:rsidP="001C22C8">
      <w:pPr>
        <w:pStyle w:val="GesAbsatz"/>
      </w:pPr>
      <w:r>
        <w:t>Der Ansatz dabei ist, dass unter bestimmten Umständen vergleichbare oder ähnliche Umweltauswirkungen von Infrastrukturtrassen und Windenergieanlagen bestehen, die sich so überlagern, dass die Trassenkorr</w:t>
      </w:r>
      <w:r>
        <w:t>i</w:t>
      </w:r>
      <w:r>
        <w:t>dore, die durch die bestehenden Belastungen bereits in ihrer Wertigkeit gemindert werden, durch eine z</w:t>
      </w:r>
      <w:r>
        <w:t>u</w:t>
      </w:r>
      <w:r>
        <w:t>sätzliche Belastung durch neue Windenergieanlagen nicht oder eher geringfügig weiter entwertet werden. Ausgehend von diesem Ansatz könnte begründet werden, dass die Wertigkeit von Gebietskategorien mit Ausschlusscharakter, zum Beispiel bestimmte Landschaftsschutzgebiete, vermindert beziehungsweise die geltenden Abstandsregelungen in derart durch Vorbelastung betroffenen Räumen relativiert werden können. In der Begründung des Flächennutzungsplans sollte dargelegt werden, ob es sich um die Einschätzung e</w:t>
      </w:r>
      <w:r>
        <w:t>i</w:t>
      </w:r>
      <w:r>
        <w:t>ner Fachbehörde oder um eine planerische Erwägung der Gemeinde handelt, um diese Frage auch schlü</w:t>
      </w:r>
      <w:r>
        <w:t>s</w:t>
      </w:r>
      <w:r>
        <w:t>sig im Planungskonzept (Differenzierung in harte und weiche Tabukriterien) abbilden zu können. Die von den jeweiligen Infrastrukturachsen (Bundesfernstraßen, Hauptschienenwege, Hochspannungsfreileitungen) in unterschiedlicher Weise ausgehenden Vorbelastungen, insbesondere Lärm und Landschaftsbeeinträcht</w:t>
      </w:r>
      <w:r>
        <w:t>i</w:t>
      </w:r>
      <w:r>
        <w:t>gungen, können dazu genutzt werden, zusätzliche Belastungen durch Windenergieanlagen hier verstärkt zu bündeln und dafür bisher nicht belastete, ungestörte Landschaftsbereiche zu schonen. Die Anbauverbots- beziehungsweise Anbaubeschränkungszonen zu Infrastrukturtrassen (siehe Nummer 8.2.5 zu Straßen) sind zu beachten. Detailliertere Ausführungen können der Studie „Abschätzung der Ausbaupotentiale der Win</w:t>
      </w:r>
      <w:r>
        <w:t>d</w:t>
      </w:r>
      <w:r>
        <w:t xml:space="preserve">energie an Infrastrukturachsen und Entwicklung der Kriterien der Zulässigkeit“ der Planungsbüros Bosch &amp; Partner, Peters Umweltplanung, Deutsche </w:t>
      </w:r>
      <w:proofErr w:type="spellStart"/>
      <w:r>
        <w:t>WindGuard</w:t>
      </w:r>
      <w:proofErr w:type="spellEnd"/>
      <w:r>
        <w:t xml:space="preserve">, Prof. Stefan </w:t>
      </w:r>
      <w:proofErr w:type="spellStart"/>
      <w:r>
        <w:t>Klinski</w:t>
      </w:r>
      <w:proofErr w:type="spellEnd"/>
      <w:r>
        <w:t xml:space="preserve"> und Otto-von-Guericke-Universi</w:t>
      </w:r>
      <w:r w:rsidR="005B3597">
        <w:softHyphen/>
      </w:r>
      <w:r>
        <w:t>tät Magdeburg, Abschlussbericht vom 31. März 2009 entnommen werden. Bei der konkreten Anlagenpl</w:t>
      </w:r>
      <w:r>
        <w:t>a</w:t>
      </w:r>
      <w:r>
        <w:t>nung ist Nummer 5.2.1.4 zu beachten.</w:t>
      </w:r>
    </w:p>
    <w:p w:rsidR="001C22C8" w:rsidRPr="00801060" w:rsidRDefault="001C22C8" w:rsidP="001C22C8">
      <w:pPr>
        <w:pStyle w:val="GesAbsatz"/>
        <w:rPr>
          <w:b/>
        </w:rPr>
      </w:pPr>
      <w:r w:rsidRPr="00801060">
        <w:rPr>
          <w:b/>
        </w:rPr>
        <w:t>4.3.7</w:t>
      </w:r>
      <w:r w:rsidR="00254BEC" w:rsidRPr="00801060">
        <w:rPr>
          <w:b/>
        </w:rPr>
        <w:t xml:space="preserve"> </w:t>
      </w:r>
      <w:r w:rsidRPr="00801060">
        <w:rPr>
          <w:b/>
        </w:rPr>
        <w:t>Höhenbegrenzungen</w:t>
      </w:r>
    </w:p>
    <w:p w:rsidR="001C22C8" w:rsidRDefault="001C22C8" w:rsidP="001C22C8">
      <w:pPr>
        <w:pStyle w:val="GesAbsatz"/>
      </w:pPr>
      <w:r>
        <w:t>Nach § 16 Absatz 1 der Baunutzungsverordnung kann die Höhe baulicher Anlagen begrenzt werden. H</w:t>
      </w:r>
      <w:r>
        <w:t>ö</w:t>
      </w:r>
      <w:r>
        <w:t>henbeschränkungen sind zulässig, wenn sie aus der konkreten Situation abgeleitet und städtebaulich b</w:t>
      </w:r>
      <w:r>
        <w:t>e</w:t>
      </w:r>
      <w:r>
        <w:t>gründet sind. Nicht jede Veränderung des Orts- und Landschaftsbildes  begründet eine städtebauliche H</w:t>
      </w:r>
      <w:r>
        <w:t>ö</w:t>
      </w:r>
      <w:r>
        <w:t>henbeschränkung; es müssen konkrete Gründe vorliegen, die im Einzelfall dazu führen, dass die städteba</w:t>
      </w:r>
      <w:r>
        <w:t>u</w:t>
      </w:r>
      <w:r>
        <w:t>liche Situation relevant negativ verändert wird.</w:t>
      </w:r>
    </w:p>
    <w:p w:rsidR="001C22C8" w:rsidRDefault="001C22C8" w:rsidP="001C22C8">
      <w:pPr>
        <w:pStyle w:val="GesAbsatz"/>
      </w:pPr>
      <w:r>
        <w:t>Bei der Ausweisung einer Konzentrationszone mit Höhenbeschränkung muss in die Abwägung eingestellt werden, dass die Konzentrationszone zwar nicht einen optimalen Ertrag ermöglichen soll, aber auch unter Berücksichtigung der beschränkenden Regelungen wirtschaftlich noch sinnvoll genutzt werden kann (siehe auch Nummer 4.9). Nach heutigem Kenntnisstand ist dies mit der in zahlreichen Konzentrationszonen zu findenden Beschränkung auf Anlagenhöhen bis zu 100 Meter in der Regel nicht zu erreichen. Hingegen lassen sich neu zu errichtende Anlagen im Offenland in der Regel oberhalb einer Gesamthöhe von 150 M</w:t>
      </w:r>
      <w:r>
        <w:t>e</w:t>
      </w:r>
      <w:r>
        <w:t>tern und auf Waldflächen in der Regel ab einer Gesamthöhe von 180 Metern wirtschaftlich betreiben. Die erforderliche Gesamthöhe kann im Einzelfall je nach Windhöffigkeit und Geländerauhigkeit höher oder g</w:t>
      </w:r>
      <w:r>
        <w:t>e</w:t>
      </w:r>
      <w:r>
        <w:t>ringer ausfallen. Ist eine ausgewiesene Konzentrationszone in sieben Jahren (Plangewährleistungsfrist nach § 42 Absatz 2 BauGB) nach Ausweisung mit Höhenbegrenzung nicht oder nur ganz unwesentlich genutzt worden, wird der Kommune empfohlen, die Ausweisung dieser Konzentrationszone mit Höhenbeschränkung zu überprüfen.</w:t>
      </w:r>
    </w:p>
    <w:p w:rsidR="001C22C8" w:rsidRDefault="001C22C8" w:rsidP="001C22C8">
      <w:pPr>
        <w:pStyle w:val="GesAbsatz"/>
      </w:pPr>
      <w:r>
        <w:t>Das Bundesverwaltungsgericht hat festgestellt, dass die Fläche, die der Errichtung von Windenergieanlagen vorbehalten ist, nicht so beschaffen sein muss, dass sie eine bestmögliche Ausnutzung gewährleistet. Es reicht aus, wenn an dem Standort die Voraussetzungen für eine dem Zweck angemessene Nutzung geg</w:t>
      </w:r>
      <w:r>
        <w:t>e</w:t>
      </w:r>
      <w:r>
        <w:t>ben sind (BVerwG, Urt. v. 17.12.2002 – 4 C 15.01; Beschl. v. 2.4.2013 – 4 BN 37.12).</w:t>
      </w:r>
    </w:p>
    <w:p w:rsidR="001C22C8" w:rsidRDefault="001C22C8" w:rsidP="001C22C8">
      <w:pPr>
        <w:pStyle w:val="GesAbsatz"/>
      </w:pPr>
      <w:r>
        <w:lastRenderedPageBreak/>
        <w:t>Bestehende Höhenbeschränkungen etwa von 100 Metern bilden dennoch derzeit in vielen Regionen ein bedeutendes Hemmnis bei der Realisierung geplanter Repowering-Vorhaben. Für die Realisierung von Repowering-Vorhaben eignen sich nur Windenergieanlagen der Multimegawattklasse. Diese erreichen aber eine erheblich höhere Gesamthöhe als 100 Meter. Den Gemeinden wird daher empfohlen, die Höhenb</w:t>
      </w:r>
      <w:r>
        <w:t>e</w:t>
      </w:r>
      <w:r>
        <w:t>grenzung zu überprüfen und aufzuheben, wenn sie die Nutzungsmöglichkeiten der ausgewiesenen Flächen im Rahmen des Erstausbaus oder des Repowerings erweitern wollen.</w:t>
      </w:r>
    </w:p>
    <w:p w:rsidR="001C22C8" w:rsidRDefault="001C22C8" w:rsidP="001C22C8">
      <w:pPr>
        <w:pStyle w:val="GesAbsatz"/>
      </w:pPr>
      <w:r>
        <w:t>Die Frage, welche Belange bei einer isolierten Aufhebung von Höhenbeschränkungen im Rahmen der g</w:t>
      </w:r>
      <w:r>
        <w:t>e</w:t>
      </w:r>
      <w:r>
        <w:t>meindlichen Planung geprüft werden müssen und inwieweit das Gesamtgefüge des Planungskonzepts in den Blick genommen werden muss, ist unter Berücksichtigung der Umstände des Einzelfalls zu entscheiden, das heißt insbesondere im Hinblick auf die städtebaulichen oder fachrechtlichen Gründe, die der Höhenb</w:t>
      </w:r>
      <w:r>
        <w:t>e</w:t>
      </w:r>
      <w:r>
        <w:t>schränkung zugrunde lagen.</w:t>
      </w:r>
    </w:p>
    <w:p w:rsidR="001C22C8" w:rsidRDefault="001C22C8" w:rsidP="001C22C8">
      <w:pPr>
        <w:pStyle w:val="GesAbsatz"/>
      </w:pPr>
      <w:r>
        <w:t>Werden in einem Flächennutzungsplan zusätzliche Flächen für die Nutzung von Windenergie dargestellt, folgt daraus nicht, dass die vorhandenen Darstellungen des Flächennutzungsplans zur Erzielung der Rechtswirkungen des § 35 Absatz 3 Satz 3 nicht ausreichend sind. Dies gilt gemäß § 249 Absatz 1 Satz 2 des Baugesetzbuches entsprechend bei der Änderung oder Aufhebung von Darstellungen zum Maß der baulichen Nutzung (Höhenbegrenzungen). Die Akzeptanz einer Hinderniskennzeichnung (insbesondere Befeuerung) ab 100 Meter Anlagenhöhe lässt sich auch ohne Höhenbeschränkung durch Auflagen zu tec</w:t>
      </w:r>
      <w:r>
        <w:t>h</w:t>
      </w:r>
      <w:r>
        <w:t>nischen Maßnahmen verbessern. Nach der Allgemeinen Verwaltungsvorschrift zur Kennzeichnung von Luf</w:t>
      </w:r>
      <w:r>
        <w:t>t</w:t>
      </w:r>
      <w:r>
        <w:t>fahrthindernissen (AVV Luftfahrtkennzeichnung) ist es schon seit 2007 möglich, insbesondere durch die Verwendung von Sichtweitenmessgeräten bei guter Sicht die Befeuerung zu reduzieren und überdies zu synchronisieren und nach unten abzuschirmen. Mit der Novellierung der Allgemeinen Verwaltungsvorschrift 2015 wurden rechtliche Rahmenbedingungen geschaffen, die die bisherigen Maßnahmen zur Störwi</w:t>
      </w:r>
      <w:r>
        <w:t>r</w:t>
      </w:r>
      <w:r>
        <w:t>kungsminimierung bei der Kennzeichnung von Windenergieanlagen erheblich erweitern. Hierzu gehört unter anderem die neu eingeführte Möglichkeit einer bedarfsgesteuerten Nachtkennzeichnung für Windenergiea</w:t>
      </w:r>
      <w:r>
        <w:t>n</w:t>
      </w:r>
      <w:r>
        <w:t>lagen. Daneben werden im Rahmen der Nachtkennzeichnung Obergrenzen für die Lichtstärke sowie b</w:t>
      </w:r>
      <w:r>
        <w:t>e</w:t>
      </w:r>
      <w:r>
        <w:t>grenzende Abstrahlwinkel definiert und die bisherige Ermessens-Vorschrift für die Synchronisierung von Feuern wird nunmehr verpflichtend. Die Anforderungen an die Hindernisbefeuerungsebenen am Turm von Windenergieanlagen mit einer Gesamthöhe von mehr als 150 Metern über Grund werden dahingehend neu gefasst, dass für einen großen Teil der Windenergieanlagen künftig weniger Hindernisbefeuerungsebenen erforderlich werden.</w:t>
      </w:r>
    </w:p>
    <w:p w:rsidR="001C22C8" w:rsidRDefault="001C22C8" w:rsidP="001C22C8">
      <w:pPr>
        <w:pStyle w:val="GesAbsatz"/>
      </w:pPr>
      <w:r>
        <w:t>Die neue Möglichkeit der bedarfsgerechten Befeuerung kann dem Projektierenden im immissionsschut</w:t>
      </w:r>
      <w:r>
        <w:t>z</w:t>
      </w:r>
      <w:r>
        <w:t>rechtlichen Genehmigungsverfahren als Auflage aufgegeben werden, sofern die Luftfahrtbehörde die erfo</w:t>
      </w:r>
      <w:r>
        <w:t>r</w:t>
      </w:r>
      <w:r>
        <w:t>derliche Zustimmung erteilt hat und die wirtschaftliche Verhältnismäßigkeit gegeben ist. Technisch zuverlä</w:t>
      </w:r>
      <w:r>
        <w:t>s</w:t>
      </w:r>
      <w:r>
        <w:t>sige Lösungen zur Minderung der Lichtimmissionen können Höhenbeschränkungen entbehrlich machen.</w:t>
      </w:r>
    </w:p>
    <w:p w:rsidR="001C22C8" w:rsidRDefault="001C22C8" w:rsidP="001C22C8">
      <w:pPr>
        <w:pStyle w:val="GesAbsatz"/>
      </w:pPr>
      <w:r>
        <w:t>Im Zusammenhang mit der Neuausrichtung der Bundeswehr hat diese ihr Nachttiefflugsystem untersucht. In einem ersten Schritt konnte die Bundeswehr im bestehenden Nachttiefflugsystem ad hoc zahlreiche Str</w:t>
      </w:r>
      <w:r>
        <w:t>e</w:t>
      </w:r>
      <w:r>
        <w:t>ckenabschnitte identifizieren, unter denen Bauhöhen von Windenergieanlagen bis zu einer maximalen Höhe von 213 Metern über Grund zulässig sind. In einem nächsten Schritt konnte aufgrund der Standortentsche</w:t>
      </w:r>
      <w:r>
        <w:t>i</w:t>
      </w:r>
      <w:r>
        <w:t>dungen und unter Berücksichtigung der künftigen Luftfahrzeugflotten- und Fähigkeitsentwicklung eine bu</w:t>
      </w:r>
      <w:r>
        <w:t>n</w:t>
      </w:r>
      <w:r>
        <w:t>desweite bedarfsabhängige Anhebung der Untergrenze des Nachttiefflugsystems um etwa 100 Meter e</w:t>
      </w:r>
      <w:r>
        <w:t>r</w:t>
      </w:r>
      <w:r>
        <w:t>möglicht werden. Mit dieser Entscheidung der Bundeswehr entfallen zuvor geltend gemachte Rechtfertigu</w:t>
      </w:r>
      <w:r>
        <w:t>n</w:t>
      </w:r>
      <w:r>
        <w:t>gen für Bauhöhenbeschränkungen für Windenergieanlagen aus Gründen militärischer Tiefflugübungsstr</w:t>
      </w:r>
      <w:r>
        <w:t>e</w:t>
      </w:r>
      <w:r>
        <w:t>cken bis zu einer Höhe von 213 Metern über Grund. Bei der Überprüfung bestehender Höhenbegrenzungen sollten die Gemeinden dies berücksichtigen.</w:t>
      </w:r>
    </w:p>
    <w:p w:rsidR="001C22C8" w:rsidRPr="00801060" w:rsidRDefault="001C22C8" w:rsidP="001C22C8">
      <w:pPr>
        <w:pStyle w:val="GesAbsatz"/>
        <w:rPr>
          <w:b/>
        </w:rPr>
      </w:pPr>
      <w:r w:rsidRPr="00801060">
        <w:rPr>
          <w:b/>
        </w:rPr>
        <w:t>4.3.8</w:t>
      </w:r>
      <w:r w:rsidR="00254BEC" w:rsidRPr="00801060">
        <w:rPr>
          <w:b/>
        </w:rPr>
        <w:t xml:space="preserve"> </w:t>
      </w:r>
      <w:r w:rsidRPr="00801060">
        <w:rPr>
          <w:b/>
        </w:rPr>
        <w:t>Sicherung der Planung</w:t>
      </w:r>
    </w:p>
    <w:p w:rsidR="001C22C8" w:rsidRDefault="001C22C8" w:rsidP="001C22C8">
      <w:pPr>
        <w:pStyle w:val="GesAbsatz"/>
      </w:pPr>
      <w:r>
        <w:t>Die Zurückstellung von Baugesuchen zur Sicherung der gemeindlichen Planungshoheit ist unter den V</w:t>
      </w:r>
      <w:r>
        <w:t>o</w:t>
      </w:r>
      <w:r>
        <w:t>raussetzungen des § 15 Absatz 3 des Baugesetzbuches (für Vorhaben nach § 35 Absatz 1 Nummer 2 bis 6 BauGB) möglich. Diese Regelung ist auf immissionsschutzrechtliche Genehmigungsverfahren entsprechend anwendbar (OVG NRW, Beschl. v. 18.12.2014 – 8 B 646/14).</w:t>
      </w:r>
    </w:p>
    <w:p w:rsidR="001C22C8" w:rsidRDefault="001C22C8" w:rsidP="001C22C8">
      <w:pPr>
        <w:pStyle w:val="GesAbsatz"/>
      </w:pPr>
      <w:r>
        <w:t>Die Prognose einer Gefährdung der gemeindlichen Planung ist gerechtfertigt, wenn objektive Anhaltspunkte dafür vorliegen, dass das zur Genehmigung gestellte Vorhaben dieser Planung – nach dem jeweiligen Stand des Planungsverfahrens und gemessen an der Plankonzeption und den Planzielen – widerspricht oder dass ein solcher Widerspruch zumindest möglich ist. Dies kann auch dann der Fall sein, wenn das Vorhaben nach dem aktuellen Planungsstand innerhalb einer in Aussicht genommenen Konzentrationszone liegen würde, solange noch nicht hinreichend sicher damit gerechnet werden kann, dass es hierbei verbleibt (OVG NRW, Beschl. v. 18.12.2014 – 8 B 646/14).</w:t>
      </w:r>
    </w:p>
    <w:p w:rsidR="001C22C8" w:rsidRDefault="001C22C8" w:rsidP="001C22C8">
      <w:pPr>
        <w:pStyle w:val="GesAbsatz"/>
      </w:pPr>
      <w:r>
        <w:t>Der Zeitraum der Zurückstellung ist in dem Zurückstellungsbescheid anzugeben und darf längstens ein Jahr ab Zugang des Bescheids betragen. Die Zeit zwischen dem Eingang des Baugesuchs bei der zuständigen Behörde bis zur Zustellung des Zurückstellungsbescheides wird auf die Jahresfrist nur insoweit nicht ang</w:t>
      </w:r>
      <w:r>
        <w:t>e</w:t>
      </w:r>
      <w:r>
        <w:lastRenderedPageBreak/>
        <w:t>rechnet, als dieser Zeitraum für die Bearbeitung des Baugesuchs erforderlich war (§ 15 Absatz 3 Satz 2 BauGB). Die Gemeinde hat den Zurückstellungsantrag innerhalb von sechs Monaten zu stellen, nachdem sie erstmals in einem Verwaltungsverfahren förmlich (z.B. im Rahmen einer Beteiligung nach § 36 BauGB) von dem Bauvorhaben Kenntnis erlangt hat, § 15 Absatz 3 Satz 3 des Baugesetzbuches.</w:t>
      </w:r>
    </w:p>
    <w:p w:rsidR="001C22C8" w:rsidRDefault="001C22C8" w:rsidP="001C22C8">
      <w:pPr>
        <w:pStyle w:val="GesAbsatz"/>
      </w:pPr>
      <w:r>
        <w:t>§ 15 Absatz 3 Satz 4 des Baugesetzbuches ermöglicht, die Entscheidung über ein Baugesuch für ein Vo</w:t>
      </w:r>
      <w:r>
        <w:t>r</w:t>
      </w:r>
      <w:r>
        <w:t>haben nach § 35 Absatz 1 Nummer 2 bis 6 des Baugesetzbuches um ein weiteres Jahr auszusetzen, wenn hierfür besondere Umstände vorliegen. Ein Planverfahren ist in diesem Sinn durch besondere Umstände gekennzeichnet, wenn es sich von dem allgemeinen Rahmen der üblichen städtebaulichen Planungstätigkeit wesentlich abhebt. Das ist der Fall, wenn das Planverfahren Besonderheiten des Umfangs, des Schwieri</w:t>
      </w:r>
      <w:r>
        <w:t>g</w:t>
      </w:r>
      <w:r>
        <w:t>keitsgrades oder des Verfahrensablaufs aufweist. Vergleichsmaßstab ist der allgemeine Rahmen der übl</w:t>
      </w:r>
      <w:r>
        <w:t>i</w:t>
      </w:r>
      <w:r>
        <w:t>chen städtebaulichen Planungstätigkeit, nicht lediglich die sonstige Konzentrationsflächenplanung. Notwe</w:t>
      </w:r>
      <w:r>
        <w:t>n</w:t>
      </w:r>
      <w:r>
        <w:t>dig ist, dass die Aufstellung des Plans gerade wegen dieser Besonderheiten mehr als die übliche Zeit erfo</w:t>
      </w:r>
      <w:r>
        <w:t>r</w:t>
      </w:r>
      <w:r>
        <w:t>dert. Die Gemeinde darf die Verzögerung nicht zu vertreten haben (OVG NRW, Beschl. v. 25.11.2014 – 8 B 690/14).</w:t>
      </w:r>
    </w:p>
    <w:p w:rsidR="001C22C8" w:rsidRDefault="001C22C8" w:rsidP="001C22C8">
      <w:pPr>
        <w:pStyle w:val="GesAbsatz"/>
      </w:pPr>
      <w:r>
        <w:t>Als besondere Umstände können insbesondere in Betracht kommen:</w:t>
      </w:r>
    </w:p>
    <w:p w:rsidR="001C22C8" w:rsidRDefault="001C22C8" w:rsidP="001C22C8">
      <w:pPr>
        <w:pStyle w:val="GesAbsatz"/>
      </w:pPr>
      <w:r>
        <w:t>a)</w:t>
      </w:r>
      <w:r w:rsidR="00254BEC">
        <w:tab/>
      </w:r>
      <w:r>
        <w:t>Gutachten zu Umweltauswirkungen sind nicht abgeschlossen.</w:t>
      </w:r>
    </w:p>
    <w:p w:rsidR="001C22C8" w:rsidRDefault="001C22C8" w:rsidP="00254BEC">
      <w:pPr>
        <w:pStyle w:val="GesAbsatz"/>
        <w:ind w:left="426" w:hanging="426"/>
      </w:pPr>
      <w:r>
        <w:t>b)</w:t>
      </w:r>
      <w:r w:rsidR="00254BEC">
        <w:tab/>
      </w:r>
      <w:r>
        <w:t>Stellungnahmen beteiligter Behörden liegen wegen erforderlicher, insbesondere auch rechtlicher Ma</w:t>
      </w:r>
      <w:r>
        <w:t>ß</w:t>
      </w:r>
      <w:r>
        <w:t>nahmen noch nicht vor.</w:t>
      </w:r>
    </w:p>
    <w:p w:rsidR="001C22C8" w:rsidRDefault="001C22C8" w:rsidP="00254BEC">
      <w:pPr>
        <w:pStyle w:val="GesAbsatz"/>
        <w:ind w:left="426" w:hanging="426"/>
      </w:pPr>
      <w:r>
        <w:t>c)</w:t>
      </w:r>
      <w:r w:rsidR="00254BEC">
        <w:tab/>
      </w:r>
      <w:r>
        <w:t>Die Öffentlichkeitsbeteiligung nach § 3 Absatz 2 und § 4a Absatz 3 des Baugesetzbuches (erneute ö</w:t>
      </w:r>
      <w:r>
        <w:t>f</w:t>
      </w:r>
      <w:r>
        <w:t>fentliche Auslegung) und deren Auswertung sind noch nicht abgeschlossen.</w:t>
      </w:r>
    </w:p>
    <w:p w:rsidR="001C22C8" w:rsidRDefault="001C22C8" w:rsidP="00254BEC">
      <w:pPr>
        <w:pStyle w:val="GesAbsatz"/>
        <w:ind w:left="426" w:hanging="426"/>
      </w:pPr>
      <w:r>
        <w:t>d)</w:t>
      </w:r>
      <w:r w:rsidR="00254BEC">
        <w:tab/>
      </w:r>
      <w:r>
        <w:t>Die interkommunale Zusammenarbeit nach § 2 Absatz 2 des Baugesetzbuches erfordert eine umfan</w:t>
      </w:r>
      <w:r>
        <w:t>g</w:t>
      </w:r>
      <w:r>
        <w:t>reichere Abstimmung und damit einen erhöhten Zeitaufwand.</w:t>
      </w:r>
    </w:p>
    <w:p w:rsidR="001C22C8" w:rsidRDefault="001C22C8" w:rsidP="001C22C8">
      <w:pPr>
        <w:pStyle w:val="GesAbsatz"/>
      </w:pPr>
      <w:r>
        <w:t>Der Antrag nach § 15 Absatz 3 Satz 4 des Baugesetzbuches sollte im Blick auf die anstehende Entsche</w:t>
      </w:r>
      <w:r>
        <w:t>i</w:t>
      </w:r>
      <w:r>
        <w:t>dung über die Genehmigung der betreffenden Vorhaben so rechtzeitig gestellt werden, dass sich die Z</w:t>
      </w:r>
      <w:r>
        <w:t>u</w:t>
      </w:r>
      <w:r>
        <w:t>rückstellung um einen weiteren Zeitraum unmittelbar an den Ablauf der ersten Zurückstellung anschließt. Die übliche Bearbeitungszeit bei der Genehmigungsbehörde ist dabei zu berücksichtigen. Die Gemeinde legt bei der Antragstellung die besonderen Umstände für die Verlängerung dar.</w:t>
      </w:r>
    </w:p>
    <w:p w:rsidR="001C22C8" w:rsidRDefault="001C22C8" w:rsidP="001C22C8">
      <w:pPr>
        <w:pStyle w:val="GesAbsatz"/>
      </w:pPr>
      <w:r>
        <w:t>Der Zurückstellungsantrag ist nicht mehr möglich, wenn die Genehmigung erteilt ist.</w:t>
      </w:r>
    </w:p>
    <w:p w:rsidR="001C22C8" w:rsidRDefault="001C22C8" w:rsidP="00254BEC">
      <w:pPr>
        <w:pStyle w:val="berschrift3"/>
        <w:jc w:val="left"/>
      </w:pPr>
      <w:bookmarkStart w:id="16" w:name="_Toc451849518"/>
      <w:r>
        <w:t>4.4</w:t>
      </w:r>
      <w:r w:rsidR="00254BEC">
        <w:t xml:space="preserve"> </w:t>
      </w:r>
      <w:r>
        <w:t>Bebauungsplan</w:t>
      </w:r>
      <w:bookmarkEnd w:id="16"/>
    </w:p>
    <w:p w:rsidR="001C22C8" w:rsidRDefault="001C22C8" w:rsidP="001C22C8">
      <w:pPr>
        <w:pStyle w:val="GesAbsatz"/>
      </w:pPr>
      <w:r>
        <w:t>Die Gemeinde kann die Errichtung von Windenergieanlagen in im Flächennutzungsplan dargestellten Ko</w:t>
      </w:r>
      <w:r>
        <w:t>n</w:t>
      </w:r>
      <w:r>
        <w:t>zentrationszonen einer Feinsteuerung durch Bebauungspläne (zum Beispiel Festlegung der Standorte der Anlagen) unterziehen und diese Bebauungsplanung durch eine Veränderungssperre sichern. Die Aufstellung eines Bebauungsplanes kann insbesondere zur Ermöglichung eines Repowering sinnvoll sein (vgl. Nummer</w:t>
      </w:r>
      <w:r w:rsidR="005B3597">
        <w:t xml:space="preserve"> </w:t>
      </w:r>
      <w:r>
        <w:t>4.9).</w:t>
      </w:r>
    </w:p>
    <w:p w:rsidR="001C22C8" w:rsidRDefault="001C22C8" w:rsidP="001C22C8">
      <w:pPr>
        <w:pStyle w:val="GesAbsatz"/>
      </w:pPr>
      <w:r>
        <w:t>Die Sonderregelungen des § 249 Absatz 1 Satz 1 und 2 des Baugesetzbuches gelten für Bebauungspläne, die aus den Darstellungen des Flächennutzungsplans entwickelt werden, entsprechend (vgl. § 249 Absatz 1 Satz 3 BauGB).</w:t>
      </w:r>
    </w:p>
    <w:p w:rsidR="001C22C8" w:rsidRDefault="001C22C8" w:rsidP="001C22C8">
      <w:pPr>
        <w:pStyle w:val="GesAbsatz"/>
      </w:pPr>
      <w:r>
        <w:t>Die Gemeinde kann den Abstand von Windenergieanlagen untereinander in einem Bebauungsplan dadurch steuern, dass sie Baugrenzen festsetzt, innerhalb derer jeweils nur eine Windenergieanlage Platz findet. Im Bebauungsplan können sowohl Baugrenzen festgesetzt werden, die allein für Fundament und Turm gelten, als auch Baugrenzen, die sich darüber hinaus auf den Rotor der Windenergieanlage beziehen. Gemäß § 23 Absatz 3 Satz 1 und § 16 Absatz 5 der Baunutzungsverordnung können außerdem für Fundament und Turm einerseits und die Rotoren andererseits unterschiedliche Baugrenzen festgesetzt werden. In jedem Fall muss hinreichend bestimmt sein, worauf sich die Baugrenze bezieht.</w:t>
      </w:r>
    </w:p>
    <w:p w:rsidR="001C22C8" w:rsidRDefault="001C22C8" w:rsidP="001C22C8">
      <w:pPr>
        <w:pStyle w:val="GesAbsatz"/>
      </w:pPr>
      <w:r>
        <w:t>Darüber hinaus können Festsetzungen zum Maß der baulichen Nutzung, zur Erschließung, zum Immiss</w:t>
      </w:r>
      <w:r>
        <w:t>i</w:t>
      </w:r>
      <w:r>
        <w:t>onsschutz, zu den erforderlichen Ausgleichs- und Ersatzmaßnahmen getroffen und gegebenenfalls örtliche Bauvorschriften nach § 86 der Landesbauordnung über die äußere Gestaltung erlassen werden. Dies gilt entsprechend bei der Festsetzung von Flächen für Versorgungsanlagen. Hinsichtlich der Höhenbeschrä</w:t>
      </w:r>
      <w:r>
        <w:t>n</w:t>
      </w:r>
      <w:r>
        <w:t>kung gilt das unter Nummer 4.3.7 Ausgeführte entsprechend.</w:t>
      </w:r>
    </w:p>
    <w:p w:rsidR="001C22C8" w:rsidRDefault="001C22C8" w:rsidP="001C22C8">
      <w:pPr>
        <w:pStyle w:val="GesAbsatz"/>
      </w:pPr>
      <w:r>
        <w:t>Eine Veränderungssperre ist gemäß § 14 des Baugesetzbuches zur Sicherung der Planung für den künft</w:t>
      </w:r>
      <w:r>
        <w:t>i</w:t>
      </w:r>
      <w:r>
        <w:t>gen Planbereich zulässig. Die Planung, die die Veränderungssperre sichern soll, muss ein Mindestmaß de</w:t>
      </w:r>
      <w:r>
        <w:t>s</w:t>
      </w:r>
      <w:r>
        <w:t>sen erkennen lassen, was Inhalt des zu erlassenden Bebauungsplans sein soll. Eine Planung, bei der in einem raumordnerisch für die Windenergie vorgesehenen Gebiet Festsetzungen von „Null bis Hundert“ mö</w:t>
      </w:r>
      <w:r>
        <w:t>g</w:t>
      </w:r>
      <w:r>
        <w:t>lich sind, also alles noch offen ist, kann nicht durch Veränderungssperre gesichert werden (OVG NRW, Urt. v. 28.1.2005 – 7 D 4/03.NE).</w:t>
      </w:r>
    </w:p>
    <w:p w:rsidR="001C22C8" w:rsidRDefault="001C22C8" w:rsidP="00254BEC">
      <w:pPr>
        <w:pStyle w:val="berschrift3"/>
        <w:jc w:val="left"/>
      </w:pPr>
      <w:bookmarkStart w:id="17" w:name="_Toc451849519"/>
      <w:r>
        <w:lastRenderedPageBreak/>
        <w:t>4.5</w:t>
      </w:r>
      <w:r w:rsidR="00254BEC">
        <w:t xml:space="preserve"> </w:t>
      </w:r>
      <w:r>
        <w:t>Vorhabenbezogener Bebauungsplan</w:t>
      </w:r>
      <w:bookmarkEnd w:id="17"/>
    </w:p>
    <w:p w:rsidR="001C22C8" w:rsidRDefault="001C22C8" w:rsidP="001C22C8">
      <w:pPr>
        <w:pStyle w:val="GesAbsatz"/>
      </w:pPr>
      <w:r>
        <w:t>Die Gemeinde kann durch einen vorhabenbezogenen Bebauungsplan gemäß § 12 des Baugesetzbuches die Zulässigkeit von Vorhaben bestimmen, soweit ein Vorhabenträger auf der Grundlage eines von ihm vo</w:t>
      </w:r>
      <w:r>
        <w:t>r</w:t>
      </w:r>
      <w:r>
        <w:t>gelegten und mit der Gemeinde abgestimmten Planes zur Durchführung der Vorhaben und der Erschli</w:t>
      </w:r>
      <w:r>
        <w:t>e</w:t>
      </w:r>
      <w:r>
        <w:t>ßungsmaßnahmen bereit und in der Lage ist und sich zur Durchführung innerhalb einer bestimmten Frist und zur Übernahme der Planungs- und Erschließungskosten ganz oder teilweise verpflichtet.</w:t>
      </w:r>
    </w:p>
    <w:p w:rsidR="001C22C8" w:rsidRDefault="001C22C8" w:rsidP="00254BEC">
      <w:pPr>
        <w:pStyle w:val="berschrift3"/>
        <w:jc w:val="left"/>
      </w:pPr>
      <w:bookmarkStart w:id="18" w:name="_Toc451849520"/>
      <w:r>
        <w:t>4.6</w:t>
      </w:r>
      <w:r w:rsidR="00254BEC">
        <w:t xml:space="preserve"> </w:t>
      </w:r>
      <w:r>
        <w:t>Beteiligung</w:t>
      </w:r>
      <w:bookmarkEnd w:id="18"/>
    </w:p>
    <w:p w:rsidR="001C22C8" w:rsidRDefault="001C22C8" w:rsidP="001C22C8">
      <w:pPr>
        <w:pStyle w:val="GesAbsatz"/>
      </w:pPr>
      <w:r>
        <w:t>Die Gemeinde holt gemäß § 4 Absatz 2 des Baugesetzbuches die Stellungnahmen der Behörden und son</w:t>
      </w:r>
      <w:r>
        <w:t>s</w:t>
      </w:r>
      <w:r>
        <w:t>tigen Träger öffentlicher Belange, deren Aufgabenbereich durch die Planung berührt werden kann, zum Pl</w:t>
      </w:r>
      <w:r>
        <w:t>a</w:t>
      </w:r>
      <w:r>
        <w:t>nentwurf und zu der Begründung ein. Sie beteiligt gemäß § 3 des Baugesetzbuches die Öffentlichkeit.</w:t>
      </w:r>
    </w:p>
    <w:p w:rsidR="001C22C8" w:rsidRDefault="001C22C8" w:rsidP="001C22C8">
      <w:pPr>
        <w:pStyle w:val="GesAbsatz"/>
      </w:pPr>
      <w:r>
        <w:t>Sofern die Errichtung von Windenergieanlagen in Konzentrationszonen für die Windenergienutzung im W</w:t>
      </w:r>
      <w:r>
        <w:t>i</w:t>
      </w:r>
      <w:r>
        <w:t>derspruch zum Fachplanungsrecht stünde, zum Beispiel Baufläche im Bereich einer Landschaftsschutzve</w:t>
      </w:r>
      <w:r>
        <w:t>r</w:t>
      </w:r>
      <w:r>
        <w:t>ordnung, ist es zwingend erforderlich, dass die entsprechende Fachplanung auch schon im Planverfahren darlegt, ob eine Ausnahme beziehungsweise Befreiung in Aussicht gestellt werden kann. Ist dies nicht der Fall, ist eine Planung nicht zielführend.</w:t>
      </w:r>
    </w:p>
    <w:p w:rsidR="001C22C8" w:rsidRDefault="001C22C8" w:rsidP="001C22C8">
      <w:pPr>
        <w:pStyle w:val="GesAbsatz"/>
      </w:pPr>
      <w:r>
        <w:t>Öffentliche Planungsträger, die nach § 4 oder 13 des Baugesetzbuches beteiligt worden sind, haben ihre Planungen gemäß § 7 des Baugesetzbuches dem Flächennutzungsplan insoweit anzupassen, als sie di</w:t>
      </w:r>
      <w:r>
        <w:t>e</w:t>
      </w:r>
      <w:r>
        <w:t>sem Plan nicht widersprochen haben.</w:t>
      </w:r>
    </w:p>
    <w:p w:rsidR="001C22C8" w:rsidRDefault="001C22C8" w:rsidP="00254BEC">
      <w:pPr>
        <w:pStyle w:val="berschrift3"/>
        <w:jc w:val="left"/>
      </w:pPr>
      <w:bookmarkStart w:id="19" w:name="_Toc451849521"/>
      <w:r>
        <w:t>4.7</w:t>
      </w:r>
      <w:r w:rsidR="00254BEC">
        <w:t xml:space="preserve"> </w:t>
      </w:r>
      <w:r>
        <w:t>Umweltprüfung in der Bauleitplanung</w:t>
      </w:r>
      <w:bookmarkEnd w:id="19"/>
    </w:p>
    <w:p w:rsidR="001C22C8" w:rsidRDefault="001C22C8" w:rsidP="001C22C8">
      <w:pPr>
        <w:pStyle w:val="GesAbsatz"/>
      </w:pPr>
      <w:r>
        <w:t>Seit Inkrafttreten der Änderungen des Baugesetzbuchs durch das Europarechtsanpassungsgesetz Bau am 20. Juli 2004 muss grundsätzlich bei allen Flächennutzungs- und Bebauungsplanungen für die Belange des Umweltschutzes eine Umweltprüfung (UP) durchgeführt werden, in der die voraussichtlichen erheblichen Umweltauswirkungen zu ermitteln und in einem Umweltbericht zu beschreiben und zu bewerten sind. Mit der Umweltprüfung werden Auswirkungen eines Vorhabens abgeschätzt auf</w:t>
      </w:r>
    </w:p>
    <w:p w:rsidR="001C22C8" w:rsidRDefault="001C22C8" w:rsidP="001C22C8">
      <w:pPr>
        <w:pStyle w:val="GesAbsatz"/>
      </w:pPr>
      <w:r>
        <w:t>–</w:t>
      </w:r>
      <w:r w:rsidR="00254BEC">
        <w:tab/>
      </w:r>
      <w:r>
        <w:t>Menschen, Tiere und Pflanzen,</w:t>
      </w:r>
    </w:p>
    <w:p w:rsidR="001C22C8" w:rsidRDefault="001C22C8" w:rsidP="001C22C8">
      <w:pPr>
        <w:pStyle w:val="GesAbsatz"/>
      </w:pPr>
      <w:r>
        <w:t>–</w:t>
      </w:r>
      <w:r w:rsidR="00254BEC">
        <w:tab/>
      </w:r>
      <w:r>
        <w:t>Boden, Wasser, Luft, Klima und Landschaft,</w:t>
      </w:r>
    </w:p>
    <w:p w:rsidR="001C22C8" w:rsidRDefault="001C22C8" w:rsidP="001C22C8">
      <w:pPr>
        <w:pStyle w:val="GesAbsatz"/>
      </w:pPr>
      <w:r>
        <w:t>–</w:t>
      </w:r>
      <w:r w:rsidR="00254BEC">
        <w:tab/>
      </w:r>
      <w:r>
        <w:t>Kulturgüter und sonstige Sachgüter sowie</w:t>
      </w:r>
    </w:p>
    <w:p w:rsidR="001C22C8" w:rsidRDefault="001C22C8" w:rsidP="001C22C8">
      <w:pPr>
        <w:pStyle w:val="GesAbsatz"/>
      </w:pPr>
      <w:r>
        <w:t>–</w:t>
      </w:r>
      <w:r w:rsidR="00254BEC">
        <w:tab/>
      </w:r>
      <w:r>
        <w:t>Wechselwirkungen zwischen den vorgenannten Schutzgütern.</w:t>
      </w:r>
    </w:p>
    <w:p w:rsidR="001C22C8" w:rsidRDefault="001C22C8" w:rsidP="001C22C8">
      <w:pPr>
        <w:pStyle w:val="GesAbsatz"/>
      </w:pPr>
      <w:r>
        <w:t>In diese Prüfung sind auch noch weitere Umweltbelange einzubeziehen, die in § 1 Absatz 6 Nummer 7 des Baugesetzbuches und § 1a des Baugesetzbuches aufgeführt sind und die letztlich auch dem Schutz der vorgenannten Umweltgüter dienen.</w:t>
      </w:r>
    </w:p>
    <w:p w:rsidR="001C22C8" w:rsidRDefault="001C22C8" w:rsidP="001C22C8">
      <w:pPr>
        <w:pStyle w:val="GesAbsatz"/>
      </w:pPr>
      <w:r>
        <w:t>Bei dieser Umweltprüfung werden auch die Behörden und die Öffentlichkeit beteiligt. Das Ergebnis dieser Umweltfolgenabschätzung ist in der bauleitplanerischen Abwägung zu berücksichtigen. Die Umweltprüfung in der Bauleitplanung ist als umfassendes Prüfverfahren konzipiert, das den Anforderungen, sowohl der EU-Richtlinie für die projektbezogene Umweltverträglichkeitsprüfung (UVP) als auch der EU-Richtlinie für die planbezogene Umweltprüfung entspricht.</w:t>
      </w:r>
    </w:p>
    <w:p w:rsidR="001C22C8" w:rsidRDefault="001C22C8" w:rsidP="001C22C8">
      <w:pPr>
        <w:pStyle w:val="GesAbsatz"/>
      </w:pPr>
      <w:r>
        <w:t>Im Fall einer bereits in anderen Planverfahren (z.B. der Regionalplanung) durchgeführten Umweltprüfung kann sich die Umweltprüfung in dem zeitlich nachfolgenden Planverfahren auf zusätzliche oder andere e</w:t>
      </w:r>
      <w:r>
        <w:t>r</w:t>
      </w:r>
      <w:r>
        <w:t>hebliche Umweltauswirkungen beschränken.</w:t>
      </w:r>
    </w:p>
    <w:p w:rsidR="001C22C8" w:rsidRDefault="001C22C8" w:rsidP="00254BEC">
      <w:pPr>
        <w:pStyle w:val="berschrift3"/>
        <w:jc w:val="left"/>
      </w:pPr>
      <w:bookmarkStart w:id="20" w:name="_Toc451849522"/>
      <w:r>
        <w:t>4.8</w:t>
      </w:r>
      <w:r w:rsidR="00254BEC">
        <w:t xml:space="preserve"> </w:t>
      </w:r>
      <w:r>
        <w:t>Entschädigungsansprüche bei Änderung der Bauleitplanung</w:t>
      </w:r>
      <w:bookmarkEnd w:id="20"/>
    </w:p>
    <w:p w:rsidR="001C22C8" w:rsidRDefault="001C22C8" w:rsidP="001C22C8">
      <w:pPr>
        <w:pStyle w:val="GesAbsatz"/>
      </w:pPr>
      <w:r>
        <w:t>Bei der Änderung oder Aufhebung von Bebauungsplänen mit Festsetzungen zur Zulässigkeit von Windene</w:t>
      </w:r>
      <w:r>
        <w:t>r</w:t>
      </w:r>
      <w:r>
        <w:t>gieanlagen ist zu prüfen, ob Entschädigungsansprüche nach den §§ 39ff. des Baugesetzbuches entstehen können.</w:t>
      </w:r>
    </w:p>
    <w:p w:rsidR="001C22C8" w:rsidRDefault="001C22C8" w:rsidP="001C22C8">
      <w:pPr>
        <w:pStyle w:val="GesAbsatz"/>
      </w:pPr>
      <w:r>
        <w:t>Auch wenn die Nutzungsmöglichkeiten, die § 35 des Baugesetzbuches eröffnet, grundsätzlich nicht die in §</w:t>
      </w:r>
      <w:r w:rsidR="00254BEC">
        <w:t> </w:t>
      </w:r>
      <w:r>
        <w:t>42 des Baugesetzbuches vorausgesetzte Qualität einer eigentumsrechtlichen Position haben (vgl. BVerwG, Urt. v. 11.4.2013, 4 CN 2.12), kann möglicherweise bei der Änderung oder Aufhebung einer Ko</w:t>
      </w:r>
      <w:r>
        <w:t>n</w:t>
      </w:r>
      <w:r>
        <w:t>zentrationszone im Flächennutzungsplan etwas anderes gelten. In seinem Urteil vom 26. April 2007 (vgl. BVerwG, Urt. v. 26.4.2007 – 4 CN 3/06) hat das Bundesverwaltungsgericht die Möglichkeit zur Normenko</w:t>
      </w:r>
      <w:r>
        <w:t>n</w:t>
      </w:r>
      <w:r>
        <w:t>trolle gemäß § 47 Absatz 1 Nummer 1 der Verwaltungsgerichtsordnung (VwGO) auf die Darstellung von Konzentrationsflächen in einem Flächennutzungsplan (Sonderbauflächen im Sinn von § 5 Absatz 2 Nu</w:t>
      </w:r>
      <w:r>
        <w:t>m</w:t>
      </w:r>
      <w:r>
        <w:t>mer</w:t>
      </w:r>
      <w:r w:rsidR="00254BEC">
        <w:t> </w:t>
      </w:r>
      <w:r>
        <w:t>1 BauGB, § 1 Absatz 1 Nummer 4 BauNVO), mit denen die Rechtswirkungen des § 35 Absatz 3 Satz</w:t>
      </w:r>
      <w:r w:rsidR="00254BEC">
        <w:t> </w:t>
      </w:r>
      <w:r>
        <w:t xml:space="preserve">3 des Baugesetzbuches erreicht werden sollen, erweitert. § 35 Absatz 3 Satz 3 des Baugesetzbuches verleiht </w:t>
      </w:r>
      <w:r>
        <w:lastRenderedPageBreak/>
        <w:t>derartigen Darstellungen rechtliche Außenwirkung gegenüber den Bauantragstellerinnen und Bauantragste</w:t>
      </w:r>
      <w:r>
        <w:t>l</w:t>
      </w:r>
      <w:r>
        <w:t>lern sowie gegenüber Vorhabenträgerinnen und Vorhabenträgern mit der Folge, dass Vorhaben an Stando</w:t>
      </w:r>
      <w:r>
        <w:t>r</w:t>
      </w:r>
      <w:r>
        <w:t>ten außerhalb der Konzentrationsflächen in der Regel unzulässig sind. Somit sind Darstellungen im Fl</w:t>
      </w:r>
      <w:r>
        <w:t>ä</w:t>
      </w:r>
      <w:r>
        <w:t>chennutzungsplan mit den Rechtswirkungen des § 35 Absatz 3 Satz 3 des Baugesetzbuches von ihrer Rechtswirkung mit einem Bebauungsplan vergleichbar und es ist nicht auszuschließen, dass auch ein En</w:t>
      </w:r>
      <w:r>
        <w:t>t</w:t>
      </w:r>
      <w:r>
        <w:t>schädigungsanspruch gemäß der §§ 39 ff des Baugesetzbuches bei Änderung einer Konzentrationszone im Flächennutzungsplan besteht.</w:t>
      </w:r>
    </w:p>
    <w:p w:rsidR="001C22C8" w:rsidRDefault="001C22C8" w:rsidP="00254BEC">
      <w:pPr>
        <w:pStyle w:val="berschrift3"/>
        <w:jc w:val="left"/>
      </w:pPr>
      <w:bookmarkStart w:id="21" w:name="_Toc451849523"/>
      <w:r>
        <w:t>4.9</w:t>
      </w:r>
      <w:r w:rsidR="00254BEC">
        <w:t xml:space="preserve"> </w:t>
      </w:r>
      <w:r>
        <w:t>Repowering</w:t>
      </w:r>
      <w:bookmarkEnd w:id="21"/>
    </w:p>
    <w:p w:rsidR="001C22C8" w:rsidRDefault="001C22C8" w:rsidP="001C22C8">
      <w:pPr>
        <w:pStyle w:val="GesAbsatz"/>
      </w:pPr>
      <w:r>
        <w:t>Unter Repowering wird allgemein der Austausch alter Windenergieanlagen durch neuere moderne Win</w:t>
      </w:r>
      <w:r>
        <w:t>d</w:t>
      </w:r>
      <w:r>
        <w:t>energieanlagen verstanden, die neben höherem Ertrag auch vom Bau her höher und mit größeren Rotoren ausgestattet sind.</w:t>
      </w:r>
    </w:p>
    <w:p w:rsidR="001C22C8" w:rsidRDefault="001C22C8" w:rsidP="001C22C8">
      <w:pPr>
        <w:pStyle w:val="GesAbsatz"/>
      </w:pPr>
      <w:r>
        <w:t>Das Repowering bietet vielfältige Vorteile:</w:t>
      </w:r>
    </w:p>
    <w:p w:rsidR="001C22C8" w:rsidRDefault="001C22C8" w:rsidP="001C22C8">
      <w:pPr>
        <w:pStyle w:val="GesAbsatz"/>
      </w:pPr>
      <w:r>
        <w:t>Zum einen kann dadurch die Effektivität und die Ausbeute der Windenergienutzung erheblich gesteigert und damit ein bedeutender auch lokaler Beitrag zum Klimaschutz geleistet werden. In diesem Rahmen können auch Windenergieanlagenstandorte erhalten werden, für die eine langjährige Akzeptanz gegeben ist.</w:t>
      </w:r>
    </w:p>
    <w:p w:rsidR="001C22C8" w:rsidRDefault="001C22C8" w:rsidP="001C22C8">
      <w:pPr>
        <w:pStyle w:val="GesAbsatz"/>
      </w:pPr>
      <w:r>
        <w:t>Die Repowering-Anlagen sind neue Windenergieanlagen mit moderner Anlagentechnik, die nach heutigem Genehmigungsstandard errichtet werden und somit oftmals gegenüber den zu ersetzenden, veralteten Windenergieanlagen eine Reduzierung von Emissionen und anderen Umweltbeeinträchtigungen mit sich bringen. Durch die geringere Drehzahl der Rotoren sowie die Ersetzung von Altanlagen mit reflektierender Farbgebung, unterschiedlicher Rotordrehrichtung und -drehzahl, verschiedenen Bauhöhen usw. durch Ne</w:t>
      </w:r>
      <w:r>
        <w:t>u</w:t>
      </w:r>
      <w:r>
        <w:t>anlagen mit einheitlicher Anlagengröße, Farbgebung, Rotordrehzahl und -drehrichtung sowie gegebenenfalls die Verringerung der Anlagenzahl mit größeren Abständen untereinander ergibt sich eine Entlastung des Landschaftsbildes. Das Landesamt für Natur, Umwelt und Verbraucherschutz zeigt in einer Veröffentlichung einprägsam die Zusammenhänge zwischen gestiegener Nennleistung, deutlich gestiegenem Ertrag und gesunkener Schallemission von modernen Windenergieanlagen auf und verdeutlicht so nicht nur die energ</w:t>
      </w:r>
      <w:r>
        <w:t>e</w:t>
      </w:r>
      <w:r>
        <w:t>tischen, sondern auch die immissionsschutztechnischen Chancen des Repowerings (</w:t>
      </w:r>
      <w:hyperlink r:id="rId14" w:history="1">
        <w:r w:rsidR="005B3597" w:rsidRPr="00293BC0">
          <w:rPr>
            <w:rStyle w:val="Hyperlink"/>
          </w:rPr>
          <w:t>http://www.lanuv.</w:t>
        </w:r>
        <w:r w:rsidR="005B3597" w:rsidRPr="00293BC0">
          <w:rPr>
            <w:rStyle w:val="Hyperlink"/>
          </w:rPr>
          <w:softHyphen/>
          <w:t>nrw.de/geraeusche/pdf/RepoweringOkt2011.pdf</w:t>
        </w:r>
      </w:hyperlink>
      <w:r>
        <w:t>).</w:t>
      </w:r>
    </w:p>
    <w:p w:rsidR="001C22C8" w:rsidRDefault="001C22C8" w:rsidP="001C22C8">
      <w:pPr>
        <w:pStyle w:val="GesAbsatz"/>
      </w:pPr>
      <w:r>
        <w:t>Beim Repowering kann sich die Zahl der Anlagen reduzieren. Altanlagen liegen in vielen Fällen verstreut über das gesamte Gemeindegebiet. Dies gilt insbesondere für Anlagen, die vor der Einführung der Privil</w:t>
      </w:r>
      <w:r>
        <w:t>e</w:t>
      </w:r>
      <w:r>
        <w:t>gierung der Windenergieanlagen, verbunden mit der Steuerungswirkung durch Festsetzung von Konzentr</w:t>
      </w:r>
      <w:r>
        <w:t>a</w:t>
      </w:r>
      <w:r>
        <w:t>tionszonen, durch Änderung des Baugesetzbuches im Jahr 1996 errichtet worden sind. Das Repowering bietet Möglichkeiten, durch Zusammenfassung von Repoweringanlagen in Konzentrationszonen die Win</w:t>
      </w:r>
      <w:r>
        <w:t>d</w:t>
      </w:r>
      <w:r>
        <w:t>energienutzung im Gemeindegebiet neu zu ordnen.</w:t>
      </w:r>
    </w:p>
    <w:p w:rsidR="001C22C8" w:rsidRDefault="001C22C8" w:rsidP="001C22C8">
      <w:pPr>
        <w:pStyle w:val="GesAbsatz"/>
      </w:pPr>
      <w:r>
        <w:t>Um den vielschichtigen Aufgabenstellungen dabei gerecht zu werden, ist die Entwicklung eines gemeindl</w:t>
      </w:r>
      <w:r>
        <w:t>i</w:t>
      </w:r>
      <w:r>
        <w:t>chen Repowering-Konzeptes sinnvoll.</w:t>
      </w:r>
    </w:p>
    <w:p w:rsidR="001C22C8" w:rsidRDefault="001C22C8" w:rsidP="001C22C8">
      <w:pPr>
        <w:pStyle w:val="GesAbsatz"/>
      </w:pPr>
      <w:r>
        <w:t>Für das Repowering gelten die gleichen planungsrechtlichen Anforderungen wie für die Neuerrichtung von Windenergieanlagen. Sind im Flächennutzungsplan Konzentrationszonen für die Windenergie dargestellt, setzt die Zulässigkeit der neuen Windenergieanlagen im Außenbereich grundsätzlich voraus, dass die Standorte für die neuen Windenergieanlagen auch innerhalb einer Konzentrationszone für die Windenergie liegen.</w:t>
      </w:r>
    </w:p>
    <w:p w:rsidR="001C22C8" w:rsidRDefault="001C22C8" w:rsidP="001C22C8">
      <w:pPr>
        <w:pStyle w:val="GesAbsatz"/>
      </w:pPr>
      <w:r>
        <w:t>Altanlagen genießen zwar auch außerhalb von Konzentrationszonen Bestandsschutz, mit dem Rückbau der Altanlagen erlischt dieser jedoch. Hat sich in der Zeit zwischen der Errichtung der Altanlage und der Wi</w:t>
      </w:r>
      <w:r>
        <w:t>e</w:t>
      </w:r>
      <w:r>
        <w:t>dererrichtung einer neuen Anlage das Planungsrecht geändert, kann es sein, dass am Standort einer Alta</w:t>
      </w:r>
      <w:r>
        <w:t>n</w:t>
      </w:r>
      <w:r>
        <w:t>lage die Errichtung einer neuen Anlage nicht mehr zulässig ist. Viele Gemeinden haben die Zulässigkeit von Windenergieanlagen erst zu einem Zeitpunkt über § 35 Absatz 3 Satz 3 des Baugesetzbuches gesteuert, an dem viele Anlagen bereits errichtet wurden. Wenn diese Anlagen nunmehr außerhalb der Konzentrationsz</w:t>
      </w:r>
      <w:r>
        <w:t>o</w:t>
      </w:r>
      <w:r>
        <w:t>nen liegen, ist eine Neuerrichtung am alten Standort in der Regel nicht mehr möglich.</w:t>
      </w:r>
    </w:p>
    <w:p w:rsidR="001C22C8" w:rsidRDefault="001C22C8" w:rsidP="001C22C8">
      <w:pPr>
        <w:pStyle w:val="GesAbsatz"/>
      </w:pPr>
      <w:r>
        <w:t>Bei der planungsrechtlichen Absicherung des Repowering ist es zunächst von Bedeutung, dass dem Repowering innerhalb der Konzentrationszonen genügend Fläche zur Verfügung gestellt wird.</w:t>
      </w:r>
    </w:p>
    <w:p w:rsidR="001C22C8" w:rsidRDefault="001C22C8" w:rsidP="001C22C8">
      <w:pPr>
        <w:pStyle w:val="GesAbsatz"/>
      </w:pPr>
      <w:r>
        <w:t>Gemäß § 249 Absatz 2 des Baugesetzbuches kann nach § 9 Absatz 2 Satz 1 Nummer 2 des Baugesetzb</w:t>
      </w:r>
      <w:r>
        <w:t>u</w:t>
      </w:r>
      <w:r>
        <w:t>ches auch festgesetzt werden, dass die im Bebauungsplan festgesetzten Windenergieanlagen nur zulässig sind, wenn sichergestellt ist, dass nach der Errichtung der im Bebauungsplan festgesetzten Windenergiea</w:t>
      </w:r>
      <w:r>
        <w:t>n</w:t>
      </w:r>
      <w:r>
        <w:t>lagen andere im Bebauungsplan bezeichnete Windenergieanlagen innerhalb einer im Bebauungsplan zu bestimmenden angemessenen Frist zurückgebaut werden. Die Standorte der zurück zu bauenden Win</w:t>
      </w:r>
      <w:r>
        <w:t>d</w:t>
      </w:r>
      <w:r>
        <w:t>energieanlagen können auch außerhalb des Bebauungsplangebietes oder außerhalb des Gemeindegebi</w:t>
      </w:r>
      <w:r>
        <w:t>e</w:t>
      </w:r>
      <w:r>
        <w:t>tes liegen. Gemäß § 249 Absatz 2 Satz 3 des Baugesetzbuches können entsprechende Darstellungen im Flächennutzungsplan aufgenommen werden.</w:t>
      </w:r>
    </w:p>
    <w:p w:rsidR="001C22C8" w:rsidRDefault="001C22C8" w:rsidP="001C22C8">
      <w:pPr>
        <w:pStyle w:val="GesAbsatz"/>
      </w:pPr>
      <w:r>
        <w:lastRenderedPageBreak/>
        <w:t>Dabei ist zu berücksichtigen, dass bei einer immissionsschutzrechtlich genehmigungsbedürftigen Windene</w:t>
      </w:r>
      <w:r>
        <w:t>r</w:t>
      </w:r>
      <w:r>
        <w:t>gieanlage hierfür eine Verzichtserklärung der Betreiberin oder des Betreibers erforderlich ist. Daneben b</w:t>
      </w:r>
      <w:r>
        <w:t>e</w:t>
      </w:r>
      <w:r>
        <w:t>steht auch die Möglichkeit, einen Aufhebungsvertrag zwischen den Rechtsträgern der Genehmigungsbehö</w:t>
      </w:r>
      <w:r>
        <w:t>r</w:t>
      </w:r>
      <w:r>
        <w:t>de und der Betreiberin oder dem Betreiber zu schließen. In jedem Fall ist die Beseitigung der zurückzuba</w:t>
      </w:r>
      <w:r>
        <w:t>u</w:t>
      </w:r>
      <w:r>
        <w:t>enden Windenergieanlage zu gewährleisten. Im Hinblick auf den baurechtlichen Bestandsschutz hat die Betreiberin oder der Betreiber beziehungsweise die Inhaberin oder der Inhaber der Genehmigung der zurück zu bauenden Windenergieanlagen darüber hinaus eine Rückbauverpflichtung zu übernehmen. Die Rüc</w:t>
      </w:r>
      <w:r>
        <w:t>k</w:t>
      </w:r>
      <w:r>
        <w:t>bauverpflichtung ist durch Baulast oder in anderer Weise sicherzustellen. Eine Planung nach § 249 Absatz 2 des Baugesetzbuches wird nur dann zielführend sein, wenn die Gemeinde zwischen den Betreiberinnen und Betreibern der Alt-Windenergieanlagen und den Flächeneigentümerinnen und Flächeneigentümern der g</w:t>
      </w:r>
      <w:r>
        <w:t>e</w:t>
      </w:r>
      <w:r>
        <w:t>planten Konzentrationszone vermittelt und die Umsetzbarkeit der Planung so unterstützt.</w:t>
      </w:r>
    </w:p>
    <w:p w:rsidR="001C22C8" w:rsidRDefault="001C22C8" w:rsidP="001C22C8">
      <w:pPr>
        <w:pStyle w:val="GesAbsatz"/>
      </w:pPr>
      <w:r>
        <w:t>Im Einzelnen wird auf den Leitfaden des Deutschen Städte- und Gemeindebundes „Kommunale Han</w:t>
      </w:r>
      <w:r>
        <w:t>d</w:t>
      </w:r>
      <w:r>
        <w:t>lungsmöglichkeiten beim Ausbau der Windenergie – unter besonderer Berücksichtigung des Repowering“ verwiesen (DStGB-Dokumentation Nummer 111).</w:t>
      </w:r>
    </w:p>
    <w:p w:rsidR="001C22C8" w:rsidRDefault="001C22C8" w:rsidP="005A6075">
      <w:pPr>
        <w:pStyle w:val="berschrift2"/>
        <w:jc w:val="left"/>
      </w:pPr>
      <w:bookmarkStart w:id="22" w:name="_Toc451849524"/>
      <w:r>
        <w:t>5</w:t>
      </w:r>
      <w:r w:rsidR="005A6075">
        <w:t xml:space="preserve"> </w:t>
      </w:r>
      <w:r>
        <w:t>Genehmigung von Windenergieanlagen</w:t>
      </w:r>
      <w:bookmarkEnd w:id="22"/>
    </w:p>
    <w:p w:rsidR="001C22C8" w:rsidRDefault="001C22C8" w:rsidP="005A6075">
      <w:pPr>
        <w:pStyle w:val="berschrift3"/>
        <w:jc w:val="left"/>
      </w:pPr>
      <w:bookmarkStart w:id="23" w:name="_Toc451849525"/>
      <w:r>
        <w:t>5.1</w:t>
      </w:r>
      <w:r w:rsidR="005A6075">
        <w:t xml:space="preserve"> </w:t>
      </w:r>
      <w:r>
        <w:t>Verfahren zur Genehmigung von Windenergieanlagen</w:t>
      </w:r>
      <w:bookmarkEnd w:id="23"/>
    </w:p>
    <w:p w:rsidR="001C22C8" w:rsidRDefault="001C22C8" w:rsidP="001C22C8">
      <w:pPr>
        <w:pStyle w:val="GesAbsatz"/>
      </w:pPr>
      <w:r>
        <w:t>Bei Windenergieanlagen handelt es sich um Anlagen im Sinn von § 3 Absatz 5 des Bundes-Immissionsschutzgesetzes (BImSchG). Sie unterliegen den immissionsschutzrechtlichen Anforderungen nach § 5 des Bundes-Immissionsschutzgesetzes bei genehmigungsbedürftigen Anlagen nach dem Bundes-Immissionsschutzgesetz.</w:t>
      </w:r>
    </w:p>
    <w:p w:rsidR="001C22C8" w:rsidRPr="00801060" w:rsidRDefault="001C22C8" w:rsidP="001C22C8">
      <w:pPr>
        <w:pStyle w:val="GesAbsatz"/>
        <w:rPr>
          <w:b/>
        </w:rPr>
      </w:pPr>
      <w:r w:rsidRPr="00801060">
        <w:rPr>
          <w:b/>
        </w:rPr>
        <w:t>5.1.1</w:t>
      </w:r>
      <w:r w:rsidR="005A6075" w:rsidRPr="00801060">
        <w:rPr>
          <w:b/>
        </w:rPr>
        <w:t xml:space="preserve"> </w:t>
      </w:r>
      <w:r w:rsidRPr="00801060">
        <w:rPr>
          <w:b/>
        </w:rPr>
        <w:t>Immissionsschutzrechtliche Verfahren</w:t>
      </w:r>
    </w:p>
    <w:p w:rsidR="001C22C8" w:rsidRDefault="001C22C8" w:rsidP="001C22C8">
      <w:pPr>
        <w:pStyle w:val="GesAbsatz"/>
      </w:pPr>
      <w:r>
        <w:t>Windenergieanlagen, mit einer Gesamthöhe von mehr als 50 Metern, unterfallen Nummer 1.6 des Anhangs zur Verordnung über genehmigungsbedürftige Anlagen (4. BImSchV) und bedürfen einer immissionsschut</w:t>
      </w:r>
      <w:r>
        <w:t>z</w:t>
      </w:r>
      <w:r>
        <w:t>rechtlichen Genehmigung nach § 4 des Bundes-Immissionsschutzgesetzes. Windenergieanlagen sind dann im Sinn der Nummern 1.6.1 und 1.6.2 der Verordnung über genehmigungsbedürftige Anlagen zu Gruppen zusammenzufassen, wenn sie von derselben Betreiberin oder demselben Betreiber betrieben werden und</w:t>
      </w:r>
    </w:p>
    <w:p w:rsidR="001C22C8" w:rsidRDefault="001C22C8" w:rsidP="001C22C8">
      <w:pPr>
        <w:pStyle w:val="GesAbsatz"/>
      </w:pPr>
      <w:r>
        <w:t>–</w:t>
      </w:r>
      <w:r w:rsidR="005A6075">
        <w:tab/>
      </w:r>
      <w:r>
        <w:t>sich innerhalb einer bauleitplanerisch ausgewiesenen Fläche befinden, oder</w:t>
      </w:r>
    </w:p>
    <w:p w:rsidR="001C22C8" w:rsidRDefault="001C22C8" w:rsidP="005A6075">
      <w:pPr>
        <w:pStyle w:val="GesAbsatz"/>
        <w:ind w:left="426" w:hanging="426"/>
      </w:pPr>
      <w:r>
        <w:t>–</w:t>
      </w:r>
      <w:r w:rsidR="005A6075">
        <w:tab/>
      </w:r>
      <w:r>
        <w:t>sich ihr Einwirkungsbereich in Bezug auf die Schutzgüter des § 1 des Bundes-Immissions</w:t>
      </w:r>
      <w:r w:rsidR="005A6075">
        <w:softHyphen/>
      </w:r>
      <w:r>
        <w:t>schutzgesetzes überschneidet oder berührt.</w:t>
      </w:r>
    </w:p>
    <w:p w:rsidR="001C22C8" w:rsidRDefault="001C22C8" w:rsidP="001C22C8">
      <w:pPr>
        <w:pStyle w:val="GesAbsatz"/>
      </w:pPr>
      <w:r>
        <w:t>Die Abgrenzung einer Anlagengruppe im Sinn der Verordnung über genehmigungsbedürftige Anlagen ist daher von der Abgrenzung der Windfarm im Sinn des Gesetzes über die Umweltverträglichkeitsprüfung (d</w:t>
      </w:r>
      <w:r>
        <w:t>a</w:t>
      </w:r>
      <w:r>
        <w:t>zu siehe Nummer 5.1.2) zu unterscheiden, die keinen Betreiberbezug kennt.</w:t>
      </w:r>
    </w:p>
    <w:p w:rsidR="001C22C8" w:rsidRDefault="001C22C8" w:rsidP="001C22C8">
      <w:pPr>
        <w:pStyle w:val="GesAbsatz"/>
      </w:pPr>
      <w:r>
        <w:t>Der Schutz der Gesundheit ist durch die Regelungen des Bundes-Immissionsschutzgesetzes, seiner Ve</w:t>
      </w:r>
      <w:r>
        <w:t>r</w:t>
      </w:r>
      <w:r>
        <w:t>ordnungen und Verwaltungsvorschriften gewährleistet. Der Schutz vor schädlichen Umwelteinwirkungen im Immissionsschutzrecht beginnt bereits an der Schwelle zur erheblichen Belästigung (§ 3 Absatz 1 BImSchG) und damit vor dem Eintritt von Gesundheitsgefahren. Das Immissionsschutzrecht geht damit über den Schutz der Gesundheitsgefahr hinaus. Es hat auch das körperliche und seelische Wohlbefinden des Me</w:t>
      </w:r>
      <w:r>
        <w:t>n</w:t>
      </w:r>
      <w:r>
        <w:t>schen und damit die Abwehr von Belästigungen zum Ziel.</w:t>
      </w:r>
    </w:p>
    <w:p w:rsidR="001C22C8" w:rsidRDefault="001C22C8" w:rsidP="001C22C8">
      <w:pPr>
        <w:pStyle w:val="GesAbsatz"/>
      </w:pPr>
      <w:r>
        <w:t>Wird eine bestehende Anlage geändert, ist bei wesentlichen Änderungen ein Änderungsgenehmigungsve</w:t>
      </w:r>
      <w:r>
        <w:t>r</w:t>
      </w:r>
      <w:r>
        <w:t>fahren nach § 16 des Bundes-Immissionsschutzgesetzes, ansonsten eine Anzeige nach § 15 des Bundes-Immissionsschutzgesetzes erforderlich. Demgegenüber liegt eine Neuerrichtung vor, wenn die Änderungen derart prägend sind, dass die gesamte Anlage als eine neue Anlage qualifiziert werden muss.</w:t>
      </w:r>
    </w:p>
    <w:p w:rsidR="001C22C8" w:rsidRDefault="001C22C8" w:rsidP="001C22C8">
      <w:pPr>
        <w:pStyle w:val="GesAbsatz"/>
      </w:pPr>
      <w:r>
        <w:t>Werden eine Anlage oder Teile einer Anlage im Rahmen der erteilten Genehmigung ersetzt oder ausg</w:t>
      </w:r>
      <w:r>
        <w:t>e</w:t>
      </w:r>
      <w:r>
        <w:t>tauscht, bedarf es nach § 16 Absatz 5 des Bundes-Immissionsschutzgesetzes keiner Genehmigung. Halten sich der Austausch oder das Ersetzen hingegen nicht im Rahmen der vorliegenden Genehmigung, handelt es sich um eine Änderung, für die § 15 und 16 Absatz 1 des Bundes-Immissionsschutzgesetzes zu prüfen sind. Einer Neugenehmigung nach § 4 des Bundes-Immissionsschutzgesetzes bedarf es auch in diesen Fällen dann, wenn die Anlage in ihrem Kernbestand, in ihrem Charakter grundlegend geändert wird. Bei einer Änderung des Anlagentyps ist in der Regel eine Neugenehmigung erforderlich. Sind die Umweltau</w:t>
      </w:r>
      <w:r>
        <w:t>s</w:t>
      </w:r>
      <w:r>
        <w:t>wirkungen jedoch im Wesentlichen identisch und weichen etwa der Rotorradius oder die Gesamthöhe der neuen Anlage nur geringfügig ab oder werden die Leistung oder die Lärmauswirkungen sogar verringert, kann insoweit grundsätzlich auch ein Änderungsgenehmigungsverfahren in Betracht kommen. In diesem Fall ist es nicht erforderlich alle mit deiner Neugenehmigung verbundenen Verfahrensschritte erneut vorzune</w:t>
      </w:r>
      <w:r>
        <w:t>h</w:t>
      </w:r>
      <w:r>
        <w:t xml:space="preserve">men (vgl. unter anderen Bay. VGH, Beschl. v. 8.6.2015 – 22 CS 15.686 –, Juris, </w:t>
      </w:r>
      <w:proofErr w:type="spellStart"/>
      <w:r>
        <w:t>Rn</w:t>
      </w:r>
      <w:proofErr w:type="spellEnd"/>
      <w:r>
        <w:t xml:space="preserve">. 35; VG Trier, Beschl. v. 3.5.2013, – 5 L 324/13.TR –, Juris, </w:t>
      </w:r>
      <w:proofErr w:type="spellStart"/>
      <w:r>
        <w:t>Rn</w:t>
      </w:r>
      <w:proofErr w:type="spellEnd"/>
      <w:r>
        <w:t>. 15).</w:t>
      </w:r>
    </w:p>
    <w:p w:rsidR="001C22C8" w:rsidRDefault="001C22C8" w:rsidP="001C22C8">
      <w:pPr>
        <w:pStyle w:val="GesAbsatz"/>
      </w:pPr>
      <w:r>
        <w:lastRenderedPageBreak/>
        <w:t>Kommt die Immissionsschutzbehörde zu dem Ergebnis, dass das Vorhaben keine immissionsschutzrechtlich relevante Änderung im Sinn des § 16 in Verbindung mit § 6 Absatz 1 Nummer 1 des Bundes-Immissionsschutzgesetzes darstellt, können dennoch andere Genehmigungsverfahren erforderlich sein. So kann etwa ein Baugenehmigungsverfahren notwendig sein, da Windenergieanlagen bauliche Anlagen im Sinn der Landesbauordnung sind. Gleiches gilt, wenn ein Anzeigeverfahren nach § 15 des Bundes-Immissionsschutzgesetzes durchgeführt wird, denn gemäß § 63 Absatz 2 der Landesbauordnung schließt nur die Genehmigung nach § 16 Absatz 1 des Bundes-Immissionsschutzgesetzes die Baugenehmigung ein.</w:t>
      </w:r>
    </w:p>
    <w:p w:rsidR="001C22C8" w:rsidRDefault="001C22C8" w:rsidP="001C22C8">
      <w:pPr>
        <w:pStyle w:val="GesAbsatz"/>
      </w:pPr>
      <w:r>
        <w:t>Gemäß § 13 des Bundes-Immissionsschutzgesetzes schließt die immissionsschutzrechtliche Neu- oder Änderungsgenehmigung andere die Anlage betreffende behördliche Entscheidungen, insbesondere G</w:t>
      </w:r>
      <w:r>
        <w:t>e</w:t>
      </w:r>
      <w:r>
        <w:t>nehmigungen, Zulassungen, Verleihungen, Erlaubnisse und Bewilligungen mit Ausnahme der in dieser Vo</w:t>
      </w:r>
      <w:r>
        <w:t>r</w:t>
      </w:r>
      <w:r>
        <w:t>schrift ausdrücklich genannten Entscheidungen ein (Konzentrationswirkung).</w:t>
      </w:r>
    </w:p>
    <w:p w:rsidR="001C22C8" w:rsidRDefault="001C22C8" w:rsidP="001C22C8">
      <w:pPr>
        <w:pStyle w:val="GesAbsatz"/>
      </w:pPr>
      <w:r>
        <w:t>Von der Konzentrationswirkung erfasst werden ausschließlich anlagebezogene („die Anlage betreffende“) Entscheidungen. Anlagebezogen sind solche Entscheidungen, die Voraussetzung für die Errichtung und den Betrieb der Anlage sind und insoweit eine „Freigabewirkung“ für die Betreiberin oder den Betreiber der Anl</w:t>
      </w:r>
      <w:r>
        <w:t>a</w:t>
      </w:r>
      <w:r>
        <w:t>ge haben.</w:t>
      </w:r>
    </w:p>
    <w:p w:rsidR="001C22C8" w:rsidRDefault="001C22C8" w:rsidP="001C22C8">
      <w:pPr>
        <w:pStyle w:val="GesAbsatz"/>
      </w:pPr>
      <w:r>
        <w:t xml:space="preserve">Dementsprechend ist die forstbehördliche Genehmigung nach § 9 Absatz 1 des Bundeswaldgesetzes (BWaldG) in Verbindung mit § 39 des Landesforstgesetzes (LFoG NRW) (Waldumwandlungsgenehmigung) insoweit gemäß § 13 des Bundes-Immissionsschutzgesetzes konzentriert, als die Umwandlung von Wald deshalb erforderlich ist, weil auf dem Grundstück, auf dem die Anlage errichtet oder betrieben werden soll, Wald stockt (OVG Lüneburg, Beschl. v. 29.08.2013, – 4 ME 76/13 –, Juris, </w:t>
      </w:r>
      <w:proofErr w:type="spellStart"/>
      <w:r>
        <w:t>Rn</w:t>
      </w:r>
      <w:proofErr w:type="spellEnd"/>
      <w:r>
        <w:t>. 21) und die Waldfläche daher in eine andere Nutzungsart überführt wird. Wenn sich die Waldumwandlung hingegen auf Flächen bezieht, die nicht direkt von der Errichtung oder dem Betrieb der Anlage betroffen sind, sondern lediglich in der Nähe liegen, ist eine Konzentrationswirkung wegen des fehlenden Anlagenbezugs nicht gegeben. Das gilt auch dann, wenn die Umwandlung der Waldflächen in eine andere Nutzungsart erforderlich ist, damit es nicht zu schädlichen Umweltauswirkungen durch die Anlage auf umliegende Waldgebiete kommt (Durch den Run</w:t>
      </w:r>
      <w:r>
        <w:t>d</w:t>
      </w:r>
      <w:r>
        <w:t>erlass des Ministeriums für Klimaschutz, Umwelt, Landwirtschaft, Natur- und Verbraucherschutz vom 23. Februar 2015 (</w:t>
      </w:r>
      <w:proofErr w:type="spellStart"/>
      <w:r>
        <w:t>n.v.</w:t>
      </w:r>
      <w:proofErr w:type="spellEnd"/>
      <w:r>
        <w:t>) V.2, wurden die insoweit widersprechenden Regelungen in der Verwaltungsvorschrift für das Bundes-Immissionsschutzgesetz aufgehoben).</w:t>
      </w:r>
    </w:p>
    <w:p w:rsidR="001C22C8" w:rsidRDefault="001C22C8" w:rsidP="001C22C8">
      <w:pPr>
        <w:pStyle w:val="GesAbsatz"/>
      </w:pPr>
      <w:r>
        <w:t>Konzentriert die immissionsschutzrechtliche Genehmigung die Waldumwandlungsgenehmigung, wird durch Nebenbestimmungen sichergestellt, dass der Verlust der Waldfunktionen im Regelfall durch Ersatzauffor</w:t>
      </w:r>
      <w:r>
        <w:t>s</w:t>
      </w:r>
      <w:r>
        <w:t>tungen ausgeglichen wird.</w:t>
      </w:r>
    </w:p>
    <w:p w:rsidR="001C22C8" w:rsidRPr="00801060" w:rsidRDefault="001C22C8" w:rsidP="001C22C8">
      <w:pPr>
        <w:pStyle w:val="GesAbsatz"/>
        <w:rPr>
          <w:b/>
        </w:rPr>
      </w:pPr>
      <w:r w:rsidRPr="00801060">
        <w:rPr>
          <w:b/>
        </w:rPr>
        <w:t>5.1.2</w:t>
      </w:r>
      <w:r w:rsidR="005A6075" w:rsidRPr="00801060">
        <w:rPr>
          <w:b/>
        </w:rPr>
        <w:t xml:space="preserve"> </w:t>
      </w:r>
      <w:r w:rsidRPr="00801060">
        <w:rPr>
          <w:b/>
        </w:rPr>
        <w:t>Umweltverträglichkeitsprüfung</w:t>
      </w:r>
    </w:p>
    <w:p w:rsidR="001C22C8" w:rsidRDefault="001C22C8" w:rsidP="001C22C8">
      <w:pPr>
        <w:pStyle w:val="GesAbsatz"/>
      </w:pPr>
      <w:r>
        <w:t>Für Windfarmen mit drei bis fünf Anlagen ist eine standortbezogene Vorprüfung und mit sechs bis 19 Anl</w:t>
      </w:r>
      <w:r>
        <w:t>a</w:t>
      </w:r>
      <w:r>
        <w:t>gen eine allgemeine Vorprüfung erforderlich, ob wegen möglicher nachteiliger erheblicher Umweltauswi</w:t>
      </w:r>
      <w:r>
        <w:t>r</w:t>
      </w:r>
      <w:r>
        <w:t>kungen eine Umweltverträglichkeitsprüfung erforderlich ist. Bei 20 und mehr Anlagen innerhalb einer Win</w:t>
      </w:r>
      <w:r>
        <w:t>d</w:t>
      </w:r>
      <w:r>
        <w:t>farm ist immer eine Umweltverträglichkeitsprüfung erforderlich.</w:t>
      </w:r>
    </w:p>
    <w:p w:rsidR="001C22C8" w:rsidRDefault="001C22C8" w:rsidP="001C22C8">
      <w:pPr>
        <w:pStyle w:val="GesAbsatz"/>
      </w:pPr>
      <w:r>
        <w:t>a)</w:t>
      </w:r>
      <w:r w:rsidR="005A6075">
        <w:tab/>
      </w:r>
      <w:r>
        <w:t>Bestimmung der Windfarm</w:t>
      </w:r>
    </w:p>
    <w:p w:rsidR="001C22C8" w:rsidRDefault="001C22C8" w:rsidP="00801060">
      <w:pPr>
        <w:pStyle w:val="GesAbsatz"/>
        <w:tabs>
          <w:tab w:val="clear" w:pos="425"/>
          <w:tab w:val="left" w:pos="426"/>
        </w:tabs>
      </w:pPr>
      <w:r>
        <w:t>Die Prüfung, ob ein Vorhaben überhaupt einer der Nummern der Anlage 1 zum des Gesetzes über die U</w:t>
      </w:r>
      <w:r>
        <w:t>m</w:t>
      </w:r>
      <w:r>
        <w:t>weltverträglichkeitsprüfung zuzuordnen ist beziehungsweise ob eine bestimmte Windenergieanlage zu einer Windfarm zu zählen ist, darf weder die Umweltverträglichkeitsprüfung noch die Vorprüfung des Einzelfalls vorwegnehmen. Der Prüfungsmaßstab muss vielmehr weiter sein als in den nachgelagerten Umweltprüfu</w:t>
      </w:r>
      <w:r>
        <w:t>n</w:t>
      </w:r>
      <w:r>
        <w:t xml:space="preserve">gen (OVG NRW, Beschl. v. 23.7.2014 – 8 B 356/14 –, </w:t>
      </w:r>
      <w:proofErr w:type="spellStart"/>
      <w:r>
        <w:t>Rdn</w:t>
      </w:r>
      <w:proofErr w:type="spellEnd"/>
      <w:r>
        <w:t>. 72). Im Zweifel sind Unsicherheiten über den Einwirkungsbereich auf dem Weg einer Vorprüfung zu klären.</w:t>
      </w:r>
    </w:p>
    <w:p w:rsidR="001C22C8" w:rsidRDefault="001C22C8" w:rsidP="00801060">
      <w:pPr>
        <w:pStyle w:val="GesAbsatz"/>
        <w:tabs>
          <w:tab w:val="clear" w:pos="425"/>
          <w:tab w:val="left" w:pos="426"/>
        </w:tabs>
      </w:pPr>
      <w:r>
        <w:t>Unter Windfarm wird die Planung oder Errichtung von mindestens drei Anlagen verstanden, die</w:t>
      </w:r>
    </w:p>
    <w:p w:rsidR="001C22C8" w:rsidRDefault="001C22C8" w:rsidP="00801060">
      <w:pPr>
        <w:pStyle w:val="GesAbsatz"/>
        <w:ind w:left="426" w:hanging="425"/>
      </w:pPr>
      <w:r>
        <w:t>–</w:t>
      </w:r>
      <w:r w:rsidR="005A6075">
        <w:tab/>
      </w:r>
      <w:r>
        <w:t>sich innerhalb einer bauleitplanerischen ausgewiesenen Fläche befinden oder</w:t>
      </w:r>
    </w:p>
    <w:p w:rsidR="001C22C8" w:rsidRDefault="001C22C8" w:rsidP="00801060">
      <w:pPr>
        <w:pStyle w:val="GesAbsatz"/>
        <w:ind w:left="426" w:hanging="425"/>
      </w:pPr>
      <w:r>
        <w:t>–</w:t>
      </w:r>
      <w:r w:rsidR="005A6075">
        <w:tab/>
      </w:r>
      <w:r>
        <w:t>im räumlichen Zusammenhang stehen und bei denen sich ihre Einwirkungsbereiche in Bezug auf die Schutzgüter der § 2 Absatz 1 Satz 2 des Gesetzes über die Umweltverträglichkeitsprüfung überschne</w:t>
      </w:r>
      <w:r>
        <w:t>i</w:t>
      </w:r>
      <w:r>
        <w:t>den oder wenigstens berühren.</w:t>
      </w:r>
    </w:p>
    <w:p w:rsidR="001C22C8" w:rsidRDefault="001C22C8" w:rsidP="00801060">
      <w:pPr>
        <w:pStyle w:val="GesAbsatz"/>
        <w:tabs>
          <w:tab w:val="clear" w:pos="425"/>
        </w:tabs>
      </w:pPr>
      <w:r>
        <w:t>Die Neuerrichtung einer Windenergieanlage innerhalb einer Windfarm stellt unter UVP-Gesichtspunkten eine Änderung des Vorhabens „Windfarm“ dar. Bei der Frage, ob dafür eine Umweltverträglichkeitsprüfung erfo</w:t>
      </w:r>
      <w:r>
        <w:t>r</w:t>
      </w:r>
      <w:r>
        <w:t>derlich ist, sind alle bestehenden, genehmigten oder vorher beantragten Anlagen innerhalb der Windfarm, die noch nicht Gegenstand einer Umweltverträglichkeitsprüfung waren, hinzu zu zählen. Vorbelastung und Umweltauswirkungen der neu beantragten Anlagen können zusammen die Möglichkeit erheblicher, nachte</w:t>
      </w:r>
      <w:r>
        <w:t>i</w:t>
      </w:r>
      <w:r>
        <w:t>liger Umweltauswirkungen ergeben und damit zur Notwendigkeit einer Umweltverträglichkeitsprüfung für die neu beantragten Anlagen führen. Unberücksichtigt bleiben Anlagen, die vor dem 14. März 1999 genehmigt worden und Anträge, die zeitlich erst gestellt worden sind, nachdem die Antragsunterlagen vollständig eing</w:t>
      </w:r>
      <w:r>
        <w:t>e</w:t>
      </w:r>
      <w:r>
        <w:t>reicht worden sind.</w:t>
      </w:r>
    </w:p>
    <w:p w:rsidR="001C22C8" w:rsidRDefault="001C22C8" w:rsidP="00801060">
      <w:pPr>
        <w:pStyle w:val="GesAbsatz"/>
        <w:tabs>
          <w:tab w:val="clear" w:pos="425"/>
        </w:tabs>
      </w:pPr>
      <w:r>
        <w:lastRenderedPageBreak/>
        <w:t>In einer Windfarm sind alle Windenergieanlagen zusammenzufassen, bei denen die abstrakte Möglichkeit besteht, dass sich ihre Einwirkungsbereiche bezogen auf ein bestimmtes Schutzgut überschneiden oder wenigstens berühren. Grundsätzlich reicht dazu eine typisierende Bewertung des Einwirkungsbereiches in Bezug auf akustische und optische Beeinträchtigungen (z.B.: Rotordurchmesser, Anlagenhöhe, geometr</w:t>
      </w:r>
      <w:r>
        <w:t>i</w:t>
      </w:r>
      <w:r>
        <w:t>scher Schwerpunkt der umrissenen Fläche).</w:t>
      </w:r>
    </w:p>
    <w:p w:rsidR="001C22C8" w:rsidRDefault="001C22C8" w:rsidP="00801060">
      <w:pPr>
        <w:pStyle w:val="GesAbsatz"/>
        <w:tabs>
          <w:tab w:val="clear" w:pos="425"/>
        </w:tabs>
      </w:pPr>
      <w:r>
        <w:t>Bei ausreichenden Anhaltspunkten für die Betroffenheit ganz bestimmter UVP-Schutzgüter (z.B. „Tiere“ im Sinn des § 2 Absatz 1 Satz 2 Nummer 1 UVPG) muss dagegen eine konkret schutzgutbezogene Bewertung erfolgen. Im Fall der Betroffenheit von windenergieempfindlichen Tierarten in der Umgebung einer Win</w:t>
      </w:r>
      <w:r>
        <w:t>d</w:t>
      </w:r>
      <w:r>
        <w:t>energieanlage ist dazu die abstrakte Möglichkeit nachteiliger Auswirkungen nach artspezifischer Empfin</w:t>
      </w:r>
      <w:r>
        <w:t>d</w:t>
      </w:r>
      <w:r>
        <w:t>lichkeit oder Gefährdung zu untersuchen.</w:t>
      </w:r>
    </w:p>
    <w:p w:rsidR="001C22C8" w:rsidRDefault="001C22C8" w:rsidP="00801060">
      <w:pPr>
        <w:pStyle w:val="GesAbsatz"/>
        <w:tabs>
          <w:tab w:val="clear" w:pos="425"/>
        </w:tabs>
      </w:pPr>
      <w:r>
        <w:t>Die Empfindlichkeit von Tierarten gegenüber betriebsbedingten Auswirkungen von Windenergieanlagen in Nordrhein-Westfalen ist in Anhang 4 des Leitfadens „Umsetzung des Arten- und Habitatschutzes bei der Planung und Genehmigung von Windenergieanlagen in Nordrhein-Westfalen“ abschließend geregelt (Ei</w:t>
      </w:r>
      <w:r>
        <w:t>n</w:t>
      </w:r>
      <w:r>
        <w:t>führung des Leitfadens gegenüber den nachgeordneten Naturschutzbehörden durch Runderlass des Mini</w:t>
      </w:r>
      <w:r>
        <w:t>s</w:t>
      </w:r>
      <w:r>
        <w:t>teriums für Klimaschutz, Umwelt, Landwirtschaft, Natur- und Verbraucherschutz vom 12.</w:t>
      </w:r>
      <w:r w:rsidR="005B3597">
        <w:t xml:space="preserve"> </w:t>
      </w:r>
      <w:r>
        <w:t>November 2013 (</w:t>
      </w:r>
      <w:proofErr w:type="spellStart"/>
      <w:r>
        <w:t>n.v.</w:t>
      </w:r>
      <w:proofErr w:type="spellEnd"/>
      <w:r>
        <w:t>) III-4-616.19.02.05). Bei Arten, die nach diesem Leitfaden nicht als windenergieempfindlich qualifiziert werden, ist nicht abstrakt mit artspezifischen Nachteilen zu rechnen. Der Prüfmaßstab für die Abgrenzung der Windfarm muss nach dem Beschluss des Oberverwaltungsgerichtes Nordrhein-Westfalen vom 23. J</w:t>
      </w:r>
      <w:r>
        <w:t>u</w:t>
      </w:r>
      <w:r>
        <w:t>li</w:t>
      </w:r>
      <w:r w:rsidR="00801060">
        <w:t> </w:t>
      </w:r>
      <w:r>
        <w:t>2014 (Az: 8 B 356/14) weiter sein als bei der nachgelagerten artenschutzrechtlichen Prüfung.</w:t>
      </w:r>
    </w:p>
    <w:p w:rsidR="001C22C8" w:rsidRDefault="001C22C8" w:rsidP="00801060">
      <w:pPr>
        <w:pStyle w:val="GesAbsatz"/>
        <w:tabs>
          <w:tab w:val="clear" w:pos="425"/>
        </w:tabs>
      </w:pPr>
      <w:r>
        <w:t>Die abstrakte Möglichkeit einer Gefährdung windenergieempfindlicher Tierarten setzt voraus, dass diese in der Umgebung einer Windenergieanlage auch tatsächlich wiederholt vorkommen, etwa im Rahmen tatsäc</w:t>
      </w:r>
      <w:r>
        <w:t>h</w:t>
      </w:r>
      <w:r>
        <w:t>lich genutzter Lebensstätten oder bedeutender Lebensraumelemente (z.B. Brutplätze, bedeutende Na</w:t>
      </w:r>
      <w:r>
        <w:t>h</w:t>
      </w:r>
      <w:r>
        <w:t>rungsbereiche) Indikatoren dafür sind die Häufigkeit, Intensität und Regelmäßigkeit der Nutzung. Ausre</w:t>
      </w:r>
      <w:r>
        <w:t>i</w:t>
      </w:r>
      <w:r>
        <w:t>chende Anhaltspunkte für eine tatsächliche Nutzung können sich aus vorliegenden Erkenntnissen der unt</w:t>
      </w:r>
      <w:r>
        <w:t>e</w:t>
      </w:r>
      <w:r>
        <w:t>ren Naturschutzbehörde sowie weiteren Erkenntnisquellen ergeben (z.B. Karte der Schwerpunktvorkommen windenergieempfindlicher Vogelarten aus dem Energieatlas NRW, @LINFOS, vorliegende Unterlagen aus Artenschutzprüfungen, ernstzunehmende Hinweisen der anerkannten Naturschutzvereinigungen oder Biol</w:t>
      </w:r>
      <w:r>
        <w:t>o</w:t>
      </w:r>
      <w:r>
        <w:t>gischen Stationen). Eine rein abstrakte Annahme, dass ein bestimmter Naturraum ein potenziell geeigneter Lebensraum für eine bestimmte Art ist, reicht nicht aus, um einen Einwirkungsbereich im Sinn des Gesetzes über die Umweltverträglichkeitsprüfung zu begründen. Es kann davon ausgegangen werden, dass derartige Beeinträchtigungen in der Regel räumlich nicht weiter reichen als die artenschutzrechtlich zu beurteilenden Einwirkungen und daher mit den diesbezüglichen folgenden Regelungen ausreichend erfasst sind.</w:t>
      </w:r>
    </w:p>
    <w:p w:rsidR="001C22C8" w:rsidRDefault="001C22C8" w:rsidP="00801060">
      <w:pPr>
        <w:pStyle w:val="GesAbsatz"/>
        <w:tabs>
          <w:tab w:val="clear" w:pos="425"/>
        </w:tabs>
      </w:pPr>
      <w:r>
        <w:t>Artspezifische Nachteile können etwa in einem artbedingten Kollisionsrisiko oder Meideverhalten, Auswi</w:t>
      </w:r>
      <w:r>
        <w:t>r</w:t>
      </w:r>
      <w:r>
        <w:t>kungen auf Fortpflanzungs- oder Ruhestätten sowie auf die Nahrungssituation oder eine besondere Em</w:t>
      </w:r>
      <w:r>
        <w:t>p</w:t>
      </w:r>
      <w:r>
        <w:t>findlichkeit der jeweiligen Art gegenüber betriebsbedingten Veränderungen der physikalischen Umgebung bestehen.</w:t>
      </w:r>
    </w:p>
    <w:p w:rsidR="001C22C8" w:rsidRDefault="001C22C8" w:rsidP="00801060">
      <w:pPr>
        <w:pStyle w:val="GesAbsatz"/>
        <w:tabs>
          <w:tab w:val="clear" w:pos="425"/>
          <w:tab w:val="left" w:pos="426"/>
        </w:tabs>
      </w:pPr>
      <w:r>
        <w:t>Für die Entscheidung, in welchem räumlichen Bereich um beziehungsweise in welchem Abstand zu einer Windenergieanlage abstrakt mit artspezifischen Nachteilen zu rechnen sein kann, bieten entsprechende natur- und artenschutzfachliche Erkenntnisse sachgerechte Anhalte (OVG NRW, Beschl. v. 23.7.2014 – 8 B 356/14).</w:t>
      </w:r>
    </w:p>
    <w:p w:rsidR="001C22C8" w:rsidRDefault="001C22C8" w:rsidP="00801060">
      <w:pPr>
        <w:pStyle w:val="GesAbsatz"/>
        <w:tabs>
          <w:tab w:val="clear" w:pos="425"/>
          <w:tab w:val="left" w:pos="426"/>
        </w:tabs>
      </w:pPr>
      <w:r>
        <w:t xml:space="preserve">Die Landesregierung hat als oberste Naturschutzbehörde auf Basis der naturschutzfachlichen Expertise des Landesamt für Natur, Umwelt und Verbraucherschutz mit der Veröffentlichung des Leitfadens „Umsetzung des Arten- und Habitatschutzes bei der Planung und Genehmigung von Windenergieanlagen in Nordrhein-Westfalen“ von ihrer vom Bundesverwaltungsgericht anerkannten Einschätzungsprärogative (BVerwG, Urt. v. 27.6.2013 – 4 C 1.12, </w:t>
      </w:r>
      <w:proofErr w:type="spellStart"/>
      <w:r>
        <w:t>Rn</w:t>
      </w:r>
      <w:proofErr w:type="spellEnd"/>
      <w:r>
        <w:t>. 15) auch im Hinblick auf die Bewertung der Gefahren, denen die Exemplare der geschützten Arten bei Realisierung des Vorhabens ausgesetzt sein können, Gebrauch gemacht. Im Leitf</w:t>
      </w:r>
      <w:r>
        <w:t>a</w:t>
      </w:r>
      <w:r>
        <w:t>den sind die Diskussion um die Artenauswahl der windenergieempfindlichen Arten sowie die Abstandsem</w:t>
      </w:r>
      <w:r>
        <w:t>p</w:t>
      </w:r>
      <w:r>
        <w:t xml:space="preserve">fehlungen des sogenannten „Helgoländer Papiers“ der Länderarbeitsgemeinschaft der Vogelschutzwarten (LAG VSW) bereits berücksichtigt worden. Für Nordrhein-Westfalen wurden die windenergieempfindlichen Arten im Anhang 4 des Leitfadens sowohl auf der Grundlage des alten Helgoländer Papieres aus 2007 als auch auf der Grundlage des damals bekannten Entwurfsstand des neuen Papiers (im Leitfaden zitiert als LAG VSW in </w:t>
      </w:r>
      <w:proofErr w:type="spellStart"/>
      <w:r>
        <w:t>Vorb</w:t>
      </w:r>
      <w:proofErr w:type="spellEnd"/>
      <w:r>
        <w:t>.) zusammengestellt. Der im oben genannten Leitfaden bereits berücksichtigte Entwurf des neuen Helgoländer Papiers entspricht bezüglich der Arten und der jeweiligen Abstandsempfehlungen im Wesentlichen der später veröffentlichten Fassung vom 15. April 2015. Die Abstandsempfehlungen der LAG VSW wurden im oben genannten Leitfaden als Empfehlung für die Untersuchungsgebiets-Abgrenzung im Anhang 2 des Leitfadens aufgegriffen und aufgrund der regionalen Kenntnisse in Nordrhein-Westfalen g</w:t>
      </w:r>
      <w:r>
        <w:t>e</w:t>
      </w:r>
      <w:r>
        <w:t>gebenenfalls modifiziert – ebenfalls unter Bezugnahme auf den damals bekannten Entwurfsstand.</w:t>
      </w:r>
    </w:p>
    <w:p w:rsidR="001C22C8" w:rsidRDefault="001C22C8" w:rsidP="00801060">
      <w:pPr>
        <w:pStyle w:val="GesAbsatz"/>
        <w:tabs>
          <w:tab w:val="clear" w:pos="425"/>
          <w:tab w:val="left" w:pos="426"/>
        </w:tabs>
      </w:pPr>
      <w:r>
        <w:t>Bei der Abgrenzung einer Windfarm ist der Einwirkungsbereich auf der Grundlage von Anhang 2 des oben genannten Leitfadens zu ermitteln (dort: Radius des Untersuchungsgebiets gemäß Spalte 2 beziehungswe</w:t>
      </w:r>
      <w:r>
        <w:t>i</w:t>
      </w:r>
      <w:r>
        <w:t>se bei Arten mit einer Angabe in Spalte 3 Radius des erweiterten Untersuchungsgebietes).</w:t>
      </w:r>
    </w:p>
    <w:p w:rsidR="001C22C8" w:rsidRDefault="001C22C8" w:rsidP="00801060">
      <w:pPr>
        <w:pStyle w:val="GesAbsatz"/>
        <w:tabs>
          <w:tab w:val="clear" w:pos="425"/>
          <w:tab w:val="left" w:pos="426"/>
        </w:tabs>
      </w:pPr>
      <w:r>
        <w:lastRenderedPageBreak/>
        <w:t>Die entsprechenden artspezifischen Untersuchungsradien (um die einzelnen Windenergieanlagen gelegt) stellen somit regelmäßig den abstrakt maximal möglichen Einwirkungsbereich von Windenergieanlagen im Sinn des Gesetzes über die Umweltverträglichkeitsprüfung dar. Überschneiden sich diese Einwirkungsbere</w:t>
      </w:r>
      <w:r>
        <w:t>i</w:t>
      </w:r>
      <w:r>
        <w:t>che verschiedener Einzelanlagen oder mindestens einer Anlage einer Konzentrationszone sind die betre</w:t>
      </w:r>
      <w:r>
        <w:t>f</w:t>
      </w:r>
      <w:r>
        <w:t>fenden Einzelanlagen und die gesamte Konzentrationszone zu einer Windfarm zu verbinden.</w:t>
      </w:r>
    </w:p>
    <w:p w:rsidR="001C22C8" w:rsidRPr="005B3597" w:rsidRDefault="001C22C8" w:rsidP="00801060">
      <w:pPr>
        <w:pStyle w:val="GesAbsatz"/>
        <w:tabs>
          <w:tab w:val="clear" w:pos="425"/>
          <w:tab w:val="left" w:pos="426"/>
        </w:tabs>
        <w:rPr>
          <w:i/>
        </w:rPr>
      </w:pPr>
      <w:r w:rsidRPr="005B3597">
        <w:rPr>
          <w:i/>
        </w:rPr>
        <w:t>Grafik „Windfarm“ siehe Anhang.</w:t>
      </w:r>
    </w:p>
    <w:p w:rsidR="001C22C8" w:rsidRDefault="001C22C8" w:rsidP="00801060">
      <w:pPr>
        <w:pStyle w:val="GesAbsatz"/>
        <w:tabs>
          <w:tab w:val="clear" w:pos="425"/>
          <w:tab w:val="left" w:pos="426"/>
        </w:tabs>
      </w:pPr>
      <w:r>
        <w:t>Im oben dargestellten Beispiel sind die drei neu geplanten Anlagen (X Neu) mit der Einzelanlage (X Alt</w:t>
      </w:r>
      <w:r w:rsidR="005A6075">
        <w:t> </w:t>
      </w:r>
      <w:r>
        <w:t>1) sowie mit den drei Anlagen der linken vorhandenen Konzentrationszone (X Alt 2) zu einer Windfarm zu ve</w:t>
      </w:r>
      <w:r>
        <w:t>r</w:t>
      </w:r>
      <w:r>
        <w:t>binden. Alle sieben Anlagen sind durch die Einwirkungsbereiche der nächstgelegenen Anlagen zum Brutvo</w:t>
      </w:r>
      <w:r>
        <w:t>r</w:t>
      </w:r>
      <w:r>
        <w:t>kommen (V1) einer windenergieempfindlichen Vogelart miteinander verknüpft. Die Einwirkungsbereiche ergeben sich aus dem artspezifischen Untersuchungsradius (R) gemäß Anlage 2 des oben genannten Lei</w:t>
      </w:r>
      <w:r>
        <w:t>t</w:t>
      </w:r>
      <w:r>
        <w:t>fadens um die entsprechenden Windenergieanlagen. Ausgangspunkt für die Abgrenzung der Windfarm sind die konkret beantragten Anlagen, so dass nur unmittelbar in ihrem Einwirkungsbereich liegende Artvorko</w:t>
      </w:r>
      <w:r>
        <w:t>m</w:t>
      </w:r>
      <w:r>
        <w:t>men zu betrachten sind. Eine kaskadenartige Verkettung mit den drei weiteren Anlagen (X Alt 3) der rechten Konzentrationszone hinter der Trennlinie über weitere Artvorkommen (V2) außerhalb des originären Einwi</w:t>
      </w:r>
      <w:r>
        <w:t>r</w:t>
      </w:r>
      <w:r>
        <w:t>kungsbereichs hinaus, ist nicht erforderlich.</w:t>
      </w:r>
    </w:p>
    <w:p w:rsidR="001C22C8" w:rsidRDefault="001C22C8" w:rsidP="00801060">
      <w:pPr>
        <w:pStyle w:val="GesAbsatz"/>
        <w:tabs>
          <w:tab w:val="clear" w:pos="425"/>
        </w:tabs>
      </w:pPr>
      <w:r>
        <w:t>Nur wenn nach den tatsächlichen Gegebenheiten des Einzelfalls trotz der abstrakten Überschneidung der artbezogenen Einwirkungsbereiche auf Grund der tatsächlichen Gegebenheit des konkreten Standortes eine Überschneidung der artbezogenen Einwirkungsbereiche von vornherein ausgeschlossen ist (etwa im Fall besonderer trennender topografischer oder baulicher Hindernisse zwischen den Anlagen), kann die betre</w:t>
      </w:r>
      <w:r>
        <w:t>f</w:t>
      </w:r>
      <w:r>
        <w:t>fende Anlage als Bestandteil einer Windfarm ausgeschlossen werden.</w:t>
      </w:r>
    </w:p>
    <w:p w:rsidR="001C22C8" w:rsidRDefault="001C22C8" w:rsidP="00801060">
      <w:pPr>
        <w:pStyle w:val="GesAbsatz"/>
        <w:tabs>
          <w:tab w:val="clear" w:pos="425"/>
        </w:tabs>
      </w:pPr>
      <w:r>
        <w:t>Unabhängig von der zuvor dargelegten Verknüpfung über Einwirkungsbereiche in Bezug auf windenergi</w:t>
      </w:r>
      <w:r>
        <w:t>e</w:t>
      </w:r>
      <w:r>
        <w:t>empfindliche Vogelarten können die betroffenen Windenergieanlagen mit weiteren Windenergieanlagen durch die Überschneidung von Einwirkungsbereichen anderer Umweltaspekte verbunden sein. Bei der A</w:t>
      </w:r>
      <w:r>
        <w:t>b</w:t>
      </w:r>
      <w:r>
        <w:t>grenzung der Windfarm ist auch die oben genannte Empfehlung zu berücksichtigen, grundsätzlich alle Windenergieanlagen einer ausgewiesenen Konzentrationszone zu einer Windfarm zusammenzufassen.</w:t>
      </w:r>
    </w:p>
    <w:p w:rsidR="001C22C8" w:rsidRDefault="001C22C8" w:rsidP="001C22C8">
      <w:pPr>
        <w:pStyle w:val="GesAbsatz"/>
      </w:pPr>
      <w:r>
        <w:t>b)</w:t>
      </w:r>
      <w:r w:rsidR="005A6075">
        <w:tab/>
      </w:r>
      <w:r>
        <w:t>Standortbezogene Vorprüfung</w:t>
      </w:r>
    </w:p>
    <w:p w:rsidR="001C22C8" w:rsidRDefault="001C22C8" w:rsidP="00801060">
      <w:pPr>
        <w:pStyle w:val="GesAbsatz"/>
        <w:tabs>
          <w:tab w:val="clear" w:pos="425"/>
          <w:tab w:val="left" w:pos="426"/>
        </w:tabs>
      </w:pPr>
      <w:r>
        <w:t>Bei der standortbezogenen Vorprüfung ist eine Umweltverträglichkeitsprüfung nur dann möglich, wenn von dem Vorhaben erhebliche nachteilige Umweltauswirkungen für ein schützenswertes Gebiet nach Nummer</w:t>
      </w:r>
      <w:r w:rsidR="005B3597">
        <w:t xml:space="preserve"> </w:t>
      </w:r>
      <w:r>
        <w:t>2.3 der Anlage 2 zum des Gesetzes über die Umweltverträglichkeitsprüfung ausgehen können. Findet eine standortbezogene Vorprüfung des Einzelfalles für eine in einer Konzentrationszone eines Flächennutzung</w:t>
      </w:r>
      <w:r>
        <w:t>s</w:t>
      </w:r>
      <w:r>
        <w:t>plans geplante Windfarm statt, kann davon ausgegangen werden, dass erhebliche nachteilige Umweltau</w:t>
      </w:r>
      <w:r>
        <w:t>s</w:t>
      </w:r>
      <w:r>
        <w:t>wirkungen nicht zu erwarten sind, wenn sich nicht neue Gesichtspunkte ergeben, die bei der Ausweisung im Flächennutzungsplan noch nicht berücksichtigt werden konnten. Werden im Übrigen die in Nummer 8.2.2.2 empfohlenen Abstände zu schützenswerten Gebieten eingehalten, sind in der Regel erhebliche negative Auswirkungen nicht zu erwarten, soweit zwischen den Gebieten ein notwendiger Funktionsaustausch g</w:t>
      </w:r>
      <w:r>
        <w:t>e</w:t>
      </w:r>
      <w:r>
        <w:t>währleistet ist.</w:t>
      </w:r>
    </w:p>
    <w:p w:rsidR="001C22C8" w:rsidRDefault="001C22C8" w:rsidP="001C22C8">
      <w:pPr>
        <w:pStyle w:val="GesAbsatz"/>
      </w:pPr>
      <w:r>
        <w:t>c)</w:t>
      </w:r>
      <w:r w:rsidR="005A6075">
        <w:tab/>
      </w:r>
      <w:r>
        <w:t>Allgemeine Vorprüfung</w:t>
      </w:r>
    </w:p>
    <w:p w:rsidR="001C22C8" w:rsidRDefault="001C22C8" w:rsidP="002D6219">
      <w:pPr>
        <w:pStyle w:val="GesAbsatz"/>
        <w:tabs>
          <w:tab w:val="clear" w:pos="425"/>
        </w:tabs>
      </w:pPr>
      <w:r>
        <w:t>Bei der allgemeinen Vorprüfung wird hinsichtlich aller in Anlage 2 des Gesetzes über die Umweltverträglic</w:t>
      </w:r>
      <w:r>
        <w:t>h</w:t>
      </w:r>
      <w:r>
        <w:t>keitsprüfung genannten Kriterien geprüft, ob von dem Vorhaben erhebliche nachteilige Umweltauswirkungen ausgehen können.</w:t>
      </w:r>
    </w:p>
    <w:p w:rsidR="001C22C8" w:rsidRDefault="001C22C8" w:rsidP="001C22C8">
      <w:pPr>
        <w:pStyle w:val="GesAbsatz"/>
      </w:pPr>
      <w:r>
        <w:t>d)</w:t>
      </w:r>
      <w:r w:rsidR="005A6075">
        <w:tab/>
      </w:r>
      <w:r>
        <w:t>Umweltverträglichkeitsprüfung</w:t>
      </w:r>
    </w:p>
    <w:p w:rsidR="001C22C8" w:rsidRDefault="001C22C8" w:rsidP="002D6219">
      <w:pPr>
        <w:pStyle w:val="GesAbsatz"/>
        <w:tabs>
          <w:tab w:val="clear" w:pos="425"/>
        </w:tabs>
      </w:pPr>
      <w:r>
        <w:t>Ist bereits im Bauleitplanverfahren eine Umweltprüfung durchgeführt worden, sollen im Genehmigungsve</w:t>
      </w:r>
      <w:r>
        <w:t>r</w:t>
      </w:r>
      <w:r>
        <w:t>fahren die Vorprüfung des Einzelfalls oder die Umweltverträglichkeitsprüfung auf zusätzliche oder andere erhebliche nachteilige Umweltauswirkungen beschränkt werden.</w:t>
      </w:r>
    </w:p>
    <w:p w:rsidR="001C22C8" w:rsidRDefault="001C22C8" w:rsidP="005A6075">
      <w:pPr>
        <w:pStyle w:val="berschrift3"/>
        <w:jc w:val="left"/>
      </w:pPr>
      <w:bookmarkStart w:id="24" w:name="_Toc451849526"/>
      <w:r>
        <w:t>5.2</w:t>
      </w:r>
      <w:r w:rsidR="005A6075">
        <w:t xml:space="preserve"> </w:t>
      </w:r>
      <w:r>
        <w:t>Zulässigkeitsvoraussetzungen</w:t>
      </w:r>
      <w:bookmarkEnd w:id="24"/>
    </w:p>
    <w:p w:rsidR="001C22C8" w:rsidRPr="002D6219" w:rsidRDefault="001C22C8" w:rsidP="001C22C8">
      <w:pPr>
        <w:pStyle w:val="GesAbsatz"/>
        <w:rPr>
          <w:b/>
        </w:rPr>
      </w:pPr>
      <w:r w:rsidRPr="002D6219">
        <w:rPr>
          <w:b/>
        </w:rPr>
        <w:t>5.2.1</w:t>
      </w:r>
      <w:r w:rsidR="005A6075" w:rsidRPr="002D6219">
        <w:rPr>
          <w:b/>
        </w:rPr>
        <w:t xml:space="preserve"> </w:t>
      </w:r>
      <w:r w:rsidRPr="002D6219">
        <w:rPr>
          <w:b/>
        </w:rPr>
        <w:t>Immissionsschutzrechtliche Zulässigkeit</w:t>
      </w:r>
    </w:p>
    <w:p w:rsidR="001C22C8" w:rsidRDefault="001C22C8" w:rsidP="001C22C8">
      <w:pPr>
        <w:pStyle w:val="GesAbsatz"/>
      </w:pPr>
      <w:r>
        <w:t>Im Rahmen des immissionsschutzrechtlichen Genehmigungsverfahrens ist sicherzustellen, dass die Erric</w:t>
      </w:r>
      <w:r>
        <w:t>h</w:t>
      </w:r>
      <w:r>
        <w:t>tung oder der Betrieb der Anlage keine schädlichen Umwelteinwirkungen im Sinn des § 3 Absatz 1 des Bu</w:t>
      </w:r>
      <w:r>
        <w:t>n</w:t>
      </w:r>
      <w:r>
        <w:t>des-Immissionsschutzgesetzes verursacht. Schädliche Umwelteinwirkungen lassen sich häufig durch Einha</w:t>
      </w:r>
      <w:r>
        <w:t>l</w:t>
      </w:r>
      <w:r>
        <w:t>tung erforderlicher Abstände, gegebenenfalls in Verbindung mit Auflagen (Drehzahl-/Leistungsbegrenzung, zeitweise Abschaltung) vermeiden (OVG NRW, Beschl. v. 13.7.1998 – 7 B 956/98).</w:t>
      </w:r>
    </w:p>
    <w:p w:rsidR="001C22C8" w:rsidRDefault="001C22C8" w:rsidP="001C22C8">
      <w:pPr>
        <w:pStyle w:val="GesAbsatz"/>
      </w:pPr>
      <w:r>
        <w:t>5.2.1.1</w:t>
      </w:r>
      <w:r w:rsidR="005A6075">
        <w:t xml:space="preserve"> </w:t>
      </w:r>
      <w:r>
        <w:t>Lärm</w:t>
      </w:r>
    </w:p>
    <w:p w:rsidR="001C22C8" w:rsidRDefault="001C22C8" w:rsidP="001C22C8">
      <w:pPr>
        <w:pStyle w:val="GesAbsatz"/>
      </w:pPr>
      <w:r>
        <w:t>Die Beurteilung, ob schädliche Umweltauswirkungen in Form von erheblichen Belästigungen durch Gerä</w:t>
      </w:r>
      <w:r>
        <w:t>u</w:t>
      </w:r>
      <w:r>
        <w:t xml:space="preserve">schimmissionen zu befürchten sind, erfolgt auf Grundlage der Technischen Anleitung zum Schutz gegen </w:t>
      </w:r>
      <w:r>
        <w:lastRenderedPageBreak/>
        <w:t>Lärm (TA Lärm). Es ist dabei entsprechend der in der der Baunutzungsverordnung zum Ausdruck komme</w:t>
      </w:r>
      <w:r>
        <w:t>n</w:t>
      </w:r>
      <w:r>
        <w:t>den Wertung bei Errichtung und Betrieb einer Windenergieanlage von einer abgestuften Schutzwürdigkeit der verschiedenen Baugebiete auszugehen. Bei einem Aufeinandertreffen verschiedener Gebietstypen kann es angemessen sein, Zwischenwerte zu bilden (vgl. 6.7 – Gemengelagen – TA Lärm), soweit dies nach der gegenseitigen Pflicht zur Rücksichtnahme erforderlich ist. Dieser Zwischenwert ist in jedem Einzelfall unter Beachtung der konkreten Sachverhaltsumstände zu bilden. Grenzt etwa ein reines Wohngebiet an den A</w:t>
      </w:r>
      <w:r>
        <w:t>u</w:t>
      </w:r>
      <w:r>
        <w:t>ßenbereich, können im Randbereich einer solchen Wohnnutzung Geräusche mit einem Beurteilungspegel von 40 dB(A) nachts zumutbar sein (OVG NRW, Urt. v. 4.11.1999 – 7 B 1339/99). Der Außenbereich wird dabei wie ein Mischgebiet behandelt. Bewohnern im Außenbereich ist deshalb der Schutzmaßstab für g</w:t>
      </w:r>
      <w:r>
        <w:t>e</w:t>
      </w:r>
      <w:r>
        <w:t>mischt genutzte Bereiche zuzugestehen (OVG NRW, Urt. v. 18.11.2002 – 7 A 2127/00). Bei einem Aufe</w:t>
      </w:r>
      <w:r>
        <w:t>i</w:t>
      </w:r>
      <w:r>
        <w:t>nandertreffen des Außenbereichs mit einem allgemeinen Wohngebiet kann dementsprechend auch ein Zw</w:t>
      </w:r>
      <w:r>
        <w:t>i</w:t>
      </w:r>
      <w:r>
        <w:t>schenwert im angrenzenden Bereich gebildet werden.</w:t>
      </w:r>
    </w:p>
    <w:p w:rsidR="001C22C8" w:rsidRDefault="001C22C8" w:rsidP="001C22C8">
      <w:pPr>
        <w:pStyle w:val="GesAbsatz"/>
      </w:pPr>
      <w:r>
        <w:t>Antragsteller sollten den Genehmigungsbehörden gesicherte Datenblätter vorlegen, in denen unabhängige Institute das Geräuschverhalten der Anlage in allen regulären Betriebszuständen mindestens bis zum Erre</w:t>
      </w:r>
      <w:r>
        <w:t>i</w:t>
      </w:r>
      <w:r>
        <w:t>chen der Nennleistung belegen.</w:t>
      </w:r>
    </w:p>
    <w:p w:rsidR="001C22C8" w:rsidRDefault="001C22C8" w:rsidP="001C22C8">
      <w:pPr>
        <w:pStyle w:val="GesAbsatz"/>
      </w:pPr>
      <w:r>
        <w:t>Die Anforderungen an die Emissionsdaten sind in der Technischen Richtlinie für Windkraftanlagen, Teil 1: „Bestimmung der Schallemissionswerte“, Revision 18, Stand: 1. Februar 2008 (Herausgeber: FGW e.V., Fördergesellschaft für Windenergie und andere erneuerbare Energien, Oranienburger Straße 45, 10117 Berlin) beschrieben.</w:t>
      </w:r>
    </w:p>
    <w:p w:rsidR="001C22C8" w:rsidRDefault="001C22C8" w:rsidP="001C22C8">
      <w:pPr>
        <w:pStyle w:val="GesAbsatz"/>
      </w:pPr>
      <w:r>
        <w:t>Ergänzend zu den Vorgaben der Technischen Richtlinie FGW werden auch akustische Vermessungen durch Messstellen anerkannt, die ihre Kompetenz zum Beispiel durch die Teilnahme an regelmäßigen Ringvers</w:t>
      </w:r>
      <w:r>
        <w:t>u</w:t>
      </w:r>
      <w:r>
        <w:t>chen zur akustischen Vermessung von Windenergieanlagen nach Technischer Richtlinie nachweisen.</w:t>
      </w:r>
    </w:p>
    <w:p w:rsidR="001C22C8" w:rsidRDefault="001C22C8" w:rsidP="001C22C8">
      <w:pPr>
        <w:pStyle w:val="GesAbsatz"/>
      </w:pPr>
      <w:r>
        <w:t>Der maßgebliche Immissionsort im Einwirkungsbereich einer Windenergieanlage ist nach Nummer 2.3 der TA Lärm in Verbindung mit Nummer A.1.3 des Anhangs der TA Lärm zu bestimmen. Da die Immission</w:t>
      </w:r>
      <w:r>
        <w:t>s</w:t>
      </w:r>
      <w:r>
        <w:t>richtwerte (Nummer 6.1 TA Lärm) gebietsabhängig festgelegt sind, kann eine Überschreitung auch an einem Ort zu erwarten sein, der weiter entfernt ist als andere nahe Immissionsorte. Ein maßgeblicher Immissionsort kann ebenso an der Grundstücksgrenze zum Nachbargrundstück anzunehmen sein, wo nach dem Pl</w:t>
      </w:r>
      <w:r>
        <w:t>a</w:t>
      </w:r>
      <w:r>
        <w:t>nungs- und Baurecht schutzbedürftige Räume (DIN 4109, Ausgabe November 1989) zulässig sein können. Dabei ist der Schutz auf die nicht bebaute Fläche auszudehnen, wenn das in Betracht kommende Bauvo</w:t>
      </w:r>
      <w:r>
        <w:t>r</w:t>
      </w:r>
      <w:r>
        <w:t>haben hinreichend konkret ist und die Bauausführung in überschaubarer Zukunft zu erwarten ist. Hinre</w:t>
      </w:r>
      <w:r>
        <w:t>i</w:t>
      </w:r>
      <w:r>
        <w:t>chend konkret ist, wenn in den nächsten zwei bis drei Jahren mit einer Baugenehmigung zu rechnen ist. Das Vorliegen eines Bebauungsplanes alleine reicht nicht aus. Wirkt eine Windenergieanlage innerhalb eines Industrie- oder Gewerbegebietes auf Nutzungen des gleichen Betreibers ein, so sind dort die Regelungen des Arbeitsschutzes anzuwenden.</w:t>
      </w:r>
    </w:p>
    <w:p w:rsidR="001C22C8" w:rsidRDefault="001C22C8" w:rsidP="001C22C8">
      <w:pPr>
        <w:pStyle w:val="GesAbsatz"/>
      </w:pPr>
      <w:r>
        <w:t>Die Beurteilung für einen Einwirkungsort ist nur dann ausreichend, wenn daraus geschlossen werden kann, dass auch an keinem anderen Ort im Einwirkungsbereich der Windenergieanlage schädliche Umwelteinwi</w:t>
      </w:r>
      <w:r>
        <w:t>r</w:t>
      </w:r>
      <w:r>
        <w:t>kungen hervorgerufen werden können.</w:t>
      </w:r>
    </w:p>
    <w:p w:rsidR="001C22C8" w:rsidRDefault="001C22C8" w:rsidP="001C22C8">
      <w:pPr>
        <w:pStyle w:val="GesAbsatz"/>
      </w:pPr>
      <w:r>
        <w:t>Die Schallimmissionsprognose ist nach Anhang A. 2 der TA Lärm durchzuführen. Bei Anwendung der Irrel</w:t>
      </w:r>
      <w:r>
        <w:t>e</w:t>
      </w:r>
      <w:r>
        <w:t>vanzregelung der Nummer 3.2.1 Absatz 2 der TA Lärm ist zu beachten, dass eine Vielzahl von Einzelanl</w:t>
      </w:r>
      <w:r>
        <w:t>a</w:t>
      </w:r>
      <w:r>
        <w:t>gen, die auf einen Immissionspunkt einwirken, zu einer relevanten Erhöhung des Immissionspegels führen können. In diesem Fall ist eine Sonderfallprüfung durchzuführen. Die Irrelevanz einer Anlage ist dabei im Einzelfall nachzuweisen. Die Gesamtbelastung durch alle Anlagen darf nicht zu einer Überschreitung der Immissionsrichtwerte von mehr als 1 dB(A) gemäß Nummer 3.2.1 Absatz 3 der TA Lärm führen. Der Beurte</w:t>
      </w:r>
      <w:r>
        <w:t>i</w:t>
      </w:r>
      <w:r>
        <w:t>lungspegel ist als ganzzahliger Wert anzugeben (siehe auch Empfehlungen des Länderausschusses für Immissionsschutz der 101. Sitzung, 9.-11. Mai 2001). Die Rundungsregeln gemäß Nummer 4.5.1 DIN 1333 sind anzuwenden. Der Immissionsprognose ist grundsätzlich diejenige bestimmungsgemäße Betriebsart zugrunde zu legen, die zu dem höchsten Beurteilungspegel führt (vgl. A.1.2 des Anhangs der TA Lärm). Bei stall-gesteuerten Windenergieanlagen ist daher das Geräuschverhalten bis zur Abschaltwindgeschwindigkeit zu betrachten. Bei pitch-gesteuerten Anlagen ist grundsätzlich das Geräuschverhalten zu berücksichtigen, welches gemäß der Technischen Richtlinie bei einer Windgeschwindigkeit von 10 Metern pro Sekunde in 10 Metern Höhe über Boden, aber bei nicht mehr als 95 Prozent der Nennleistung ermittelt wurde. Bei üblichen Nabenhöhen von über 50 Metern liegt die Windgeschwindigkeit in Nabenhöhe dann bei etwa 12 bis 14 M</w:t>
      </w:r>
      <w:r>
        <w:t>e</w:t>
      </w:r>
      <w:r>
        <w:t>tern pro Sekunde, so dass bei den meisten Anlagen die Leistungsabgabe im Bereich der Nennleistung liegt. Der maximal zulässige Emissionswert ist unter Beachtung des in der Prognose angesetzten Emissionsve</w:t>
      </w:r>
      <w:r>
        <w:t>r</w:t>
      </w:r>
      <w:r>
        <w:t>haltens der Anlage festzulegen.</w:t>
      </w:r>
    </w:p>
    <w:p w:rsidR="001C22C8" w:rsidRDefault="001C22C8" w:rsidP="001C22C8">
      <w:pPr>
        <w:pStyle w:val="GesAbsatz"/>
      </w:pPr>
      <w:r>
        <w:t>In der Geräuschprognose sind die Immissionen des rechtmäßigen Betriebs der Vorbelastungsanlagen zu berücksichtigen (OVG NRW Beschl. v. 27.8.2009 – 8 B 797/09; OVG Lüneburg, Beschl. v. 16.7.2012 – 12 LA 105/11). Diese sind unter Anwendung der im Rahmen der Genehmigung der jeweiligen Vorbelastungsa</w:t>
      </w:r>
      <w:r>
        <w:t>n</w:t>
      </w:r>
      <w:r>
        <w:t>lage berücksichtigten Unsicherheiten der Emissionsdaten und des Prognoseverfahrens zu berechnen.</w:t>
      </w:r>
    </w:p>
    <w:p w:rsidR="001C22C8" w:rsidRDefault="001C22C8" w:rsidP="001C22C8">
      <w:pPr>
        <w:pStyle w:val="GesAbsatz"/>
      </w:pPr>
      <w:r>
        <w:lastRenderedPageBreak/>
        <w:t>Wenn infolge ständig vorherrschender Fremdgeräusche keine zusätzlichen schädlichen Umwelteinwirku</w:t>
      </w:r>
      <w:r>
        <w:t>n</w:t>
      </w:r>
      <w:r>
        <w:t>gen durch die zu beurteilende Anlage zu berücksichtigen sind, kann in Anlehnung an die Regelungen der Nummer 3.2.1 Absatz 5 der TA Lärm verfahren werden.</w:t>
      </w:r>
    </w:p>
    <w:p w:rsidR="001C22C8" w:rsidRDefault="001C22C8" w:rsidP="001C22C8">
      <w:pPr>
        <w:pStyle w:val="GesAbsatz"/>
      </w:pPr>
      <w:r>
        <w:t>Tonhaltigkeiten von Windenenergieanlagen werden bei Neuplanungen wie folgt bewertet:</w:t>
      </w:r>
    </w:p>
    <w:p w:rsidR="001C22C8" w:rsidRDefault="001C22C8" w:rsidP="00231950">
      <w:pPr>
        <w:pStyle w:val="GesAbsatz"/>
        <w:tabs>
          <w:tab w:val="clear" w:pos="425"/>
          <w:tab w:val="left" w:pos="1276"/>
        </w:tabs>
      </w:pPr>
      <w:r>
        <w:t>0 ≤ KTN &lt; 2</w:t>
      </w:r>
      <w:r w:rsidR="00231950">
        <w:tab/>
      </w:r>
      <w:r>
        <w:t>Tonhaltigkeitszuschlag KT von 0 dB</w:t>
      </w:r>
    </w:p>
    <w:p w:rsidR="001C22C8" w:rsidRDefault="001C22C8" w:rsidP="00231950">
      <w:pPr>
        <w:pStyle w:val="GesAbsatz"/>
        <w:tabs>
          <w:tab w:val="clear" w:pos="425"/>
          <w:tab w:val="left" w:pos="1276"/>
        </w:tabs>
      </w:pPr>
      <w:r>
        <w:t>2 ≤ KTN ≤ 4</w:t>
      </w:r>
      <w:r w:rsidR="00231950">
        <w:tab/>
      </w:r>
      <w:r>
        <w:t>Tonhaltigkeitszuschlag KT von 3 dB</w:t>
      </w:r>
    </w:p>
    <w:p w:rsidR="001C22C8" w:rsidRDefault="001C22C8" w:rsidP="00231950">
      <w:pPr>
        <w:pStyle w:val="GesAbsatz"/>
        <w:tabs>
          <w:tab w:val="clear" w:pos="425"/>
          <w:tab w:val="left" w:pos="1276"/>
        </w:tabs>
      </w:pPr>
      <w:r>
        <w:t>KTN &gt; 4</w:t>
      </w:r>
      <w:r w:rsidR="00231950">
        <w:tab/>
      </w:r>
      <w:r>
        <w:t>Tonhaltigkeitszuschlag KT von 6 dB</w:t>
      </w:r>
    </w:p>
    <w:p w:rsidR="001C22C8" w:rsidRDefault="005B3597" w:rsidP="005B3597">
      <w:pPr>
        <w:pStyle w:val="GesAbsatz"/>
        <w:ind w:left="709" w:hanging="709"/>
      </w:pPr>
      <w:r>
        <w:t>KTN =</w:t>
      </w:r>
      <w:r>
        <w:tab/>
      </w:r>
      <w:r w:rsidR="001C22C8">
        <w:t>Tonhaltigkeit bei Emissionsmessungen im Nahbereich nach der Technischen Richtlinie FGW g</w:t>
      </w:r>
      <w:r w:rsidR="001C22C8">
        <w:t>e</w:t>
      </w:r>
      <w:r w:rsidR="001C22C8">
        <w:t>messen.</w:t>
      </w:r>
    </w:p>
    <w:p w:rsidR="001C22C8" w:rsidRDefault="001C22C8" w:rsidP="005B3597">
      <w:pPr>
        <w:pStyle w:val="GesAbsatz"/>
        <w:ind w:left="709" w:hanging="709"/>
      </w:pPr>
      <w:r>
        <w:t>KT =</w:t>
      </w:r>
      <w:r w:rsidR="005B3597">
        <w:tab/>
      </w:r>
      <w:r>
        <w:t>in Abhängigkeit vom KTN ab einer Entfernung von 300 Metern für die Immissionsprognose anzuse</w:t>
      </w:r>
      <w:r>
        <w:t>t</w:t>
      </w:r>
      <w:r>
        <w:t>zende Tonzuschläge.</w:t>
      </w:r>
    </w:p>
    <w:p w:rsidR="001C22C8" w:rsidRDefault="001C22C8" w:rsidP="001C22C8">
      <w:pPr>
        <w:pStyle w:val="GesAbsatz"/>
      </w:pPr>
      <w:r>
        <w:t>Neu zu errichtende Anlagen, deren Tonhaltigkeitszuschlag KTN ≥ 2 dB beträgt, entsprechen nicht mehr dem Stand der Technik. In Ausnahmefällen kann eine Anlage mit einem KTN = 2 dB auch dann genehmigt we</w:t>
      </w:r>
      <w:r>
        <w:t>r</w:t>
      </w:r>
      <w:r>
        <w:t>den, wenn sie nachts so schallreduziert betrieben wird, dass die Tonhaltigkeit im Nahbereich KTN weniger als 2 dB beträgt. Der nächtliche schallreduzierte Betrieb kann aufgehoben werden, wenn nach Fertigstellung durch Messungen an repräsentativen Immissionsorten der Nachweis geführt wird, dass auch im Normalb</w:t>
      </w:r>
      <w:r>
        <w:t>e</w:t>
      </w:r>
      <w:r>
        <w:t>trieb keine Tonhaltigkeit an den Immissionsorten (Wohngebäude usw.) auftritt.</w:t>
      </w:r>
    </w:p>
    <w:p w:rsidR="001C22C8" w:rsidRDefault="001C22C8" w:rsidP="001C22C8">
      <w:pPr>
        <w:pStyle w:val="GesAbsatz"/>
      </w:pPr>
      <w:r>
        <w:t>Bei der Schallimmissionsprognose ist der Nachweis zu führen, dass unter Berücksichtigung der oberen Ve</w:t>
      </w:r>
      <w:r>
        <w:t>r</w:t>
      </w:r>
      <w:r>
        <w:t>trauensgrenze aller Unsicherheiten, insbesondere der Emissionsdaten und der Ausbreitungsrechnung, der nach der TA Lärm ermittelte Beurteilungspegel mit einer Wahrscheinlichkeit von 90 Prozent den für die A</w:t>
      </w:r>
      <w:r>
        <w:t>n</w:t>
      </w:r>
      <w:r>
        <w:t>lage anzusetzenden Immissionsrichtwert einhält. Soweit neuere Erkenntnisse zum Prognosemodell vorli</w:t>
      </w:r>
      <w:r>
        <w:t>e</w:t>
      </w:r>
      <w:r>
        <w:t>gen, die einen neuen Stand der Technik etablieren, sind diese zu berücksichtigen.</w:t>
      </w:r>
    </w:p>
    <w:p w:rsidR="001C22C8" w:rsidRDefault="001C22C8" w:rsidP="001C22C8">
      <w:pPr>
        <w:pStyle w:val="GesAbsatz"/>
      </w:pPr>
      <w:r>
        <w:t>Nach Errichtung der Anlage ist durch eine Bescheinigung zu belegen, dass die errichtete Anlage in ihren wesentlichen Elementen und in ihrer Regelung mit derjenigen Anlage übereinstimmt, die der akustischen Planung zugrunde gelegt worden ist. Eine Abnahmemessung ist nicht erforderlich, wenn Erkenntnisse vo</w:t>
      </w:r>
      <w:r>
        <w:t>r</w:t>
      </w:r>
      <w:r>
        <w:t>liegen, die eine Emissionswertüberschreitung sicher ausschließen. Sollte eine Abnahmemessung erforde</w:t>
      </w:r>
      <w:r>
        <w:t>r</w:t>
      </w:r>
      <w:r>
        <w:t>lich sein, ist wie folgt zu verfahren:</w:t>
      </w:r>
    </w:p>
    <w:p w:rsidR="001C22C8" w:rsidRDefault="001C22C8" w:rsidP="001C22C8">
      <w:pPr>
        <w:pStyle w:val="GesAbsatz"/>
      </w:pPr>
      <w:r>
        <w:t>Der Nachweis gilt als geführt, wenn der im Rahmen der Abnahmemessung ermittelte Emissionswert (Schal</w:t>
      </w:r>
      <w:r>
        <w:t>l</w:t>
      </w:r>
      <w:r>
        <w:t xml:space="preserve">leistungspegel + </w:t>
      </w:r>
      <w:proofErr w:type="spellStart"/>
      <w:r>
        <w:t>Tonhaltigkeits</w:t>
      </w:r>
      <w:proofErr w:type="spellEnd"/>
      <w:r>
        <w:t>- und Impulszuschlag) den der Genehmigung zugrunde gelegten Emission</w:t>
      </w:r>
      <w:r>
        <w:t>s</w:t>
      </w:r>
      <w:r>
        <w:t>wert nicht überschreitet. Es ist also zu prüfen:</w:t>
      </w:r>
    </w:p>
    <w:p w:rsidR="001C22C8" w:rsidRDefault="001C22C8" w:rsidP="001C22C8">
      <w:pPr>
        <w:pStyle w:val="GesAbsatz"/>
      </w:pPr>
      <w:r>
        <w:t>L</w:t>
      </w:r>
      <w:r w:rsidRPr="007E79CB">
        <w:rPr>
          <w:vertAlign w:val="subscript"/>
        </w:rPr>
        <w:t>WA</w:t>
      </w:r>
      <w:r>
        <w:t xml:space="preserve"> (Abnahmemessung) + </w:t>
      </w:r>
      <w:proofErr w:type="spellStart"/>
      <w:r>
        <w:t>K</w:t>
      </w:r>
      <w:r w:rsidRPr="007E79CB">
        <w:rPr>
          <w:vertAlign w:val="subscript"/>
        </w:rPr>
        <w:t>l</w:t>
      </w:r>
      <w:proofErr w:type="spellEnd"/>
      <w:r>
        <w:t xml:space="preserve"> + K</w:t>
      </w:r>
      <w:r w:rsidRPr="007E79CB">
        <w:rPr>
          <w:vertAlign w:val="subscript"/>
        </w:rPr>
        <w:t>T</w:t>
      </w:r>
      <w:r>
        <w:t xml:space="preserve"> ≤ L</w:t>
      </w:r>
      <w:r w:rsidRPr="007E79CB">
        <w:rPr>
          <w:vertAlign w:val="subscript"/>
        </w:rPr>
        <w:t xml:space="preserve">e, </w:t>
      </w:r>
      <w:proofErr w:type="spellStart"/>
      <w:r w:rsidRPr="007E79CB">
        <w:rPr>
          <w:vertAlign w:val="subscript"/>
        </w:rPr>
        <w:t>max</w:t>
      </w:r>
      <w:proofErr w:type="spellEnd"/>
    </w:p>
    <w:p w:rsidR="001C22C8" w:rsidRDefault="001C22C8" w:rsidP="001C22C8">
      <w:pPr>
        <w:pStyle w:val="GesAbsatz"/>
      </w:pPr>
      <w:r>
        <w:t>Wobei L</w:t>
      </w:r>
      <w:r w:rsidRPr="007E79CB">
        <w:rPr>
          <w:vertAlign w:val="subscript"/>
        </w:rPr>
        <w:t xml:space="preserve">e, </w:t>
      </w:r>
      <w:proofErr w:type="spellStart"/>
      <w:r w:rsidRPr="007E79CB">
        <w:rPr>
          <w:vertAlign w:val="subscript"/>
        </w:rPr>
        <w:t>max</w:t>
      </w:r>
      <w:proofErr w:type="spellEnd"/>
      <w:r>
        <w:t xml:space="preserve"> sich ergibt aus:</w:t>
      </w:r>
    </w:p>
    <w:p w:rsidR="001C22C8" w:rsidRPr="00162761" w:rsidRDefault="001C22C8" w:rsidP="001C22C8">
      <w:pPr>
        <w:pStyle w:val="GesAbsatz"/>
        <w:rPr>
          <w:lang w:val="fr-FR"/>
        </w:rPr>
      </w:pPr>
      <w:r w:rsidRPr="00162761">
        <w:rPr>
          <w:lang w:val="fr-FR"/>
        </w:rPr>
        <w:t>L</w:t>
      </w:r>
      <w:r w:rsidRPr="007E79CB">
        <w:rPr>
          <w:vertAlign w:val="subscript"/>
          <w:lang w:val="fr-FR"/>
        </w:rPr>
        <w:t>e, max</w:t>
      </w:r>
      <w:r w:rsidRPr="00162761">
        <w:rPr>
          <w:lang w:val="fr-FR"/>
        </w:rPr>
        <w:t xml:space="preserve"> = L</w:t>
      </w:r>
      <w:r w:rsidRPr="007E79CB">
        <w:rPr>
          <w:vertAlign w:val="subscript"/>
          <w:lang w:val="fr-FR"/>
        </w:rPr>
        <w:t>w</w:t>
      </w:r>
      <w:r w:rsidRPr="00162761">
        <w:rPr>
          <w:lang w:val="fr-FR"/>
        </w:rPr>
        <w:t xml:space="preserve"> + 1,28 * </w:t>
      </w:r>
      <w:r>
        <w:t>σ</w:t>
      </w:r>
      <w:r w:rsidRPr="007E79CB">
        <w:rPr>
          <w:vertAlign w:val="subscript"/>
          <w:lang w:val="fr-FR"/>
        </w:rPr>
        <w:t>P</w:t>
      </w:r>
    </w:p>
    <w:p w:rsidR="001C22C8" w:rsidRPr="00162761" w:rsidRDefault="001C22C8" w:rsidP="001C22C8">
      <w:pPr>
        <w:pStyle w:val="GesAbsatz"/>
        <w:rPr>
          <w:lang w:val="fr-FR"/>
        </w:rPr>
      </w:pPr>
      <w:r w:rsidRPr="00162761">
        <w:rPr>
          <w:lang w:val="fr-FR"/>
        </w:rPr>
        <w:t>Mit:</w:t>
      </w:r>
    </w:p>
    <w:p w:rsidR="001C22C8" w:rsidRDefault="001C22C8" w:rsidP="001C22C8">
      <w:pPr>
        <w:pStyle w:val="GesAbsatz"/>
      </w:pPr>
      <w:r>
        <w:t>L</w:t>
      </w:r>
      <w:r w:rsidRPr="007E79CB">
        <w:rPr>
          <w:vertAlign w:val="subscript"/>
        </w:rPr>
        <w:t>WA</w:t>
      </w:r>
      <w:r>
        <w:t xml:space="preserve"> (Abnahmemessung):</w:t>
      </w:r>
      <w:r w:rsidR="007E79CB">
        <w:t xml:space="preserve"> </w:t>
      </w:r>
      <w:r>
        <w:t>gemessener Schallleistungspegel</w:t>
      </w:r>
    </w:p>
    <w:p w:rsidR="001C22C8" w:rsidRDefault="001C22C8" w:rsidP="001C22C8">
      <w:pPr>
        <w:pStyle w:val="GesAbsatz"/>
      </w:pPr>
      <w:r>
        <w:t>L</w:t>
      </w:r>
      <w:r w:rsidRPr="007E79CB">
        <w:rPr>
          <w:vertAlign w:val="subscript"/>
        </w:rPr>
        <w:t xml:space="preserve">e, </w:t>
      </w:r>
      <w:proofErr w:type="spellStart"/>
      <w:r w:rsidRPr="007E79CB">
        <w:rPr>
          <w:vertAlign w:val="subscript"/>
        </w:rPr>
        <w:t>max</w:t>
      </w:r>
      <w:proofErr w:type="spellEnd"/>
      <w:r>
        <w:t>: maximal zulässiger Schallleistungspegel</w:t>
      </w:r>
    </w:p>
    <w:p w:rsidR="001C22C8" w:rsidRDefault="001C22C8" w:rsidP="001C22C8">
      <w:pPr>
        <w:pStyle w:val="GesAbsatz"/>
      </w:pPr>
      <w:proofErr w:type="spellStart"/>
      <w:r>
        <w:t>L</w:t>
      </w:r>
      <w:r w:rsidRPr="00231950">
        <w:rPr>
          <w:vertAlign w:val="subscript"/>
        </w:rPr>
        <w:t>w</w:t>
      </w:r>
      <w:proofErr w:type="spellEnd"/>
      <w:r>
        <w:t>: Deklarierter (mittlerer) Schallleistungspegel nach Anhang D des Teils 1 der Technischen Richtlinie für Windenergieanlagen (Revision 18, Stand: 1.2.2008)</w:t>
      </w:r>
    </w:p>
    <w:p w:rsidR="001C22C8" w:rsidRDefault="001C22C8" w:rsidP="001C22C8">
      <w:pPr>
        <w:pStyle w:val="GesAbsatz"/>
      </w:pPr>
      <w:proofErr w:type="spellStart"/>
      <w:r>
        <w:t>σ</w:t>
      </w:r>
      <w:r w:rsidRPr="007E79CB">
        <w:rPr>
          <w:vertAlign w:val="subscript"/>
        </w:rPr>
        <w:t>P</w:t>
      </w:r>
      <w:proofErr w:type="spellEnd"/>
      <w:r>
        <w:t>: Produktionsstreuung nach Anhang D des Teils 1 der Technischen Richtlinie für Windenergieanlagen (Revision 18, Stand: 1.2.2008)</w:t>
      </w:r>
    </w:p>
    <w:p w:rsidR="001C22C8" w:rsidRDefault="001C22C8" w:rsidP="001C22C8">
      <w:pPr>
        <w:pStyle w:val="GesAbsatz"/>
      </w:pPr>
      <w:proofErr w:type="spellStart"/>
      <w:r>
        <w:t>K</w:t>
      </w:r>
      <w:r w:rsidRPr="007E79CB">
        <w:rPr>
          <w:vertAlign w:val="subscript"/>
        </w:rPr>
        <w:t>l</w:t>
      </w:r>
      <w:proofErr w:type="spellEnd"/>
      <w:r>
        <w:t>: Impulszuschlag</w:t>
      </w:r>
    </w:p>
    <w:p w:rsidR="001C22C8" w:rsidRDefault="001C22C8" w:rsidP="001C22C8">
      <w:pPr>
        <w:pStyle w:val="GesAbsatz"/>
      </w:pPr>
      <w:r>
        <w:t>K</w:t>
      </w:r>
      <w:r w:rsidRPr="007E79CB">
        <w:rPr>
          <w:vertAlign w:val="subscript"/>
        </w:rPr>
        <w:t>T</w:t>
      </w:r>
      <w:r>
        <w:t>: Tonzuschlag</w:t>
      </w:r>
    </w:p>
    <w:p w:rsidR="001C22C8" w:rsidRDefault="001C22C8" w:rsidP="001C22C8">
      <w:pPr>
        <w:pStyle w:val="GesAbsatz"/>
      </w:pPr>
      <w:r>
        <w:t>Um richtlinienkonforme Emissionsmessungen zu gewährleisten, muss jede Anlage mit einer kontinuierlichen Aufzeichnung geeigneter Betriebsparameter (z.B. Windgeschwindigkeit in Nabenhöhe, Leistung, Drehzahl) versehen sein. Sofern eine Anlage aus Gründen des Immissionsschutzes nachts zum Beispiel durch eine Leistungs- oder Drehzahlbegrenzung geräuschreduziert betrieben wird, müssen die Betriebsparameter in einer Form gespeichert werden, die rückwirkend für einen Zeitraum von wenigstens sechs Monaten den Nachweis der tatsächlichen Betriebsweise ermöglicht. Diese Daten müssen der Genehmigungsbehörde auf Anfrage zur Verfügung gestellt werden. Dort sind sie für die Betroffenen entsprechend den Vorgaben des Umweltinformationsrechts einsehbar.</w:t>
      </w:r>
    </w:p>
    <w:p w:rsidR="001C22C8" w:rsidRDefault="001C22C8" w:rsidP="001C22C8">
      <w:pPr>
        <w:pStyle w:val="GesAbsatz"/>
      </w:pPr>
      <w:r>
        <w:t>Im Rahmen der Abnahmemessung besteht auch die Möglichkeit von Immissionsmessungen gemäß A.3.3.7 der TA Lärm.</w:t>
      </w:r>
    </w:p>
    <w:p w:rsidR="001C22C8" w:rsidRDefault="001C22C8" w:rsidP="001C22C8">
      <w:pPr>
        <w:pStyle w:val="GesAbsatz"/>
      </w:pPr>
      <w:r>
        <w:lastRenderedPageBreak/>
        <w:t>Im Fall einer rechnerischen Richtwertüberschreitung ist die Übertragung von Schallkontingenten verschied</w:t>
      </w:r>
      <w:r>
        <w:t>e</w:t>
      </w:r>
      <w:r>
        <w:t>ner Anlagen untereinander grundsätzlich möglich.</w:t>
      </w:r>
    </w:p>
    <w:p w:rsidR="001C22C8" w:rsidRDefault="001C22C8" w:rsidP="001C22C8">
      <w:pPr>
        <w:pStyle w:val="GesAbsatz"/>
      </w:pPr>
      <w:r>
        <w:t>Windenergieanlagen erzeugen in Abhängigkeit von Windstärke und Windrichtung Geräuschemissionen die auch Infraschallanteile beinhalten. Nach aktuellem Kenntnisstand, der mit der Fachinformation des Bunde</w:t>
      </w:r>
      <w:r>
        <w:t>s</w:t>
      </w:r>
      <w:r>
        <w:t>ministeriums für Umwelt, Naturschutz und Reaktorsicherheit (BMU) vom 3. August 2012 bestätigt wurde, liegen die Schallimmissionen im Infraschallbereich deutlich unterhalb der menschlichen Wahrnehmung</w:t>
      </w:r>
      <w:r>
        <w:t>s</w:t>
      </w:r>
      <w:r>
        <w:t>schwelle und damit auch deutlich unterhalb einer denkbaren Wirkschwelle. Nach heutigem Kenntnisstand ist bei diesen Pegeln von keiner gesundheitlichen Beeinträchtigung auszugehen. Wissenschaftliche Studien zeigen, dass Infraschall nur dann gesundheitliche Folgen haben kann, wenn Menschen ihn hören oder z</w:t>
      </w:r>
      <w:r>
        <w:t>u</w:t>
      </w:r>
      <w:r>
        <w:t>mindest spüren können. Ob Infraschall wahrgenommen wird, hängt wesentlich von der Frequenz in Komb</w:t>
      </w:r>
      <w:r>
        <w:t>i</w:t>
      </w:r>
      <w:r>
        <w:t>nation mit der Höhe des Schalldrucks ab. Erst bei sehr hohen Schalldruckpegeln, wie sie üblicherweise nicht in der Umgebung von Windenergieanlagen auftreten, entfaltet Infraschall Wirkungen, die das Befinden oder die Gesundheit beeinträchtigen können. Auch unter Berücksichtigung der im Juni 2014 vom Bundesumwel</w:t>
      </w:r>
      <w:r>
        <w:t>t</w:t>
      </w:r>
      <w:r>
        <w:t>amt veröffentlichten Literaturrecherche „Machbarkeitsstudie zu Wirkungen von Infraschall“ gibt es keine wi</w:t>
      </w:r>
      <w:r>
        <w:t>s</w:t>
      </w:r>
      <w:r>
        <w:t>senschaftlich nachvollziehbare Arbeit, die einen Zusammenhang zwischen Gesundheitsschäden und dem Infraschall belegt, den Windenergieanlagen emittieren.</w:t>
      </w:r>
    </w:p>
    <w:p w:rsidR="001C22C8" w:rsidRDefault="001C22C8" w:rsidP="001C22C8">
      <w:pPr>
        <w:pStyle w:val="GesAbsatz"/>
      </w:pPr>
      <w:r>
        <w:t>5.2.1.2</w:t>
      </w:r>
      <w:r w:rsidR="00231950">
        <w:t xml:space="preserve"> </w:t>
      </w:r>
      <w:r>
        <w:t>Repowering in durch Lärm vorbelasteten Gebieten</w:t>
      </w:r>
    </w:p>
    <w:p w:rsidR="001C22C8" w:rsidRDefault="001C22C8" w:rsidP="001C22C8">
      <w:pPr>
        <w:pStyle w:val="GesAbsatz"/>
      </w:pPr>
      <w:r>
        <w:t>Unter Repowering wird allgemein der Austausch alter Windenergieanlagen durch neuere moderne Win</w:t>
      </w:r>
      <w:r>
        <w:t>d</w:t>
      </w:r>
      <w:r>
        <w:t>energieanlagen verstanden (vgl. Nummer 4.9).</w:t>
      </w:r>
    </w:p>
    <w:p w:rsidR="001C22C8" w:rsidRDefault="001C22C8" w:rsidP="001C22C8">
      <w:pPr>
        <w:pStyle w:val="GesAbsatz"/>
      </w:pPr>
      <w:r>
        <w:t>Zielsetzung des Repowerings in durch Lärm vorbelasteten Gebieten muss sein, dass durch ein schrittweises Repowering letztendlich die Einhaltung der zulässigen Immissionsrichtwerte nach Nummer 6 der TA Lärm erreicht wird. Es darf keine Verfestigung oder Verschlechterung der bestehenden Lärmsituation erfolgen.</w:t>
      </w:r>
    </w:p>
    <w:p w:rsidR="001C22C8" w:rsidRDefault="001C22C8" w:rsidP="001C22C8">
      <w:pPr>
        <w:pStyle w:val="GesAbsatz"/>
      </w:pPr>
      <w:r>
        <w:t>Die folgenden Ausführungen beziehen sich lediglich auf die nach der TA Lärm erforderlichen Prüfschritte. Die übrigen Genehmigungsvoraussetzungen müssen geprüft werden.</w:t>
      </w:r>
    </w:p>
    <w:p w:rsidR="001C22C8" w:rsidRDefault="001C22C8" w:rsidP="001C22C8">
      <w:pPr>
        <w:pStyle w:val="GesAbsatz"/>
      </w:pPr>
      <w:r>
        <w:t>Wird für eine Windenergieanlage eines Windparks, der die Immissionsrichtwerte der TA Lärm überschreitet, ein Antrag auf Neuerrichtung gestellt und werden auch mit der neuen Anlage die Immissionsrichtwerte der TA Lärm weiterhin überschritten, ist die Anlage unter immissionsschutzrechtlichen Gesichtspunkten nach der Regelfallprüfung nur zulässig, wenn die Irrelevanzkriterien der Nummer 3.2.1 Absatz 2 oder 3 der TA Lärm eingehalten werden. Nach Nummer 3.2.1 Absatz 4 der TA Lärm kann eine Genehmigungsfähigkeit auch dadurch hergestellt werden, dass die Betreiberin oder der Betreiber durch Schallreduzierung an anderen eigenen Anlagen eine Richtwerteinhaltung erzielen kann.</w:t>
      </w:r>
    </w:p>
    <w:p w:rsidR="001C22C8" w:rsidRDefault="001C22C8" w:rsidP="001C22C8">
      <w:pPr>
        <w:pStyle w:val="GesAbsatz"/>
      </w:pPr>
      <w:r>
        <w:t>Darüber hinaus kann eine entsprechende Neuerrichtung bei Vorliegen besonderer Umstände im Rahmen einer Sonderfallprüfung nach Nummer 3.2.2 der TA Lärm zulässig sein.</w:t>
      </w:r>
    </w:p>
    <w:p w:rsidR="001C22C8" w:rsidRDefault="001C22C8" w:rsidP="001C22C8">
      <w:pPr>
        <w:pStyle w:val="GesAbsatz"/>
      </w:pPr>
      <w:r>
        <w:t>Solche Umstände können nach Nummer 3.2.2 c) der TA Lärm etwa gegeben sein, wenn eine Verbesserung der Immissionssituation sicher absehbar ist. Insoweit muss aus tatsächlichen oder rechtlichen Gründen eine hohe Wahrscheinlichkeit gegeben sein, dass die Immissionsbelastung in überschaubarer Zeit deutlich spü</w:t>
      </w:r>
      <w:r>
        <w:t>r</w:t>
      </w:r>
      <w:r>
        <w:t>bar verbessert wird. Eine Frist für die Verbesserung ist insoweit nicht vorgesehen.</w:t>
      </w:r>
    </w:p>
    <w:p w:rsidR="001C22C8" w:rsidRDefault="001C22C8" w:rsidP="001C22C8">
      <w:pPr>
        <w:pStyle w:val="GesAbsatz"/>
      </w:pPr>
      <w:r>
        <w:t xml:space="preserve">So kann im Rahmen der Sonderfallprüfung ein Repowering dann zulässig sein, wenn ein Sanierungskonzept nach dem System der übertragbaren Immissionsanteile für den gesamten Windpark erstellt wird. Ein solches Sanierungskonzept wird ausführlich auf der Internetseite des </w:t>
      </w:r>
      <w:proofErr w:type="gramStart"/>
      <w:r>
        <w:t>Landesamt</w:t>
      </w:r>
      <w:proofErr w:type="gramEnd"/>
      <w:r>
        <w:t xml:space="preserve"> für Natur, Umwelt und Verbra</w:t>
      </w:r>
      <w:r>
        <w:t>u</w:t>
      </w:r>
      <w:r>
        <w:t>cherschutz unter www.lanuv.nrw.de/geraeusche/pdf/RepoweringOkt2011.pdf erläutert. In dieses Sani</w:t>
      </w:r>
      <w:r>
        <w:t>e</w:t>
      </w:r>
      <w:r>
        <w:t>rungskonzept sind alle Anlagen einzubeziehen, auch die Anlagen, deren Immissionsbeitrag mehr als 10</w:t>
      </w:r>
      <w:r w:rsidR="007E79CB">
        <w:t xml:space="preserve"> </w:t>
      </w:r>
      <w:r>
        <w:t>dB(A) unterhalb des maßgeblichen Immissionsrichtwertes liegt. Dabei wird berechnet, welchen Wert der Schallleistungspegel der Einzelanlage maximal annehmen darf, damit gesichert ist, dass die Immission</w:t>
      </w:r>
      <w:r>
        <w:t>s</w:t>
      </w:r>
      <w:r>
        <w:t>richtwerte auch unter Berücksichtigung von Nummer 3.2.1 Absatz3 der TA Lärm an allen Immissionsorten sicher eingehalten werden. Auf Basis des so ermittelten Schallleistungspegels werden die übertragbaren Immissionsanteile für jede vorhandene Windenergieanlage berechnet. Die Immissionsbeiträge der neuen Anlagen dürfen diesen übertragbaren Immissionsanteil der stillzulegenden Anlagen nicht überschreiten.</w:t>
      </w:r>
    </w:p>
    <w:p w:rsidR="001C22C8" w:rsidRDefault="001C22C8" w:rsidP="001C22C8">
      <w:pPr>
        <w:pStyle w:val="GesAbsatz"/>
      </w:pPr>
      <w:r>
        <w:t>Wenn zunächst nur eine Betreiberin oder ein Betreiber eigene Anlagen innerhalb des Windparks entspr</w:t>
      </w:r>
      <w:r>
        <w:t>e</w:t>
      </w:r>
      <w:r>
        <w:t>chend eigener Immissionsanteile erneuern möchte, kann eine Genehmigung im Rahmen einer Sonderfal</w:t>
      </w:r>
      <w:r>
        <w:t>l</w:t>
      </w:r>
      <w:r>
        <w:t>prüfung nach Nummer 3.2.2 c) der TA Lärm möglich sein, wenn bereits hierdurch eine deutliche Verbess</w:t>
      </w:r>
      <w:r>
        <w:t>e</w:t>
      </w:r>
      <w:r>
        <w:t>rung der Immissionsbelastung eintritt oder in einem öffentlich-rechtlichen Vertrag geregelt ist, dass durch die Sanierung weiterer Anlagen auch anderer Betreiberinnen oder Betreiber in absehbarer Zeit eine deutliche Immissionsverbesserung eintreten wird.</w:t>
      </w:r>
    </w:p>
    <w:p w:rsidR="001C22C8" w:rsidRDefault="001C22C8" w:rsidP="001C22C8">
      <w:pPr>
        <w:pStyle w:val="GesAbsatz"/>
      </w:pPr>
      <w:r>
        <w:t xml:space="preserve">Sofern die Erneuerung der Windenergieanlagen einer Betreiberin oder eines Betreibers noch nicht zu einer deutlichen Verbesserung führen und auch die anderen Betreiberinnen und Betreiber noch nicht an einem gemeinsamen Sanierungskonzept mitwirken, kann eine Genehmigung im Rahmen einer Sonderfallprüfung schließlich auch dann möglich sein, wenn sich die Antragstellerin oder der Antragsteller in Anlehnung an </w:t>
      </w:r>
      <w:r>
        <w:lastRenderedPageBreak/>
        <w:t>Nummer 3.2.1 Absatz 4 der TA Lärm verpflichtet, innerhalb von in der Regel drei Jahren alle seine Anlagen in der Windfarm durch Ersatz, Sanierung oder Änderung der Betriebsbedingungen (Schalloptimierung, Nachtabschaltung) so zu betreiben, dass die auf ihre oder seine Anlagen insgesamt entfallenden übertra</w:t>
      </w:r>
      <w:r>
        <w:t>g</w:t>
      </w:r>
      <w:r>
        <w:t>baren Immissionsanteile eingehalten werden. Sie oder er erstellt dazu für die eigenen Anlagen ein Repoweringkonzept, das sich in das Sanierungskonzept für den gesamten Windpark einfügt. Dieses Ko</w:t>
      </w:r>
      <w:r>
        <w:t>n</w:t>
      </w:r>
      <w:r>
        <w:t>zept soll über einen öffentlich-rechtlichen Vertrag oder über eine entsprechende Auflage in der Genehm</w:t>
      </w:r>
      <w:r>
        <w:t>i</w:t>
      </w:r>
      <w:r>
        <w:t>gung für die Neuanlage rechtsverbindlich geregelt werden. Wenn der Beitrag der Anlagen der Antragstellerin oder des Antragstellers an der Richtwertüberschreitung im Vergleich zu dem Beitrag des Windparks insg</w:t>
      </w:r>
      <w:r>
        <w:t>e</w:t>
      </w:r>
      <w:r>
        <w:t>samt als gering anzusehen ist, kann unter Berücksichtigung der Verhältnismäßigkeit eine längere Frist sac</w:t>
      </w:r>
      <w:r>
        <w:t>h</w:t>
      </w:r>
      <w:r>
        <w:t>gerecht sein. Dabei ist aber immer auch die Zumutbarkeit der Höhe der noch andauernden Richtwertübe</w:t>
      </w:r>
      <w:r>
        <w:t>r</w:t>
      </w:r>
      <w:r>
        <w:t>schreitung zu beachten.</w:t>
      </w:r>
    </w:p>
    <w:p w:rsidR="001C22C8" w:rsidRDefault="001C22C8" w:rsidP="001C22C8">
      <w:pPr>
        <w:pStyle w:val="GesAbsatz"/>
      </w:pPr>
      <w:r>
        <w:t>5.2.1.3</w:t>
      </w:r>
      <w:r w:rsidR="00231950">
        <w:t xml:space="preserve"> </w:t>
      </w:r>
      <w:proofErr w:type="gramStart"/>
      <w:r>
        <w:t>Schattenwurf</w:t>
      </w:r>
      <w:proofErr w:type="gramEnd"/>
    </w:p>
    <w:p w:rsidR="001C22C8" w:rsidRDefault="001C22C8" w:rsidP="001C22C8">
      <w:pPr>
        <w:pStyle w:val="GesAbsatz"/>
      </w:pPr>
      <w:r>
        <w:t>Die sogenannten bewegten Schatten und die als Disco-Effekt bezeichneten periodischen Lichtreflektionen fallen als „ähnliche Umweltauswirkungen“ unter den Begriff der Immissionen des § 3 Absatz 2 des Bundes-Immissionsschutzgesetzes.</w:t>
      </w:r>
    </w:p>
    <w:p w:rsidR="001C22C8" w:rsidRDefault="001C22C8" w:rsidP="001C22C8">
      <w:pPr>
        <w:pStyle w:val="GesAbsatz"/>
      </w:pPr>
      <w:r>
        <w:t>Der Disco-Effekt stellt heutzutage aufgrund der matten Beschichtung der Windenergieanlagen kein Problem mehr dar.</w:t>
      </w:r>
    </w:p>
    <w:p w:rsidR="001C22C8" w:rsidRDefault="001C22C8" w:rsidP="001C22C8">
      <w:pPr>
        <w:pStyle w:val="GesAbsatz"/>
      </w:pPr>
      <w:r>
        <w:t xml:space="preserve">Schattenwurf von geringer Dauer ist hinzunehmen beziehungsweise kann vernachlässigt werden (vgl. OVG NRW, Beschl. v. 9.9.1998 – 7 B 1560/98). Von einer erheblichen Belästigungswirkung kann ausgegangen werden, wenn die maximal mögliche Einwirkungsdauer am jeweiligen Immissionsort – gegebenenfalls unter kumulativer Berücksichtigung aller Beiträge einwirkender Windenergieanlagen – mehr als 30 Stunden pro Kalenderjahr und darüber hinaus mehr als 30 Minuten pro Tag beträgt (vgl. OVG NRW, Urt. v. 18.11.2002, </w:t>
      </w:r>
      <w:r>
        <w:rPr>
          <w:rFonts w:ascii="MS Gothic" w:eastAsia="MS Gothic" w:hAnsi="MS Gothic" w:cs="MS Gothic" w:hint="eastAsia"/>
        </w:rPr>
        <w:t>‑</w:t>
      </w:r>
      <w:r>
        <w:t xml:space="preserve"> 7 A 2140/00). Es ist deshalb sicher zu stellen, dass der Immissionsrichtwert (die astronomisch maximal m</w:t>
      </w:r>
      <w:r>
        <w:rPr>
          <w:rFonts w:cs="Arial"/>
        </w:rPr>
        <w:t>ö</w:t>
      </w:r>
      <w:r>
        <w:t>g</w:t>
      </w:r>
      <w:r>
        <w:t>liche Beschattungsdauer von 30 Stunden pro Kalenderjahr entspricht einer tatsächlichen Beschattungsdauer von 8 Stunden pro Jahr) nicht überschritten wird. Der Immissionsrichtwert für die tägliche Beschattungsdauer beträgt 30 Minuten. Diese Werte beziehen sich auf Wohnnutzungen und sind nicht unmittelbar auf andere Nutzungen übertragbar. Für Schattenwurfeinwirkungen auf andere Nutzungsarten ist die zulässige Bescha</w:t>
      </w:r>
      <w:r>
        <w:t>t</w:t>
      </w:r>
      <w:r>
        <w:t>tungsdauer daher im Einzelfall unter Berücksichtigung der Schutzwürdigkeit der jeweiligen Nutzungsart zu bestimmen. Durch eine Auflage zur Genehmigung kann sichergestellt werden, dass durch eine Abschalta</w:t>
      </w:r>
      <w:r>
        <w:t>u</w:t>
      </w:r>
      <w:r>
        <w:t>tomatik, die meteorologische Parameter (z.B. Intensität des Sonnenlichtes) berücksichtigt, die tatsächliche Beschattungsdauer auf 8 Stunden pro Jahr begrenzt wird. Für weitere Einzelheiten der Bewertung sind die „Hinweise zur Beurteilung der optischen Emission von Windkraftanlagen (WKA-Schattenwurf-Hinweise)“ des Länderausschusses für Immissionsschutz (LAI) vom Mai 2002 heranzuziehen.</w:t>
      </w:r>
    </w:p>
    <w:p w:rsidR="001C22C8" w:rsidRDefault="001C22C8" w:rsidP="001C22C8">
      <w:pPr>
        <w:pStyle w:val="GesAbsatz"/>
      </w:pPr>
      <w:r>
        <w:t>5.2.1.4</w:t>
      </w:r>
      <w:r w:rsidR="00231950">
        <w:t xml:space="preserve"> </w:t>
      </w:r>
      <w:r>
        <w:t>Anlagen an Infrastrukturtrassen</w:t>
      </w:r>
    </w:p>
    <w:p w:rsidR="001C22C8" w:rsidRDefault="001C22C8" w:rsidP="001C22C8">
      <w:pPr>
        <w:pStyle w:val="GesAbsatz"/>
      </w:pPr>
      <w:r>
        <w:t>Bei der Genehmigung von Windenergieanlagen an Infrastrukturtrassen (siehe unter Nummer 4.3.6) ist zur Beurteilung der Überlagerung der Geräusche der Windenergieanlage durch die Verkehrsgeräusche eine Einzelfallbetrachtung auf der Grundlage des Abschnitts 3.2.1 Absatz 5 der TA Lärm erforderlich.</w:t>
      </w:r>
    </w:p>
    <w:p w:rsidR="001C22C8" w:rsidRPr="002D6219" w:rsidRDefault="001C22C8" w:rsidP="001C22C8">
      <w:pPr>
        <w:pStyle w:val="GesAbsatz"/>
      </w:pPr>
      <w:r w:rsidRPr="002D6219">
        <w:t>5.2.2</w:t>
      </w:r>
      <w:r w:rsidR="00231950" w:rsidRPr="002D6219">
        <w:t xml:space="preserve"> </w:t>
      </w:r>
      <w:r w:rsidRPr="002D6219">
        <w:t>Bauplanungsrechtliche Zulässigkeit</w:t>
      </w:r>
    </w:p>
    <w:p w:rsidR="001C22C8" w:rsidRDefault="001C22C8" w:rsidP="001C22C8">
      <w:pPr>
        <w:pStyle w:val="GesAbsatz"/>
      </w:pPr>
      <w:r>
        <w:t>Über die planungsrechtliche Zulässigkeit eines Vorhabens nach den §§ 31 und 33 bis 35 des Baugesetzb</w:t>
      </w:r>
      <w:r>
        <w:t>u</w:t>
      </w:r>
      <w:r>
        <w:t>ches zur Errichtung einer Windenergieanlage ist gemäß § 36 Absatz 1 des Baugesetzbuches im Einverne</w:t>
      </w:r>
      <w:r>
        <w:t>h</w:t>
      </w:r>
      <w:r>
        <w:t>men mit der Gemeinde zu entscheiden. Ein erneutes Ersuchen um Erteilung des gemeindlichen Einverne</w:t>
      </w:r>
      <w:r>
        <w:t>h</w:t>
      </w:r>
      <w:r>
        <w:t>mens kann bei Änderung der Ausgangssituation erforderlich werden (bejaht bei einer erheblichen Standor</w:t>
      </w:r>
      <w:r>
        <w:t>t</w:t>
      </w:r>
      <w:r>
        <w:t>abweichung – siehe OVG NRW, Urt. v. 18.8.2009 – 8 A 613/08). Die Zurückstellung eines Baugesuchs (nach § 15 BauGB) während der Frist des § 36 Absatz 2 Satz 2 Halbsatz 1 des Baugesetzbuches hat zur Folge, dass die Frist mit der Zustellung des Zurückstellungsbescheids an den Bauherrn aufhört und nach Ablauf des Zurückstellungszeitraums ohne Anrechnung des bereits verstrichenen Teils von neuem beginnt (BVerwG, Urt. v. 26.3.2015 – 4 C 1.14).</w:t>
      </w:r>
    </w:p>
    <w:p w:rsidR="001C22C8" w:rsidRDefault="001C22C8" w:rsidP="001C22C8">
      <w:pPr>
        <w:pStyle w:val="GesAbsatz"/>
      </w:pPr>
      <w:r>
        <w:t>Nach § 2 Absatz 3 der Verordnung zur Durchführung des Baugesetzbuches</w:t>
      </w:r>
      <w:r w:rsidR="00231950">
        <w:t xml:space="preserve"> vom 7. Juli 1987 (GV. NRW. S. </w:t>
      </w:r>
      <w:r>
        <w:t>220), zuletzt geändert durch Verordnung vom 18. Juli 2013 (GV. NRW. S. 493), ist für das Ersetzen eines rechtswidrig versagten Einvernehmens die Bauaufsichtsbehörde beziehungsweise die Genehmigungsb</w:t>
      </w:r>
      <w:r>
        <w:t>e</w:t>
      </w:r>
      <w:r>
        <w:t>hörde zuständig. Auf mögliche Amtshaftungsansprüche gegen die Genehmigungsbehörde, die ein recht</w:t>
      </w:r>
      <w:r>
        <w:t>s</w:t>
      </w:r>
      <w:r>
        <w:t>widrig versagtes Einvernehmen nicht ersetzt, wird hingewiesen (siehe auch BGH, Urt. v. 16.9.2010 – III ZR 29/10).</w:t>
      </w:r>
    </w:p>
    <w:p w:rsidR="001C22C8" w:rsidRDefault="001C22C8" w:rsidP="001C22C8">
      <w:pPr>
        <w:pStyle w:val="GesAbsatz"/>
      </w:pPr>
      <w:r>
        <w:t>Die bauplanungsrechtliche Zulässigkeit richtet sich nach den §§ 29 bis 35 des Baugesetzbuches. Im bepla</w:t>
      </w:r>
      <w:r>
        <w:t>n</w:t>
      </w:r>
      <w:r>
        <w:t>ten Innenbereich ist anhand der jeweiligen Gebietskategorie zu prüfen, ob eine Windenergieanlage gemäß §</w:t>
      </w:r>
      <w:r w:rsidR="00231950">
        <w:t> </w:t>
      </w:r>
      <w:r>
        <w:t>30 des Baugesetzbuches in Verbindung mit der der Baunutzungsverordnung (als eigenständige Haupta</w:t>
      </w:r>
      <w:r>
        <w:t>n</w:t>
      </w:r>
      <w:r>
        <w:t xml:space="preserve">lage) zulässig ist. Im unbeplanten Innenbereich muss sich die Windenergieanlage gemäß § 34 Absatz 1 des Baugesetzbuches in die Eigenart der näheren Umgebung einfügen. In den Fällen, in denen die Eigenart der </w:t>
      </w:r>
      <w:r>
        <w:lastRenderedPageBreak/>
        <w:t>näheren Umgebung einem der Baugebiete der der Baunutzungsverordnung entspricht, ist die Zulässigkeit nach § 34 Absatz 2 des Baugesetzbuches anhand der Gebietskategorien der der Baunutzungsverordnung zu prüfen. Beispielsweise in Gewerbegebieten gemäß § 8 der Baunutzungsverordnung und Industriegebi</w:t>
      </w:r>
      <w:r>
        <w:t>e</w:t>
      </w:r>
      <w:r>
        <w:t>ten gemäß § 9 der Baunutzungsverordnung können Windenergieanlagen grundsätzlich als gewerbliche A</w:t>
      </w:r>
      <w:r>
        <w:t>n</w:t>
      </w:r>
      <w:r>
        <w:t>lagen zulässig sein. Im Innenbereich können Windenergieanlagen grundsätzlich auch als untergeordnete Nebenanlagen gemäß § 14 der Baunutzungsverordnung in allen Baugebieten zulässig sein (siehe auch Nummer 6.2.2).</w:t>
      </w:r>
    </w:p>
    <w:p w:rsidR="001C22C8" w:rsidRDefault="001C22C8" w:rsidP="001C22C8">
      <w:pPr>
        <w:pStyle w:val="GesAbsatz"/>
      </w:pPr>
      <w:r>
        <w:t>Das bauliche Vorhaben einer Windenergieanlage gemäß § 29 des Baugesetzbuches ist gleichermaßen durch Turm und Rotor gekennzeichnet. Das Bundesverwaltungsgericht hat festgestellt, dass die äußeren Grenzen des Bauleitplans oder die Grenzen der Baugebiete oder Bauflächen stets von der gesamten Win</w:t>
      </w:r>
      <w:r>
        <w:t>d</w:t>
      </w:r>
      <w:r>
        <w:t>energieanlage einschließlich des Rotors einzuhalten sind (BVerwG, Urt. v. 21.10.2004 – 4 C 3.04). Dies gilt entsprechend für Windenergieanlagen innerhalb von Darstellungen im Flächennutzungsplan für die Win</w:t>
      </w:r>
      <w:r>
        <w:t>d</w:t>
      </w:r>
      <w:r>
        <w:t>energienutzung, denn Zweck des § 35 Absatz 3 Satz 3 des Baugesetzbuches ist es, Vorhaben zu steuern und nicht nur Bestandteile von diesen.</w:t>
      </w:r>
    </w:p>
    <w:p w:rsidR="001C22C8" w:rsidRDefault="001C22C8" w:rsidP="001C22C8">
      <w:pPr>
        <w:pStyle w:val="GesAbsatz"/>
      </w:pPr>
      <w:r>
        <w:t>Für die Zulässigkeit von Windenergieanlagen im Außenbereich gelten im Übrigen folgende Regelungen (Nummern 5.2.2.1 bis 5.2.2.4):</w:t>
      </w:r>
    </w:p>
    <w:p w:rsidR="001C22C8" w:rsidRDefault="001C22C8" w:rsidP="001C22C8">
      <w:pPr>
        <w:pStyle w:val="GesAbsatz"/>
      </w:pPr>
      <w:r>
        <w:t>5.2.2.1</w:t>
      </w:r>
      <w:r w:rsidR="00882D9D">
        <w:t xml:space="preserve"> </w:t>
      </w:r>
      <w:r>
        <w:t>Allgemeine Voraussetzungen (Außenbereich)</w:t>
      </w:r>
    </w:p>
    <w:p w:rsidR="001C22C8" w:rsidRDefault="001C22C8" w:rsidP="001C22C8">
      <w:pPr>
        <w:pStyle w:val="GesAbsatz"/>
      </w:pPr>
      <w:r>
        <w:t>Im Außenbereich sind Windenergieanlagen als untergeordnete Anlagen zu privilegierten Vorhaben gemäß §</w:t>
      </w:r>
      <w:r w:rsidR="00882D9D">
        <w:t> </w:t>
      </w:r>
      <w:r>
        <w:t>35 Absatz 1 des Baugesetzbuches (siehe Nummer 5.2.2.2) oder als selbstständige Anlagen gemäß § 35 Absatz 1 Nummer 5 des Baugesetzbuches zulässig, wenn öffentliche Belange nicht entgegenstehen und eine ausreichende Erschließung gesichert ist. Das Grundstück muss eine ausreichende Zufahrtsmöglichkeit aufweisen, die die Wartung der Windenergieanlagen zulässt. Der Anschluss einer Windenergieanlage an ein Verbundnetz zum Zwecke der Stromeinspeisung gehört nicht zum bauplanungsrechtlichen Inhalt der E</w:t>
      </w:r>
      <w:r>
        <w:t>r</w:t>
      </w:r>
      <w:r>
        <w:t>schließung (BVerwG, Beschl. v. 5.1.1996 – 4 B 306.95). Die privilegierte Anlage nach § 35 Absatz 1 Nu</w:t>
      </w:r>
      <w:r>
        <w:t>m</w:t>
      </w:r>
      <w:r>
        <w:t>mer 5 des Baugesetzbuches kann eine Übergabestation als Nebenanlage mitziehen. Sofern mehrere Anl</w:t>
      </w:r>
      <w:r>
        <w:t>a</w:t>
      </w:r>
      <w:r>
        <w:t>gen dieselbe Übergabestation nutzen, kann diese auch eigenständig über § 35 Absatz 1 Nummer 3 des Baugesetzbuches privilegiert zulässig sein.</w:t>
      </w:r>
    </w:p>
    <w:p w:rsidR="001C22C8" w:rsidRDefault="001C22C8" w:rsidP="001C22C8">
      <w:pPr>
        <w:pStyle w:val="GesAbsatz"/>
      </w:pPr>
      <w:r>
        <w:t>Soweit durch Darstellungen im Flächennutzungsplan (siehe Nummer 4.3.1) eine Ausweisung für die Win</w:t>
      </w:r>
      <w:r>
        <w:t>d</w:t>
      </w:r>
      <w:r>
        <w:t>energienutzung an anderer Stelle erfolgt ist, sind Windenergieanlagen – ausgenommen die Anlagen, die gemäß § 35 Absatz 1 Nummer 1 des Baugesetzbuches privilegiert sind – außerhalb dieser Flächen in der Regel nach § 35 Absatz 3 Satz 3 des Baugesetzbuches nicht zulässig.</w:t>
      </w:r>
    </w:p>
    <w:p w:rsidR="001C22C8" w:rsidRDefault="001C22C8" w:rsidP="001C22C8">
      <w:pPr>
        <w:pStyle w:val="GesAbsatz"/>
      </w:pPr>
      <w:r>
        <w:t>Ausnahmen von der Ausschlusswirkung durch die Darstellung im Flächennutzungsplan sind, auch bei Win</w:t>
      </w:r>
      <w:r>
        <w:t>d</w:t>
      </w:r>
      <w:r>
        <w:t>energieanlagen, die als untergeordnete Nebenanlagen anderer privilegierter Vorhaben errichtet werden so</w:t>
      </w:r>
      <w:r>
        <w:t>l</w:t>
      </w:r>
      <w:r>
        <w:t>len, im Einvernehmen mit der Gemeinde möglich, wenn Umstände vorliegen, die bei der Festlegung der Konzentrationszone nicht berücksichtigt wurden, oder wenn solche Umstände wegen der notwendigerweise nur groben Betrachtung der Bereiche in der Flächennutzungsplanung nicht greifen (vgl. OVG NRW, Urt. v. 30.11.2001 – 7 A 4857/00; BVerwG, Urt. v. 17.12.2002 – 4 C 15.01; OVG Niedersachsen, Urt. v. 15.5.2009 – 12 LC 55/07). Daraus folgt im Umkehrschluss, dass die Wahrscheinlichkeit für das Eintreten eines Au</w:t>
      </w:r>
      <w:r>
        <w:t>s</w:t>
      </w:r>
      <w:r>
        <w:t>nahmefalles umso geringer ist, je detaillierter eine Gemeinde die Kriterien im Rahmen der Abwägung geprüft und zugrunde gelegt hat. Während der Gesetzgeber mit dem Tatbestandsmerkmal „entgegenstehen“ die besondere Bedeutung der Privilegierung hervorhebt, die tendenziell zugunsten des Vorhabens zu Buche schlägt, bringt er mit der Regel-Ausnahme-Formel in § 35 Absatz 3 Satz 3 des Baugesetzbuches zum Au</w:t>
      </w:r>
      <w:r>
        <w:t>s</w:t>
      </w:r>
      <w:r>
        <w:t>druck, dass außerhalb der Konzentrationsflächen dem Freihalteinteresse grundsätzlich der Vorrang gebührt. Diese Wertung darf nicht im Zulassungsverfahren konterkariert werden. Eine Abweichung im Einzelfall ist zwar möglich, sie steht aber unter dem Vorbehalt, dass die Konzeption, die der Planung zugrunde liegt, als solche nicht in Frage gestellt wird (BVerwG, Urt. v. 17.12.2002 – 4 C 15.01; OVG NRW, Urt. v. 15.3.2006 – 8 A 2672/03).</w:t>
      </w:r>
    </w:p>
    <w:p w:rsidR="001C22C8" w:rsidRDefault="001C22C8" w:rsidP="001C22C8">
      <w:pPr>
        <w:pStyle w:val="GesAbsatz"/>
      </w:pPr>
      <w:r>
        <w:t>Unter Berücksichtigung dieser Grundsätze kann die Atypik sich daraus ergeben, dass eine Windenergiea</w:t>
      </w:r>
      <w:r>
        <w:t>n</w:t>
      </w:r>
      <w:r>
        <w:t>lage wegen ihrer Größe oder wegen ihrer Funktion zum Beispiel als einem anderen privilegierten Vorhaben zugeordnete Nebenanlage besondere Merkmale aufweist, die sie aus dem Kreis der Anlagen heraushebt, deren Zulassung die Gemeinde hat steuern wollen (bspw. bei Anlagen, die nicht der Einspeisung in das öffentliche Netz, sondern nur der Eigenversorgung dienen).</w:t>
      </w:r>
    </w:p>
    <w:p w:rsidR="001C22C8" w:rsidRDefault="001C22C8" w:rsidP="001C22C8">
      <w:pPr>
        <w:pStyle w:val="GesAbsatz"/>
      </w:pPr>
      <w:r>
        <w:t>Ist in der Nähe des vorgesehenen Standorts bereits eine zulässigerweise errichtete Windenergieanlage vo</w:t>
      </w:r>
      <w:r>
        <w:t>r</w:t>
      </w:r>
      <w:r>
        <w:t>handen, so kann dies bei der Interessenbewertung ebenfalls zum Vorteil der Antragstellerin oder des A</w:t>
      </w:r>
      <w:r>
        <w:t>n</w:t>
      </w:r>
      <w:r>
        <w:t>tragstellers ausschlagen. Auch die kleinräumlichen Verhältnisse können es rechtfertigen, von der auf den gesamten Planungsraum bezogenen Beurteilung des Planungsträgers abzuweichen. Ist aufgrund topogr</w:t>
      </w:r>
      <w:r>
        <w:t>a</w:t>
      </w:r>
      <w:r>
        <w:t>phischer oder sonstiger Besonderheiten eine Beeinträchtigung der als störempfindlich und schutzwürdig eingestuften Funktionen des betreffenden Landschaftsraums nicht zu besorgen, so widerspricht es der Zie</w:t>
      </w:r>
      <w:r>
        <w:t>l</w:t>
      </w:r>
      <w:r>
        <w:t xml:space="preserve">richtung des Planvorbehalts nicht, das Vorhaben zuzulassen (siehe OVG NRW, Urt. v. 15.3.2006 – 8 A </w:t>
      </w:r>
      <w:r>
        <w:lastRenderedPageBreak/>
        <w:t>2672/03). Besondere Umstände können auch dann vorliegen, wenn der vorgesehene Standort trotz seiner Lage außerhalb der Konzentrationszone ausnahmsweise keines der Kriterien erfüllt, die nach dem Pl</w:t>
      </w:r>
      <w:r>
        <w:t>a</w:t>
      </w:r>
      <w:r>
        <w:t>nungskonzept der Gemeinde eine Nutzung ausschließen sollen (vgl. OVG NRW, Urt. v. 30.11.2001 – 7 A 4857/00).</w:t>
      </w:r>
    </w:p>
    <w:p w:rsidR="001C22C8" w:rsidRDefault="001C22C8" w:rsidP="001C22C8">
      <w:pPr>
        <w:pStyle w:val="GesAbsatz"/>
      </w:pPr>
      <w:r>
        <w:t>5.2.2.2</w:t>
      </w:r>
      <w:r w:rsidR="00882D9D">
        <w:t xml:space="preserve"> </w:t>
      </w:r>
      <w:proofErr w:type="gramStart"/>
      <w:r>
        <w:t>Untergeordnete Nebenanlage</w:t>
      </w:r>
      <w:proofErr w:type="gramEnd"/>
      <w:r>
        <w:t xml:space="preserve"> (Außenbereich)</w:t>
      </w:r>
    </w:p>
    <w:p w:rsidR="001C22C8" w:rsidRDefault="001C22C8" w:rsidP="001C22C8">
      <w:pPr>
        <w:pStyle w:val="GesAbsatz"/>
      </w:pPr>
      <w:r>
        <w:t>Eine Windenergieanlage kann im Außenbereich nach § 35 Absatz 1 des Baugesetzbuches als unselbststä</w:t>
      </w:r>
      <w:r>
        <w:t>n</w:t>
      </w:r>
      <w:r>
        <w:t xml:space="preserve">diger Teil eines seinerseits privilegierten Betriebes genehmigungsfähig sein. Voraussetzung ist, dass die Windenergieanlage </w:t>
      </w:r>
      <w:proofErr w:type="gramStart"/>
      <w:r>
        <w:t>dem</w:t>
      </w:r>
      <w:proofErr w:type="gramEnd"/>
      <w:r>
        <w:t xml:space="preserve"> Betrieb räumlich und funktional unmittelbar zu- und untergeordnet ist. Ob das Vo</w:t>
      </w:r>
      <w:r>
        <w:t>r</w:t>
      </w:r>
      <w:r>
        <w:t>haben im Verhältnis zu dem privilegiert zulässigen Betrieb bodenrechtlich eine Nebensache ist, sich ihm dienend unterordnet, gegenüber der Hauptnutzung im Hintergrund steht, ist nicht aufgrund einer typisiere</w:t>
      </w:r>
      <w:r>
        <w:t>n</w:t>
      </w:r>
      <w:r>
        <w:t>den, sondern einer konkreten Betrachtungsweise des privilegierten Betriebes und der ihm zugeordneten Nebennutzung zu beurteilen (BVerwG, Beschl. v. 28.8.1998 – 4 B 66.98). Die Windenergieanlage muss sich in angemessener räumlicher Nähe zu dem mit Energie versorgten Betrieb befinden. Nach der Zweckb</w:t>
      </w:r>
      <w:r>
        <w:t>e</w:t>
      </w:r>
      <w:r>
        <w:t>stimmung muss der überwiegende Teil der erzeugten Energie dem privilegierten Vorhaben zugutekommen.</w:t>
      </w:r>
    </w:p>
    <w:p w:rsidR="001C22C8" w:rsidRDefault="001C22C8" w:rsidP="001C22C8">
      <w:pPr>
        <w:pStyle w:val="GesAbsatz"/>
      </w:pPr>
      <w:r>
        <w:t>Für Windenergieanlagen, die als untergeordnete Nebenanlage nach § 35 Absatz 1 Nummer 1 des Baug</w:t>
      </w:r>
      <w:r>
        <w:t>e</w:t>
      </w:r>
      <w:r>
        <w:t>setzbuches privilegiert sind, gilt § 35 Absatz 3 Satz 3 des Baugesetzbuches nicht (siehe auch Nummer</w:t>
      </w:r>
      <w:r w:rsidR="004E5521">
        <w:t xml:space="preserve"> </w:t>
      </w:r>
      <w:r>
        <w:t>5.2.2.1; OVG Niedersachsen, Urt. v. 29.4.2008 – 12 LB 48/01; BVerwG, Beschl. v. 4.11.2008 – 4 B 44.08).</w:t>
      </w:r>
    </w:p>
    <w:p w:rsidR="001C22C8" w:rsidRDefault="001C22C8" w:rsidP="001C22C8">
      <w:pPr>
        <w:pStyle w:val="GesAbsatz"/>
      </w:pPr>
      <w:r>
        <w:t>Eine Windenergieanlage kann im Einzelfall als untergeordnete Nebenanlage mehreren im Außenbereich zulässigerweise errichteten Betrieben dienen, wenn der überwiegende Teil der erzeugten Energie diesen Betrieben insgesamt zukommt. Die funktionelle Zuordnung ist gegebenenfalls durch eine Nebenbestimmung zur Genehmigung auf Dauer sicherzustellen. Die Zuordnung einer Anlage zu mehreren Betrieben ist immer erfüllt, wenn</w:t>
      </w:r>
    </w:p>
    <w:p w:rsidR="001C22C8" w:rsidRDefault="001C22C8" w:rsidP="001C22C8">
      <w:pPr>
        <w:pStyle w:val="GesAbsatz"/>
      </w:pPr>
      <w:r>
        <w:t>–</w:t>
      </w:r>
      <w:r w:rsidR="00882D9D">
        <w:tab/>
      </w:r>
      <w:r>
        <w:t>die Betreiberinnen und Betreiber der Windenergieanlage gesellschaftsrechtlich verbunden sind und</w:t>
      </w:r>
    </w:p>
    <w:p w:rsidR="001C22C8" w:rsidRDefault="001C22C8" w:rsidP="00882D9D">
      <w:pPr>
        <w:pStyle w:val="GesAbsatz"/>
        <w:ind w:left="426" w:hanging="426"/>
      </w:pPr>
      <w:r>
        <w:t>–</w:t>
      </w:r>
      <w:r w:rsidR="00882D9D">
        <w:tab/>
      </w:r>
      <w:r>
        <w:t>die Betreiberinnen und Betreiber der Windenergieanlage nachweisen, dass der Stromverbrauch in ihren Betrieben zusammengenommen höher als 50 Prozent der voraussichtlichen jährlichen Erzeugungslei</w:t>
      </w:r>
      <w:r>
        <w:t>s</w:t>
      </w:r>
      <w:r>
        <w:t>tung der Windenergieanlage ist und</w:t>
      </w:r>
    </w:p>
    <w:p w:rsidR="001C22C8" w:rsidRDefault="001C22C8" w:rsidP="00882D9D">
      <w:pPr>
        <w:pStyle w:val="GesAbsatz"/>
        <w:ind w:left="426" w:hanging="426"/>
      </w:pPr>
      <w:r>
        <w:t>–</w:t>
      </w:r>
      <w:r w:rsidR="00882D9D">
        <w:tab/>
      </w:r>
      <w:r>
        <w:t>die Windenergieanlage sich in angemessener räumlicher Nähe zu den mit Energie versorgten Betrieben befindet.</w:t>
      </w:r>
    </w:p>
    <w:p w:rsidR="001C22C8" w:rsidRDefault="001C22C8" w:rsidP="001C22C8">
      <w:pPr>
        <w:pStyle w:val="GesAbsatz"/>
      </w:pPr>
      <w:r>
        <w:t>5.2.2.3</w:t>
      </w:r>
      <w:r w:rsidR="00882D9D">
        <w:t xml:space="preserve"> </w:t>
      </w:r>
      <w:r>
        <w:t>Entgegenstehen öffentlicher Belange (§ 35 Absatz 3 BauGB)</w:t>
      </w:r>
    </w:p>
    <w:p w:rsidR="001C22C8" w:rsidRDefault="001C22C8" w:rsidP="001C22C8">
      <w:pPr>
        <w:pStyle w:val="GesAbsatz"/>
      </w:pPr>
      <w:r>
        <w:t>Bei der Prüfung des konkreten Standorts einer Anlage im Genehmigungsverfahren können – abhängig von der Regelungsintensität auf Ebene der Bauleitplanung (siehe unten) – insbesondere folgende öffentliche Belange berührt sein und dem Vorhaben gegebenenfalls entgegenstehen:</w:t>
      </w:r>
    </w:p>
    <w:p w:rsidR="001C22C8" w:rsidRDefault="001C22C8" w:rsidP="00882D9D">
      <w:pPr>
        <w:pStyle w:val="GesAbsatz"/>
        <w:ind w:left="426" w:hanging="426"/>
      </w:pPr>
      <w:r>
        <w:t>–</w:t>
      </w:r>
      <w:r w:rsidR="00882D9D">
        <w:tab/>
      </w:r>
      <w:r>
        <w:t>Die Darstellung „Fläche für die Landwirtschaft“ löst in der Regel keinen Widerspruch zu der Errichtung einer Windenergieanlage im Sinn von § 35 Absatz 3 Satz 1 Nummer 1 des Baugesetzbuches aus.</w:t>
      </w:r>
    </w:p>
    <w:p w:rsidR="001C22C8" w:rsidRDefault="001C22C8" w:rsidP="00882D9D">
      <w:pPr>
        <w:pStyle w:val="GesAbsatz"/>
        <w:ind w:left="426" w:hanging="426"/>
      </w:pPr>
      <w:r>
        <w:t>–</w:t>
      </w:r>
      <w:r w:rsidR="00882D9D">
        <w:tab/>
      </w:r>
      <w:r>
        <w:t>Der Begriff der schädlichen Umwelteinwirkungen (§ 35 Absatz 3 Satz 1 Nummer 3 BauGB) ist in § 3 des Bundes-Immissionsschutzgesetzes definiert. Die Abschattungswirkung für Funkwellen stellt keine schädliche Umwelteinwirkung im Sinn des § 35 Absatz 3 Satz 1 Nummer 3 des Baugesetzbuches in Verbindung mit § 3 Absatz 1 und 2 sowie § 5 Absatz 1 Nummer 1 des Bundes-Immissionsschutz</w:t>
      </w:r>
      <w:r w:rsidR="000211D8">
        <w:softHyphen/>
      </w:r>
      <w:r>
        <w:t>gesetzes dar (OVG NRW, Urt. v. 18.8.2009 – 8 A 613/08). Auf Nummer 5.2.1 (Lärm, Schattenwurf) wird verwiesen.</w:t>
      </w:r>
    </w:p>
    <w:p w:rsidR="001C22C8" w:rsidRDefault="001C22C8" w:rsidP="00882D9D">
      <w:pPr>
        <w:pStyle w:val="GesAbsatz"/>
        <w:ind w:left="426" w:hanging="426"/>
      </w:pPr>
      <w:r>
        <w:t>–</w:t>
      </w:r>
      <w:r w:rsidR="00882D9D">
        <w:tab/>
      </w:r>
      <w:r>
        <w:t>Belange des Naturschutzes und der Landschaftspflege im Sinn des § 35 Absatz 3 Satz 1 Nummer 5 des Baugesetzbuches stehen einem Vorhaben insbesondere dann entgegen, wenn dieses in nicht durch Ausnahmegenehmigung oder Befreiung zu behebender Weise in Widerspruch zu einer gültigen Landschaftsschutzverordnung steht (OVG NRW, Urt. v. 5.9.2006 – 8 A 1971/04; ständige Rechtspr</w:t>
      </w:r>
      <w:r>
        <w:t>e</w:t>
      </w:r>
      <w:r>
        <w:t>chung BVerwG, Beschl. v. 2.2.2000 – 4 B 104.99). Auf Nummer 8.2.2.5 (Landschaftsschutzgebiete) wird verwiesen.</w:t>
      </w:r>
    </w:p>
    <w:p w:rsidR="001C22C8" w:rsidRDefault="001C22C8" w:rsidP="00882D9D">
      <w:pPr>
        <w:pStyle w:val="GesAbsatz"/>
        <w:ind w:left="426" w:hanging="426"/>
      </w:pPr>
      <w:r>
        <w:t>–</w:t>
      </w:r>
      <w:r w:rsidR="00882D9D">
        <w:tab/>
      </w:r>
      <w:r>
        <w:t>Außerhalb von förmlich unter Natur- oder Landschaftsschutz gestellten Landschaftsteilen begründet eine Beeinträchtigung des Orts- oder Landschaftsbildes allein noch nicht die Unzulässigkeit eines so</w:t>
      </w:r>
      <w:r>
        <w:t>l</w:t>
      </w:r>
      <w:r>
        <w:t>chen Vorhabens. Vielmehr muss eine qualifizierte Beeinträchtigung im Sinn einer Verunstaltung des Orts- oder Landschaftsbildes gegeben sein. Eine solche Verunstaltung liegt nur vor, wenn das Vorh</w:t>
      </w:r>
      <w:r>
        <w:t>a</w:t>
      </w:r>
      <w:r>
        <w:t>ben seiner Umgebung grob unangemessen ist und auch von einem für ästhetische Eindrücke offenen Betrachter als belastend empfunden wird (OVG NRW, Urt. v. 12.6.2001 – 10 A 97/99; best. durch BVerwG, Beschl. v. 15.10.2001 – 4 B 69.01). Eine Verunstaltung der Landschaft kann weder aus der technischen Neuartigkeit und der dadurch bedingten optischen Gewöhnungsbedürftigkeit der Win</w:t>
      </w:r>
      <w:r>
        <w:t>d</w:t>
      </w:r>
      <w:r>
        <w:t>energieanlagen noch allein aus deren angesichts ihrer Größe markanten und weit sichtbaren Ersche</w:t>
      </w:r>
      <w:r>
        <w:t>i</w:t>
      </w:r>
      <w:r>
        <w:t>nung abgeleitet werden (OVG NRW, Urt. v. 28.2.2008 – 10 A 1060/06; siehe auch BVerwG, Beschl. v. 18.3.2003 – 4 B 7.03; OVG Niedersachsen, Urt. v. 28.2.2010 – 12 LB 243/07).</w:t>
      </w:r>
    </w:p>
    <w:p w:rsidR="001C22C8" w:rsidRDefault="001C22C8" w:rsidP="00882D9D">
      <w:pPr>
        <w:pStyle w:val="GesAbsatz"/>
        <w:ind w:left="426" w:hanging="426"/>
      </w:pPr>
      <w:r>
        <w:lastRenderedPageBreak/>
        <w:t>–</w:t>
      </w:r>
      <w:r w:rsidR="00882D9D">
        <w:tab/>
      </w:r>
      <w:r>
        <w:t>Auch wenn bestimmte Landschaftsteile, die sich in einem Landschaftsschutzgebiet befinden, durch eine Windenergieanlage, die außerhalb dieses Gebiets errichtet werden soll, optisch beeinflusst werden, liegt eine Beeinträchtigung eines öffentlichen Belangs nur vor, wenn dies zu einer Verunstaltung des Landschaftsbildes im Sinn von § 35 Absatz 3 Satz 1 Nummer 5 des Baugesetzbuches führt (BVerwG, Beschl. v. 8.5.2008 – 4 B 28/08).</w:t>
      </w:r>
    </w:p>
    <w:p w:rsidR="001C22C8" w:rsidRDefault="001C22C8" w:rsidP="00EA5DEC">
      <w:pPr>
        <w:pStyle w:val="GesAbsatz"/>
        <w:ind w:left="426"/>
      </w:pPr>
      <w:r>
        <w:t>Nach der Rechtsprechung des Oberverwaltungsgerichtes  NRW (Urt. v. 18.11.2002 – 7 A 2140/00) darf bei der rechtlichen Wertung der Wirkungen von Windenergieanlagen nicht unberücksichtigt bleiben, dass der Gesetzgeber sie im Außenbereich grundsätzlich, das heißt vorbehaltlich einer planerischen Steuerung durch Raumordnungspläne und gemeindliche Flächennutzungspläne, privilegiert hat, so dass die Anlagen als solche nach den gesetzgeberischen Vorgaben im Außenbereich nicht als Frem</w:t>
      </w:r>
      <w:r>
        <w:t>d</w:t>
      </w:r>
      <w:r>
        <w:t>körper, sondern von ihrem Erscheinungsbild her vielmehr eher als außenbereichstypisch und nicht w</w:t>
      </w:r>
      <w:r>
        <w:t>e</w:t>
      </w:r>
      <w:r>
        <w:t>sensfremd zu werten sind (siehe auch OVG NRW, Urt. v. 19.5.2004 – 7 A 3368/02; OVG NRW, Urt. v. 24.6.2004 – 7 A 997/03). Gleichwohl dürfen bei der wertenden Einschätzung des Störpotentials die a</w:t>
      </w:r>
      <w:r>
        <w:t>n</w:t>
      </w:r>
      <w:r>
        <w:t>lagentypischen Drehbewegungen der Rotorblätter als Blickfang trotz gegebener Privilegierung nicht a</w:t>
      </w:r>
      <w:r>
        <w:t>u</w:t>
      </w:r>
      <w:r>
        <w:t>ßer Betracht gelassen werden (BVerwG, Beschl. v. 15.10.2001 – 4 B 69.01). Für die Annahme, ob eine Verunstaltung des Orts- oder Landschaftsbildes vorliegt, ist die jeweilige durch die Standortwahl vorg</w:t>
      </w:r>
      <w:r>
        <w:t>e</w:t>
      </w:r>
      <w:r>
        <w:t>gebene Situation maßgeblich. Ob eine Landschaft durch technische Einrichtungen und Bauten bereits so vorbelastet ist, dass eine Windenergieanlage sie nicht mehr verunstalten kann, ist eine Frage des jeweiligen Einzelfalls. In welcher Entfernung eine Windenergieanlage nicht mehr verunstaltend wirken kann, lässt sich ebenfalls nicht abstrakt festlegen (BVerwG, Beschl. v. 18.3.2003 – 4 B 7.03).</w:t>
      </w:r>
    </w:p>
    <w:p w:rsidR="001C22C8" w:rsidRDefault="001C22C8" w:rsidP="00882D9D">
      <w:pPr>
        <w:pStyle w:val="GesAbsatz"/>
        <w:ind w:left="426" w:hanging="426"/>
      </w:pPr>
      <w:r>
        <w:t>–</w:t>
      </w:r>
      <w:r w:rsidR="00882D9D">
        <w:tab/>
      </w:r>
      <w:r>
        <w:t>Der Belang des Habitat und Artenschutzes ist als Unterfall des Naturschutzes zu berücksichtigen. Zu den Belangen im Einzelnen wird auf Nummer 8.2.2.2 und Nummer 8.2.2.3 verwiesen.</w:t>
      </w:r>
    </w:p>
    <w:p w:rsidR="001C22C8" w:rsidRDefault="001C22C8" w:rsidP="00882D9D">
      <w:pPr>
        <w:pStyle w:val="GesAbsatz"/>
        <w:ind w:left="426" w:hanging="426"/>
      </w:pPr>
      <w:r>
        <w:t>–</w:t>
      </w:r>
      <w:r w:rsidR="00882D9D">
        <w:tab/>
      </w:r>
      <w:r>
        <w:t>Hinsichtlich der Belange des Denkmalschutzes formuliert § 35 Absatz 3 Satz 1 Nummer 5 des Baug</w:t>
      </w:r>
      <w:r>
        <w:t>e</w:t>
      </w:r>
      <w:r>
        <w:t>setzbuches eigenständige Anforderungen, die – unbeschadet der Konkretisierung durch Landesrecht (dazu Nummer 8.2.4) – unmittelbar dort eingreifen, wo grobe Verstöße in Frage stehen (vgl. BVerwG, Beschl. v. 26.6.2014 – 4 B 47.13). Die Vorschrift hat im Verhältnis zu den denkmalrechtlichen Vorschri</w:t>
      </w:r>
      <w:r>
        <w:t>f</w:t>
      </w:r>
      <w:r>
        <w:t>ten, die nach § 29 Absatz 2 des Baugesetzbuches unberührt bleiben, eine Auffangfunktion (BVerwG, Urt. v. 21.4.2009 – 4 C 3.08).</w:t>
      </w:r>
    </w:p>
    <w:p w:rsidR="001C22C8" w:rsidRDefault="001C22C8" w:rsidP="00882D9D">
      <w:pPr>
        <w:pStyle w:val="GesAbsatz"/>
        <w:ind w:left="426" w:hanging="426"/>
      </w:pPr>
      <w:r>
        <w:t>–</w:t>
      </w:r>
      <w:r w:rsidR="00882D9D">
        <w:tab/>
      </w:r>
      <w:r>
        <w:t>Eine Beeinträchtigung öffentlicher Belange kann auch bei einer Gefährdung der Wasserwirtschaft (si</w:t>
      </w:r>
      <w:r>
        <w:t>e</w:t>
      </w:r>
      <w:r>
        <w:t>he Nummer 8.2.3.1 und 8.2.3.2) und des Hochwasserschutzes (siehe Nummer 8.2.3.3 und 8.2.3.4) g</w:t>
      </w:r>
      <w:r>
        <w:t>e</w:t>
      </w:r>
      <w:r>
        <w:t>geben sein. Gegebenenfalls bedarf die Anlagenerrichtung neben der immissionsschutzrechtlichen G</w:t>
      </w:r>
      <w:r>
        <w:t>e</w:t>
      </w:r>
      <w:r>
        <w:t>nehmigung einer entsprechenden wasserrechtlichen Genehmigung.</w:t>
      </w:r>
    </w:p>
    <w:p w:rsidR="001C22C8" w:rsidRDefault="001C22C8" w:rsidP="00882D9D">
      <w:pPr>
        <w:pStyle w:val="GesAbsatz"/>
        <w:ind w:left="426" w:hanging="426"/>
      </w:pPr>
      <w:r>
        <w:t>–</w:t>
      </w:r>
      <w:r w:rsidR="00882D9D">
        <w:tab/>
      </w:r>
      <w:r>
        <w:t>Eine Störung der Funktionsfähigkeit von Funkstellen und Radaranlagen (§ 35 Absatz 3 Satz 1 Nu</w:t>
      </w:r>
      <w:r>
        <w:t>m</w:t>
      </w:r>
      <w:r>
        <w:t>mer</w:t>
      </w:r>
      <w:r w:rsidR="00882D9D">
        <w:t> </w:t>
      </w:r>
      <w:r>
        <w:t>8 BauGB) können der Zulässigkeit einer Windenergieanlage entgegenstehen. Dies setzt voraus, dass die Windenergieanlage die Funktion der Radaranlage für den ihr zugewiesenen Zweck in nicht hinzunehmender Weise einschränkt. Der in § 35 Absatz 3 Satz 1 Nummer 8 des Baugesetzbuches normierte öffentliche Belang soll nur dann die bauplanungsrechtliche Unzulässigkeit eines Vorhabens begründen, wenn es um die Abwehr von Gefahren geht, deren Gewicht den im Gesetzgebungsverfa</w:t>
      </w:r>
      <w:r>
        <w:t>h</w:t>
      </w:r>
      <w:r>
        <w:t>ren in den Blick genommenen öffentlichen Belangen – hier: militärische Belange sowie Flugsicherheit – vergleichbar ist. Ob die Beeinträchtigung privater Richtfunkstrecken als öffentlicher Belang des § 35 Absatz 3 Satz 1 Nummer 8 des Baugesetzbuches einzustufen ist, ist in der Rechtsprechung noch nicht abschließend geklärt. Der Richtfunkkanal wird abgeschattet und eine Hindernisdämpfung wird veru</w:t>
      </w:r>
      <w:r>
        <w:t>r</w:t>
      </w:r>
      <w:r>
        <w:t>sacht, wenn die erste Fresnelzone von den Rotorblättern einer Windenergieanlage überstrichen wird. Allerdings hängt es vom Ausmaß der Hindernisdämpfung ab, ob eine unzulässige Beeinträchtigung vo</w:t>
      </w:r>
      <w:r>
        <w:t>r</w:t>
      </w:r>
      <w:r>
        <w:t>liegt (vgl. OVG NRW, Beschl. v. 27.8.2014 – 8 B 550/14). Allerdings werden Beeinträchtigungen des Rundfunkempfangs vom Schutzbereich des § 35 Absatz 3 Satz 1 Nummer 8 des Baugesetzbuches nicht erfasst (OVG NRW, Urt. v. 18.8.2009 – 8 A 613/08).</w:t>
      </w:r>
    </w:p>
    <w:p w:rsidR="001C22C8" w:rsidRDefault="001C22C8" w:rsidP="00EA5DEC">
      <w:pPr>
        <w:pStyle w:val="GesAbsatz"/>
        <w:ind w:left="426"/>
      </w:pPr>
      <w:r>
        <w:t>Die Funktionsfähigkeit von Wetterradarsystemen kann durch Windenergieanlagen ebenfalls beeinträc</w:t>
      </w:r>
      <w:r>
        <w:t>h</w:t>
      </w:r>
      <w:r>
        <w:t>tigt werden. Auch insoweit ist zu prüfen, ob das Radarsystem tatsächlich durch das Bauvorhaben tec</w:t>
      </w:r>
      <w:r>
        <w:t>h</w:t>
      </w:r>
      <w:r>
        <w:t xml:space="preserve">nisch beeinflusst wird und ob sich diese Störung auf die Funktionsfähigkeit des Radars auswirkt, das heißt, ob der der Radaranlage </w:t>
      </w:r>
      <w:proofErr w:type="gramStart"/>
      <w:r>
        <w:t>zugewiesene</w:t>
      </w:r>
      <w:proofErr w:type="gramEnd"/>
      <w:r>
        <w:t xml:space="preserve"> Zweck in nicht hinnehmbarer Weise eingeschränkt wird.</w:t>
      </w:r>
    </w:p>
    <w:p w:rsidR="001C22C8" w:rsidRDefault="001C22C8" w:rsidP="00EA5DEC">
      <w:pPr>
        <w:pStyle w:val="GesAbsatz"/>
        <w:ind w:left="426"/>
      </w:pPr>
      <w:r>
        <w:t>Soweit es sich um Funk- und Radaranlagen handelt, die der Sicherheit des Luftverkehrs dienen, wird auf Nummer 8.2.6 verwiesen.</w:t>
      </w:r>
    </w:p>
    <w:p w:rsidR="001C22C8" w:rsidRDefault="001C22C8" w:rsidP="00882D9D">
      <w:pPr>
        <w:pStyle w:val="GesAbsatz"/>
        <w:ind w:left="426" w:hanging="426"/>
      </w:pPr>
      <w:r>
        <w:t>–</w:t>
      </w:r>
      <w:r w:rsidR="00882D9D">
        <w:tab/>
      </w:r>
      <w:r>
        <w:t>Zum Belang der Landesverteidigung im Einzelnen wird auf Nummer 8.2.8 verwiesen. Die entspreche</w:t>
      </w:r>
      <w:r>
        <w:t>n</w:t>
      </w:r>
      <w:r>
        <w:t>de Darlegungslast bei der Geltendmachung von Belangen der Landesverteidigung liegt bei der Bu</w:t>
      </w:r>
      <w:r>
        <w:t>n</w:t>
      </w:r>
      <w:r>
        <w:t>deswehr (vgl. OVG Niedersachsen, Beschl. v. 13.04.2011 – 12 ME 8/11). In Konfliktfällen empfiehlt es sich die Expertengruppe „Bundeswehr und Windenergieanlagen“ (</w:t>
      </w:r>
      <w:proofErr w:type="spellStart"/>
      <w:r>
        <w:t>ExpBw</w:t>
      </w:r>
      <w:proofErr w:type="spellEnd"/>
      <w:r>
        <w:t xml:space="preserve"> WEA), Unterarbeitsgruppe der Bundeswehr (UAG) beim Kommando Unterstützungsverbände Luftwaffe, Luftwaffenkaserne Wahn, Postfach 906110, 51127 Köln zu konsultieren.</w:t>
      </w:r>
    </w:p>
    <w:p w:rsidR="001C22C8" w:rsidRDefault="001C22C8" w:rsidP="00882D9D">
      <w:pPr>
        <w:pStyle w:val="GesAbsatz"/>
        <w:ind w:left="426" w:hanging="426"/>
      </w:pPr>
      <w:r>
        <w:lastRenderedPageBreak/>
        <w:t>–</w:t>
      </w:r>
      <w:r w:rsidR="00882D9D">
        <w:tab/>
      </w:r>
      <w:r>
        <w:t>Auch das Gebot der Rücksichtnahme ist in § 35 Absatz 3 Satz 1 des Baugesetzbuches verankert. Der im Außenbereich Wohnende muss grundsätzlich mit der Errichtung von in diesem Bereich privilegierten Windenergieanlagen und ihren optischen Auswirkungen rechnen (OVG NRW, Beschl. v. 12.1.2006 – 8 A 2285/03). Auf Abwehrrechte kann sich nur derjenige berufen, dessen eigene Nutzung formell und m</w:t>
      </w:r>
      <w:r>
        <w:t>a</w:t>
      </w:r>
      <w:r>
        <w:t>teriell legal ist, wobei die Beweislast für die formelle Legalität die Bauherrin oder den Bauherrn trifft (OVG NRW, Beschl. v. 24.6.2010 – 8 A 2764/09; best. durch BVerwG, Beschl. v. 23.12.2010 – 4 B 36.10). Ob von einer Windenergieanlage eine rücksichtslose optisch bedrängende Wirkung auf eine Wohnbebauung ausgeht, ist stets anhand aller Umstände des Einzelfalls zu prüfen. Das Oberverwa</w:t>
      </w:r>
      <w:r>
        <w:t>l</w:t>
      </w:r>
      <w:r>
        <w:t>tungsgericht NRW (siehe Urt. v. 9.8.2006 – 8 A 3726/05 –, best. durch BVerwG, Beschl. v. 11.12.2006 – 4 B 72.06) hat folgende Bewertungskriterien zur Beeinträchtigung entwickelt:</w:t>
      </w:r>
    </w:p>
    <w:p w:rsidR="001C22C8" w:rsidRDefault="001C22C8" w:rsidP="00EA5DEC">
      <w:pPr>
        <w:pStyle w:val="GesAbsatz"/>
        <w:ind w:left="426"/>
      </w:pPr>
      <w:r>
        <w:t>Lage bestimmter Räumlichkeiten und deren Fenster sowie von Terrassen und Ähnlichem zur Win</w:t>
      </w:r>
      <w:r>
        <w:t>d</w:t>
      </w:r>
      <w:r>
        <w:t>energieanlage; bestehende oder in zumutbarer Weise herstellbare Abschirmung des Wohngrundstücks zur Anlage; Hauptwindrichtung und damit Stellung des Rotors zu einem Wohnhaus; topographische S</w:t>
      </w:r>
      <w:r>
        <w:t>i</w:t>
      </w:r>
      <w:r>
        <w:t>tuation; Sichtschutz durch Waldgebiete oder Gebäude; die Größe des Rotordurchmessers, weitere B</w:t>
      </w:r>
      <w:r>
        <w:t>e</w:t>
      </w:r>
      <w:r>
        <w:t>einträchtigungen durch bereits vorhandene Windenergieanlagen.</w:t>
      </w:r>
    </w:p>
    <w:p w:rsidR="001C22C8" w:rsidRDefault="001C22C8" w:rsidP="00EA5DEC">
      <w:pPr>
        <w:pStyle w:val="GesAbsatz"/>
        <w:ind w:left="426"/>
      </w:pPr>
      <w:r>
        <w:t>Nach der Rechtsprechung des Oberverwaltungsgerichtes Nordrhein-Westfalen lassen sich unter B</w:t>
      </w:r>
      <w:r>
        <w:t>e</w:t>
      </w:r>
      <w:r>
        <w:t>rücksichtigung dieser Kriterien für die Ergebnisse der Einzelfallprüfungen grobe Anhaltswerte prognost</w:t>
      </w:r>
      <w:r>
        <w:t>i</w:t>
      </w:r>
      <w:r>
        <w:t>zieren:</w:t>
      </w:r>
    </w:p>
    <w:p w:rsidR="001C22C8" w:rsidRDefault="001C22C8" w:rsidP="00EA5DEC">
      <w:pPr>
        <w:pStyle w:val="GesAbsatz"/>
        <w:ind w:left="426"/>
      </w:pPr>
      <w:r>
        <w:t>Ist der Abstand zwischen einem Wohnhaus und einer Windenergieanlage geringer als das Zweifache der Gesamthöhe der Anlage, dürfte die Einzelfallprüfung überwiegend zu einer dominanten und optisch bedrängenden Wirkung der Anlage gelangen. Beträgt der Abstand das Zwei- bis Dreifache der G</w:t>
      </w:r>
      <w:r>
        <w:t>e</w:t>
      </w:r>
      <w:r>
        <w:t>samthöhe der Anlage, bedarf es regelmäßig einer besonders intensiven Prüfung des Einzelfalls. Diese vom Oberverwaltungsgericht Nordrhein-Westfalen aufgestellten Regeln sind Faustformeln, die eine b</w:t>
      </w:r>
      <w:r>
        <w:t>e</w:t>
      </w:r>
      <w:r>
        <w:t>stimmte Würdigung der Umstände nahe legen, aber die Prüfung des konkreten Einzelfalls nicht en</w:t>
      </w:r>
      <w:r>
        <w:t>t</w:t>
      </w:r>
      <w:r>
        <w:t>behrlich machen (siehe auch BVerwG, Beschl. v. 23.12.2010 – 4 B 36.10).</w:t>
      </w:r>
    </w:p>
    <w:p w:rsidR="001C22C8" w:rsidRDefault="001C22C8" w:rsidP="00EA5DEC">
      <w:pPr>
        <w:pStyle w:val="GesAbsatz"/>
        <w:ind w:left="426"/>
      </w:pPr>
      <w:r>
        <w:t>Im immissionsschutzrechtlichen Genehmigungsverfahren ist die größtmögliche Minimierung der Befe</w:t>
      </w:r>
      <w:r>
        <w:t>u</w:t>
      </w:r>
      <w:r>
        <w:t>erung, insbesondere durch die Nutzung von Sichtweitenmessgeräten und Synchronisierung der Befeu</w:t>
      </w:r>
      <w:r>
        <w:t>e</w:t>
      </w:r>
      <w:r>
        <w:t>rung, als Auflage dem Projektierer aufzugeben.</w:t>
      </w:r>
    </w:p>
    <w:p w:rsidR="001C22C8" w:rsidRDefault="001C22C8" w:rsidP="00EA5DEC">
      <w:pPr>
        <w:pStyle w:val="GesAbsatz"/>
        <w:ind w:left="426"/>
      </w:pPr>
      <w:r>
        <w:t>Aus dem Rücksichtnahmegebot kann sich auch das Erfordernis von Abständen von Windenergieanl</w:t>
      </w:r>
      <w:r>
        <w:t>a</w:t>
      </w:r>
      <w:r>
        <w:t>gen untereinander ergeben. (OVG NRW, Beschl. v. 1.2.2000 – 10 B 1831/99). In diesem Zusamme</w:t>
      </w:r>
      <w:r>
        <w:t>n</w:t>
      </w:r>
      <w:r>
        <w:t>hang wird darauf hingewiesen, dass auch aus Gründen der Standsicherheit Abstände erforderlich sind (siehe Nummer</w:t>
      </w:r>
      <w:r w:rsidR="00EA5DEC">
        <w:t xml:space="preserve"> </w:t>
      </w:r>
      <w:r>
        <w:t>5.2.3.4).</w:t>
      </w:r>
    </w:p>
    <w:p w:rsidR="001C22C8" w:rsidRDefault="001C22C8" w:rsidP="001C22C8">
      <w:pPr>
        <w:pStyle w:val="GesAbsatz"/>
      </w:pPr>
      <w:r>
        <w:t>Befindet sich der Standort der Windenergieanlage innerhalb einer im Flächennutzungsplan dargestellten Konzentrationszone, ist Folgendes zu beachten: Eine positive Standortzuweisung nach § 35 Absatz 3 Satz 3 des Baugesetzbuches setzt voraus, dass sich die Planung als vollzugsfähig erweist und dass ihr auf una</w:t>
      </w:r>
      <w:r>
        <w:t>b</w:t>
      </w:r>
      <w:r>
        <w:t>sehbare Zeit keine unüberwindbaren rechtlichen oder tatsächlichen Hindernisse im Wege stehen (BVerwG, Urt. v. 17.12.2002 – 4 C 15/01). Innerhalb einer im Flächennutzungsplan dargestellten Konzentrationszone dürfen die Belange des § 35 Absatz 3 Satz 1 des Baugesetzbuches, die bereits im Rahmen der Planung abschließend abgewogen worden sind, bei der Entscheidung über die Zulassung einer Windenergieanlage nicht wieder als Genehmigungshindernis aktiviert werden (vgl. BVerwG, Urt. v. 20.5.2010 – 4 C 7.09). En</w:t>
      </w:r>
      <w:r>
        <w:t>t</w:t>
      </w:r>
      <w:r>
        <w:t>gegenstehende öffentliche Belange werden deswegen für Windenergieanlagen in Konzentrationszonen nur relevant, soweit sie auf Ebene der Bauleitplanung noch nicht abschließend berücksichtigt wurden. Die Reg</w:t>
      </w:r>
      <w:r>
        <w:t>e</w:t>
      </w:r>
      <w:r>
        <w:t>lungsdichte eines Bauleitplans wird auf der einen Seite durch das Gebot der Konfliktbewältigung (planerisch zu bewältigende Nutzungskonflikte sollen im aktuellen Planverfahren und nicht erst in einem späteren G</w:t>
      </w:r>
      <w:r>
        <w:t>e</w:t>
      </w:r>
      <w:r>
        <w:t>nehmigungsverfahren gelöst werden) und auf der anderen Seite durch das Gebots der planerischer Zurüc</w:t>
      </w:r>
      <w:r>
        <w:t>k</w:t>
      </w:r>
      <w:r>
        <w:t>haltung (planerische Zurückhaltung für die Fälle, in denen eine Konfliktbewältigung sachgerecht auf Ebene der Einzelgenehmigung erfolgen kann) bestimmt. Je nach Detailierungsgrad des Bauleitplans ändert sich das Prüfprogramm auf der Ebene der Vorhabenzulassung.</w:t>
      </w:r>
    </w:p>
    <w:p w:rsidR="001C22C8" w:rsidRDefault="001C22C8" w:rsidP="001C22C8">
      <w:pPr>
        <w:pStyle w:val="GesAbsatz"/>
      </w:pPr>
      <w:r>
        <w:t>5.2.2.4</w:t>
      </w:r>
      <w:r w:rsidR="00882D9D">
        <w:t xml:space="preserve"> </w:t>
      </w:r>
      <w:proofErr w:type="gramStart"/>
      <w:r>
        <w:t>Rückbauverpflichtung</w:t>
      </w:r>
      <w:proofErr w:type="gramEnd"/>
    </w:p>
    <w:p w:rsidR="001C22C8" w:rsidRDefault="001C22C8" w:rsidP="001C22C8">
      <w:pPr>
        <w:pStyle w:val="GesAbsatz"/>
      </w:pPr>
      <w:r>
        <w:t>Nach § 35 Absatz 5 Satz 2 des Baugesetzbuches ist für Vorhaben nach § 35 Absatz 1 Nummern 2 bis 6 des Baugesetzbuches als weitere Zulässigkeitsvoraussetzung eine Verpflichtungserklärung abzugeben, das Vorhaben einschließlich Nebenanlagen nach dauerhafter Aufgabe der zulässigen Nutzung zurückzubauen und Bodenversiegelungen (Fundament, Zuwegungen) zu beseitigen.</w:t>
      </w:r>
    </w:p>
    <w:p w:rsidR="001C22C8" w:rsidRDefault="001C22C8" w:rsidP="001C22C8">
      <w:pPr>
        <w:pStyle w:val="GesAbsatz"/>
      </w:pPr>
      <w:r>
        <w:t>Zur Rückbauverpflichtung nach § 35 Absatz 5 Satz 2 in Verbindung mit Satz 3 des Baugesetzbuches hat das Bundesverwaltungsgericht mit Urteil vom 17.10.2012 (Az: 4 C 5.11) klargestellt, dass die Regelung die Einhaltung der Erklärung der Betroffenen oder des Betroffenen, mit der sie oder er sich zum Rückbau ve</w:t>
      </w:r>
      <w:r>
        <w:t>r</w:t>
      </w:r>
      <w:r>
        <w:t xml:space="preserve">pflichte, sicherstellen solle und dass dies auch die Absicherung eines möglichen Liquiditätsrisikos beinhalte. Die Durchsetzung der Rückbaupflicht solle nicht daran scheitern, dass von der Vollstreckung abgesehen werde, weil ausreichende Mittel für eine Ersatzvornahme nicht zur Verfügung ständen. Selbst wenn eine </w:t>
      </w:r>
      <w:r>
        <w:lastRenderedPageBreak/>
        <w:t>öffentlich-rechtliche Baulast eingetragen ist, muss daher von der Bauherrin oder vom Bauherrn auch eine Sicherheitsleistung, die (in der Regel durch Bankbürgschaft) zugunsten der Genehmigungsbehörde oder der Bauaufsichtsbehörde zu bestellen ist, gefordert werden. Die Sicherheitsleistung muss den Rückbau der Windenergieanlage einschließlich des den Boden versiegelnden Fundaments am Ende der voraussichtl</w:t>
      </w:r>
      <w:r>
        <w:t>i</w:t>
      </w:r>
      <w:r>
        <w:t>chen Lebensdauer der Anlage vollständig abdecken. Wenn nichts Gegenteiliges nachgewiesen wird, kann von einer Sicherheitsleistung in Höhe von 6,5 Prozent der Gesamtinvestitionskosten ausgegangen werden. Im Einzelfall kann sich aus der Konstruktion der Windenergieanlage eine höhere oder niedrigere Sicherheit</w:t>
      </w:r>
      <w:r>
        <w:t>s</w:t>
      </w:r>
      <w:r>
        <w:t>leistung ergeben. Die Sicherheitsleistung muss spätestens bei Baubeginn vorliegen. Dies kann durch eine entsprechende Nebenbestimmung zur Genehmigung gesichert werden.</w:t>
      </w:r>
    </w:p>
    <w:p w:rsidR="001C22C8" w:rsidRPr="002D6219" w:rsidRDefault="001C22C8" w:rsidP="001C22C8">
      <w:pPr>
        <w:pStyle w:val="GesAbsatz"/>
        <w:rPr>
          <w:b/>
        </w:rPr>
      </w:pPr>
      <w:r w:rsidRPr="002D6219">
        <w:rPr>
          <w:b/>
        </w:rPr>
        <w:t>5.2.3</w:t>
      </w:r>
      <w:r w:rsidR="00882D9D" w:rsidRPr="002D6219">
        <w:rPr>
          <w:b/>
        </w:rPr>
        <w:t xml:space="preserve"> </w:t>
      </w:r>
      <w:r w:rsidRPr="002D6219">
        <w:rPr>
          <w:b/>
        </w:rPr>
        <w:t>Bauordnungsrechtliche Anforderungen</w:t>
      </w:r>
    </w:p>
    <w:p w:rsidR="001C22C8" w:rsidRDefault="001C22C8" w:rsidP="001C22C8">
      <w:pPr>
        <w:pStyle w:val="GesAbsatz"/>
      </w:pPr>
      <w:r>
        <w:t>Bei der Genehmigung von Windenergieanlagen ist die Einhaltung der Anforderungen des Bauordnung</w:t>
      </w:r>
      <w:r>
        <w:t>s</w:t>
      </w:r>
      <w:r>
        <w:t>rechts sicherzustellen.</w:t>
      </w:r>
    </w:p>
    <w:p w:rsidR="001C22C8" w:rsidRDefault="001C22C8" w:rsidP="001C22C8">
      <w:pPr>
        <w:pStyle w:val="GesAbsatz"/>
      </w:pPr>
      <w:r>
        <w:t>Die für die Einspeisung ins Stromnetz erforderlichen Übergabestationen bis 20 Quadratmeter Grundfläche und 4 Meter Höhe sind gemäß § 65 Absatz 1 Nummer 9a der Landesbauordnung baugenehmigungsfrei. Die Genehmigungsfreiheit entbindet nicht von der Verpflichtung zur Einhaltung der Anforderungen, die in öffen</w:t>
      </w:r>
      <w:r>
        <w:t>t</w:t>
      </w:r>
      <w:r>
        <w:t>lich-rechtlichen Vorschriften gestellt werden, § 65 Absatz 4 der Landesbauordnung.</w:t>
      </w:r>
    </w:p>
    <w:p w:rsidR="001C22C8" w:rsidRDefault="001C22C8" w:rsidP="001C22C8">
      <w:pPr>
        <w:pStyle w:val="GesAbsatz"/>
      </w:pPr>
      <w:r>
        <w:t>5.2.3.1</w:t>
      </w:r>
      <w:r w:rsidR="00882D9D">
        <w:t xml:space="preserve"> </w:t>
      </w:r>
      <w:r>
        <w:t>Abstandflächen</w:t>
      </w:r>
    </w:p>
    <w:p w:rsidR="001C22C8" w:rsidRDefault="001C22C8" w:rsidP="001C22C8">
      <w:pPr>
        <w:pStyle w:val="GesAbsatz"/>
      </w:pPr>
      <w:r>
        <w:t>Die notwendige Abstandfläche einer Windenergieanlage ergibt sich aus § 6 Absatz 10 der Landesbauor</w:t>
      </w:r>
      <w:r>
        <w:t>d</w:t>
      </w:r>
      <w:r>
        <w:t>nung.</w:t>
      </w:r>
    </w:p>
    <w:p w:rsidR="001C22C8" w:rsidRDefault="001C22C8" w:rsidP="001C22C8">
      <w:pPr>
        <w:pStyle w:val="GesAbsatz"/>
      </w:pPr>
      <w:r>
        <w:t>Zu weiteren erforderlichen Abständen siehe auch Nummer 5.2.2.3 und Nummer 8.</w:t>
      </w:r>
    </w:p>
    <w:p w:rsidR="001C22C8" w:rsidRDefault="001C22C8" w:rsidP="001C22C8">
      <w:pPr>
        <w:pStyle w:val="GesAbsatz"/>
      </w:pPr>
      <w:r>
        <w:t>5.2.3.2</w:t>
      </w:r>
      <w:r w:rsidR="00882D9D">
        <w:t xml:space="preserve"> </w:t>
      </w:r>
      <w:proofErr w:type="gramStart"/>
      <w:r>
        <w:t>Brandschutz</w:t>
      </w:r>
      <w:proofErr w:type="gramEnd"/>
    </w:p>
    <w:p w:rsidR="001C22C8" w:rsidRDefault="001C22C8" w:rsidP="001C22C8">
      <w:pPr>
        <w:pStyle w:val="GesAbsatz"/>
      </w:pPr>
      <w:r>
        <w:t>Für Windenergieanlagen mit mehr als 30 Metern Höhe ist nach § 68 Absatz 1 Satz 3 Nummer 2 der Lande</w:t>
      </w:r>
      <w:r>
        <w:t>s</w:t>
      </w:r>
      <w:r>
        <w:t>bauordnung mit den Bauvorlagen ein Brandschutzkonzept bei der Genehmigungsbehörde einzureichen, §</w:t>
      </w:r>
      <w:r w:rsidR="00882D9D">
        <w:t> </w:t>
      </w:r>
      <w:r>
        <w:t>69 Absatz 1 Satz 2 der Landesbauordnung. Einzelheiten ergeben sich aus § 9 der Verordnung über ba</w:t>
      </w:r>
      <w:r>
        <w:t>u</w:t>
      </w:r>
      <w:r>
        <w:t>technische Prüfungen (BauPrüfVO). Für Kleinwindanlagen unter 30 Metern ist, auch wenn sich um einen Sonderbau im Sinn von § 54 der Landesbauordnung handelt, in der Regel die Vorlage eines Brandschut</w:t>
      </w:r>
      <w:r>
        <w:t>z</w:t>
      </w:r>
      <w:r>
        <w:t>konzeptes nicht erforderlich.</w:t>
      </w:r>
    </w:p>
    <w:p w:rsidR="001C22C8" w:rsidRDefault="001C22C8" w:rsidP="001C22C8">
      <w:pPr>
        <w:pStyle w:val="GesAbsatz"/>
      </w:pPr>
      <w:r>
        <w:t>Windenergieanlagen müssen so beschaffen sein, dass der Entstehung eines Brandes der Anlage und der Brandweiterleitung auf die Umgebung (Gebäude, bauliche Anlagen und Wald) vorgebeugt wird. Dies wird in der Regel durch Wahrung der im Erlass aufgeführten Abstandsregelungen (z.B. in Nummern 5.2.2.3, 5.2.3.1 und 8.1) erreicht. Soweit besondere Standort- oder Risikofaktoren im Einzelfall erkennbar sind, wie dies regelmäßig bei Anlagen im Wald oder in der Nähe des Waldes anzunehmen ist, sind neben den regelmäßig zu beachtenden Anforderungen (z. B. Blitzschutzanlagen, Wartung und Instandhaltung) weitere geeignete Vorkehrungen zu treffen, wie beispielsweise</w:t>
      </w:r>
    </w:p>
    <w:p w:rsidR="001C22C8" w:rsidRDefault="001C22C8" w:rsidP="001C22C8">
      <w:pPr>
        <w:pStyle w:val="GesAbsatz"/>
      </w:pPr>
      <w:r>
        <w:t>–</w:t>
      </w:r>
      <w:r w:rsidR="00882D9D">
        <w:tab/>
      </w:r>
      <w:r>
        <w:t>soweit möglich Verwendung nichtbrennbarer Baustoffe,</w:t>
      </w:r>
    </w:p>
    <w:p w:rsidR="001C22C8" w:rsidRDefault="001C22C8" w:rsidP="00882D9D">
      <w:pPr>
        <w:pStyle w:val="GesAbsatz"/>
        <w:ind w:left="426" w:hanging="426"/>
      </w:pPr>
      <w:r>
        <w:t>–</w:t>
      </w:r>
      <w:r w:rsidR="00882D9D">
        <w:tab/>
      </w:r>
      <w:r>
        <w:t>Brandfrüherkennung mit automatischer Abschaltung der Anlagen und vollständiger Trennung von der Stützenergie,</w:t>
      </w:r>
    </w:p>
    <w:p w:rsidR="001C22C8" w:rsidRDefault="001C22C8" w:rsidP="001C22C8">
      <w:pPr>
        <w:pStyle w:val="GesAbsatz"/>
      </w:pPr>
      <w:r>
        <w:t>–</w:t>
      </w:r>
      <w:r w:rsidR="00882D9D">
        <w:tab/>
      </w:r>
      <w:r>
        <w:t>Vorhaltung selbsttätiger Feuerlöschanlagen,</w:t>
      </w:r>
    </w:p>
    <w:p w:rsidR="001C22C8" w:rsidRDefault="001C22C8" w:rsidP="001C22C8">
      <w:pPr>
        <w:pStyle w:val="GesAbsatz"/>
      </w:pPr>
      <w:r>
        <w:t>(siehe auch VdS3523: 2008-07, Windenergieanlagen, Leitfaden für den Brandschutz).</w:t>
      </w:r>
    </w:p>
    <w:p w:rsidR="001C22C8" w:rsidRDefault="001C22C8" w:rsidP="001C22C8">
      <w:pPr>
        <w:pStyle w:val="GesAbsatz"/>
      </w:pPr>
      <w:r>
        <w:t>Besondere Standort- oder Risikofaktoren sind bei Anlagen auf dem freien Feld regelmäßig nicht erkennbar.</w:t>
      </w:r>
    </w:p>
    <w:p w:rsidR="001C22C8" w:rsidRDefault="001C22C8" w:rsidP="001C22C8">
      <w:pPr>
        <w:pStyle w:val="GesAbsatz"/>
      </w:pPr>
      <w:r>
        <w:t>5.2.3.3</w:t>
      </w:r>
      <w:r w:rsidR="00882D9D">
        <w:t xml:space="preserve"> </w:t>
      </w:r>
      <w:r>
        <w:t>Beachtung Technischer Baubestimmungen</w:t>
      </w:r>
    </w:p>
    <w:p w:rsidR="001C22C8" w:rsidRDefault="001C22C8" w:rsidP="001C22C8">
      <w:pPr>
        <w:pStyle w:val="GesAbsatz"/>
      </w:pPr>
      <w:r>
        <w:t>Es wird auf den Runderlass des Ministeriums für Bauen und Verkehr „Einführung Technischer Baubesti</w:t>
      </w:r>
      <w:r>
        <w:t>m</w:t>
      </w:r>
      <w:r>
        <w:t>mungen nach § 3 Abs. 3 BauO NRW“ vom 8. November 2006 (MBl. NRW. S.  582) in der jeweils geltenden Fassung verwiesen. Mit Neuordnung der Liste der Technischen Baubestimmungen (LTB), die durch die B</w:t>
      </w:r>
      <w:r>
        <w:t>e</w:t>
      </w:r>
      <w:r>
        <w:t>kanntmachung der Eurocodes als Technische Baubestimmungen erforderlich wurde, ist für Sonderkonstru</w:t>
      </w:r>
      <w:r>
        <w:t>k</w:t>
      </w:r>
      <w:r>
        <w:t>tionen in Form von Windenergieanlagen aktuell die laufende Nummer 2.7.9 einschlägig. Die „Richtlinie für Windenergieanlagen; Einwirkungen und Standsicherheitsnachweise für Turm und Gründung; Fassung Okt</w:t>
      </w:r>
      <w:r>
        <w:t>o</w:t>
      </w:r>
      <w:r>
        <w:t>ber 2012“ (Schriftenreihe B des DIBt, Heft 8) ist als Technische Baubestimmung eingeführt. Die Anlage 2.7/12 der LTB enthält zu beachtende ergänzende Bestimmungen. Auf die Anlage 2.7/12 der LTB wird auch hinsichtlich der erforderlichen gutachtlichen Stellungnahmen eines oder einer Sachverständigen als B</w:t>
      </w:r>
      <w:r>
        <w:t>e</w:t>
      </w:r>
      <w:r>
        <w:t>standteil der Bauvorlagen für Windenergieanlagen, kleine Windenergieanlagen und sehr kleine Windene</w:t>
      </w:r>
      <w:r>
        <w:t>r</w:t>
      </w:r>
      <w:r>
        <w:t>gieanlagen bis 10 Meter Gesamthöhe hingewiesen. Geeignete sachverständige Stellen sind dort benannt.</w:t>
      </w:r>
    </w:p>
    <w:p w:rsidR="001C22C8" w:rsidRDefault="001C22C8" w:rsidP="001C22C8">
      <w:pPr>
        <w:pStyle w:val="GesAbsatz"/>
      </w:pPr>
      <w:r>
        <w:t>5.2.3.4</w:t>
      </w:r>
      <w:r w:rsidR="00882D9D">
        <w:t xml:space="preserve"> </w:t>
      </w:r>
      <w:proofErr w:type="gramStart"/>
      <w:r>
        <w:t>Standsicherheit</w:t>
      </w:r>
      <w:proofErr w:type="gramEnd"/>
    </w:p>
    <w:p w:rsidR="001C22C8" w:rsidRDefault="001C22C8" w:rsidP="001C22C8">
      <w:pPr>
        <w:pStyle w:val="GesAbsatz"/>
      </w:pPr>
      <w:r>
        <w:t xml:space="preserve">Gemäß § 15 Absatz 1 der Landesbauordnung muss jede bauliche Anlage standsicher sein und darf auch die Standsicherheit anderer baulicher Anlagen nicht gefährden. Gemäß § 18 Absatz 3 der Landesbauordnung </w:t>
      </w:r>
      <w:r>
        <w:lastRenderedPageBreak/>
        <w:t>sind Erschütterungen oder Schwingungen, die von baulichen Anlagen ausgehen, so zu dämmen, dass G</w:t>
      </w:r>
      <w:r>
        <w:t>e</w:t>
      </w:r>
      <w:r>
        <w:t>fahren oder unzumutbare Belästigungen nicht entstehen. Wird eine Windenergieanlage in Windrichtung vor einer bereits bestehenden Windenergieanlage errichtet, kann sie durch Erhöhung der Turbulenzintensität einen schnelleren Verschleiß von Anlagenteilen der nachgesetzten Anlage bewirken und damit auf Dauer deren Standsicherheit beeinträchtigen (siehe auch OVG NRW, Beschl. v. 1.2.2000 – 10 B 1831/99). Um den bauordnungsrechtlichen Anforderungen unter Beachtung der Technischen Baubestimmungen Rechnung zu tragen, ist für freistehende Windenergieanlagen mit Turm und Gründung ein ausreichender Abstand untere</w:t>
      </w:r>
      <w:r>
        <w:t>i</w:t>
      </w:r>
      <w:r>
        <w:t>nander und zu anderen vergleichbar hohen Bauwerken erforderlich.</w:t>
      </w:r>
    </w:p>
    <w:p w:rsidR="001C22C8" w:rsidRDefault="001C22C8" w:rsidP="001C22C8">
      <w:pPr>
        <w:pStyle w:val="GesAbsatz"/>
      </w:pPr>
      <w:r>
        <w:t>Für den Standsicherheitsnachweis von Windenergieanlagen wird auf der Grundlage der aktuellen Richtlinien für Windenergieanlagen (sowohl in den Fassungen März 2004 als auch Oktober 2012, hier: Schriftenreihe B des DIBt, Heft 8) eine geringere Turbulenzintensität angesetzt als nach der zuvor bauaufsichtlich eingefüh</w:t>
      </w:r>
      <w:r>
        <w:t>r</w:t>
      </w:r>
      <w:r>
        <w:t>ten Richtlinie für Windkraftanlagen (in der Fassung Juni 1993), die noch bis zum Jahresende 2005 ang</w:t>
      </w:r>
      <w:r>
        <w:t>e</w:t>
      </w:r>
      <w:r>
        <w:t>wendet werden durfte. Der verringerte Ansatz der Turbulenzintensität bedingt größere Mindestabstände der Windenergieanlagen zur Gewährleistung der Standsicherheit. Bei Unterschreitung der Abstände von 8 b</w:t>
      </w:r>
      <w:r>
        <w:t>e</w:t>
      </w:r>
      <w:r>
        <w:t>ziehungsweise 5 Rotordurchmessern nach Abschnitt 6.3.3 der aktuellen Richtlinie für Windenergieanlagen können sowohl nach den Richtlinien März 2004 (Abschnitt 6.3.3) als auch Oktober 2012 (Abschnitt 7.3.3) standsicherheitsrelevante Auswirkungen in Betracht kommen.</w:t>
      </w:r>
    </w:p>
    <w:p w:rsidR="001C22C8" w:rsidRDefault="001C22C8" w:rsidP="001C22C8">
      <w:pPr>
        <w:pStyle w:val="GesAbsatz"/>
      </w:pPr>
      <w:r>
        <w:t>Für Anlagen, die noch nach der älteren Richtlinie für Windkraftanlagen (Fassung Juni 1993) ausgelegt sind, gilt weiterhin, dass bei Abständen von weniger als 5 Rotordurchmessern in Hauptwindrichtung standsiche</w:t>
      </w:r>
      <w:r>
        <w:t>r</w:t>
      </w:r>
      <w:r>
        <w:t>heitsrelevante Auswirkungen zu erwarten sind und ein Abstand von weniger als 3 Rotordurchmessern im Hinblick auf die Standsicherheit als gefährlich einzustufen ist.</w:t>
      </w:r>
    </w:p>
    <w:p w:rsidR="001C22C8" w:rsidRDefault="001C22C8" w:rsidP="001C22C8">
      <w:pPr>
        <w:pStyle w:val="GesAbsatz"/>
      </w:pPr>
      <w:r>
        <w:t>Zur Genehmigung der Unterschreitung von Abständen, bei denen standsicherheitsrelevante Auswirkungen zu erwarten sind, ist von der Antragstellerin oder vom Antragsteller der hinzukommenden Windenergieanl</w:t>
      </w:r>
      <w:r>
        <w:t>a</w:t>
      </w:r>
      <w:r>
        <w:t>ge mittels gutachtlicher Stellungnahme einer oder eines Sachverständigen nachzuweisen, dass Gefahren oder unzumutbare Belästigungen nicht entstehen (siehe auch Ziffer 3.2 in der Anlage 2.7/12 der LTB in Ve</w:t>
      </w:r>
      <w:r>
        <w:t>r</w:t>
      </w:r>
      <w:r>
        <w:t>bindung mit der Technischen Baubestimmung).</w:t>
      </w:r>
    </w:p>
    <w:p w:rsidR="001C22C8" w:rsidRDefault="001C22C8" w:rsidP="001C22C8">
      <w:pPr>
        <w:pStyle w:val="GesAbsatz"/>
      </w:pPr>
      <w:r>
        <w:t>5.2.3.5</w:t>
      </w:r>
      <w:r w:rsidR="00882D9D">
        <w:t xml:space="preserve"> </w:t>
      </w:r>
      <w:proofErr w:type="gramStart"/>
      <w:r>
        <w:t>Eiswurf</w:t>
      </w:r>
      <w:proofErr w:type="gramEnd"/>
    </w:p>
    <w:p w:rsidR="001C22C8" w:rsidRDefault="001C22C8" w:rsidP="001C22C8">
      <w:pPr>
        <w:pStyle w:val="GesAbsatz"/>
      </w:pPr>
      <w:r>
        <w:t>Wegen der Gefahr des Eisabwurfes sind Abstände von Windenergieanlagen zu Verkehrswegen, Erholung</w:t>
      </w:r>
      <w:r>
        <w:t>s</w:t>
      </w:r>
      <w:r>
        <w:t>einrichtungen und Gebäuden einzuhalten oder funktionssichere technische Einrichtungen zur Gefahrena</w:t>
      </w:r>
      <w:r>
        <w:t>b</w:t>
      </w:r>
      <w:r>
        <w:t>wehr (z.B. automatische Außerbetriebnahme bei Eisansatz oder Rotorblattheizung) erforderlich. Detaillierte Anforderungen werden in Anlage 2.7/12 der LTB gestellt. Im Bereich unter Windenergieanlagen mit techn</w:t>
      </w:r>
      <w:r>
        <w:t>i</w:t>
      </w:r>
      <w:r>
        <w:t xml:space="preserve">schen Einrichtungen zur </w:t>
      </w:r>
      <w:proofErr w:type="gramStart"/>
      <w:r>
        <w:t>Außerbetriebnahme</w:t>
      </w:r>
      <w:proofErr w:type="gramEnd"/>
      <w:r>
        <w:t xml:space="preserve"> des Rotors bei Eisansatz ist durch Hinweisschilder auf die ve</w:t>
      </w:r>
      <w:r>
        <w:t>r</w:t>
      </w:r>
      <w:r>
        <w:t>bleibende Gefährdung durch Eisabfall bei Rotorstillstand oder Trudelbetrieb aufmerksam zu machen.</w:t>
      </w:r>
    </w:p>
    <w:p w:rsidR="001C22C8" w:rsidRDefault="001C22C8" w:rsidP="00882D9D">
      <w:pPr>
        <w:pStyle w:val="berschrift2"/>
        <w:jc w:val="left"/>
      </w:pPr>
      <w:bookmarkStart w:id="25" w:name="_Toc451849527"/>
      <w:r>
        <w:t>6</w:t>
      </w:r>
      <w:r w:rsidR="00882D9D">
        <w:t xml:space="preserve"> </w:t>
      </w:r>
      <w:r>
        <w:t>Kleinwindanlagen bis 50 Meter Anlagenhöhe</w:t>
      </w:r>
      <w:bookmarkEnd w:id="25"/>
    </w:p>
    <w:p w:rsidR="001C22C8" w:rsidRDefault="001C22C8" w:rsidP="00882D9D">
      <w:pPr>
        <w:pStyle w:val="berschrift3"/>
        <w:jc w:val="left"/>
      </w:pPr>
      <w:bookmarkStart w:id="26" w:name="_Toc451849528"/>
      <w:r>
        <w:t>6.1</w:t>
      </w:r>
      <w:r w:rsidR="00882D9D">
        <w:t xml:space="preserve"> </w:t>
      </w:r>
      <w:r>
        <w:t>Verfahren</w:t>
      </w:r>
      <w:bookmarkEnd w:id="26"/>
    </w:p>
    <w:p w:rsidR="001C22C8" w:rsidRDefault="001C22C8" w:rsidP="001C22C8">
      <w:pPr>
        <w:pStyle w:val="GesAbsatz"/>
      </w:pPr>
      <w:r>
        <w:t>Unter Kleinwindanlagen werden Anlagen mit einer Anlagengesamthöhe von bis zu 50 Metern Höhe versta</w:t>
      </w:r>
      <w:r>
        <w:t>n</w:t>
      </w:r>
      <w:r>
        <w:t>den, die entsprechend der Regelungen der Verordnung über genehmigungsbedürftige Anlagen (4. BI</w:t>
      </w:r>
      <w:r w:rsidR="001F098B">
        <w:t>m</w:t>
      </w:r>
      <w:r>
        <w:t>SchV) nicht unter die immissionsschutzrechtliche Genehmigungspflicht fallen.</w:t>
      </w:r>
    </w:p>
    <w:p w:rsidR="001C22C8" w:rsidRDefault="001C22C8" w:rsidP="001C22C8">
      <w:pPr>
        <w:pStyle w:val="GesAbsatz"/>
      </w:pPr>
      <w:r>
        <w:t>Kleinwindanlagen gelten als bauliche Anlagen im Sinn des § 29 des Baugesetzbuches und des § 2 der La</w:t>
      </w:r>
      <w:r>
        <w:t>n</w:t>
      </w:r>
      <w:r>
        <w:t>desbauordnung. Nach § 65 Absatz 1 Nummer 44 Buchstabe b der Landesbauordnung bedarf die Errichtung oder Änderung von Kleinwindanlagen bis zu 10 Metern Anlagengesamthöhe, außer in reinen, allgemeinen und besonderen Wohngebieten, sowie Mischgebieten, keiner Baugenehmigung. Die Anlagengesamthöhe bezieht sich dabei allein auf die Höhe der Kleinwindanlage. Ferner bedarf nach § 65 Absatz 2 Nummer 4 der Landesbauordnung die mit diesen genehmigungsfreien Anlagen verbundene Änderung der Nutzung oder der äußeren Gestalt des Gebäudes keiner Baugenehmigung. Die Genehmigungsfreiheit entbindet nicht von der Verpflichtung zur Einhaltung der Anforderungen, die in öffentlich-rechtlichen Vorschriften gestellt werden (§ 65 Absatz 4 BauO NRW). Für alle anderen Windenergieanlagen bis 50 Meter Gesamthöhe, die entweder neben oder auf einem Gebäude errichtet werden sollen, ist nach § 63 Absatz 1 der Landesbauordnung ein Baugenehmigungsverfahren durchzuführen.</w:t>
      </w:r>
    </w:p>
    <w:p w:rsidR="001C22C8" w:rsidRDefault="001C22C8" w:rsidP="001C22C8">
      <w:pPr>
        <w:pStyle w:val="GesAbsatz"/>
      </w:pPr>
      <w:r>
        <w:t>Neben der Baugenehmigung sind gegebenenfalls weitere Genehmigungen/ Erlaubnisse einzuholen. Die Bauaufsichtsbehörden haben im Genehmigungsverfahren weitere Fachbehörden (wie beispielsweise die Umweltschutzbehörden/ Landschaftsbehörden) zu beteiligen.</w:t>
      </w:r>
    </w:p>
    <w:p w:rsidR="001C22C8" w:rsidRDefault="001C22C8" w:rsidP="00882D9D">
      <w:pPr>
        <w:pStyle w:val="berschrift3"/>
        <w:jc w:val="left"/>
      </w:pPr>
      <w:bookmarkStart w:id="27" w:name="_Toc451849529"/>
      <w:r>
        <w:t>6.2</w:t>
      </w:r>
      <w:r w:rsidR="00882D9D">
        <w:t xml:space="preserve"> </w:t>
      </w:r>
      <w:r>
        <w:t>Zulässigkeit</w:t>
      </w:r>
      <w:bookmarkEnd w:id="27"/>
    </w:p>
    <w:p w:rsidR="001C22C8" w:rsidRPr="002D6219" w:rsidRDefault="001C22C8" w:rsidP="001C22C8">
      <w:pPr>
        <w:pStyle w:val="GesAbsatz"/>
        <w:rPr>
          <w:b/>
        </w:rPr>
      </w:pPr>
      <w:r w:rsidRPr="002D6219">
        <w:rPr>
          <w:b/>
        </w:rPr>
        <w:t>6.2.1</w:t>
      </w:r>
      <w:r w:rsidR="00882D9D" w:rsidRPr="002D6219">
        <w:rPr>
          <w:b/>
        </w:rPr>
        <w:t xml:space="preserve"> </w:t>
      </w:r>
      <w:r w:rsidRPr="002D6219">
        <w:rPr>
          <w:b/>
        </w:rPr>
        <w:t>Immissionsschutzrechtliche Voraussetzungen</w:t>
      </w:r>
    </w:p>
    <w:p w:rsidR="001C22C8" w:rsidRDefault="001C22C8" w:rsidP="001C22C8">
      <w:pPr>
        <w:pStyle w:val="GesAbsatz"/>
      </w:pPr>
      <w:r>
        <w:lastRenderedPageBreak/>
        <w:t>Für Kleinwindanlagen gilt infolge von § 22 des Bundes-Immissionsschutzgesetzes, gegebenenfalls in Ve</w:t>
      </w:r>
      <w:r>
        <w:t>r</w:t>
      </w:r>
      <w:r>
        <w:t>bindung mit § 13 des Landes-Immissionsschutzgesetz (LImSchG), dass sie die gebietsbezogenen Immiss</w:t>
      </w:r>
      <w:r>
        <w:t>i</w:t>
      </w:r>
      <w:r>
        <w:t>onsrichtwerte nach Nummer 6.1 der TA Lärm und sonstige immissionsschutzrechtliche Anforderungen ei</w:t>
      </w:r>
      <w:r>
        <w:t>n</w:t>
      </w:r>
      <w:r>
        <w:t>halten müssen. Werden Kleinwindanlagen an Gebäuden befestigt, sind aufgrund der baulichen Verbunde</w:t>
      </w:r>
      <w:r>
        <w:t>n</w:t>
      </w:r>
      <w:r>
        <w:t>heit auch die Immissionsrichtwerte für Innen nach Nummer 6.2 der TA Lärm zu berücksichtigen, sofern im Gebäude nicht nur die Anlagenbetreiberin oder der Anlagenbetreiber wohnt.</w:t>
      </w:r>
    </w:p>
    <w:p w:rsidR="001C22C8" w:rsidRDefault="001C22C8" w:rsidP="001C22C8">
      <w:pPr>
        <w:pStyle w:val="GesAbsatz"/>
      </w:pPr>
      <w:r>
        <w:t>Aufgrund der sehr unterschiedlichen Höhen und Leistungsklassen der Kleinwindanlagen und der unte</w:t>
      </w:r>
      <w:r>
        <w:t>r</w:t>
      </w:r>
      <w:r>
        <w:t>schiedlich geprägten Standorte, an denen Kleinwindanlagen verwirklicht werden sollen, lassen sich jedoch allgemeine Empfehlungen kaum aussprechen.</w:t>
      </w:r>
    </w:p>
    <w:p w:rsidR="001C22C8" w:rsidRDefault="001C22C8" w:rsidP="001C22C8">
      <w:pPr>
        <w:pStyle w:val="GesAbsatz"/>
      </w:pPr>
      <w:r>
        <w:t>Insbesondere bei Anlagen im Innenbereich sind im baurechtlichen Genehmigungsverfahren aussagekräftige Unterlagen vorzulegen, die eine Prüfung der immissionsschutzrechtlichen Zulässigkeit des Betriebs ermögl</w:t>
      </w:r>
      <w:r>
        <w:t>i</w:t>
      </w:r>
      <w:r>
        <w:t>chen (z.B. gesicherte Datenblätter, in denen unabhängige Institute das Geräuschverhalten der Anlage in allen regulären Betriebszuständen mindestens bis zum Erreichen der Nennleistung belegen).</w:t>
      </w:r>
    </w:p>
    <w:p w:rsidR="001C22C8" w:rsidRPr="002D6219" w:rsidRDefault="001C22C8" w:rsidP="001C22C8">
      <w:pPr>
        <w:pStyle w:val="GesAbsatz"/>
        <w:rPr>
          <w:b/>
        </w:rPr>
      </w:pPr>
      <w:r w:rsidRPr="002D6219">
        <w:rPr>
          <w:b/>
        </w:rPr>
        <w:t>6.2.2</w:t>
      </w:r>
      <w:r w:rsidR="00882D9D" w:rsidRPr="002D6219">
        <w:rPr>
          <w:b/>
        </w:rPr>
        <w:t xml:space="preserve"> </w:t>
      </w:r>
      <w:r w:rsidRPr="002D6219">
        <w:rPr>
          <w:b/>
        </w:rPr>
        <w:t>Bauplanungsrechtliche Voraussetzungen</w:t>
      </w:r>
    </w:p>
    <w:p w:rsidR="001C22C8" w:rsidRDefault="001C22C8" w:rsidP="001C22C8">
      <w:pPr>
        <w:pStyle w:val="GesAbsatz"/>
      </w:pPr>
      <w:r>
        <w:t>Die bauplanungsrechtliche Zulässigkeit richtet sich nach den §§ 29 bis 36 des Baugesetzbuches.</w:t>
      </w:r>
    </w:p>
    <w:p w:rsidR="001C22C8" w:rsidRDefault="001C22C8" w:rsidP="001C22C8">
      <w:pPr>
        <w:pStyle w:val="GesAbsatz"/>
      </w:pPr>
      <w:r>
        <w:t>Im beplanten Innenbereich ist anhand der jeweiligen Gebietskategorie zu prüfen, ob eine Windenergieanlage (als eigenständige Hauptanlage) nach § 30 des Baugesetzbuches in Verbindung mit der der Baunutzung</w:t>
      </w:r>
      <w:r>
        <w:t>s</w:t>
      </w:r>
      <w:r>
        <w:t>verordnung zulässig ist. Im unbeplanten Innenbereich muss sich die Windenergieanlage gemäß § 34 Absatz</w:t>
      </w:r>
      <w:r w:rsidR="00AF0949">
        <w:t xml:space="preserve"> </w:t>
      </w:r>
      <w:r>
        <w:t>1 des Baugesetzbuches in die Eigenart der näheren Umgebung einfügen. In den Fällen, in denen die Eige</w:t>
      </w:r>
      <w:r>
        <w:t>n</w:t>
      </w:r>
      <w:r>
        <w:t>art der näheren Umgebung einem der Baugebiete der der Baunutzungsverordnung entspricht, ist die Zulä</w:t>
      </w:r>
      <w:r>
        <w:t>s</w:t>
      </w:r>
      <w:r>
        <w:t>sigkeit nach § 34 Absatz 2 des Baugesetzbuches anhand der Gebietskategorien der Baunutzungsveror</w:t>
      </w:r>
      <w:r>
        <w:t>d</w:t>
      </w:r>
      <w:r>
        <w:t>nung zu prüfen.</w:t>
      </w:r>
    </w:p>
    <w:p w:rsidR="001C22C8" w:rsidRDefault="001C22C8" w:rsidP="001C22C8">
      <w:pPr>
        <w:pStyle w:val="GesAbsatz"/>
      </w:pPr>
      <w:r>
        <w:t>Im Innenbereich können Kleinwindanlagen grundsätzlich auch als untergeordnete Nebenanlagen gemäß §</w:t>
      </w:r>
      <w:r w:rsidR="00882D9D">
        <w:t> </w:t>
      </w:r>
      <w:r>
        <w:t>14 der Baunutzungsverordnung in allen Baugebieten zulässig sein. Voraussetzung ist, dass sie dem pr</w:t>
      </w:r>
      <w:r>
        <w:t>i</w:t>
      </w:r>
      <w:r>
        <w:t>mären Nutzungszweck von Grundstücken dienen und der Eigenart des Baugebiets nicht widersprechen (vgl. OVG Niedersachsen, Beschl. v. 29.6.2012 – 12 LA 155/11). Kleinwindanlagen dienen nur solange dem pr</w:t>
      </w:r>
      <w:r>
        <w:t>i</w:t>
      </w:r>
      <w:r>
        <w:t>mären Nutzungszweck von Grundstücken (funktionale Unterordnung), wie sie überwiegend (mehr als 50</w:t>
      </w:r>
      <w:r w:rsidR="00882D9D">
        <w:t> </w:t>
      </w:r>
      <w:r>
        <w:t>Prozent) für das jeweilige Grundstück selbst Energie erzeugen, nicht aber, wenn die erzeugte Energie überwiegend in das öffentliche Netz eingespeist wird. Darüber hinaus müssen sie der Hauptnutzung räu</w:t>
      </w:r>
      <w:r>
        <w:t>m</w:t>
      </w:r>
      <w:r>
        <w:t>lich-gegenständlich untergeordnet sein. Die räumliche Unterordnung ist zwar nicht bereits dann ausg</w:t>
      </w:r>
      <w:r>
        <w:t>e</w:t>
      </w:r>
      <w:r>
        <w:t>schlossen, wenn die Anlage über die Firsthöhe der übergeordneten baulichen Anlage um etliche Meter hi</w:t>
      </w:r>
      <w:r>
        <w:t>n</w:t>
      </w:r>
      <w:r>
        <w:t>ausragt. Aufgrund des äußeren Erscheinungsbildes und wegen ihrer Abmessungen darf die Nebenanlage aber der Hauptanlage nicht gleichwertig erscheinen oder diese optisch verdrängen. Eine Kleinwindanlage kann im Hinblick auf ihr geringes bauliches Volumen in der optischen Wirkung derart zurücktreten, dass sie gegenüber einem Gebäude, dessen Energieversorgung sie dient, auch räumlich-gegenständlich als unte</w:t>
      </w:r>
      <w:r>
        <w:t>r</w:t>
      </w:r>
      <w:r>
        <w:t>geordnet erscheint. Maßgeblich für die räumlich-gegenständliche Unterordnung ist der optische Gesamtei</w:t>
      </w:r>
      <w:r>
        <w:t>n</w:t>
      </w:r>
      <w:r>
        <w:t>druck aus Standort und Größe der Kleinwindanlage, den Abmessungen der benachbarten Hauptanlagen, der Bebauungsdichte des Baugebietes sowie der Grundstücksgrößen (vgl. VGH Mannheim, Beschl. v. 9.7.2014 – 8 S 39/14).</w:t>
      </w:r>
    </w:p>
    <w:p w:rsidR="001C22C8" w:rsidRDefault="001C22C8" w:rsidP="001C22C8">
      <w:pPr>
        <w:pStyle w:val="GesAbsatz"/>
      </w:pPr>
      <w:r>
        <w:t>Im Außenbereich können Kleinwindanlagen als selbstständige Anlagen nach § 35 Absatz 1 Nummer 5 des Baugesetzbuches zu beurteilen sein, unabhängig davon, ob der erzeugte Strom ins öffentliche Netz eing</w:t>
      </w:r>
      <w:r>
        <w:t>e</w:t>
      </w:r>
      <w:r>
        <w:t>speist wird oder der privaten Energieversorgung dient. Aufgrund ihrer geringen Höhe handelt es sich nicht um raumbedeutsame Anlagen. Sie werden deshalb von der raumordnerischen Steuerung der Anlagenerric</w:t>
      </w:r>
      <w:r>
        <w:t>h</w:t>
      </w:r>
      <w:r>
        <w:t>tung nicht erfasst.</w:t>
      </w:r>
    </w:p>
    <w:p w:rsidR="001C22C8" w:rsidRDefault="001C22C8" w:rsidP="001C22C8">
      <w:pPr>
        <w:pStyle w:val="GesAbsatz"/>
      </w:pPr>
      <w:r>
        <w:t>Kleinwindanlagen können im Außenbereich auch als untergeordnete Nebenanlagen zu privilegierten Vorh</w:t>
      </w:r>
      <w:r>
        <w:t>a</w:t>
      </w:r>
      <w:r>
        <w:t>ben nach § 35 Absatz 1 des Baugesetzbuches zulässig sein (s. Nummer 5.2.2.2).</w:t>
      </w:r>
    </w:p>
    <w:p w:rsidR="001C22C8" w:rsidRDefault="001C22C8" w:rsidP="001C22C8">
      <w:pPr>
        <w:pStyle w:val="GesAbsatz"/>
      </w:pPr>
      <w:r>
        <w:t>Hat eine Gemeinde von dem Institut der bauleitplanerischen Steuerung Gebrauch gemacht und Konzentrat</w:t>
      </w:r>
      <w:r>
        <w:t>i</w:t>
      </w:r>
      <w:r>
        <w:t>onszonen ausgewiesen, gilt für Anlagen, die von einem privilegierten landwirtschaftlichen Betrieb nach § 35 Absatz 1 Nummer 1 des Baugesetzbuches mitgezogen werden, § 35 Absatz 3 Satz 3 des Baugesetzbuches unabhängig von der Höhe der Windenergieanlage nicht (BVerwG, Beschl. v. 4.11.2008 – 4 B 44.08). In den übrigen Fällen des § 35 Absatz 1 des Baugesetzbuches muss im Einzelfall geprüft werden, ob eine Au</w:t>
      </w:r>
      <w:r>
        <w:t>s</w:t>
      </w:r>
      <w:r>
        <w:t>nahme von der Ausschlusswirkung (§ 35 Absatz 3 Satz 3 BauGB) möglich ist (siehe auch oben Nummer</w:t>
      </w:r>
      <w:r w:rsidR="00AF0949">
        <w:t xml:space="preserve"> </w:t>
      </w:r>
      <w:r>
        <w:t>5.2.2.1).</w:t>
      </w:r>
    </w:p>
    <w:p w:rsidR="001C22C8" w:rsidRDefault="001C22C8" w:rsidP="001C22C8">
      <w:pPr>
        <w:pStyle w:val="GesAbsatz"/>
      </w:pPr>
      <w:r>
        <w:t>Die Atypik kann sich daraus ergeben, dass eine Windenergieanlage wegen ihrer Größe oder wegen ihrer Funktion zum Beispiel als einem anderen privilegierten Vorhaben zugeordnete Nebenanlage besondere Merkmale aufweist, die sie aus dem Kreis der Anlagen heraushebt, deren Zulassung die Gemeinde hat steuern wollen (bspw. bei Anlagen, die nicht der Einspeisung in das öffentliche Netz, sondern nur der E</w:t>
      </w:r>
      <w:r>
        <w:t>i</w:t>
      </w:r>
      <w:r>
        <w:t xml:space="preserve">genversorgung dienen). Ist in der Nähe des vorgesehenen Standorts bereits eine zulässigerweise errichtete </w:t>
      </w:r>
      <w:r>
        <w:lastRenderedPageBreak/>
        <w:t>(Klein)Windenergieanlage vorhanden, so kann dies bei der Interessenbewertung ebenfalls zum Vorteil der Antragstellerin oder des Antragstellers ausschlagen. Auch die kleinräumlichen Verhältnisse können es rech</w:t>
      </w:r>
      <w:r>
        <w:t>t</w:t>
      </w:r>
      <w:r>
        <w:t>fertigen, von der auf den gesamten Planungsraum bezogenen Beurteilung des Planungsträgers abzuwe</w:t>
      </w:r>
      <w:r>
        <w:t>i</w:t>
      </w:r>
      <w:r>
        <w:t>chen. Ist aufgrund topographischer oder sonstiger Besonderheiten eine Beeinträchtigung der als störem</w:t>
      </w:r>
      <w:r>
        <w:t>p</w:t>
      </w:r>
      <w:r>
        <w:t>findlich und schutzwürdig eingestuften Funktionen des betreffenden Landschaftsraums nicht zu besorgen, so widerspricht es der Zielrichtung des Planvorbehalts nicht, das Vorhaben zuzulassen (siehe OVG NRW, Urt. v. 15.3.2006 – 8 A 2672/03).</w:t>
      </w:r>
    </w:p>
    <w:p w:rsidR="001C22C8" w:rsidRDefault="001C22C8" w:rsidP="001C22C8">
      <w:pPr>
        <w:pStyle w:val="GesAbsatz"/>
      </w:pPr>
      <w:r>
        <w:t>Im Übrigen wird auf die grundsätzlichen Ausführungen in Nummer 5.2.2 verwiesen.</w:t>
      </w:r>
    </w:p>
    <w:p w:rsidR="001C22C8" w:rsidRPr="002D6219" w:rsidRDefault="001C22C8" w:rsidP="001C22C8">
      <w:pPr>
        <w:pStyle w:val="GesAbsatz"/>
        <w:rPr>
          <w:b/>
        </w:rPr>
      </w:pPr>
      <w:r w:rsidRPr="002D6219">
        <w:rPr>
          <w:b/>
        </w:rPr>
        <w:t>6.2.3</w:t>
      </w:r>
      <w:r w:rsidR="00882D9D" w:rsidRPr="002D6219">
        <w:rPr>
          <w:b/>
        </w:rPr>
        <w:t xml:space="preserve"> </w:t>
      </w:r>
      <w:r w:rsidRPr="002D6219">
        <w:rPr>
          <w:b/>
        </w:rPr>
        <w:t>Bauordnungsrechtliche Voraussetzungen</w:t>
      </w:r>
    </w:p>
    <w:p w:rsidR="001C22C8" w:rsidRDefault="001C22C8" w:rsidP="001C22C8">
      <w:pPr>
        <w:pStyle w:val="GesAbsatz"/>
      </w:pPr>
      <w:r>
        <w:t>Zu den bauordnungsrechtlichen Anforderungen wird auf Nummer 5.2.3 verwiesen. Hinsichtlich des Nac</w:t>
      </w:r>
      <w:r>
        <w:t>h</w:t>
      </w:r>
      <w:r>
        <w:t>weises der Sicherheit und der erforderlichen Bauvorlagen gelten in Verbindung mit Abschnitt 5.2.3.3 Erleic</w:t>
      </w:r>
      <w:r>
        <w:t>h</w:t>
      </w:r>
      <w:r>
        <w:t>terungen für kleine Windenergieanlagen im Anwendungsbereich der DIN EN 61400-2 (s. a. Ziffern 1 und 3.1 in der Anlage 2.7/12 der LTB) sowie für sehr kleine Windenergieanlagen bis 10 Meter Gesamthöhe (s. a. Ziffer 5 der Anlage 2.7/12 der LTB).</w:t>
      </w:r>
    </w:p>
    <w:p w:rsidR="001C22C8" w:rsidRDefault="001C22C8" w:rsidP="00882D9D">
      <w:pPr>
        <w:pStyle w:val="berschrift2"/>
        <w:jc w:val="left"/>
      </w:pPr>
      <w:bookmarkStart w:id="28" w:name="_Toc451849530"/>
      <w:r>
        <w:t>7</w:t>
      </w:r>
      <w:r w:rsidR="00882D9D">
        <w:t xml:space="preserve"> </w:t>
      </w:r>
      <w:r>
        <w:t>Überwachung und Gebühren</w:t>
      </w:r>
      <w:bookmarkEnd w:id="28"/>
    </w:p>
    <w:p w:rsidR="001C22C8" w:rsidRDefault="001C22C8" w:rsidP="00882D9D">
      <w:pPr>
        <w:pStyle w:val="berschrift3"/>
        <w:jc w:val="left"/>
      </w:pPr>
      <w:bookmarkStart w:id="29" w:name="_Toc451849531"/>
      <w:r>
        <w:t>7.1</w:t>
      </w:r>
      <w:r w:rsidR="00882D9D">
        <w:t xml:space="preserve"> </w:t>
      </w:r>
      <w:r>
        <w:t>Überwachung</w:t>
      </w:r>
      <w:bookmarkEnd w:id="29"/>
    </w:p>
    <w:p w:rsidR="001C22C8" w:rsidRDefault="001C22C8" w:rsidP="001C22C8">
      <w:pPr>
        <w:pStyle w:val="GesAbsatz"/>
      </w:pPr>
      <w:r>
        <w:t>Die Überwachung des Immissionsschutzes (Lärm und Schattenwurf) gemäß § 52 des Bundes-Immissionsschutzgesetzes obliegt den Umweltschutzbehörden. Die Immissionsschutzbehörde ist gemäß §</w:t>
      </w:r>
      <w:r w:rsidR="00882D9D">
        <w:t> </w:t>
      </w:r>
      <w:r>
        <w:t>17 Absatz 7 des Bundesnaturschutzgesetzes für die Prüfung der frist- und sachgerechten Durchführung der Nebenbestimmungen zu Vermeidungs- beziehungsweise Ausgleichs- und Ersatzmaßnahmen, die auf Grundlage der naturschutzrechtlichen Eingriffsregelung festgesetzt wurden, zuständig. Hierzu kann sie die im Genehmigungsverfahren beteiligte Landschaftsbehörde im Rahmen der Amtshilfe um Unterstützung bi</w:t>
      </w:r>
      <w:r>
        <w:t>t</w:t>
      </w:r>
      <w:r>
        <w:t>ten. Im Übrigen überwachen die Landschaftsbehörden gemäß § 3 Absatz 2 des Bundesnaturschutzgesetzes in Verbindung mit § 8 des Landschaftsgesetzes (LG) die Einhaltung der naturschutzrechtlichen Vorschriften. Dies betrifft insbesondere die Einhaltung der Vorschriften zum Artenschutz gemäß der §§ 44 ff des Bu</w:t>
      </w:r>
      <w:r>
        <w:t>n</w:t>
      </w:r>
      <w:r>
        <w:t>desnaturschutzgesetzes  und Habitatschutz gemäß § 34 und 36 des Bundesnaturschutzgesetzes sowie die Umsetzung der in diesem Zusammenhang in den Genehmigungsbescheid aufgenommenen Nebenbesti</w:t>
      </w:r>
      <w:r>
        <w:t>m</w:t>
      </w:r>
      <w:r>
        <w:t>mungen.</w:t>
      </w:r>
    </w:p>
    <w:p w:rsidR="001C22C8" w:rsidRDefault="001C22C8" w:rsidP="001C22C8">
      <w:pPr>
        <w:pStyle w:val="GesAbsatz"/>
      </w:pPr>
      <w:r>
        <w:t>Die Bauaufsichtsbehörden sind gemäß § 61 der Landesbauordnung bei Windenergieanlagen dafür zustä</w:t>
      </w:r>
      <w:r>
        <w:t>n</w:t>
      </w:r>
      <w:r>
        <w:t>dig, die Einhaltung der öffentlich-rechtlichen Vorschriften im Übrigen zu überwachen.</w:t>
      </w:r>
    </w:p>
    <w:p w:rsidR="001C22C8" w:rsidRDefault="001C22C8" w:rsidP="00D85046">
      <w:pPr>
        <w:pStyle w:val="berschrift3"/>
        <w:jc w:val="left"/>
      </w:pPr>
      <w:bookmarkStart w:id="30" w:name="_Toc451849532"/>
      <w:r>
        <w:t>7.2</w:t>
      </w:r>
      <w:r w:rsidR="00D85046">
        <w:t xml:space="preserve"> </w:t>
      </w:r>
      <w:r>
        <w:t>Gebühren</w:t>
      </w:r>
      <w:bookmarkEnd w:id="30"/>
    </w:p>
    <w:p w:rsidR="001C22C8" w:rsidRPr="002D6219" w:rsidRDefault="001C22C8" w:rsidP="001C22C8">
      <w:pPr>
        <w:pStyle w:val="GesAbsatz"/>
        <w:rPr>
          <w:b/>
        </w:rPr>
      </w:pPr>
      <w:r w:rsidRPr="002D6219">
        <w:rPr>
          <w:b/>
        </w:rPr>
        <w:t>7.2.1</w:t>
      </w:r>
      <w:r w:rsidR="00D85046" w:rsidRPr="002D6219">
        <w:rPr>
          <w:b/>
        </w:rPr>
        <w:t xml:space="preserve"> </w:t>
      </w:r>
      <w:r w:rsidRPr="002D6219">
        <w:rPr>
          <w:b/>
        </w:rPr>
        <w:t>Entscheidungen nach dem Bundes-Immissionsschutzgesetz</w:t>
      </w:r>
    </w:p>
    <w:p w:rsidR="001C22C8" w:rsidRDefault="001C22C8" w:rsidP="001C22C8">
      <w:pPr>
        <w:pStyle w:val="GesAbsatz"/>
      </w:pPr>
      <w:r>
        <w:t>Für die Genehmigung sowie weitere Entscheidungen nach dem Bundes-Immissionsschutzgesetz berechnen sich die Gebühren nach den Tarifstellen (TS) 15a des Allgemeinen Gebührentarifs (AGT) der Allgemeinen Verwaltungsgebührenordnung (AVwGebO NRW). Berechnungsgrundlage sind die Errichtungskosten, die sich aus den voraussichtlichen Gesamtkosten (einschließlich der Mehrwertsteuer) der Windenergieanlage oder derjenigen Anlagenteile ergeben, die nach der (Teil-, Änderungs-) Genehmigung errichtet werden dü</w:t>
      </w:r>
      <w:r>
        <w:t>r</w:t>
      </w:r>
      <w:r>
        <w:t>fen. Maßgeblich sind die voraussichtlichen Gesamtkosten im Zeitpunkt der Erteilung der Genehmigung, es sei denn, diese sind niedriger als zum Zeitpunkt der Antragstellung. Nach Tarifstelle 15a.1.1 der Allgemeinen Verwaltungsgebührenordnung ist mindestens die höchste Gebühr zu erheben, die für eine nach § 13 des Bundes-Immissionsschutzgesetzes eingeschlossene behördliche Entscheidung zu entrichten gewesen wäre, wenn diese selbständig erteilt worden wäre.</w:t>
      </w:r>
    </w:p>
    <w:p w:rsidR="001C22C8" w:rsidRPr="002D6219" w:rsidRDefault="001C22C8" w:rsidP="001C22C8">
      <w:pPr>
        <w:pStyle w:val="GesAbsatz"/>
        <w:rPr>
          <w:b/>
        </w:rPr>
      </w:pPr>
      <w:r w:rsidRPr="002D6219">
        <w:rPr>
          <w:b/>
        </w:rPr>
        <w:t>7.2.2</w:t>
      </w:r>
      <w:r w:rsidR="00D85046" w:rsidRPr="002D6219">
        <w:rPr>
          <w:b/>
        </w:rPr>
        <w:t xml:space="preserve"> </w:t>
      </w:r>
      <w:r w:rsidRPr="002D6219">
        <w:rPr>
          <w:b/>
        </w:rPr>
        <w:t>Gebühren für Baugenehmigung, Bauüberwachung und Bauzustandsbesichtigung, Prüfung des Standsicherheitsnachweises</w:t>
      </w:r>
    </w:p>
    <w:p w:rsidR="001C22C8" w:rsidRDefault="001C22C8" w:rsidP="001C22C8">
      <w:pPr>
        <w:pStyle w:val="GesAbsatz"/>
      </w:pPr>
      <w:r>
        <w:t>Die Gebühren sind nach dem Allgemeinen Gebührentarif der Allgemeinen Verwaltungsgebührenordnung zu erheben, soweit nicht die Gemeinden Gebührenordnungen (Satzungen) mit abweichenden Gebührensätzen erlassen haben (§ 2 Absatz 3 GebG NRW). Nach Tarifstelle 2.4.1.4 Buchstabe b des Allgemeinen Gebü</w:t>
      </w:r>
      <w:r>
        <w:t>h</w:t>
      </w:r>
      <w:r>
        <w:t>rentarifs der Allgemeinen Verwaltungsgebührenordnung berechnet sich die Gebühr für die Baugenehmigung einer Windenergieanlage, unabhängig von ihrer Höhe, mit 1 Prozent der Herstellungssumme. Von den ve</w:t>
      </w:r>
      <w:r>
        <w:t>r</w:t>
      </w:r>
      <w:r>
        <w:t>anschlagten (geschätzten) Herstellungskosten der gesamten Windenergieanlage ist auszugehen, weil sie insgesamt Gegenstand baurechtlicher Prüfungen ist (z. B. planungsrechtliche Zulässigkeit, Immission</w:t>
      </w:r>
      <w:r>
        <w:t>s</w:t>
      </w:r>
      <w:r>
        <w:t>schutz, Abstandflächen, Naturschutz- und Landschaftspflege). Da die Herstellungskosten einer Windene</w:t>
      </w:r>
      <w:r>
        <w:t>r</w:t>
      </w:r>
      <w:r>
        <w:t xml:space="preserve">gieanlage maßgeblich von einer technischen Ausstattung (z.B. Generator, Bremse, Kupplung, Welle, Nabe usw.) bestimmt werden, die selbst keiner bauaufsichtlichen Prüfung unterliegt, ist nach Tarifstelle 2.1.3 </w:t>
      </w:r>
      <w:r>
        <w:lastRenderedPageBreak/>
        <w:t>Satz</w:t>
      </w:r>
      <w:r w:rsidR="00D85046">
        <w:t> </w:t>
      </w:r>
      <w:r>
        <w:t>4 bei der Berechnung der Gebühren die Hälfte der Herstellungssumme zugrunde zu legen. Die Tari</w:t>
      </w:r>
      <w:r>
        <w:t>f</w:t>
      </w:r>
      <w:r>
        <w:t>stelle 2.3.1 bleibt unberührt.</w:t>
      </w:r>
    </w:p>
    <w:p w:rsidR="001C22C8" w:rsidRDefault="001C22C8" w:rsidP="001C22C8">
      <w:pPr>
        <w:pStyle w:val="GesAbsatz"/>
      </w:pPr>
      <w:r>
        <w:t>Die Gebühren für Amtshandlungen nach Tarifstelle 2.4.10.1ff. des Allgemeinen Gebührentarifs (Bauüberw</w:t>
      </w:r>
      <w:r>
        <w:t>a</w:t>
      </w:r>
      <w:r>
        <w:t>chung und Bauzustandsbesichtigung) sind unter Berücksichtigung der vorstehend ermittelten Genehm</w:t>
      </w:r>
      <w:r>
        <w:t>i</w:t>
      </w:r>
      <w:r>
        <w:t>gungsgebühren (Gebühr nach TS 2.4.1.4 Buchst. b) zu berechnen. Die Gebühren im Sinn der Tarifstelle</w:t>
      </w:r>
      <w:r w:rsidR="00AF0949">
        <w:t xml:space="preserve"> </w:t>
      </w:r>
      <w:r>
        <w:t>2.4.8.1 (Prüfung des Standsicherheitsnachweises) und 2.4.8.4 (Prüfung von Konstruktionszeichnungen) sind nach Tarifstelle 2.1.5.3 zu ermitteln, wobei die Herstellungssumme der Windenergieanlage zugrunde zu legen ist. Bei der Ermittlung der Herstellungssumme bleiben jedoch die Herstellungskosten der Windturbine unberücksichtigt, weil die Windturbine keiner bautechnischen Prüfungen hinsichtlich der Standsicherheit unterliegt (TS 2.1.3 Satz 3). Die Herstellungssumme besteht deshalb vorliegend nur aus den veranschlagten Kosten des Fundaments und des Turms der Windenergieanlage.</w:t>
      </w:r>
    </w:p>
    <w:p w:rsidR="001C22C8" w:rsidRDefault="001C22C8" w:rsidP="00D85046">
      <w:pPr>
        <w:pStyle w:val="berschrift2"/>
        <w:jc w:val="left"/>
      </w:pPr>
      <w:bookmarkStart w:id="31" w:name="_Toc451849533"/>
      <w:r>
        <w:t>8</w:t>
      </w:r>
      <w:r w:rsidR="00D85046">
        <w:t xml:space="preserve"> </w:t>
      </w:r>
      <w:r>
        <w:t>Tabuzonen, Berücksichtigung von Spezialgesetzen, Behördenbeteiligung</w:t>
      </w:r>
      <w:bookmarkEnd w:id="31"/>
    </w:p>
    <w:p w:rsidR="001C22C8" w:rsidRDefault="001C22C8" w:rsidP="001C22C8">
      <w:pPr>
        <w:pStyle w:val="GesAbsatz"/>
      </w:pPr>
      <w:r>
        <w:t>Die nachfolgenden Ausführungen sind bei der Planung (unter Beachtung der Planhierarchie und entspr</w:t>
      </w:r>
      <w:r>
        <w:t>e</w:t>
      </w:r>
      <w:r>
        <w:t>chend des jeweiligen Maßstabs und Konkretisierungsgrads) und/oder bei der Genehmigung einzelner Anl</w:t>
      </w:r>
      <w:r>
        <w:t>a</w:t>
      </w:r>
      <w:r>
        <w:t>gen zu beachten.</w:t>
      </w:r>
    </w:p>
    <w:p w:rsidR="001C22C8" w:rsidRDefault="001C22C8" w:rsidP="00D85046">
      <w:pPr>
        <w:pStyle w:val="berschrift3"/>
        <w:jc w:val="left"/>
      </w:pPr>
      <w:bookmarkStart w:id="32" w:name="_Toc451849534"/>
      <w:r>
        <w:t>8.1</w:t>
      </w:r>
      <w:r w:rsidR="00D85046">
        <w:t xml:space="preserve"> </w:t>
      </w:r>
      <w:r>
        <w:t>Fachrechtliche Tabuzonen in der Planung</w:t>
      </w:r>
      <w:bookmarkEnd w:id="32"/>
    </w:p>
    <w:p w:rsidR="001C22C8" w:rsidRDefault="001C22C8" w:rsidP="001C22C8">
      <w:pPr>
        <w:pStyle w:val="GesAbsatz"/>
      </w:pPr>
      <w:r>
        <w:t>Im Rahmen der Festlegung von Vorranggebieten für die Windenergienutzung und der Darstellung von Ko</w:t>
      </w:r>
      <w:r>
        <w:t>n</w:t>
      </w:r>
      <w:r>
        <w:t>zentrationszonen für die Windenergie ist es erforderlich entsprechend der in Kapitel 3 beziehungsweise 4 dargelegten Systematik ein Plankonzept zu erstellen. Nach der Rechtsprechung des Bundesverwaltungsg</w:t>
      </w:r>
      <w:r>
        <w:t>e</w:t>
      </w:r>
      <w:r>
        <w:t>richtes vollzieht sich die Planung von Konzentrationszonen abschnittsweise (vgl. BVerwG, Beschl. v. 15.9.2009 – 4 BN 25.09). In einem ersten Arbeitsschritt sind diejenigen Bereiche als Tabuzonen zu ermitteln, die für die Nutzung der Windenergie nicht zur Verfügung stehen. Dazu zählen sowohl die Tabuzonen selber, die sich aus der Schutzbedürftigkeit bestimmter Bereiche beziehungsweise Gebiete ergeben als auch solche Bereiche, die sich aus Abständen zu diesen Tabuzonen ergeben. Diese fachrechtlichen Tabuzonen können vom Planungsträger im Rahmen der Abwägung nicht überwunden werden und stellen insofern harte Tabuzonen dar (siehe Nummer 4.3.3).</w:t>
      </w:r>
    </w:p>
    <w:p w:rsidR="001C22C8" w:rsidRDefault="001C22C8" w:rsidP="001C22C8">
      <w:pPr>
        <w:pStyle w:val="GesAbsatz"/>
      </w:pPr>
      <w:r>
        <w:t>Aufgrund des Charakters der Planung als Angebotsplanung ist in der Regel noch nicht der konkrete Anl</w:t>
      </w:r>
      <w:r>
        <w:t>a</w:t>
      </w:r>
      <w:r>
        <w:t>genstandort und Anlagentyp bekannt. Dementsprechend ist eine Ermittlung der harten Tabuzonen oft nicht möglich. In diesen Fällen, in denen harte Tabuzonen nicht zuverlässig ermittelbar sind, kann der Planung</w:t>
      </w:r>
      <w:r>
        <w:t>s</w:t>
      </w:r>
      <w:r>
        <w:t>träger einen Fehler im Abwägungsvorgang dadurch vermeiden, dass er unterstellt, bei der Fläche handele es sich um eine weiche Tabufläche, und die maßgeblichen Kriterien bei der Abwägung den Belangen der Windenergie vorzieht (siehe Nummer 4.3.3).</w:t>
      </w:r>
    </w:p>
    <w:p w:rsidR="001C22C8" w:rsidRDefault="001C22C8" w:rsidP="001C22C8">
      <w:pPr>
        <w:pStyle w:val="GesAbsatz"/>
      </w:pPr>
      <w:r>
        <w:t>Je nach fachrechtlichem Belang wird bei der Frage, ob es sich um ein hartes Tabukriterium handelt, zw</w:t>
      </w:r>
      <w:r>
        <w:t>i</w:t>
      </w:r>
      <w:r>
        <w:t>schen Standort des Turms und dem Fundament sowie der Fläche, die vom Rotor überstrichen wird, differe</w:t>
      </w:r>
      <w:r>
        <w:t>n</w:t>
      </w:r>
      <w:r>
        <w:t>ziert werden müssen. Diese Differenzierung ergibt sich aus den Kapiteln 8.2.2.2, 8.2.3.1, 8.2.3.2, 8.2.3.3, 8.2.3.4, 8.2.10 und 8.2.11. So werden beispielsweise Überschwemmungsgebiete durch das Fundament und den Turm einer Windenergieanlage berührt und nicht durch die ein Überschwemmungsgebiet überstre</w:t>
      </w:r>
      <w:r>
        <w:t>i</w:t>
      </w:r>
      <w:r>
        <w:t>chenden Rotorblätter. Der Flächennutzungsplan muss insgesamt vollzugsfähig sein. Nicht zwingend an j</w:t>
      </w:r>
      <w:r>
        <w:t>e</w:t>
      </w:r>
      <w:r>
        <w:t>der Stelle innerhalb der Konzentrationszone muss jeder Bestandteil einer Windenergieanlage zulässig sein. Wenn es innerhalb einer Konzentrationszone kleinere Bereiche gibt, die als Standort für den Turm nicht in Frage kommen, allerdings als Fläche, die vom Rotor überstrichen werden kann, ist dies vertretbar. Es wird empfohlen, hierauf in der Begründung des Flächennutzungsplans einzugehen.</w:t>
      </w:r>
    </w:p>
    <w:p w:rsidR="001C22C8" w:rsidRDefault="001C22C8" w:rsidP="001C22C8">
      <w:pPr>
        <w:pStyle w:val="GesAbsatz"/>
      </w:pPr>
      <w:r>
        <w:t>Wenn auf der Planungsebene des Flächennutzungsplans kleinflächige Tabubereiche für den Standort des Turms und das Fundament sowie für die Fläche, die vom Rotor überstrichen wird, aus maßstabsbedingten Gründen zeichnerisch nicht abbildbar sind, ist es vertretbar, dass diese Flächen – insbesondere bei Insell</w:t>
      </w:r>
      <w:r>
        <w:t>a</w:t>
      </w:r>
      <w:r>
        <w:t>gen – innerhalb der Darstellung der Konzentrationszonen liegen. Es wird empfohlen, hierauf in der Begrü</w:t>
      </w:r>
      <w:r>
        <w:t>n</w:t>
      </w:r>
      <w:r>
        <w:t>dung des Flächennutzungsplanes einzugehen. Der konkrete Standort der Windenergieanlage wird im Ra</w:t>
      </w:r>
      <w:r>
        <w:t>h</w:t>
      </w:r>
      <w:r>
        <w:t>men des Genehmigungsverfahrens geprüft und bestimmt.</w:t>
      </w:r>
    </w:p>
    <w:p w:rsidR="001C22C8" w:rsidRDefault="001C22C8" w:rsidP="00D85046">
      <w:pPr>
        <w:pStyle w:val="berschrift3"/>
        <w:jc w:val="left"/>
      </w:pPr>
      <w:bookmarkStart w:id="33" w:name="_Toc451849535"/>
      <w:r>
        <w:t>8.2</w:t>
      </w:r>
      <w:r w:rsidR="00D85046">
        <w:t xml:space="preserve"> </w:t>
      </w:r>
      <w:r>
        <w:t>Berücksichtigung von Spezialgesetzen und Behördenbeteiligung</w:t>
      </w:r>
      <w:bookmarkEnd w:id="33"/>
    </w:p>
    <w:p w:rsidR="001C22C8" w:rsidRPr="002D6219" w:rsidRDefault="001C22C8" w:rsidP="001C22C8">
      <w:pPr>
        <w:pStyle w:val="GesAbsatz"/>
        <w:rPr>
          <w:b/>
        </w:rPr>
      </w:pPr>
      <w:r w:rsidRPr="002D6219">
        <w:rPr>
          <w:b/>
        </w:rPr>
        <w:t>8.2.1</w:t>
      </w:r>
      <w:r w:rsidR="00D85046" w:rsidRPr="002D6219">
        <w:rPr>
          <w:b/>
        </w:rPr>
        <w:t xml:space="preserve"> </w:t>
      </w:r>
      <w:r w:rsidRPr="002D6219">
        <w:rPr>
          <w:b/>
        </w:rPr>
        <w:t>Immissionsschutz</w:t>
      </w:r>
    </w:p>
    <w:p w:rsidR="001C22C8" w:rsidRDefault="001C22C8" w:rsidP="001C22C8">
      <w:pPr>
        <w:pStyle w:val="GesAbsatz"/>
      </w:pPr>
      <w:r>
        <w:t>Immissionsschutzrechtlich begründete Abstände zu Siedlungsbereichen sind als weiche Tabuzonen einz</w:t>
      </w:r>
      <w:r>
        <w:t>u</w:t>
      </w:r>
      <w:r>
        <w:t>ordnen, wenn sie dem Vorsorgegrundsatz des § 5 Absatz 1 Satz 1 Nummer 2 des Bundes-Immissions</w:t>
      </w:r>
      <w:r w:rsidR="00AF0949">
        <w:softHyphen/>
      </w:r>
      <w:r>
        <w:t>schutzgesetzes dienen sollen.</w:t>
      </w:r>
    </w:p>
    <w:p w:rsidR="001C22C8" w:rsidRDefault="001C22C8" w:rsidP="001C22C8">
      <w:pPr>
        <w:pStyle w:val="GesAbsatz"/>
      </w:pPr>
      <w:r>
        <w:t xml:space="preserve">Als immissionsschutzrechtlich bedingte harte Tabuzonen könnten nur solche Flächen angesehen werden, in denen der Betrieb von Windenergieanlagen zum Nachteil der Nachbarn gegen den Schutzgrundsatz des § 5 </w:t>
      </w:r>
      <w:r>
        <w:lastRenderedPageBreak/>
        <w:t>Absatz 1 Nummer 1 des Bundes-Immissionsschutzgesetzes oder das bauplanungsrechtliche Gebot der Rücksichtnahme verstoßen würde und diese Belange nicht noch absehbar auf einer nachfolgenden Zula</w:t>
      </w:r>
      <w:r>
        <w:t>s</w:t>
      </w:r>
      <w:r>
        <w:t>sungsebene überwunden werden könnten. Da bei der Planung von Vorranggebieten beziehungsweise Ko</w:t>
      </w:r>
      <w:r>
        <w:t>n</w:t>
      </w:r>
      <w:r>
        <w:t>zentrationszonen noch keine Gewissheit über den Anlagentyp und die Anlagenanzahl besteht, ist die Ermit</w:t>
      </w:r>
      <w:r>
        <w:t>t</w:t>
      </w:r>
      <w:r>
        <w:t>lung von harten immissionsschutzrechtlichen Abständen nicht möglich. Mindestabstände als solche sagen über die konkrete immissionsschutzrechtliche Realisierbarkeit einer Windenergienutzung in der Regel nichts Entscheidendes aus (vgl. OVG NRW, Urt. vom 1.7.2013 – 2 D 46/12.NE). Es wird daher empfohlen, den vorbeugenden Lärmschutz in der Planung von Vorranggebieten beziehungsweise Konzentrationszonen als weiche Tabuzonen zu berücksichtigen.</w:t>
      </w:r>
    </w:p>
    <w:p w:rsidR="001C22C8" w:rsidRDefault="001C22C8" w:rsidP="001C22C8">
      <w:pPr>
        <w:pStyle w:val="GesAbsatz"/>
      </w:pPr>
      <w:r>
        <w:t>Bei der Bemessung der dem Vorsorgegrundsatz dienenden weichen Tabuzonen kann auf allgemeine Erfa</w:t>
      </w:r>
      <w:r>
        <w:t>h</w:t>
      </w:r>
      <w:r>
        <w:t>rungswerte zurückgegriffen werden. So können zum Beispiel in der Bauleitplanung schon frühzeitig zum Schutze der Anwohnerinnen und Anwohner die Belange des Immissionsschutzes unter Berücksichtigung der konkreten Lage von Wohngebieten, Splittersiedlungen beziehungsweise einzelnstehender Gehöfte einbez</w:t>
      </w:r>
      <w:r>
        <w:t>o</w:t>
      </w:r>
      <w:r>
        <w:t>gen werden. Ein Berechnungsverfahren zur Abstandsbestimmung wird in einer Veröffentlichung des La</w:t>
      </w:r>
      <w:r>
        <w:t>n</w:t>
      </w:r>
      <w:r>
        <w:t xml:space="preserve">desamt für Natur, Umwelt und Verbraucherschutz, unter dem Titel „Ausweisung von Windvorrangzonen“, abrufbar unter </w:t>
      </w:r>
      <w:hyperlink r:id="rId15" w:history="1">
        <w:r w:rsidR="00AF0949" w:rsidRPr="00AF0949">
          <w:rPr>
            <w:rStyle w:val="Hyperlink"/>
          </w:rPr>
          <w:t>http://www.lanuv.nrw.de/umwelt/laerm/geraeusche/geraeuschquellen/windenergie-anlagen/</w:t>
        </w:r>
      </w:hyperlink>
      <w:r w:rsidR="00AF0949">
        <w:t xml:space="preserve"> </w:t>
      </w:r>
      <w:r>
        <w:t xml:space="preserve"> angeboten. Dieses Verfahren wurde im Rahmen der Windpotenzialstudie des Landes Nordrhein-Westfalen angewandt.</w:t>
      </w:r>
    </w:p>
    <w:p w:rsidR="001C22C8" w:rsidRDefault="001C22C8" w:rsidP="001C22C8">
      <w:pPr>
        <w:pStyle w:val="GesAbsatz"/>
      </w:pPr>
      <w:r>
        <w:t>Bei der Festlegung von Abständen können zukünftige Siedlungsflächen nur berücksichtigt werden, wenn diese Planung sich schon manifestiert hat, zum Beispiel im Rahmen der Regionalplanung.</w:t>
      </w:r>
    </w:p>
    <w:p w:rsidR="001C22C8" w:rsidRPr="002D6219" w:rsidRDefault="001C22C8" w:rsidP="001C22C8">
      <w:pPr>
        <w:pStyle w:val="GesAbsatz"/>
        <w:rPr>
          <w:b/>
        </w:rPr>
      </w:pPr>
      <w:r w:rsidRPr="002D6219">
        <w:rPr>
          <w:b/>
        </w:rPr>
        <w:t>8.2.2</w:t>
      </w:r>
      <w:r w:rsidR="00D85046" w:rsidRPr="002D6219">
        <w:rPr>
          <w:b/>
        </w:rPr>
        <w:t xml:space="preserve"> </w:t>
      </w:r>
      <w:r w:rsidRPr="002D6219">
        <w:rPr>
          <w:b/>
        </w:rPr>
        <w:t>Naturschutz, Landschaftspflege, Wald</w:t>
      </w:r>
    </w:p>
    <w:p w:rsidR="001C22C8" w:rsidRDefault="001C22C8" w:rsidP="001C22C8">
      <w:pPr>
        <w:pStyle w:val="GesAbsatz"/>
      </w:pPr>
      <w:r>
        <w:t>8.2.2.1</w:t>
      </w:r>
      <w:r w:rsidR="00D85046">
        <w:t xml:space="preserve"> </w:t>
      </w:r>
      <w:r>
        <w:t>Naturschutzrechtliche Eingriffsregelung</w:t>
      </w:r>
    </w:p>
    <w:p w:rsidR="001C22C8" w:rsidRDefault="001C22C8" w:rsidP="001C22C8">
      <w:pPr>
        <w:pStyle w:val="GesAbsatz"/>
      </w:pPr>
      <w:r>
        <w:t>Windenergieanlagen sind so zu planen und zu errichten, dass vermeidbare Beeinträchtigungen von Natur und Landschaft unterlassen werden. Wird eine Anlage genehmigt, ist die naturschutzrechtliche Eingriffsreg</w:t>
      </w:r>
      <w:r>
        <w:t>e</w:t>
      </w:r>
      <w:r>
        <w:t>lung auch hinsichtlich der Kompensationsverpflichtungen (Ausgleich/ Ersatz/ Ersatzzahlungen) zu beachten. Grundsätzlich ist zwischen der Kompensation von Eingriffen in den Naturhaushalt und das Landschaftsbild zu unterscheiden.</w:t>
      </w:r>
    </w:p>
    <w:p w:rsidR="001C22C8" w:rsidRDefault="001C22C8" w:rsidP="001C22C8">
      <w:pPr>
        <w:pStyle w:val="GesAbsatz"/>
      </w:pPr>
      <w:r>
        <w:t>Kohärenzsicherungs- und Schadenbegrenzungsmaßnahmen für Natura 2000-Gebiete sowie vorgezogene Ausgleichsmaßnahmen und Kompensatorische Maßnahmen zum Artenschutz können gleichzeitig der Ko</w:t>
      </w:r>
      <w:r>
        <w:t>m</w:t>
      </w:r>
      <w:r>
        <w:t>pensation gemäß Eingriffsregelung dienen und umgekehrt. In diesem Sinn sind bei der Erarbeitung von Kompensationskonzepten kumulierende Lösungen nach dem Prinzip der Multifunktionalität anzustreben (vgl. VV-Habitatschutz, Nummer 4.1.1.2 und 4.1.5.4. und VV-Artenschutz Nummer 2.2.3 und 2.4.3.2). Sofern eine konkrete Maßnahme die jeweiligen naturschutzfachlichen und rechtlichen Anforderungen des Habitatschu</w:t>
      </w:r>
      <w:r>
        <w:t>t</w:t>
      </w:r>
      <w:r>
        <w:t>zes beziehungsweise des Artenschutzes erfüllt, kann sie zugleich im Sinn der Multifunktionalität bei der Kompensation der Eingriffe in den Naturhaushalt entsprechend angerechnet werden.</w:t>
      </w:r>
    </w:p>
    <w:p w:rsidR="001C22C8" w:rsidRDefault="001C22C8" w:rsidP="001C22C8">
      <w:pPr>
        <w:pStyle w:val="GesAbsatz"/>
      </w:pPr>
      <w:r>
        <w:t>Beim Repowering von Anlagen sind die positiven Effekte durch den Rückbau einer oder mehrerer anderer Anlagen zu berücksichtigen.</w:t>
      </w:r>
    </w:p>
    <w:p w:rsidR="001C22C8" w:rsidRDefault="001C22C8" w:rsidP="001C22C8">
      <w:pPr>
        <w:pStyle w:val="GesAbsatz"/>
      </w:pPr>
      <w:r>
        <w:t>Die naturschutzrechtliche Eingriffsregelung nach den §§ 18 bis 21 Bundesnaturschutzgesetzes und den §§ 4 bis 6 des Landschaftsgesetzes ist im Genehmigungsverfahren für die Windenergieanlagen abzuarbeiten. Die Genehmigung ist mit entsprechenden Nebenbestimmungen zu versehen, die die Kompensation siche</w:t>
      </w:r>
      <w:r>
        <w:t>r</w:t>
      </w:r>
      <w:r>
        <w:t>stellen.</w:t>
      </w:r>
    </w:p>
    <w:p w:rsidR="001C22C8" w:rsidRDefault="001C22C8" w:rsidP="001C22C8">
      <w:pPr>
        <w:pStyle w:val="GesAbsatz"/>
      </w:pPr>
      <w:r>
        <w:t>Beeinträchtigungen des Landschaftsbildes durch Windenergieanlagen sind aufgrund der Höhen der Anlagen (mehr als 20 Meter) in der Regel nicht ausgleichbar oder ersetzbar im Sinn des § 15 Absatz 6 Satz 1 des Bundesnaturschutzgesetzes. Eine landschaftsgerechte Wiederherstellung oder Neugestaltung der Lan</w:t>
      </w:r>
      <w:r>
        <w:t>d</w:t>
      </w:r>
      <w:r>
        <w:t>schaft im Sinn von § 15 Absatz 2 des Bundesnaturschutzgesetzes, sodass die unvoreingenommene B</w:t>
      </w:r>
      <w:r>
        <w:t>e</w:t>
      </w:r>
      <w:r>
        <w:t>obachterin und der unvoreingenommene Beobachter, der die vom Eingriff betroffene Örtlichkeit nicht kennt, diese nach Neugestaltung nicht als Fremdkörper in der Landschaft erkennen kann, ist bei vertikalen Strukt</w:t>
      </w:r>
      <w:r>
        <w:t>u</w:t>
      </w:r>
      <w:r>
        <w:t>ren mit der Höhe moderner Windenergieanlagen nicht möglich. Daher ist, wenn eine solche Anlage zugela</w:t>
      </w:r>
      <w:r>
        <w:t>s</w:t>
      </w:r>
      <w:r>
        <w:t>sen wird, für diese Beeinträchtigungen ein Ersatz in Geld zu leisten.</w:t>
      </w:r>
    </w:p>
    <w:p w:rsidR="001C22C8" w:rsidRDefault="001C22C8" w:rsidP="001C22C8">
      <w:pPr>
        <w:pStyle w:val="GesAbsatz"/>
      </w:pPr>
      <w:r>
        <w:t>Die Höhe der Ersatzzahlung ergibt sich aus der Höhe der Anlage und der Wertstufe des Landschaftsbildes im Umkreis der 15fachen Anlagenhöhe (Gesamthöhe aus Nabenhöhe und Rotorblattlänge) aus den Betr</w:t>
      </w:r>
      <w:r>
        <w:t>ä</w:t>
      </w:r>
      <w:r>
        <w:t xml:space="preserve">gen der nachfolgenden Tabelle. Die Wertstufe ist der landesweiten Einstufung der Landschaftsbildeinheiten des </w:t>
      </w:r>
      <w:proofErr w:type="gramStart"/>
      <w:r>
        <w:t>Landesamt</w:t>
      </w:r>
      <w:proofErr w:type="gramEnd"/>
      <w:r>
        <w:t xml:space="preserve"> für Natur, Umwelt und Verbraucherschutz in den Fachbeiträgen des Naturschutzes und der Landschaftspflege zu entnehmen. In Regionen, in denen noch keine Bewertung durch das Landesamt für Natur, Umwelt und Verbraucherschutz vorliegt, ist die Wertstufe an Hand des Verfahrens in Anlage 1 zu ermitteln. Sind von einem Vorhaben unterschiedliche Wertstufen betroffen, ist ein gemittelter Betrag in Euro anzusetzen (siehe fiktive Beispiele in den Anlagen 2-4).</w:t>
      </w:r>
    </w:p>
    <w:p w:rsidR="001C22C8" w:rsidRPr="00AF0949" w:rsidRDefault="001C22C8" w:rsidP="001C22C8">
      <w:pPr>
        <w:pStyle w:val="GesAbsatz"/>
        <w:rPr>
          <w:i/>
        </w:rPr>
      </w:pPr>
      <w:r w:rsidRPr="00AF0949">
        <w:rPr>
          <w:i/>
        </w:rPr>
        <w:t>Tabelle „Wertstufen“ siehe Anhang.</w:t>
      </w:r>
    </w:p>
    <w:p w:rsidR="001C22C8" w:rsidRDefault="001C22C8" w:rsidP="001C22C8">
      <w:pPr>
        <w:pStyle w:val="GesAbsatz"/>
      </w:pPr>
      <w:r>
        <w:lastRenderedPageBreak/>
        <w:t>Ein räumlicher Zusammenhang, im Sinn eines Windparks besteht, wenn Windenergieanlagen nicht weiter als das Zehnfache des Rotordurchmessers voneinander entfernt stehen.</w:t>
      </w:r>
    </w:p>
    <w:p w:rsidR="001C22C8" w:rsidRDefault="001C22C8" w:rsidP="001C22C8">
      <w:pPr>
        <w:pStyle w:val="GesAbsatz"/>
      </w:pPr>
      <w:r>
        <w:t>In Fällen, in denen ein Teilausgleich möglich ist und durchgeführt wird, ermäßigt sich eine für die nicht au</w:t>
      </w:r>
      <w:r>
        <w:t>s</w:t>
      </w:r>
      <w:r>
        <w:t>geglichenen Beeinträchtigungen zu leistende Ersatzzahlung entsprechend (vgl. VGH Kassel, U. v. 12.2.1993 – 4 UE 2744/90). Der Rückbau von Windenergieanlagen, im Sinn eines Repowering, in demselben Lan</w:t>
      </w:r>
      <w:r>
        <w:t>d</w:t>
      </w:r>
      <w:r>
        <w:t>schaftsraum stellt eine erhebliche Entlastung des Naturhaushalts und des Landschaftsbildes dar, der als Teilkompensation für die neuen Windenergieanlagen anzurechnen ist (VG Schleswig, Urt. v. 18.8.2009 – 1 A 5/08). Die Entlastung des Naturhaushalts und des Landschaftsbildes durch den Abbau der alten Windene</w:t>
      </w:r>
      <w:r>
        <w:t>r</w:t>
      </w:r>
      <w:r>
        <w:t xml:space="preserve">gieanlagen kann aber nicht nach anderen Maßstäben bewertet werden, als der neu erfolgende Eingriff. Zur Berechnung der Höhe des Ersatzgeldes ist dazu der für die </w:t>
      </w:r>
      <w:proofErr w:type="gramStart"/>
      <w:r>
        <w:t>rückzubauenden</w:t>
      </w:r>
      <w:proofErr w:type="gramEnd"/>
      <w:r>
        <w:t xml:space="preserve"> Windenergieanlage fiktiv erfo</w:t>
      </w:r>
      <w:r>
        <w:t>r</w:t>
      </w:r>
      <w:r>
        <w:t>derliche Kompensationsumfang nach demselben Verfahren zu berechnen und von der für die Neuanlagen berechneten Kompensation zu subtrahieren.</w:t>
      </w:r>
    </w:p>
    <w:p w:rsidR="001C22C8" w:rsidRDefault="001C22C8" w:rsidP="001C22C8">
      <w:pPr>
        <w:pStyle w:val="GesAbsatz"/>
      </w:pPr>
      <w:r>
        <w:t>Gegebenenfalls erforderliche und umzusetzende Kompensationsmaßnahmen für den Eingriff in den Natu</w:t>
      </w:r>
      <w:r>
        <w:t>r</w:t>
      </w:r>
      <w:r>
        <w:t>haushalt (§ 14 BNatSchG), Kohärenzsicherungsmaßnahmen nach § 34 des Bundesnaturschutzgesetzes sowie artenschutzrechtliche Kompensations- und Ausgleichsmaßnahmen (§ 44 BNatSchG) können in den Fällen auf das ermittelte Ersatzgeld angerechnet werden, in denen die Regelvermutung zur fehlenden Au</w:t>
      </w:r>
      <w:r>
        <w:t>s</w:t>
      </w:r>
      <w:r>
        <w:t>gleichbarkeit des Eingriffs ausnahmsweise nicht greift und sie zugleich zur nachhaltigen Gliederung und Anreicherung des Landschaftsbildes beitragen.</w:t>
      </w:r>
    </w:p>
    <w:p w:rsidR="001C22C8" w:rsidRDefault="001C22C8" w:rsidP="001C22C8">
      <w:pPr>
        <w:pStyle w:val="GesAbsatz"/>
      </w:pPr>
      <w:r>
        <w:t>Gemäß § 15 Absatz 6 Satz 7 des Bundesnaturschutzgesetzes ist das Ersatzgeld zweckgebunden für Ma</w:t>
      </w:r>
      <w:r>
        <w:t>ß</w:t>
      </w:r>
      <w:r>
        <w:t>nahmen des Naturschutzes und der Landschaftspflege zu verwenden. Die Maßnahmen sollen möglichst in räumlicher Nähe zum Ort des Eingriffs umgesetzt werden.</w:t>
      </w:r>
    </w:p>
    <w:p w:rsidR="001C22C8" w:rsidRDefault="001C22C8" w:rsidP="001C22C8">
      <w:pPr>
        <w:pStyle w:val="GesAbsatz"/>
      </w:pPr>
      <w:r>
        <w:t>8.2.2.2</w:t>
      </w:r>
      <w:r w:rsidR="00D85046">
        <w:t xml:space="preserve"> </w:t>
      </w:r>
      <w:r>
        <w:t>Naturschutzrechtlich bedeutsame Gebiete (ohne Landschaftsschutzgebiete)</w:t>
      </w:r>
    </w:p>
    <w:p w:rsidR="001C22C8" w:rsidRDefault="001C22C8" w:rsidP="001C22C8">
      <w:pPr>
        <w:pStyle w:val="GesAbsatz"/>
      </w:pPr>
      <w:r>
        <w:t>Wegen ihrer besonderen Schutzbedürftigkeit kommen die nachfolgend aufgeführten Bereiche regelmäßig als sogenannte harte Tabuzonen (i. S. BVerwG, Urt. v. 11.4.2013 – 4 CN 2.12; OVG NRW, Urt. v. 1.7.2013 – 2 D 46/12.NE) nicht als Standorte für Windenergieanlagen in Betracht:</w:t>
      </w:r>
    </w:p>
    <w:p w:rsidR="001C22C8" w:rsidRDefault="001C22C8" w:rsidP="001C22C8">
      <w:pPr>
        <w:pStyle w:val="GesAbsatz"/>
      </w:pPr>
      <w:r>
        <w:t>a)</w:t>
      </w:r>
      <w:r w:rsidR="00D85046">
        <w:tab/>
      </w:r>
      <w:r>
        <w:t>Nationalparke, nationale Naturmonumente,</w:t>
      </w:r>
    </w:p>
    <w:p w:rsidR="001C22C8" w:rsidRDefault="001C22C8" w:rsidP="001C22C8">
      <w:pPr>
        <w:pStyle w:val="GesAbsatz"/>
      </w:pPr>
      <w:r>
        <w:t>b)</w:t>
      </w:r>
      <w:r w:rsidR="00D85046">
        <w:tab/>
      </w:r>
      <w:r>
        <w:t>festgesetzte, ausgewiesene oder einstweilig sichergestellte Naturschutzgebiete,</w:t>
      </w:r>
    </w:p>
    <w:p w:rsidR="001C22C8" w:rsidRDefault="001C22C8" w:rsidP="001C22C8">
      <w:pPr>
        <w:pStyle w:val="GesAbsatz"/>
      </w:pPr>
      <w:r>
        <w:t>c)</w:t>
      </w:r>
      <w:r w:rsidR="00D85046">
        <w:tab/>
      </w:r>
      <w:r>
        <w:t>Naturdenkmale,</w:t>
      </w:r>
    </w:p>
    <w:p w:rsidR="001C22C8" w:rsidRDefault="001C22C8" w:rsidP="001C22C8">
      <w:pPr>
        <w:pStyle w:val="GesAbsatz"/>
      </w:pPr>
      <w:r>
        <w:t>d)</w:t>
      </w:r>
      <w:r w:rsidR="00D85046">
        <w:tab/>
      </w:r>
      <w:r>
        <w:t>geschützte Landschaftsbestandteile gemäß § 29 des Bundesnaturschutzgesetzes,</w:t>
      </w:r>
    </w:p>
    <w:p w:rsidR="001C22C8" w:rsidRDefault="001C22C8" w:rsidP="001C22C8">
      <w:pPr>
        <w:pStyle w:val="GesAbsatz"/>
      </w:pPr>
      <w:r>
        <w:t>e)</w:t>
      </w:r>
      <w:r w:rsidR="00D85046">
        <w:tab/>
      </w:r>
      <w:r>
        <w:t>gesetzlich geschützte Landschaftsbestandteile gemäß § 47 des Landschaftsgesetzes,</w:t>
      </w:r>
    </w:p>
    <w:p w:rsidR="001C22C8" w:rsidRDefault="001C22C8" w:rsidP="00D85046">
      <w:pPr>
        <w:pStyle w:val="GesAbsatz"/>
        <w:ind w:left="426" w:hanging="426"/>
      </w:pPr>
      <w:r>
        <w:t>f)</w:t>
      </w:r>
      <w:r w:rsidR="00D85046">
        <w:tab/>
      </w:r>
      <w:r>
        <w:t>gesetzlich geschützte Biotope gemäß § 30 des Bundesnaturschutzgesetzes sowie § 62 des Lan</w:t>
      </w:r>
      <w:r>
        <w:t>d</w:t>
      </w:r>
      <w:r>
        <w:t>schaftsgesetzes,</w:t>
      </w:r>
    </w:p>
    <w:p w:rsidR="001C22C8" w:rsidRDefault="001C22C8" w:rsidP="00D85046">
      <w:pPr>
        <w:pStyle w:val="GesAbsatz"/>
        <w:ind w:left="426" w:hanging="426"/>
      </w:pPr>
      <w:r>
        <w:t>g)</w:t>
      </w:r>
      <w:r w:rsidR="00D85046">
        <w:tab/>
      </w:r>
      <w:r>
        <w:t>Natura 2000-Gebiete (das sind FFH-Gebiete und europäische Vogelschutzgebiete), einschließlich von Funktionsräumen, um eine Verriegelung des Gebietes und eine Barrierewirkung bei Flugbewegungen zu vermeiden (OVG NRW, Urt. v. 3.8.2010, 8 A 4062/04).</w:t>
      </w:r>
    </w:p>
    <w:p w:rsidR="001C22C8" w:rsidRDefault="001C22C8" w:rsidP="001C22C8">
      <w:pPr>
        <w:pStyle w:val="GesAbsatz"/>
      </w:pPr>
      <w:r>
        <w:t>Bezüglich der genannten Gebiete ergibt sich die Wertung als harte Tabuzone für Anlagenstandorte bereits aus den allgemeinen gesetzlichen Zerstörungs-, Beschädigungs-, Beeinträchtigungs-, Veränderungs- oder Verschlechterungsverboten.</w:t>
      </w:r>
    </w:p>
    <w:p w:rsidR="001C22C8" w:rsidRDefault="001C22C8" w:rsidP="001C22C8">
      <w:pPr>
        <w:pStyle w:val="GesAbsatz"/>
      </w:pPr>
      <w:r>
        <w:t>Gebiete und Objekte der Buchstaben c) bis f)</w:t>
      </w:r>
    </w:p>
    <w:p w:rsidR="001C22C8" w:rsidRDefault="001C22C8" w:rsidP="001C22C8">
      <w:pPr>
        <w:pStyle w:val="GesAbsatz"/>
      </w:pPr>
      <w:r>
        <w:t>Im Einzelfall ist es jedoch möglich, dass es sich bei den Gebieten unter c) bis f) um kleinflächige Gebiete handelt, deren Schutz zwar eine direkte Flächeninanspruchnahme durch Fundamente, Zuwegungen oder Kranstellflächen ausschließt, – einer Genehmigung stünde aber nicht entgegen, wenn sich nur der Rotor über ihnen dreht (z.B. eine als geschützter Landschaftsbestandteil geschützte Hecke). Ein Ausschluss di</w:t>
      </w:r>
      <w:r>
        <w:t>e</w:t>
      </w:r>
      <w:r>
        <w:t>ser kleinflächigen Gebiete ist daher nicht erforderlich, soweit auf Genehmigungsebene sichergestellt werden kann, dass die außerhalb gelegenen Fundament-, Zuwegungs- und Kranflächenstandorte keinen nachteil</w:t>
      </w:r>
      <w:r>
        <w:t>i</w:t>
      </w:r>
      <w:r>
        <w:t>gen Einfluss auf die jeweiligen Gebiete haben und andere Belange wie beispielsweise der Artenschutz (vgl. 8.2.2.3) nicht entgegenstehen. Unter diesen Umständen sind auch Pufferzonen um diese Gebiete natu</w:t>
      </w:r>
      <w:r>
        <w:t>r</w:t>
      </w:r>
      <w:r>
        <w:t>schutzfachlich nicht erforderlich.</w:t>
      </w:r>
    </w:p>
    <w:p w:rsidR="001C22C8" w:rsidRDefault="001C22C8" w:rsidP="001C22C8">
      <w:pPr>
        <w:pStyle w:val="GesAbsatz"/>
      </w:pPr>
      <w:r>
        <w:t>Gebiete der Buchstaben a), b) und g)</w:t>
      </w:r>
    </w:p>
    <w:p w:rsidR="001C22C8" w:rsidRDefault="001C22C8" w:rsidP="001C22C8">
      <w:pPr>
        <w:pStyle w:val="GesAbsatz"/>
      </w:pPr>
      <w:r>
        <w:t>Die entsprechende Tabuwertung ist einzelfallbezogen durch die jeweils zuständige Landschaftsbehörde zu begründen und im Planverfahren zu dokumentieren. Die gesetzlich und untergesetzlich grundsätzlich vorg</w:t>
      </w:r>
      <w:r>
        <w:t>e</w:t>
      </w:r>
      <w:r>
        <w:t>sehenen Ausnahme- und Befreiungsmöglichkeiten (insbesondere § 30 Absatz 3 und 4, § 34 Absatz 3 und §</w:t>
      </w:r>
      <w:r w:rsidR="00D85046">
        <w:t> </w:t>
      </w:r>
      <w:r>
        <w:t>67 BNatSchG) wurden in Nordrhein-Westfalen noch nicht für Windenergie-Projekte in den unter Buchstabe a), b) und g) genannten naturschutzrechtlich bedeutsamen Gebieten genutzt. Ihre Nutzung kommt für Pl</w:t>
      </w:r>
      <w:r>
        <w:t>a</w:t>
      </w:r>
      <w:r>
        <w:t xml:space="preserve">nungsverfahren für Windenergieanlagen in diesen Gebieten auch grundsätzlich nicht in Betracht, da davon </w:t>
      </w:r>
      <w:r>
        <w:lastRenderedPageBreak/>
        <w:t>ausgegangen werden muss, dass das öffentliche Interesse an einer Energieversorgung aus erneuerbaren Energien innerhalb des Schutzgebietsnetzes nicht überwiegt und dies auch keine unzumutbare Belastung darstellt. Dies ist gleichfalls einzelfallbezogen durch die jeweils zuständige Landschaftsbehörde zu begrü</w:t>
      </w:r>
      <w:r>
        <w:t>n</w:t>
      </w:r>
      <w:r>
        <w:t>den und im Planverfahren zu dokumentieren.</w:t>
      </w:r>
    </w:p>
    <w:p w:rsidR="001C22C8" w:rsidRDefault="001C22C8" w:rsidP="001C22C8">
      <w:pPr>
        <w:pStyle w:val="GesAbsatz"/>
      </w:pPr>
      <w:r>
        <w:t>Bei einem Repowering in Natura 2000-Gebieten stellt sich die Lage dagegen anders dar. Zum einen besteht eine Vorbelastung durch die bestehenden Windenergieanlagen. Zum anderen wird dabei in der Regel die Anlagen- und mithin Rotorenzahl reduziert. Zudem wird regelmäßig aufgrund der Anlagengröße eine Vie</w:t>
      </w:r>
      <w:r>
        <w:t>l</w:t>
      </w:r>
      <w:r>
        <w:t>zahl von Anlagenstandorten räumlich verlagert. Damit sinkt in der Regel auch die Wahrscheinlichkeit von kollisionsbedingten Individuenverlusten windenergieempfindlicher Arten. Vor diesem Hintergrund ist eine Wertung der unter Buchstabe g) genannten Natura 2000-Gebiete als harte Tabuzone (i. S. BVerwG, Urt. v. 13.12.2012 – 4 CN 2.11 – und Urt. v. 11.4.2013 – 4 CN 2.12; OVG NRW, Urt. v. 1.7.2013 – 2 D 46/12.NE) für Repowering-Anlagen naturschutzfachlich nicht zu rechtfertigen. Den Planungsträgern verbleibt durch die Wertung als weiche Tabuzone für Repowering-Anlagen vielmehr Spielraum für die Ausweisung entspr</w:t>
      </w:r>
      <w:r>
        <w:t>e</w:t>
      </w:r>
      <w:r>
        <w:t>chender Repowering-Windenergieanlagen-Konzentrationszonen (vgl. § 249 Absatz 2 BauGB).</w:t>
      </w:r>
    </w:p>
    <w:p w:rsidR="001C22C8" w:rsidRDefault="001C22C8" w:rsidP="001C22C8">
      <w:pPr>
        <w:pStyle w:val="GesAbsatz"/>
      </w:pPr>
      <w:r>
        <w:t>Ein Repowering von innerhalb der Natura 2000-Gebiete liegenden Altanlagen ist dann möglich, wenn die Einrichtung und der Betrieb nicht zu erheblichen Beeinträchtigungen des Gebietes in seinen für die Erha</w:t>
      </w:r>
      <w:r>
        <w:t>l</w:t>
      </w:r>
      <w:r>
        <w:t>tungsziele oder den Schutzzweck maßgeblichen Bestandteilen führen. Auf Nummer 4.9. wird verwiesen. Für die Zulässigkeit der Errichtung der Repowering-Anlagen ist die Sicherstellung des Rückbaus der Altanlagen nachzuweisen.</w:t>
      </w:r>
    </w:p>
    <w:p w:rsidR="001C22C8" w:rsidRDefault="001C22C8" w:rsidP="001C22C8">
      <w:pPr>
        <w:pStyle w:val="GesAbsatz"/>
      </w:pPr>
      <w:r>
        <w:t xml:space="preserve">Die unterschiedliche Tabuzonen-Wertung bei Neuanlagen und Repowering-Anlagen in Natura 2000-Gebieten beruht auf folgenden naturschutzfachlichen Erwägungen: Nordrhein-Westfalen verfügt mit über hundert Windenergieanlagen in Natura 2000-Gebieten und einer noch größeren Anzahl von unmittelbar an diese Gebiete angrenzenden Anlagen bereits über eine relativ hohe Inanspruchnahme dieser Gebiete durch Windenergieanlagen. Die Auswahl und die Abgrenzung der Natura 2000-Gebiete </w:t>
      </w:r>
      <w:proofErr w:type="gramStart"/>
      <w:r>
        <w:t>erfolgte</w:t>
      </w:r>
      <w:proofErr w:type="gramEnd"/>
      <w:r>
        <w:t xml:space="preserve"> nach vergleichb</w:t>
      </w:r>
      <w:r>
        <w:t>a</w:t>
      </w:r>
      <w:r>
        <w:t>ren, strengen und restriktiven Kriterien (</w:t>
      </w:r>
      <w:proofErr w:type="spellStart"/>
      <w:r>
        <w:t>Brocksieper</w:t>
      </w:r>
      <w:proofErr w:type="spellEnd"/>
      <w:r>
        <w:t xml:space="preserve"> &amp; </w:t>
      </w:r>
      <w:proofErr w:type="spellStart"/>
      <w:r>
        <w:t>Woike</w:t>
      </w:r>
      <w:proofErr w:type="spellEnd"/>
      <w:r>
        <w:t>, LÖBF-Mitteilungen 2/99). So wurden bei den FFH-Gebieten nur solche mit einem Mindestanteil von FFH-Lebensraumtypen in zusammenhängender Au</w:t>
      </w:r>
      <w:r>
        <w:t>s</w:t>
      </w:r>
      <w:r>
        <w:t>prägung abgegrenzt. Ebenso wurden bei den Vogelschutzgebieten nur diejenigen Gebiete ausgewiesen, die eines der fünf wichtigsten Gebiete für die jeweilige Art in Nordrhein-Westfalen darstellen. Dies korreliert mit der sehr hohen Abdeckung der Vogelschutzgebiete (VSG) mit den Schwerpunktvorkommen windenergi</w:t>
      </w:r>
      <w:r>
        <w:t>e</w:t>
      </w:r>
      <w:r>
        <w:t>empfindlicher und gleichzeitig Wert gebender Vogelarten (siehe Anhang 1 und 3 des Leitfadens „Umsetzung des Arten- und Habitatschutzes bei der Planung und Genehmigung von Windenergieanlagen in Nordrhein-Westfalen“). Angesichts dieser aufgezeigten restriktiven Gebietsausweisung ist damit bei einem Hinzutreten weiterer Windenergieanlagen in jenen Gebieten eine Planungssituation gegeben, in der bei Inanspruchna</w:t>
      </w:r>
      <w:r>
        <w:t>h</w:t>
      </w:r>
      <w:r>
        <w:t>me einer neuen Windenerigeanlagen-Konzentrationszone für Neuanlagen mit der Verwirklichung von arte</w:t>
      </w:r>
      <w:r>
        <w:t>n</w:t>
      </w:r>
      <w:r>
        <w:t>schutzrechtlichen Verbotstatbeständen und mithin einer erheblichen Beeinträchtigung von Schutzzweck und Erhaltungszielen zu rechnen ist. Für diese Wertung spricht auch die Rechtsprechung zu Windenergieanl</w:t>
      </w:r>
      <w:r>
        <w:t>a</w:t>
      </w:r>
      <w:r>
        <w:t>gen-Planungen im Bereich der VSG Hellwegbörde und VSG Unterer Niederrhein (OVG NRW, Urt. v. 11.9.2007 – 8 A 2696/06; OVG NRW, Urt. v. 30.7.2009 – 8 A 2358/08; OVG NRW, Urt. v. 27.7.2010 – 8 A 4062/04). Insofern besteht in Nordrhein-Westfalen eine andere Ausweisungspraxis und Planungssituation als in anderen Bundesländern (vgl. z.B. Rheinland-Pfalz, OVG Koblenz, Urt. v. 16.5.3013 – 1 C 11003/12). Damit besteht ein tatsächliches Hindernis auf Zulassungsebene und in der Folge ein rechtliches Hindernis für die Ausweisung von Konzentrationszonen für Windenergie-Neuanlagen in Natura 2000-Gebieten.</w:t>
      </w:r>
    </w:p>
    <w:p w:rsidR="001C22C8" w:rsidRDefault="001C22C8" w:rsidP="001C22C8">
      <w:pPr>
        <w:pStyle w:val="GesAbsatz"/>
      </w:pPr>
      <w:r>
        <w:t>Abstände zwischen den oben genannten naturschutzrechtlich bedeutsamen Gebieten der Buchstaben a), b) und g) und dem nächstgelegenen Punkt der Rotorflächen (Rotorblattspitze) der Windenergieanlage als Pu</w:t>
      </w:r>
      <w:r>
        <w:t>f</w:t>
      </w:r>
      <w:r>
        <w:t>ferzone sind in Abhängigkeit vom Schutzzweck und den Erhaltungszielen des Gebietes einzelfallbezogen festzulegen.</w:t>
      </w:r>
    </w:p>
    <w:p w:rsidR="001C22C8" w:rsidRDefault="001C22C8" w:rsidP="001C22C8">
      <w:pPr>
        <w:pStyle w:val="GesAbsatz"/>
      </w:pPr>
      <w:r>
        <w:t>Pufferzonen sind als harte Tabuzonen zu werten, wenn sie für den Schutzzweck und die jeweiligen Erha</w:t>
      </w:r>
      <w:r>
        <w:t>l</w:t>
      </w:r>
      <w:r>
        <w:t>tungsziele eines Gebietes zwingend erforderlich sind. Sofern die Pufferzone nicht zwingend für den Schut</w:t>
      </w:r>
      <w:r>
        <w:t>z</w:t>
      </w:r>
      <w:r>
        <w:t>zweck und die jeweiligen Erhaltungsziele eines Gebiets erforderlich ist, sondern Vorsorgecharakter haben, kann der Plangeber sie als weiche Tabuzone werten.</w:t>
      </w:r>
    </w:p>
    <w:p w:rsidR="001C22C8" w:rsidRDefault="001C22C8" w:rsidP="001C22C8">
      <w:pPr>
        <w:pStyle w:val="GesAbsatz"/>
      </w:pPr>
      <w:r>
        <w:t>Sofern ein Gebiet der Buchstaben a), b) und g) dem Schutz von windenergieempfindlichen Fledermausarten oder windenergieempfindlichen europäischen Vogelarten dient, sowie bei Europäischen Vogelschutzgebi</w:t>
      </w:r>
      <w:r>
        <w:t>e</w:t>
      </w:r>
      <w:r>
        <w:t>ten ist aus Vorsorgegründen in der Regel eine Pufferzone von 300 Metern naturschutzfachlich begründet. Die Annahme einer solchen Pufferzone aus Vorsorgegründen durch den Plangeber führt zu ihrer Wertung als sogenannte weiche Tabuzone. Im Einzelfall kann in Abhängigkeit vom Schutzzweck und den Erhaltung</w:t>
      </w:r>
      <w:r>
        <w:t>s</w:t>
      </w:r>
      <w:r>
        <w:t>zielen des Gebiets ein niedriger oder höherer Abstandswert festgesetzt werden, die wegen ihres grundsät</w:t>
      </w:r>
      <w:r>
        <w:t>z</w:t>
      </w:r>
      <w:r>
        <w:t>lichen Vorsorgecharakters gleichfalls als weiche Tabuzone gewertet werden können. Im Regelfall wie im Abweichungsfall ist im Planverfahren darzulegen, dass sich der Abstand aus der besonderen Schutzbedür</w:t>
      </w:r>
      <w:r>
        <w:t>f</w:t>
      </w:r>
      <w:r>
        <w:t>tigkeit der für das betreffende Gebiet maßgeblichen Arten ergibt.</w:t>
      </w:r>
    </w:p>
    <w:p w:rsidR="001C22C8" w:rsidRDefault="001C22C8" w:rsidP="001C22C8">
      <w:pPr>
        <w:pStyle w:val="GesAbsatz"/>
      </w:pPr>
      <w:r>
        <w:lastRenderedPageBreak/>
        <w:t>Hinsichtlich der weiteren konkreten Anforderungen und Pflichten bei der Planung und Genehmigung von Windenergieanlagen im Bereich von FFH- und Vogelschutzgebieten wird auf die „Verwaltungsvorschrift zur Anwendung der nationalen Vorschriften zur Umsetzung der Richtlinie 92/43/EWG (FFH-RL) und 2009/147/EG (V-RL) zum Habitatschutz (VV-Habitatschutz)“ des Ministeriums für Umwelt und Naturschutz, Landwirtschaft und Verbraucherschutz vom 13. April 2010 (</w:t>
      </w:r>
      <w:proofErr w:type="spellStart"/>
      <w:r>
        <w:t>n.v.</w:t>
      </w:r>
      <w:proofErr w:type="spellEnd"/>
      <w:r>
        <w:t>) III 4 – 616.06.01.18 – sowie den Leitfaden „Umsetzung des Arten- und Habitatschutzes bei der Planung und Genehmigung von Windenergieanlagen in Nordrhein-Westfalen“ (im LANUV-Fachinformationssystem (FIS) „Geschützte Arten in NRW“ abrufbar unter dem Menüpunkt „Downloads“, http://www.naturschutzinformationen-nrw.de/artenschutz/de/downloads) in der jeweils gültigen Fassung verwiesen.</w:t>
      </w:r>
    </w:p>
    <w:p w:rsidR="001C22C8" w:rsidRDefault="001C22C8" w:rsidP="001C22C8">
      <w:pPr>
        <w:pStyle w:val="GesAbsatz"/>
      </w:pPr>
      <w:r>
        <w:t>8.2.2.3</w:t>
      </w:r>
      <w:r w:rsidR="00D85046">
        <w:t xml:space="preserve"> </w:t>
      </w:r>
      <w:proofErr w:type="gramStart"/>
      <w:r>
        <w:t>Artenschutz</w:t>
      </w:r>
      <w:proofErr w:type="gramEnd"/>
    </w:p>
    <w:p w:rsidR="001C22C8" w:rsidRDefault="001C22C8" w:rsidP="001C22C8">
      <w:pPr>
        <w:pStyle w:val="GesAbsatz"/>
      </w:pPr>
      <w:r>
        <w:t>Die Tötungs- und Störungsverbote besonders beziehungsweise streng geschützter Tierarten sowie die B</w:t>
      </w:r>
      <w:r>
        <w:t>e</w:t>
      </w:r>
      <w:r>
        <w:t>schädigungs- und Zerstörungsverbote ihrer Lebensstätten und von Pflanzen und ihrer Standorte sowie mö</w:t>
      </w:r>
      <w:r>
        <w:t>g</w:t>
      </w:r>
      <w:r>
        <w:t>liche Ausnahmen ergeben sich aus den §§ 44 ff des Bundesnaturschutzgesetzes. Nach § 67 des Bundesn</w:t>
      </w:r>
      <w:r>
        <w:t>a</w:t>
      </w:r>
      <w:r>
        <w:t>turschutzgesetzes kann ferner unter bestimmten Voraussetzungen eine Befreiung erfolgen. Zentrales I</w:t>
      </w:r>
      <w:r>
        <w:t>n</w:t>
      </w:r>
      <w:r>
        <w:t>strument zur Abarbeitung des Belangs Artenschutz ist die Artenschutzprüfung (ASP). Die Notwendigkeit zur Durchführung einer Artenschutzprüfung im Rahmen von Planungs- und Genehmigungsverfahren ergibt sich aus den unmittelbar geltenden Regelungen des Bundesnaturschutzgesetzes.</w:t>
      </w:r>
    </w:p>
    <w:p w:rsidR="001C22C8" w:rsidRDefault="001C22C8" w:rsidP="001C22C8">
      <w:pPr>
        <w:pStyle w:val="GesAbsatz"/>
      </w:pPr>
      <w:r>
        <w:t>Es sind grundsätzlich zwei Fälle zu unterscheiden, in denen das Fachrecht zur Anwendung kommen kann:</w:t>
      </w:r>
    </w:p>
    <w:p w:rsidR="001C22C8" w:rsidRDefault="001C22C8" w:rsidP="001C22C8">
      <w:pPr>
        <w:pStyle w:val="GesAbsatz"/>
      </w:pPr>
      <w:r>
        <w:t>a)</w:t>
      </w:r>
      <w:r w:rsidR="00D85046">
        <w:tab/>
      </w:r>
      <w:r>
        <w:t>Planungsverfahren</w:t>
      </w:r>
    </w:p>
    <w:p w:rsidR="001C22C8" w:rsidRDefault="001C22C8" w:rsidP="001C22C8">
      <w:pPr>
        <w:pStyle w:val="GesAbsatz"/>
      </w:pPr>
      <w:r>
        <w:t>Eine rechtliche Verpflichtung zur Durchführung einer Artenschutzprüfung besteht für den Regionalplan nicht, sondern erst für die nachgelagerten Planungs- und Zulassungsverfahren (vgl. VV-Artenschutz, Nummer</w:t>
      </w:r>
      <w:r w:rsidR="000811A2">
        <w:t xml:space="preserve"> </w:t>
      </w:r>
      <w:r>
        <w:t>2.7.2). Bei der Ausweisung von Windenergie-Vorrangzonen auf Ebene der Regionalplanung ist es allerdings sinnvoll, die Artenschutzbelange im Sinn einer überschlägigen Vorabschätzung zu berücksichtigen, soweit sie auf dieser Ebene bereits ersichtlich sind. Auf diese Weise lassen sich regionalplanerische Festlegungen vermeiden, die in nachgeordneten Verfahren aus Artenschutzgründen nicht umgesetzt werden können.</w:t>
      </w:r>
    </w:p>
    <w:p w:rsidR="001C22C8" w:rsidRDefault="001C22C8" w:rsidP="001C22C8">
      <w:pPr>
        <w:pStyle w:val="GesAbsatz"/>
      </w:pPr>
      <w:r>
        <w:t>Bei der Änderung oder Aufstellung eines Flächennutzungsplans für Konzentrationszonen für Windenergiea</w:t>
      </w:r>
      <w:r>
        <w:t>n</w:t>
      </w:r>
      <w:r>
        <w:t>lagen wird empfohlen eine Artenschutzprüfung durchzuführen (vgl. gemeinsame Handlungsempfehlung „A</w:t>
      </w:r>
      <w:r>
        <w:t>r</w:t>
      </w:r>
      <w:r>
        <w:t xml:space="preserve">tenschutz in der Bauleitplanung und bei der baurechtlichen Zulassung von Vorhaben“ vom 22.12.2010, Nummer 3.1). Anderenfalls könnte der Flächennutzungsplan aufgrund eines rechtlichen Hindernisses nicht vollzugsfähig sein (vgl. BVerwG, Urt. v. 27.06.2013, </w:t>
      </w:r>
      <w:r>
        <w:rPr>
          <w:rFonts w:ascii="MS Gothic" w:eastAsia="MS Gothic" w:hAnsi="MS Gothic" w:cs="MS Gothic" w:hint="eastAsia"/>
        </w:rPr>
        <w:t>‑</w:t>
      </w:r>
      <w:r>
        <w:t xml:space="preserve"> 4 C 1.12). Auch liefe die Planung Gefahr, dass der Windenergienutzung nicht substanziell Raum gegeben w</w:t>
      </w:r>
      <w:r>
        <w:rPr>
          <w:rFonts w:cs="Arial"/>
        </w:rPr>
        <w:t>ü</w:t>
      </w:r>
      <w:r>
        <w:t>rde, wenn die Konzentrationszone mit dem Risiko der Realisierung artenschutzrechtlicher Verbotstatbestände behaftet wäre (OVG NRW, Urt. v. 22.9.2015, 10 D 82/13.NE). Flächen, die nach dem Ergebnis der Artenschutzprüfung wegen zu erwartender Verstöße g</w:t>
      </w:r>
      <w:r>
        <w:t>e</w:t>
      </w:r>
      <w:r>
        <w:t>gen die artenschutzrechtlichen Verbotstatbestände unter Einbeziehung von Vermeidungsmaßnahmen inkl</w:t>
      </w:r>
      <w:r>
        <w:t>u</w:t>
      </w:r>
      <w:r>
        <w:t>sive vorgezogener Ausgleichsmaßnahmen sowie des Risikomanagements nicht zur Verfügung stehen, sind daher in der Regel vom Plangeber als harte Tabuzonen einzuordnen.</w:t>
      </w:r>
    </w:p>
    <w:p w:rsidR="001C22C8" w:rsidRDefault="001C22C8" w:rsidP="001C22C8">
      <w:pPr>
        <w:pStyle w:val="GesAbsatz"/>
      </w:pPr>
      <w:r>
        <w:t>Artenschutzrechtlich begründete Abstände zu Fortpflanzungs- und Ruhestätten sind gegebenenfalls vom Plangeber als weiche Tabuzonen einzuordnen, wenn sie der Vorsorge dienen sollen.</w:t>
      </w:r>
    </w:p>
    <w:p w:rsidR="001C22C8" w:rsidRDefault="001C22C8" w:rsidP="001C22C8">
      <w:pPr>
        <w:pStyle w:val="GesAbsatz"/>
      </w:pPr>
      <w:r>
        <w:t>Wird die Artenschutzprüfung erst nach der Anwendung von pauschalen harten und weichen Tabukriterien auf der Ebene der Einzelfallprüfung für die verbleibenden Potenzialflächen durchgeführt, sind die Potenzia</w:t>
      </w:r>
      <w:r>
        <w:t>l</w:t>
      </w:r>
      <w:r>
        <w:t>flächen, bei denen auch unter Berücksichtigung von Vermeidungs- und Ausgleichsmaßnahmen die Verle</w:t>
      </w:r>
      <w:r>
        <w:t>t</w:t>
      </w:r>
      <w:r>
        <w:t>zung eines artenschutzrechtlichen Verbotstatbestands feststeht und keine Ausnahme möglich ist, zwingend auszuschließen, da ihrer Nutzung durch die Windenergie ein unüberwindbares Hindernis entgegensteht.</w:t>
      </w:r>
    </w:p>
    <w:p w:rsidR="001C22C8" w:rsidRDefault="001C22C8" w:rsidP="001C22C8">
      <w:pPr>
        <w:pStyle w:val="GesAbsatz"/>
      </w:pPr>
      <w:r>
        <w:t>b)</w:t>
      </w:r>
      <w:r w:rsidR="00D85046">
        <w:tab/>
      </w:r>
      <w:r>
        <w:t>Genehmigungsverfahren</w:t>
      </w:r>
    </w:p>
    <w:p w:rsidR="001C22C8" w:rsidRDefault="001C22C8" w:rsidP="001C22C8">
      <w:pPr>
        <w:pStyle w:val="GesAbsatz"/>
      </w:pPr>
      <w:r>
        <w:t>Die immissionsschutzrechtliche Genehmigung von Windenergieanlagen kann entsprechend dem Runderlass des Ministeriums für Klimaschutz, Umwelt, Landwirtschaft, Natur- und Verbraucherschutz „Artenschutz im immissionsschutzrechtlichen Genehmigungsverfahren“ vom 17. Januar 2011 (</w:t>
      </w:r>
      <w:proofErr w:type="spellStart"/>
      <w:r>
        <w:t>n.v.</w:t>
      </w:r>
      <w:proofErr w:type="spellEnd"/>
      <w:r>
        <w:t>) V-2, nur erteilt werden, wenn anlagenbezogene artenschutzrechtliche Vorschriften der Errichtung und dem Betrieb der Anlage nicht entgegenstehen. Die Genehmigung kann Nebenbestimmungen enthalten, die die Einhaltung der arte</w:t>
      </w:r>
      <w:r>
        <w:t>n</w:t>
      </w:r>
      <w:r>
        <w:t>schutzrechtlichen Vorschriften sicherstellen.</w:t>
      </w:r>
    </w:p>
    <w:p w:rsidR="001C22C8" w:rsidRDefault="001C22C8" w:rsidP="001C22C8">
      <w:pPr>
        <w:pStyle w:val="GesAbsatz"/>
      </w:pPr>
      <w:r>
        <w:t>Hinsichtlich der weiteren konkreten Anforderungen und Pflichten bei der Planung und Genehmigung von Windenergieanlagen wird auf die gemeinsame Handlungsempfehlung des Ministeriums für Wirtschaft, Ene</w:t>
      </w:r>
      <w:r>
        <w:t>r</w:t>
      </w:r>
      <w:r>
        <w:t>gie, Bauen, Wohnen und Verkehr und des Ministeriums für Klimaschutz, Umwelt, Landwirtschaft, Natur- und Verbraucherschutz „Artenschutz in der Bauleitplanung und bei der baurechtlichen Zulassung von Vorhaben“ vom 22.12.2010 (</w:t>
      </w:r>
      <w:proofErr w:type="spellStart"/>
      <w:r>
        <w:t>n.v.</w:t>
      </w:r>
      <w:proofErr w:type="spellEnd"/>
      <w:r>
        <w:t>) und auf den Erlass des Ministeriums für Klimaschutz, Umwelt, Landwirtschaft, Natur- und Verbraucherschutz „Artenschutz im immissionsschutzrechtlichen Genehmigungsverfahren“ vom 17. Januar 2011 (</w:t>
      </w:r>
      <w:proofErr w:type="spellStart"/>
      <w:r>
        <w:t>n.v.</w:t>
      </w:r>
      <w:proofErr w:type="spellEnd"/>
      <w:r>
        <w:t>) V-2 in Verbindung mit dem Runderlass des Ministeriums für Klimaschutz, Umwelt, Lan</w:t>
      </w:r>
      <w:r>
        <w:t>d</w:t>
      </w:r>
      <w:r>
        <w:t>wirtschaft, Natur- und Verbraucherschutz „VV-Artenschutz“ vom 13. April 2010 (</w:t>
      </w:r>
      <w:proofErr w:type="spellStart"/>
      <w:r>
        <w:t>n.v.</w:t>
      </w:r>
      <w:proofErr w:type="spellEnd"/>
      <w:r>
        <w:t>) III-4-616.06.01.17 s</w:t>
      </w:r>
      <w:r>
        <w:t>o</w:t>
      </w:r>
      <w:r>
        <w:lastRenderedPageBreak/>
        <w:t>wie den Leitfaden „Umsetzung des Arten- und Habitatschutzes bei der Planung und Genehmigung von Windenergieanlagen in Nordrhein-Westfalen“ vom 12. November 2013 in der jeweils geltenden Fassung verwiesen.</w:t>
      </w:r>
    </w:p>
    <w:p w:rsidR="001C22C8" w:rsidRDefault="001C22C8" w:rsidP="001C22C8">
      <w:pPr>
        <w:pStyle w:val="GesAbsatz"/>
      </w:pPr>
      <w:r>
        <w:t>8.2.2.4</w:t>
      </w:r>
      <w:r w:rsidR="00D85046">
        <w:t xml:space="preserve"> </w:t>
      </w:r>
      <w:proofErr w:type="gramStart"/>
      <w:r>
        <w:t>Wald</w:t>
      </w:r>
      <w:proofErr w:type="gramEnd"/>
    </w:p>
    <w:p w:rsidR="001C22C8" w:rsidRDefault="001C22C8" w:rsidP="001C22C8">
      <w:pPr>
        <w:pStyle w:val="GesAbsatz"/>
      </w:pPr>
      <w:r>
        <w:t>Der Grundsatz der Walderhaltung wird nicht nur durch die Spezialgesetze des Forstrechts, sondern auch durch das Raumordnungs- und Baurecht gewährleistet. Hierzu wird insbesondere auf § 2 Absatz 2 Nu</w:t>
      </w:r>
      <w:r>
        <w:t>m</w:t>
      </w:r>
      <w:r>
        <w:t>mern 2, 5 und 6 des Raumordnungsgesetzes sowie auf § 1a Absatz 2 des Baugesetzbuches verwiesen. In der Anwendung des forstlichen Fachrechts sind grundsätzlich zwei Fälle zu unterscheiden:</w:t>
      </w:r>
    </w:p>
    <w:p w:rsidR="001C22C8" w:rsidRDefault="001C22C8" w:rsidP="001C22C8">
      <w:pPr>
        <w:pStyle w:val="GesAbsatz"/>
      </w:pPr>
      <w:r>
        <w:t>a)</w:t>
      </w:r>
      <w:r w:rsidR="00D85046">
        <w:tab/>
      </w:r>
      <w:r>
        <w:t>Planungsverfahren</w:t>
      </w:r>
    </w:p>
    <w:p w:rsidR="001C22C8" w:rsidRDefault="001C22C8" w:rsidP="001C22C8">
      <w:pPr>
        <w:pStyle w:val="GesAbsatz"/>
      </w:pPr>
      <w:r>
        <w:t>Hier wird auf die Ausführungen unter Nummer 3.2.4.2 und 4.3.3 verwiesen, die entsprechend gelten. Bezü</w:t>
      </w:r>
      <w:r>
        <w:t>g</w:t>
      </w:r>
      <w:r>
        <w:t>lich der Beurteilung, ob eine Waldumwandlungsgenehmigung in Aussicht gestellt werden kann, ist die Fors</w:t>
      </w:r>
      <w:r>
        <w:t>t</w:t>
      </w:r>
      <w:r>
        <w:t>behörde frühzeitig in die Planungsverfahren einzubeziehen. Dabei prüft sie im Bauleitplanverfahren, ob die Umwandlung des Waldes in eine andere Nutzungsart grundsätzlich genehmigungsfähig ist. Andernfalls ist der Wald als harte Tabuzone zu betrachten. Gemäß § 43 Absatz 1 Buchstabe a des Landesforstgesetzes bedarf es keiner forstbehördlichen Umwandlungsgenehmigung bei Waldflächen, für die in einem Beba</w:t>
      </w:r>
      <w:r>
        <w:t>u</w:t>
      </w:r>
      <w:r>
        <w:t>ungsplan nach § 30 des Baugesetzbuches eine anderweitige Nutzung vorgesehen ist. Der Gesetzgeber ist bei dieser Regelung davon ausgegangen, dass die Gemeinde bei der Aufstellung eines Bebauungsplan die Belange des Waldes und der Forstwirtschaft unter Berücksichtigung der Grundsätze des § 1a Absatz 2 des Baugesetzbuches gerecht abwägt auf Grundlage der Stellungnahme der Forstbehörde als Träger öffentl</w:t>
      </w:r>
      <w:r>
        <w:t>i</w:t>
      </w:r>
      <w:r>
        <w:t>cher Belange.</w:t>
      </w:r>
    </w:p>
    <w:p w:rsidR="001C22C8" w:rsidRDefault="001C22C8" w:rsidP="001C22C8">
      <w:pPr>
        <w:pStyle w:val="GesAbsatz"/>
      </w:pPr>
      <w:r>
        <w:t>b)</w:t>
      </w:r>
      <w:r w:rsidR="00D85046">
        <w:tab/>
      </w:r>
      <w:r>
        <w:t>Genehmigungsverfahren</w:t>
      </w:r>
    </w:p>
    <w:p w:rsidR="001C22C8" w:rsidRDefault="001C22C8" w:rsidP="001C22C8">
      <w:pPr>
        <w:pStyle w:val="GesAbsatz"/>
      </w:pPr>
      <w:r>
        <w:t>Die Errichtung einer Windenergieanlage auf Waldflächen erfordert neben dem Vorliegen der übrigen Zula</w:t>
      </w:r>
      <w:r>
        <w:t>s</w:t>
      </w:r>
      <w:r>
        <w:t>sungsvoraussetzungen eine forstbehördliche Genehmigung nach § 9 Absatz 1 des Bundeswaldgesetzes in Verbindung mit § 39 des Landesforstgesetzes, es sei denn, die anderweitige Nutzung der Waldfläche ist bereits in einem Bebauungsplan nach § 30 des Baugesetzbuches vorgesehen.</w:t>
      </w:r>
    </w:p>
    <w:p w:rsidR="001C22C8" w:rsidRDefault="001C22C8" w:rsidP="001C22C8">
      <w:pPr>
        <w:pStyle w:val="GesAbsatz"/>
      </w:pPr>
      <w:r>
        <w:t>Im Rahmen des immissionsschutzrechtlichen Genehmigungsverfahrens nach § 4 des Bundes-Immissions</w:t>
      </w:r>
      <w:r w:rsidR="001F098B">
        <w:softHyphen/>
      </w:r>
      <w:r>
        <w:t>schutzgesetzes holt die Genehmigungsbehörde gemäß § 10 Absatz 5 des Bundes-Immissions</w:t>
      </w:r>
      <w:r w:rsidR="001F098B">
        <w:softHyphen/>
      </w:r>
      <w:r>
        <w:t>schutz</w:t>
      </w:r>
      <w:r w:rsidR="001F098B">
        <w:softHyphen/>
      </w:r>
      <w:r>
        <w:t>gesetzes die Stellungnahme der Forstbehörde ein. Die Forstbehörde gibt unter Berücksichtigung der Bewe</w:t>
      </w:r>
      <w:r>
        <w:t>r</w:t>
      </w:r>
      <w:r>
        <w:t>tungskriterien des Leitfadens „Rahmenbedingungen für Windenergieanlagen auf Waldflächen in Nordrhein-Westfalen“ des Ministeriums für Klimaschutz, Umwelt, Landwirtschaft, Natur- und Verbraucherschutz eine Stellungnahme ab und legt dar, ob sie eine Waldumwandlungsgenehmigung in Aussicht stellen kann.</w:t>
      </w:r>
    </w:p>
    <w:p w:rsidR="001C22C8" w:rsidRDefault="001C22C8" w:rsidP="001C22C8">
      <w:pPr>
        <w:pStyle w:val="GesAbsatz"/>
      </w:pPr>
      <w:r>
        <w:t>Die forstbehördliche Genehmigung nach § 9 Absatz 1 des Bundeswaldgesetzes in Verbindung mit § 39 des Landesforstgesetzes (Waldumwandlungsgenehmigung) ist gemäß § 13 des Bundes-Immissions</w:t>
      </w:r>
      <w:r w:rsidR="002D6219">
        <w:softHyphen/>
      </w:r>
      <w:r>
        <w:t xml:space="preserve">schutzgesetzes insoweit konzentriert, als die Umwandlung von Wald deshalb erforderlich ist, weil auf dem Grundstück, auf dem die Anlage errichtet oder betrieben werden soll, Wald stockt (OVG Lüneburg, Beschl. v. 29.8.2013, </w:t>
      </w:r>
      <w:r>
        <w:rPr>
          <w:rFonts w:ascii="MS Gothic" w:eastAsia="MS Gothic" w:hAnsi="MS Gothic" w:cs="MS Gothic" w:hint="eastAsia"/>
        </w:rPr>
        <w:t>‑</w:t>
      </w:r>
      <w:r>
        <w:t xml:space="preserve"> 4 ME 76/13, Juris, </w:t>
      </w:r>
      <w:proofErr w:type="spellStart"/>
      <w:r>
        <w:t>Rn</w:t>
      </w:r>
      <w:proofErr w:type="spellEnd"/>
      <w:r>
        <w:t>. 21) und die Waldfl</w:t>
      </w:r>
      <w:r>
        <w:rPr>
          <w:rFonts w:cs="Arial"/>
        </w:rPr>
        <w:t>ä</w:t>
      </w:r>
      <w:r>
        <w:t xml:space="preserve">che daher in eine andere Nutzungsart </w:t>
      </w:r>
      <w:r>
        <w:rPr>
          <w:rFonts w:cs="Arial"/>
        </w:rPr>
        <w:t>ü</w:t>
      </w:r>
      <w:r>
        <w:t>berf</w:t>
      </w:r>
      <w:r>
        <w:rPr>
          <w:rFonts w:cs="Arial"/>
        </w:rPr>
        <w:t>ü</w:t>
      </w:r>
      <w:r>
        <w:t>hrt wird (siehe dazu weitergehende Ausf</w:t>
      </w:r>
      <w:r>
        <w:rPr>
          <w:rFonts w:cs="Arial"/>
        </w:rPr>
        <w:t>ü</w:t>
      </w:r>
      <w:r>
        <w:t>hrungen unter Nummer 5.1.1). Konzentriert die immissionsschut</w:t>
      </w:r>
      <w:r>
        <w:t>z</w:t>
      </w:r>
      <w:r>
        <w:t>rechtliche Genehmigung die Waldumwandlungsgenehmigung, wird durch Nebenbestimmungen sicherg</w:t>
      </w:r>
      <w:r>
        <w:t>e</w:t>
      </w:r>
      <w:r>
        <w:t>stellt, dass der Verlust der Waldfunktionen im Regelfall durch Ersatzaufforstungen ausgeglichen wird.</w:t>
      </w:r>
    </w:p>
    <w:p w:rsidR="001C22C8" w:rsidRDefault="001C22C8" w:rsidP="001C22C8">
      <w:pPr>
        <w:pStyle w:val="GesAbsatz"/>
      </w:pPr>
      <w:r>
        <w:t>Für vertiefte Informationen wird auf den Leitfaden „Rahmenbedingungen für Windenergieanlagen auf Wal</w:t>
      </w:r>
      <w:r>
        <w:t>d</w:t>
      </w:r>
      <w:r>
        <w:t xml:space="preserve">flächen in Nordrhein-Westfalen“ in der jeweils gültigen Fassung, abrufbar unter </w:t>
      </w:r>
      <w:hyperlink r:id="rId16" w:history="1">
        <w:r w:rsidR="00A8643E" w:rsidRPr="00293BC0">
          <w:rPr>
            <w:rStyle w:val="Hyperlink"/>
          </w:rPr>
          <w:t>https://www.umwelt.nrw.de/</w:t>
        </w:r>
        <w:r w:rsidR="00A8643E" w:rsidRPr="00293BC0">
          <w:rPr>
            <w:rStyle w:val="Hyperlink"/>
          </w:rPr>
          <w:softHyphen/>
          <w:t>fileadmin/redaktion/PDFs/klima/leitfaden_wind_im_wald.pdf</w:t>
        </w:r>
      </w:hyperlink>
      <w:r>
        <w:t>, verwiesen.</w:t>
      </w:r>
    </w:p>
    <w:p w:rsidR="001C22C8" w:rsidRDefault="001C22C8" w:rsidP="001C22C8">
      <w:pPr>
        <w:pStyle w:val="GesAbsatz"/>
      </w:pPr>
      <w:r>
        <w:t>Soweit Anlagen im Wald oder bis zu 35 Meter vom Waldrand verwirklicht werden sollen, hat sich die Betre</w:t>
      </w:r>
      <w:r>
        <w:t>i</w:t>
      </w:r>
      <w:r>
        <w:t>berin oder der Betreiber der Windenergieanlage zu verpflichten, im Fall von Schäden an der Anlage durch umfallende Bäume auf einen Ersatzanspruch zu verzichten. Darüber hinaus soll sie oder er die Waldbesitz</w:t>
      </w:r>
      <w:r>
        <w:t>e</w:t>
      </w:r>
      <w:r>
        <w:t>rin oder den Waldbesitzer von Verkehrssicherungspflichten freistellen, die sich aus der Errichtung oder dem Betrieb im Wald ergeben.</w:t>
      </w:r>
    </w:p>
    <w:p w:rsidR="001C22C8" w:rsidRDefault="001C22C8" w:rsidP="001C22C8">
      <w:pPr>
        <w:pStyle w:val="GesAbsatz"/>
      </w:pPr>
      <w:r>
        <w:t>8.2.2.5</w:t>
      </w:r>
      <w:r w:rsidR="00D85046">
        <w:t xml:space="preserve"> </w:t>
      </w:r>
      <w:r>
        <w:t>Landschaftsschutzgebiete (LSG)</w:t>
      </w:r>
    </w:p>
    <w:p w:rsidR="001C22C8" w:rsidRDefault="001C22C8" w:rsidP="001C22C8">
      <w:pPr>
        <w:pStyle w:val="GesAbsatz"/>
      </w:pPr>
      <w:r>
        <w:t>Mit 45,2 Prozent der Landesfläche decken Landschaftsschutzgebiete einen Großteil der Fläche des Landes Nordrhein-Westfalen ab. Die Großflächigkeit dieser Ausweisungen ist unter anderem vor dem Hintergrund der Abwehr der Siedlungsentwicklung in den baulichen Außenbereich und der Zersiedelung der Landschaft zu verstehen. In manchen Gemeinden umfassen Landschaftsschutzgebiete daher fast den gesamten ba</w:t>
      </w:r>
      <w:r>
        <w:t>u</w:t>
      </w:r>
      <w:r>
        <w:t>planungsrechtlichen Außenbereich in dem der Gesetzgeber die Errichtung von Windenergieanlagen privil</w:t>
      </w:r>
      <w:r>
        <w:t>e</w:t>
      </w:r>
      <w:r>
        <w:t>giert hat. Eine auf den Außenbereich verwiesene Nutzung wie die Windenergie ist jedoch für eine ambiti</w:t>
      </w:r>
      <w:r>
        <w:t>o</w:t>
      </w:r>
      <w:r>
        <w:t>nierte Ausbauplanung darauf angewiesen, auch Flächen in Landschaftsschutzgebieten in Anspruch zu ne</w:t>
      </w:r>
      <w:r>
        <w:t>h</w:t>
      </w:r>
      <w:r>
        <w:t>men. Deshalb kommt der Vereinbarkeit der Errichtung von Windenergieanlagen mit Landschaftsschutzg</w:t>
      </w:r>
      <w:r>
        <w:t>e</w:t>
      </w:r>
      <w:r>
        <w:lastRenderedPageBreak/>
        <w:t>bietsausweisungen beziehungsweise -festsetzungen für den Ausbau der Windenergie in Nordrhein-Westfalen besondere Bedeutung zu.</w:t>
      </w:r>
    </w:p>
    <w:p w:rsidR="001C22C8" w:rsidRDefault="001C22C8" w:rsidP="001C22C8">
      <w:pPr>
        <w:pStyle w:val="GesAbsatz"/>
      </w:pPr>
      <w:r>
        <w:t>Es sind grundsätzlich zwei Fälle zu unterscheiden, in denen das Fachrecht zur Anwendung kommen kann:</w:t>
      </w:r>
    </w:p>
    <w:p w:rsidR="001C22C8" w:rsidRDefault="001C22C8" w:rsidP="001C22C8">
      <w:pPr>
        <w:pStyle w:val="GesAbsatz"/>
      </w:pPr>
      <w:r>
        <w:t>a)</w:t>
      </w:r>
      <w:r w:rsidR="00D85046">
        <w:tab/>
      </w:r>
      <w:r>
        <w:t>Planungsverfahren</w:t>
      </w:r>
    </w:p>
    <w:p w:rsidR="001C22C8" w:rsidRDefault="001C22C8" w:rsidP="001C22C8">
      <w:pPr>
        <w:pStyle w:val="GesAbsatz"/>
      </w:pPr>
      <w:r>
        <w:t>Öffentliche Planungsträger, die nach § 4 oder § 13 des Baugesetzbuches an der Flächennutzungsplanänd</w:t>
      </w:r>
      <w:r>
        <w:t>e</w:t>
      </w:r>
      <w:r>
        <w:t>rung beteiligt worden sind, haben ihre Planungen gemäß § 7 des Baugesetzbuches dem Flächennutzung</w:t>
      </w:r>
      <w:r>
        <w:t>s</w:t>
      </w:r>
      <w:r>
        <w:t>plan insoweit anzupassen, als sie diesem Plan nicht widersprochen haben (Bindung der Fachplanungstr</w:t>
      </w:r>
      <w:r>
        <w:t>ä</w:t>
      </w:r>
      <w:r>
        <w:t>ger). Widersprechen sie hingegen den gemeindlichen Planungsvorstellungen, stellt dieser Widerspruch eine Grenze der Bauleitplanung dar.</w:t>
      </w:r>
    </w:p>
    <w:p w:rsidR="001C22C8" w:rsidRDefault="001C22C8" w:rsidP="001C22C8">
      <w:pPr>
        <w:pStyle w:val="GesAbsatz"/>
      </w:pPr>
      <w:r>
        <w:t>Ein Landschaftsschutzgebiet mit einem generellen Bauverbot widerspricht zunächst auch einer Ausweisung von Konzentrationszonen für die Windenergie in diesen Bereichen. Plant eine Gemeinde die Darstellung von Konzentrationszonen im Flächennutzungsplan innerhalb einer Landschaftsschutzgebietsfestsetzung eines Landschaftsplans und der Träger der Landschaftsplanung widerspricht dieser Planung nicht, hat er seine Planung in der Regel entsprechend anzupassen. Es wird von daher empfohlen, vor Änderung des Fläche</w:t>
      </w:r>
      <w:r>
        <w:t>n</w:t>
      </w:r>
      <w:r>
        <w:t>nutzungsplans die entsprechende Änderung des Landschaftsplans abzuwarten. Dabei ist eine parallele Ä</w:t>
      </w:r>
      <w:r>
        <w:t>n</w:t>
      </w:r>
      <w:r>
        <w:t>derung des Landschaftsplanes möglich. Diese Anpassung des Landschaftsplanes ist bei Aufstellung eines entsprechenden Bebauungsplans entbehrlich, wenn der Träger der Landschaftsplanung im Flächennu</w:t>
      </w:r>
      <w:r>
        <w:t>t</w:t>
      </w:r>
      <w:r>
        <w:t>zungsplanänderungsverfahren nicht widersprochen hat, da dann die widersprechenden Darstellungen und Festsetzungen des Landschaftsplans mit dem Inkrafttreten des Bebauungsplans gemäß § 29 Absatz 4 des Landschaftsgesetzes außer Kraft treten.</w:t>
      </w:r>
    </w:p>
    <w:p w:rsidR="001C22C8" w:rsidRDefault="001C22C8" w:rsidP="001C22C8">
      <w:pPr>
        <w:pStyle w:val="GesAbsatz"/>
      </w:pPr>
      <w:r>
        <w:t>Anders verhält es sich mit Landschaftsschutzverordnungen. Die Festsetzungen einer Schutzgebietsveror</w:t>
      </w:r>
      <w:r>
        <w:t>d</w:t>
      </w:r>
      <w:r>
        <w:t>nung können durch einen Bebauungsplan nicht außer Kraft gesetzt werden. Es wird von daher empfohlen, vor Änderung des Flächennutzungsplans die entsprechende Änderung der Landschaftsschutzverordnung abzuwarten. Dabei ist eine parallele Änderung der Landschaftsschutzverordnung möglich.</w:t>
      </w:r>
    </w:p>
    <w:p w:rsidR="001C22C8" w:rsidRDefault="001C22C8" w:rsidP="001C22C8">
      <w:pPr>
        <w:pStyle w:val="GesAbsatz"/>
      </w:pPr>
      <w:r>
        <w:t>Eine Anpassung/Teilaufhebung ist entbehrlich, wenn eine naturschutzrechtliche Befreiung nach § 67 des Bundesnaturschutzgesetzes in Aussicht gestellt wird (siehe weiter unten). Zielführend ist es, wenn der Tr</w:t>
      </w:r>
      <w:r>
        <w:t>ä</w:t>
      </w:r>
      <w:r>
        <w:t>ger der Landschaftsplanung oder der Verordnungsgeber der Landschaftsschutzverordnung vor der Gene</w:t>
      </w:r>
      <w:r>
        <w:t>h</w:t>
      </w:r>
      <w:r>
        <w:t>migung des Flächennutzungsplans einen entsprechenden Ausnahmetatbestand gemäß § 34 Absatz 4a des Landschaftsgesetzes für Windenergieanlagen nach Art und Umfang im Landschaftsplan festgesetzt bezi</w:t>
      </w:r>
      <w:r>
        <w:t>e</w:t>
      </w:r>
      <w:r>
        <w:t>hungsweise in die Landschaftsschutzverordnung aufgenommen hat. Gleiches gilt, wenn eine Zonierung nach § 22 Absatz 1, Satz 3 des Bundesnaturschutzgesetzes vorgenommen wurde oder eine Entlassung der Flächen erfolgt beziehungsweise in Aussicht gestellt wird. Besteht eine Ausnahmeregelung oder Unberühr</w:t>
      </w:r>
      <w:r>
        <w:t>t</w:t>
      </w:r>
      <w:r>
        <w:t>heitsklausel im Landschaftsplan oder in der Landschaftsschutzverordnung, besteht kein Widerspruch zw</w:t>
      </w:r>
      <w:r>
        <w:t>i</w:t>
      </w:r>
      <w:r>
        <w:t>schen Landschaftsschutz und Windenergie-Flächenausweisung. Eine Zonierung erlaubt es entsprechend dem jeweiligen Schutzzweck Bereiche abgestuften Schutzes mit unterschiedlichen Schutzbestimmungen festzulegen. Danach können bestimmte Zonen innerhalb des jeweiligen Landschaftsschutzgebietes für die Windenergienutzung freigegeben werden, während der Schutz im Übrigen fortbesteht (</w:t>
      </w:r>
      <w:proofErr w:type="spellStart"/>
      <w:r>
        <w:t>VerfGH</w:t>
      </w:r>
      <w:proofErr w:type="spellEnd"/>
      <w:r>
        <w:t xml:space="preserve"> Bayern, Urt. v. 28.9.2013, </w:t>
      </w:r>
      <w:proofErr w:type="spellStart"/>
      <w:r>
        <w:t>Vf</w:t>
      </w:r>
      <w:proofErr w:type="spellEnd"/>
      <w:r>
        <w:t xml:space="preserve">. 15-VII-12, VI. 2. a) </w:t>
      </w:r>
      <w:proofErr w:type="spellStart"/>
      <w:r>
        <w:t>bb</w:t>
      </w:r>
      <w:proofErr w:type="spellEnd"/>
      <w:r>
        <w:t>) (1)).</w:t>
      </w:r>
    </w:p>
    <w:p w:rsidR="001C22C8" w:rsidRDefault="001C22C8" w:rsidP="001C22C8">
      <w:pPr>
        <w:pStyle w:val="GesAbsatz"/>
      </w:pPr>
      <w:r>
        <w:t>Greift keine Ausnahme- oder Unberührtheitsklausel, darf eine Genehmigung des Flächennutzungsplans nur erteilt werden, wenn eine naturschutzrechtliche Befreiung nach § 67 des Bundesnaturschutzgesetzes in Aussicht gestellt wird. Bei der Entscheidung nach § 67 des Bundesnaturschutzgesetzes ist im Einzelfall eine Abwägung des öffentlichen Interesses am Natur- und Artenschutz mit dem öffentlichen Interesse am Klim</w:t>
      </w:r>
      <w:r>
        <w:t>a</w:t>
      </w:r>
      <w:r>
        <w:t>schutz vorzunehmen. Für die Prüfung der Landschaftsbehörde, ob eine Befreiung in Aussicht gestellt we</w:t>
      </w:r>
      <w:r>
        <w:t>r</w:t>
      </w:r>
      <w:r>
        <w:t>den kann, gelten dabei die unter Buchstabe b) konkretisierten Grundsätze.</w:t>
      </w:r>
    </w:p>
    <w:p w:rsidR="001C22C8" w:rsidRPr="00A8643E" w:rsidRDefault="001C22C8" w:rsidP="001C22C8">
      <w:pPr>
        <w:pStyle w:val="GesAbsatz"/>
        <w:rPr>
          <w:i/>
        </w:rPr>
      </w:pPr>
      <w:r w:rsidRPr="00A8643E">
        <w:rPr>
          <w:i/>
        </w:rPr>
        <w:t>Grafik „Konzentrationszonenplanung bei Landschaftsschutzgebieten“ siehe Anhang.</w:t>
      </w:r>
    </w:p>
    <w:p w:rsidR="001C22C8" w:rsidRDefault="001C22C8" w:rsidP="001C22C8">
      <w:pPr>
        <w:pStyle w:val="GesAbsatz"/>
      </w:pPr>
      <w:r>
        <w:t>b)</w:t>
      </w:r>
      <w:r w:rsidR="00D85046">
        <w:tab/>
      </w:r>
      <w:r>
        <w:t>Genehmigungsverfahren</w:t>
      </w:r>
    </w:p>
    <w:p w:rsidR="001C22C8" w:rsidRDefault="001C22C8" w:rsidP="001C22C8">
      <w:pPr>
        <w:pStyle w:val="GesAbsatz"/>
      </w:pPr>
      <w:r>
        <w:t>Weisen Gemeinden Konzentrationszonen im Flächennutzungsplan aus, werden oben genannte mögliche Konflikte zwischen Landschaftsplan oder Landschaftsschutzgebiet-Verordnung und Flächennutzungsplan bereits auf Ebene der Planung ausgeräumt. Innerhalb der Konzentrationszonen stehen landschaftsrechtliche Belange einer Windenergienutzung dann nicht mehr entgegen. Eine Befreiung nach § 67 des Bundesnatu</w:t>
      </w:r>
      <w:r>
        <w:t>r</w:t>
      </w:r>
      <w:r>
        <w:t>schutzgesetzes kann formal stets erst für das konkrete Vorhaben im Rahmen des Genehmigungsverfahrens (Konzentrationswirkung des § 13 BImSchG) erteilt werden, nicht bereits für den Flächennutzungsplan.</w:t>
      </w:r>
    </w:p>
    <w:p w:rsidR="001C22C8" w:rsidRDefault="001C22C8" w:rsidP="001C22C8">
      <w:pPr>
        <w:pStyle w:val="GesAbsatz"/>
      </w:pPr>
      <w:r>
        <w:t>Nur für die Fälle, in denen die Gemeinde keine Konzentrationszonen für die Windenergie ausgewiesen h</w:t>
      </w:r>
      <w:r>
        <w:t>a</w:t>
      </w:r>
      <w:r>
        <w:t>ben, ist über die Vereinbarkeit von Landschaftsschutz und Windenergienutzung im Genehmigungsverfahren zu entscheiden.</w:t>
      </w:r>
    </w:p>
    <w:p w:rsidR="001C22C8" w:rsidRDefault="001C22C8" w:rsidP="001C22C8">
      <w:pPr>
        <w:pStyle w:val="GesAbsatz"/>
      </w:pPr>
      <w:r>
        <w:t xml:space="preserve">Üblicherweise besteht in Landschaftsschutzgebieten ein Bauverbot. Dieses ergibt sich aus § 26 Absatz 2 des Bundesnaturschutzgesetzes und dient dem Zweck, den besonderen Charakter des jeweiligen Gebietes </w:t>
      </w:r>
      <w:r>
        <w:lastRenderedPageBreak/>
        <w:t>zu erhalten. Hat der Verordnungs- beziehungsweise Satzungsgeber keine Ausnahme gemäß § 34 Absatz 4a des Landschaftsgesetzes für die Errichtung von Windenergieanlagen aufgenommen beziehungsweise keine Zonierung gemäß § 22 Absatz 1 Satz 3 des Bundesnaturschutzgesetzes vorgenommen, sind regelmäßig die Voraussetzungen einer Befreiung gemäß § 67 Absatz 1 Nummer 1 des Bundesnaturschutzgesetzes unter besonderer Berücksichtigung des öffentlichen Interesses an der Umsetzung der Ausbauziele für die Win</w:t>
      </w:r>
      <w:r>
        <w:t>d</w:t>
      </w:r>
      <w:r>
        <w:t>energie zu prüfen.</w:t>
      </w:r>
    </w:p>
    <w:p w:rsidR="001C22C8" w:rsidRDefault="001C22C8" w:rsidP="001C22C8">
      <w:pPr>
        <w:pStyle w:val="GesAbsatz"/>
      </w:pPr>
      <w:r>
        <w:t>Die Errichtung von Windenergieanlagen in Landschaftsschutzgebieten ist möglich, wenn die Befreiungsv</w:t>
      </w:r>
      <w:r>
        <w:t>o</w:t>
      </w:r>
      <w:r>
        <w:t>raussetzungen des § 67 des Bundesnaturschutzgesetzes gegeben sind (z.B. ein überwiegendes öffentliches Interesse).</w:t>
      </w:r>
    </w:p>
    <w:p w:rsidR="001C22C8" w:rsidRDefault="001C22C8" w:rsidP="001C22C8">
      <w:pPr>
        <w:pStyle w:val="GesAbsatz"/>
      </w:pPr>
      <w:r>
        <w:t>Das öffentliche Interesse am Ausbau der Erneuerbaren Energien zur nachhaltigen Sicherung der Leistungs- und Funktionsfähigkeit des Naturhaushalts ergibt sich mit § 1 Absatz 3 Nummer 4, 2. Halbsatz des Bu</w:t>
      </w:r>
      <w:r>
        <w:t>n</w:t>
      </w:r>
      <w:r>
        <w:t>desnaturschutzgesetzes unmittelbar aus der Konkretisierung der Ziele des Naturschutzes und der Lan</w:t>
      </w:r>
      <w:r>
        <w:t>d</w:t>
      </w:r>
      <w:r>
        <w:t>schaftspflege. Gemäß § 2 Absatz 3 des Bundesnaturschutzgesetzes sind die Ziele des Naturschutzes und der Landschaftspflege untereinander und gegen die Anforderungen der Allgemeinheit an Natur und Lan</w:t>
      </w:r>
      <w:r>
        <w:t>d</w:t>
      </w:r>
      <w:r>
        <w:t>schaft abzuwägen. Der Ausbau der Erneuerbaren Energien als ein zentraler Baustein des Klimaschutzes im Sinn der Erhaltung der natürlichen Lebensgrundlagen stellt im Rahmen der Abwägung eine solche Anford</w:t>
      </w:r>
      <w:r>
        <w:t>e</w:t>
      </w:r>
      <w:r>
        <w:t>rung mit außergewöhnlich hohem Gewicht dar. Dies gilt insbesondere, da ohne die Nutzung der Lan</w:t>
      </w:r>
      <w:r>
        <w:t>d</w:t>
      </w:r>
      <w:r>
        <w:t>schaftsschutzgebiete für die Windenergie die Ausbauziele des Landes Nordrhein-Westfalen nicht zu erre</w:t>
      </w:r>
      <w:r>
        <w:t>i</w:t>
      </w:r>
      <w:r>
        <w:t>chen sind.</w:t>
      </w:r>
    </w:p>
    <w:p w:rsidR="001C22C8" w:rsidRDefault="001C22C8" w:rsidP="001C22C8">
      <w:pPr>
        <w:pStyle w:val="GesAbsatz"/>
      </w:pPr>
      <w:r>
        <w:t>Bei der Prüfung ist daher in der Abwägung in der Regel von einem überwiegenden öffentlichen Interesse auszugehen und eine Befreiung vom Bauverbot nach § 67 Absatz 1 Nummer 1 des Bundesnaturschutzg</w:t>
      </w:r>
      <w:r>
        <w:t>e</w:t>
      </w:r>
      <w:r>
        <w:t>setzes kann erteilt werden.</w:t>
      </w:r>
    </w:p>
    <w:p w:rsidR="001C22C8" w:rsidRDefault="001C22C8" w:rsidP="001C22C8">
      <w:pPr>
        <w:pStyle w:val="GesAbsatz"/>
      </w:pPr>
      <w:r>
        <w:t>In den folgenden Bereichen ist im Interesse des Naturschutzes und der Landschaftspflege jedoch im Einze</w:t>
      </w:r>
      <w:r>
        <w:t>l</w:t>
      </w:r>
      <w:r>
        <w:t>fall eine vertiefende Prüfung und Begründung der Voraussetzungen für die Erteilung einer Befreiung nach §</w:t>
      </w:r>
      <w:r w:rsidR="00D85046">
        <w:t> </w:t>
      </w:r>
      <w:r>
        <w:t>67 Absatz 1 Nummer 1 des Bundesnaturschutzgesetzes erforderlich:</w:t>
      </w:r>
    </w:p>
    <w:p w:rsidR="001C22C8" w:rsidRDefault="001C22C8" w:rsidP="00D85046">
      <w:pPr>
        <w:pStyle w:val="GesAbsatz"/>
        <w:ind w:left="426" w:hanging="426"/>
      </w:pPr>
      <w:r>
        <w:t>–</w:t>
      </w:r>
      <w:r w:rsidR="00D85046">
        <w:tab/>
      </w:r>
      <w:r>
        <w:t>Teilbereiche von Landschaftsschutzgebieten, die überlagernd als Natura 2000-Gebiet ausgewiesen sind (für Repowering-Anlagen);</w:t>
      </w:r>
    </w:p>
    <w:p w:rsidR="001C22C8" w:rsidRDefault="001C22C8" w:rsidP="00D85046">
      <w:pPr>
        <w:pStyle w:val="GesAbsatz"/>
        <w:ind w:left="426" w:hanging="426"/>
      </w:pPr>
      <w:r>
        <w:t>–</w:t>
      </w:r>
      <w:r w:rsidR="00D85046">
        <w:tab/>
      </w:r>
      <w:r>
        <w:t>Teilbereiche von Landschaftsschutzgebieten, denen in der Landschaftsschutzverordnung oder dem Landschaftsplan explizit eine Funktion als Pufferzone zu Naturschutz-gebieten oder Natura-2000-Gebieten zugewiesen ist;</w:t>
      </w:r>
    </w:p>
    <w:p w:rsidR="001C22C8" w:rsidRDefault="001C22C8" w:rsidP="00D85046">
      <w:pPr>
        <w:pStyle w:val="GesAbsatz"/>
        <w:ind w:left="426" w:hanging="426"/>
      </w:pPr>
      <w:r>
        <w:t>–</w:t>
      </w:r>
      <w:r w:rsidR="00D85046">
        <w:tab/>
      </w:r>
      <w:r>
        <w:t xml:space="preserve">Teilbereiche, die in den Fachbeiträgen des Naturschutzes und der Landschaftspflege des </w:t>
      </w:r>
      <w:proofErr w:type="gramStart"/>
      <w:r>
        <w:t>Landesamt</w:t>
      </w:r>
      <w:proofErr w:type="gramEnd"/>
      <w:r>
        <w:t xml:space="preserve"> für Natur, Umwelt und Verbraucherschutz mit „herausragender Bedeutung“ für das Landschaftsbild (LBE 1) beziehungsweise mit „herausragender Bedeutung“ für den Biotopverbund (VB 1) dargestellt sind. Für Regionen des Landes für die die Fachbeiträge noch nicht vorliegen, sollten Landschaft</w:t>
      </w:r>
      <w:r>
        <w:t>s</w:t>
      </w:r>
      <w:r>
        <w:t>schutzgebiete beziehungsweise Teilflächen von Landschaftsschutzgebieten, deren herausragende Vie</w:t>
      </w:r>
      <w:r>
        <w:t>l</w:t>
      </w:r>
      <w:r>
        <w:t>falt, Eigenart und Schönheit insbesondere durch markante Einzelschöpfungen besonders charakterist</w:t>
      </w:r>
      <w:r>
        <w:t>i</w:t>
      </w:r>
      <w:r>
        <w:t>sche Landschaftselemente in der Schutzgebietsverordnung beziehungsweise den Festsetzungen des Landschaftsplans dokumentiert sind, einer vertiefenden Einzelfallprüfung unterzogen werden. In Regi</w:t>
      </w:r>
      <w:r>
        <w:t>o</w:t>
      </w:r>
      <w:r>
        <w:t>nen, für die der Fachbeitrag des Naturschutzes und der Landschaftspflege des Landesamt für Natur, Umwelt und Verbraucherschutz zum Regionalplan noch nicht vorliegt, soll die Landschaftsbildbewe</w:t>
      </w:r>
      <w:r>
        <w:t>r</w:t>
      </w:r>
      <w:r>
        <w:t>tung in Landschaftsschutzgebieten anhand des „Verfahrens zur Landschaftsbildbewertung im Zuge der Ersatzgeldermittlung für Eingriffe in das Landschaftsbild durch den Bau von Windenergieanlagen“ (A</w:t>
      </w:r>
      <w:r>
        <w:t>n</w:t>
      </w:r>
      <w:r>
        <w:t>lage 1) vorgenommen werden.</w:t>
      </w:r>
    </w:p>
    <w:p w:rsidR="001C22C8" w:rsidRDefault="001C22C8" w:rsidP="001C22C8">
      <w:pPr>
        <w:pStyle w:val="GesAbsatz"/>
      </w:pPr>
      <w:r>
        <w:t>8.2.2.6</w:t>
      </w:r>
      <w:r w:rsidR="00D85046">
        <w:t xml:space="preserve"> </w:t>
      </w:r>
      <w:r>
        <w:t>Freihaltung von Gewässern und Uferzonen</w:t>
      </w:r>
    </w:p>
    <w:p w:rsidR="001C22C8" w:rsidRDefault="001C22C8" w:rsidP="001C22C8">
      <w:pPr>
        <w:pStyle w:val="GesAbsatz"/>
      </w:pPr>
      <w:r>
        <w:t>Im Außenbereich dürfen gemäß § 61 Absatz 1 und 2 des Bundesnaturschutzgesetzes an Bundeswasse</w:t>
      </w:r>
      <w:r>
        <w:t>r</w:t>
      </w:r>
      <w:r>
        <w:t>straßen und Gewässern erster Ordnung sowie an stehenden Gewässern mit einer Größe von mehr als 1 Hektar im Abstand bis 50 Metern von der Uferlinie keine baulichen Anlagen errichtet oder wesentlich geä</w:t>
      </w:r>
      <w:r>
        <w:t>n</w:t>
      </w:r>
      <w:r>
        <w:t>dert werden, wobei die Entfernung grundsätzlich vom Mastfuß aus zu messen ist. Bei hinreichenden A</w:t>
      </w:r>
      <w:r>
        <w:t>n</w:t>
      </w:r>
      <w:r>
        <w:t>haltspunkten für eine Gefährdung von Tierarten ist in Abhängigkeit vom Einzelfall der Abstand bis zur Roto</w:t>
      </w:r>
      <w:r>
        <w:t>r</w:t>
      </w:r>
      <w:r>
        <w:t>blattspitze auszuweiten.</w:t>
      </w:r>
    </w:p>
    <w:p w:rsidR="001C22C8" w:rsidRDefault="001C22C8" w:rsidP="001C22C8">
      <w:pPr>
        <w:pStyle w:val="GesAbsatz"/>
      </w:pPr>
      <w:r>
        <w:t>Von diesem grundsätzlichen Bauverbot gibt es folgende Ausnahmen:</w:t>
      </w:r>
    </w:p>
    <w:p w:rsidR="001C22C8" w:rsidRDefault="001C22C8" w:rsidP="00D85046">
      <w:pPr>
        <w:pStyle w:val="GesAbsatz"/>
        <w:ind w:left="426" w:hanging="426"/>
      </w:pPr>
      <w:r>
        <w:t>–</w:t>
      </w:r>
      <w:r w:rsidR="00D85046">
        <w:tab/>
      </w:r>
      <w:r>
        <w:t>Das Bauverbot besteht nicht für Vorhaben, die den Festsetzungen eines Bebauungsplanes entspr</w:t>
      </w:r>
      <w:r>
        <w:t>e</w:t>
      </w:r>
      <w:r>
        <w:t>chen, der mit Zustimmung der unteren Landschaftsbehörde zustande gekommen ist (§ 61 BNatSchG, §</w:t>
      </w:r>
      <w:r w:rsidR="002D6219">
        <w:t> </w:t>
      </w:r>
      <w:r>
        <w:t>57 Absatz 2 Nummer 4 LG).</w:t>
      </w:r>
    </w:p>
    <w:p w:rsidR="001C22C8" w:rsidRDefault="001C22C8" w:rsidP="00D85046">
      <w:pPr>
        <w:pStyle w:val="GesAbsatz"/>
        <w:ind w:left="426" w:hanging="426"/>
      </w:pPr>
      <w:r>
        <w:t>–</w:t>
      </w:r>
      <w:r w:rsidR="00D85046">
        <w:tab/>
      </w:r>
      <w:r>
        <w:t>Das Bauverbot gilt ferner nicht in den Fällen des § 61 Absatz 2 des Bundesnaturschutzgesetzes und in den darüber hinaus gehenden Fällen des § 57 Absatz 2 des Landschaftsgesetzes.</w:t>
      </w:r>
    </w:p>
    <w:p w:rsidR="001C22C8" w:rsidRDefault="001C22C8" w:rsidP="001C22C8">
      <w:pPr>
        <w:pStyle w:val="GesAbsatz"/>
      </w:pPr>
      <w:r>
        <w:lastRenderedPageBreak/>
        <w:t>Von dem Verbot kann die höhere Landschaftsbehörde im Einzelfall auf Antrag eine Ausnahme zulassen (§</w:t>
      </w:r>
      <w:r w:rsidR="00D85046">
        <w:t> </w:t>
      </w:r>
      <w:r>
        <w:t>61 Absatz 3 BNatSchG, § 57 Absatz 3 LG).</w:t>
      </w:r>
    </w:p>
    <w:p w:rsidR="001C22C8" w:rsidRDefault="001C22C8" w:rsidP="001C22C8">
      <w:pPr>
        <w:pStyle w:val="GesAbsatz"/>
      </w:pPr>
      <w:r>
        <w:t>8.2.3</w:t>
      </w:r>
      <w:r w:rsidR="00D85046">
        <w:t xml:space="preserve"> </w:t>
      </w:r>
      <w:r>
        <w:t>Wasserwirtschaft</w:t>
      </w:r>
    </w:p>
    <w:p w:rsidR="001C22C8" w:rsidRDefault="001C22C8" w:rsidP="001C22C8">
      <w:pPr>
        <w:pStyle w:val="GesAbsatz"/>
      </w:pPr>
      <w:r>
        <w:t>8.2.3.1</w:t>
      </w:r>
      <w:r w:rsidR="00D85046">
        <w:t xml:space="preserve"> </w:t>
      </w:r>
      <w:r>
        <w:t>Bauverbote an Gewässern</w:t>
      </w:r>
    </w:p>
    <w:p w:rsidR="001C22C8" w:rsidRDefault="001C22C8" w:rsidP="001C22C8">
      <w:pPr>
        <w:pStyle w:val="GesAbsatz"/>
      </w:pPr>
      <w:r>
        <w:t>Bei den folgenden Vorgaben für Anlagen und damit Windenergieanlagen kommt es bei der Windenergiea</w:t>
      </w:r>
      <w:r>
        <w:t>n</w:t>
      </w:r>
      <w:r>
        <w:t>lage auf das Fundament und den Turm an und nicht auf die Rotorblätter.</w:t>
      </w:r>
    </w:p>
    <w:p w:rsidR="001C22C8" w:rsidRDefault="001C22C8" w:rsidP="001C22C8">
      <w:pPr>
        <w:pStyle w:val="GesAbsatz"/>
      </w:pPr>
      <w:r>
        <w:t>Es sind grundsätzlich zwei Fälle zu unterscheiden, in denen das Fachrecht zur Anwendung kommen kann:</w:t>
      </w:r>
    </w:p>
    <w:p w:rsidR="001C22C8" w:rsidRDefault="001C22C8" w:rsidP="001C22C8">
      <w:pPr>
        <w:pStyle w:val="GesAbsatz"/>
      </w:pPr>
      <w:r>
        <w:t>a)</w:t>
      </w:r>
      <w:r w:rsidR="00D85046">
        <w:tab/>
      </w:r>
      <w:r>
        <w:t>Planungsverfahren</w:t>
      </w:r>
    </w:p>
    <w:p w:rsidR="001C22C8" w:rsidRDefault="001C22C8" w:rsidP="001C22C8">
      <w:pPr>
        <w:pStyle w:val="GesAbsatz"/>
      </w:pPr>
      <w:r>
        <w:t>Bei der Bauleitplanung ist mit der zuständigen Wasserbehörde und dem Unterhaltungspflichtigen für das Gewässer abzustimmen, welche wasserwirtschaftlichen Erfordernisse im konkreten Fall vorliegen. Diese sind bei der Abwägung einzustellen. Im Grundsatz ist ein Abstand von mindestens 3 Meter zum Gewässer einzuhalten.</w:t>
      </w:r>
    </w:p>
    <w:p w:rsidR="001C22C8" w:rsidRDefault="001C22C8" w:rsidP="001C22C8">
      <w:pPr>
        <w:pStyle w:val="GesAbsatz"/>
      </w:pPr>
      <w:r>
        <w:t>b)</w:t>
      </w:r>
      <w:r w:rsidR="00D85046">
        <w:tab/>
      </w:r>
      <w:r>
        <w:t>Genehmigungsverfahren</w:t>
      </w:r>
    </w:p>
    <w:p w:rsidR="001C22C8" w:rsidRDefault="001C22C8" w:rsidP="001C22C8">
      <w:pPr>
        <w:pStyle w:val="GesAbsatz"/>
      </w:pPr>
      <w:r>
        <w:t>Anlagen in, an, über und unter Gewässern nach § 38 des Wasserhaushaltsgesetzes stehen nach § 99 des Landeswassergesetzes unter einem Zulassungsvorbehalt; die Zulassung darf nur erteilt werden, wenn keine schädlichen Gewässerveränderungen gemäß § 3 Nummer 10 des Wasserhaushaltsgesetzes zu erwarten sind und die Gewässerunterhaltung nicht mehr erschwert wird, als den Umständen nach unvermeidbar ist. Dabei ist zu beachten, dass die Anlage mit den Bewirtschaftungszielen für das Gewässer vereinbar sein muss (§ 99 LWG in Verbindung mit § 3 Nummer 10 WHG in Verbindung mit §§ 27 ff WHG).</w:t>
      </w:r>
    </w:p>
    <w:p w:rsidR="001C22C8" w:rsidRDefault="001C22C8" w:rsidP="001C22C8">
      <w:pPr>
        <w:pStyle w:val="GesAbsatz"/>
      </w:pPr>
      <w:r>
        <w:t>An fließenden Gewässern zweiter Ordnung und an sonstigen fließenden Gewässern darf nach § 97 Absatz 6 des Landeswassergesetzes zum Schutz der Gewässerunterhaltung eine Windenergieanlage innerhalb von 3 Metern von der Böschungsoberkante nur zugelassen werden, wenn ein Bebauungsplan dies vorsieht oder öffentliche Belange nicht entgegenstehen.</w:t>
      </w:r>
    </w:p>
    <w:p w:rsidR="001C22C8" w:rsidRDefault="001C22C8" w:rsidP="001C22C8">
      <w:pPr>
        <w:pStyle w:val="GesAbsatz"/>
      </w:pPr>
      <w:r>
        <w:t>8.2.3.2</w:t>
      </w:r>
      <w:r w:rsidR="00D85046">
        <w:t xml:space="preserve"> </w:t>
      </w:r>
      <w:r>
        <w:t>Wasserschutzgebiete</w:t>
      </w:r>
    </w:p>
    <w:p w:rsidR="001C22C8" w:rsidRDefault="001C22C8" w:rsidP="001C22C8">
      <w:pPr>
        <w:pStyle w:val="GesAbsatz"/>
      </w:pPr>
      <w:r>
        <w:t>Bei den folgenden Vorgaben für Windenergieanlagen kommt es bei der Windenergieanlage auf das Fund</w:t>
      </w:r>
      <w:r>
        <w:t>a</w:t>
      </w:r>
      <w:r>
        <w:t>ment und die Gondel an und nicht auf die Rotorblätter. Die Vorgaben für Wasserschutzgebiete (WSG) sind in den §§ 51, 52 des Wasserhaushaltsgesetzes, den §§ 14 und 16 des Landeswassergesetzes in Verbi</w:t>
      </w:r>
      <w:r>
        <w:t>n</w:t>
      </w:r>
      <w:r>
        <w:t>dung mit der jeweiligen Wasserschutzgebietsverordnung oder Anordnung nach § 52 Absatz 2 des Wasse</w:t>
      </w:r>
      <w:r>
        <w:t>r</w:t>
      </w:r>
      <w:r>
        <w:t>haushaltsgesetzes enthalten. Sie gelten für festgesetzte und für vorläufig gesicherte Wasserschutzgebiete. Bei sich in der Festsetzung befindlichen Wasserschutzgebietsverfahren, die nicht vorläufig gesichert sind, bei denen aber die Wasserversorgung bereits besteht oder absehbar ist, sind diese Vorgaben zwar nicht nach den oben genannten gesetzlichen Regelungen unmittelbar zu beachten. Die diesen Vorschriften z</w:t>
      </w:r>
      <w:r>
        <w:t>u</w:t>
      </w:r>
      <w:r>
        <w:t>grundeliegenden wasserwirtschaftlichen Überlegungen zum Schutz der Wasserversorgung gelten aber u</w:t>
      </w:r>
      <w:r>
        <w:t>n</w:t>
      </w:r>
      <w:r>
        <w:t>abhängig davon und sind von der Wasserbehörde in das Planungsverfahren einzubringen und von der Pl</w:t>
      </w:r>
      <w:r>
        <w:t>a</w:t>
      </w:r>
      <w:r>
        <w:t>nungsbehörde in ihre Erwägungen einzustellen. Dabei ist zu berücksichtigen, dass in Einzelfällen die Au</w:t>
      </w:r>
      <w:r>
        <w:t>s</w:t>
      </w:r>
      <w:r>
        <w:t>weisung des Schutzgebiets nicht mehr möglich sein dürfte (siehe z.B. VG Düsseldorf, Urt. v. 29.7.2004, – 4 K 2972/01). Die zuständige Wasserbehörde hat in diesen Fällen zu prüfen, ob sie nach § 52 Absatz 2 des Wasserhaushaltsgesetzes vorgeht und vorläufige Anordnungen zum Schutz der Wasserversorgung trifft.</w:t>
      </w:r>
    </w:p>
    <w:p w:rsidR="001C22C8" w:rsidRDefault="001C22C8" w:rsidP="001C22C8">
      <w:pPr>
        <w:pStyle w:val="GesAbsatz"/>
      </w:pPr>
      <w:r>
        <w:t>Wasserschutzgebiete werden, unabhängig ob es sich um eine Trinkwasserversorgung aus Grundwasser oder Oberflächengewässern handelt, auf dieser Grundlage in der sie begründenden Verordnung in der R</w:t>
      </w:r>
      <w:r>
        <w:t>e</w:t>
      </w:r>
      <w:r>
        <w:t>gel in drei Wasserschutzzonen (WSZ) eingeteilt:</w:t>
      </w:r>
    </w:p>
    <w:p w:rsidR="001C22C8" w:rsidRDefault="001C22C8" w:rsidP="00D85046">
      <w:pPr>
        <w:pStyle w:val="GesAbsatz"/>
        <w:ind w:left="426" w:hanging="426"/>
      </w:pPr>
      <w:r>
        <w:t>–</w:t>
      </w:r>
      <w:r w:rsidR="00D85046">
        <w:tab/>
      </w:r>
      <w:r>
        <w:t>Die Zone I ist die Zone unmittelbar um die Fassungsanlage. Sie hat den Schutz der Wassergewi</w:t>
      </w:r>
      <w:r>
        <w:t>n</w:t>
      </w:r>
      <w:r>
        <w:t>nungsanlage und ihrer unmittelbaren Umgebung vor jeglichen Verunreinigungen und Beeinträchtigu</w:t>
      </w:r>
      <w:r>
        <w:t>n</w:t>
      </w:r>
      <w:r>
        <w:t>gen zu gewährleisten. Daher sind jegliche Baumaßnahme abgesehen von den Anlagen zur Wasserfa</w:t>
      </w:r>
      <w:r>
        <w:t>s</w:t>
      </w:r>
      <w:r>
        <w:t>sung und -gewinnung sowie das Betreten (außer im Zusammenhang mit dem Betrieb der Wasserg</w:t>
      </w:r>
      <w:r>
        <w:t>e</w:t>
      </w:r>
      <w:r>
        <w:t>winnung) verboten.</w:t>
      </w:r>
    </w:p>
    <w:p w:rsidR="001C22C8" w:rsidRDefault="001C22C8" w:rsidP="00D85046">
      <w:pPr>
        <w:pStyle w:val="GesAbsatz"/>
        <w:ind w:left="426" w:hanging="426"/>
      </w:pPr>
      <w:r>
        <w:t>–</w:t>
      </w:r>
      <w:r w:rsidR="00D85046">
        <w:tab/>
      </w:r>
      <w:r>
        <w:t>Die Zone II hat den Schutz vor Verunreinigungen durch den Eintrag von pathogenen Keimen und a</w:t>
      </w:r>
      <w:r>
        <w:t>b</w:t>
      </w:r>
      <w:r>
        <w:t>baubaren Stoffen (sowie erst recht von persistenten Stoffen) sicherzustellen. Dementsprechend wird sie bemessen und durch Verbote und Maßnahmen geschützt. Bei den Verboten ist maßgeblich, dass der Fließweg innerhalb dieser Zone bis zum Erreichen des Brunnens für einen Rückhalt/Abbau der Kont</w:t>
      </w:r>
      <w:r>
        <w:t>a</w:t>
      </w:r>
      <w:r>
        <w:t>mination durch diese Stoffe nicht ausreichend ist und daher jede Besorgnis, dass diese Stoffe eingetr</w:t>
      </w:r>
      <w:r>
        <w:t>a</w:t>
      </w:r>
      <w:r>
        <w:t>gen werden, ausgeschlossen werden muss. Dementsprechend stellt nach den Richtlinien des Deu</w:t>
      </w:r>
      <w:r>
        <w:t>t</w:t>
      </w:r>
      <w:r>
        <w:t>schen Vereines des Fas- und Wasserfaches e.V. (Arbeitsblätter W101, W102) bereits die Errichtung gewerblicher Anlagen allgemeiner Art in Zone II in der Regel ein hohes und in der Regel nicht tolerie</w:t>
      </w:r>
      <w:r>
        <w:t>r</w:t>
      </w:r>
      <w:r>
        <w:t>bares Gefährdungspotenzial für das Trinkwasser dar und wird daher in Zone II vieler Schutzgebietsve</w:t>
      </w:r>
      <w:r>
        <w:t>r</w:t>
      </w:r>
      <w:r>
        <w:t>ordnungen allgemein verboten.</w:t>
      </w:r>
    </w:p>
    <w:p w:rsidR="001C22C8" w:rsidRDefault="001C22C8" w:rsidP="00D85046">
      <w:pPr>
        <w:pStyle w:val="GesAbsatz"/>
        <w:ind w:left="426" w:hanging="426"/>
      </w:pPr>
      <w:r>
        <w:lastRenderedPageBreak/>
        <w:t>–</w:t>
      </w:r>
      <w:r w:rsidR="00D85046">
        <w:tab/>
      </w:r>
      <w:r>
        <w:t>Die Zone III bietet Schutz vor schwer abbaubaren Verunreinigungen im großräumigen Umfeld der Wa</w:t>
      </w:r>
      <w:r>
        <w:t>s</w:t>
      </w:r>
      <w:r>
        <w:t>sergewinnungsanlage und soll in etwa das unterirdische Einzugsgebiet der Gewinnungsanlage erfa</w:t>
      </w:r>
      <w:r>
        <w:t>s</w:t>
      </w:r>
      <w:r>
        <w:t>sen. Zu baulichen Anlagen regeln die Verordnungen in der Regel in der Zone III Genehmigungspflic</w:t>
      </w:r>
      <w:r>
        <w:t>h</w:t>
      </w:r>
      <w:r>
        <w:t>ten.</w:t>
      </w:r>
    </w:p>
    <w:p w:rsidR="001C22C8" w:rsidRDefault="001C22C8" w:rsidP="001C22C8">
      <w:pPr>
        <w:pStyle w:val="GesAbsatz"/>
      </w:pPr>
      <w:r>
        <w:t>Bei Windenergieanlagen stellt vor allem das Fundament einen dauerhaften Eingriff in die Schutzfunktion der Deckschichten dar (Bodenverdichtung, präferentielle Fließwege, Versiegelung). Die Grundwasserneubi</w:t>
      </w:r>
      <w:r>
        <w:t>l</w:t>
      </w:r>
      <w:r>
        <w:t>dung, das heißt die Menge und Qualität des Sickerwassers und die Fließwege können abhängig von der Art und Größe des Fundaments dauerhaft beeinflusst werden.</w:t>
      </w:r>
    </w:p>
    <w:p w:rsidR="001C22C8" w:rsidRDefault="001C22C8" w:rsidP="001C22C8">
      <w:pPr>
        <w:pStyle w:val="GesAbsatz"/>
      </w:pPr>
      <w:r>
        <w:t>Auch die Errichtung, der Betrieb und der Rückbau haben Auswirkungen. So kann es beim Einbau zu dire</w:t>
      </w:r>
      <w:r>
        <w:t>k</w:t>
      </w:r>
      <w:r>
        <w:t>ten Stoffeinträgen von wassergefährdenden Stoffen aus der Baustelle selbst, sowie zu Trübung und erhö</w:t>
      </w:r>
      <w:r>
        <w:t>h</w:t>
      </w:r>
      <w:r>
        <w:t>tem Eintragsrisiko für Keim- und Schadstoffbelastungen infolge der Baugrubenöffnung und -verfüllung ko</w:t>
      </w:r>
      <w:r>
        <w:t>m</w:t>
      </w:r>
      <w:r>
        <w:t>men. Außerdem wird der Boden durch Wege und die schweren Baufahrzeuge verdichtet und seine Schut</w:t>
      </w:r>
      <w:r>
        <w:t>z</w:t>
      </w:r>
      <w:r>
        <w:t>funktion beschädigt.</w:t>
      </w:r>
    </w:p>
    <w:p w:rsidR="001C22C8" w:rsidRDefault="001C22C8" w:rsidP="001C22C8">
      <w:pPr>
        <w:pStyle w:val="GesAbsatz"/>
      </w:pPr>
      <w:r>
        <w:t>Beim Betrieb der Anlage kann es zur dauerhaften Auslaugung und Freisetzung von Stoffen aus den ober- und unterirdischen Anlagenteilen (Maschinenöle, Hydraulikflüssigkeiten, Biozide, Korrosionsschutzmittel; Beschichtungsmittel) kommen.</w:t>
      </w:r>
    </w:p>
    <w:p w:rsidR="001C22C8" w:rsidRDefault="001C22C8" w:rsidP="001C22C8">
      <w:pPr>
        <w:pStyle w:val="GesAbsatz"/>
      </w:pPr>
      <w:r>
        <w:t>Es sind grundsätzlich zwei Fälle zu unterscheiden, in denen das Fachrecht zur Anwendung kommen kann:</w:t>
      </w:r>
    </w:p>
    <w:p w:rsidR="001C22C8" w:rsidRDefault="001C22C8" w:rsidP="001C22C8">
      <w:pPr>
        <w:pStyle w:val="GesAbsatz"/>
      </w:pPr>
      <w:r>
        <w:t>a)</w:t>
      </w:r>
      <w:r w:rsidR="00E3754C">
        <w:tab/>
      </w:r>
      <w:r>
        <w:t>Planungsverfahren</w:t>
      </w:r>
    </w:p>
    <w:p w:rsidR="001C22C8" w:rsidRDefault="001C22C8" w:rsidP="001C22C8">
      <w:pPr>
        <w:pStyle w:val="GesAbsatz"/>
      </w:pPr>
      <w:r>
        <w:t>Die Flächen in den Wasserschutzzonen I und II sind im Sinn der baurechtlichen Rechtsprechung schlechthin ungeeignet für Windenergieanlagen und daher harte Tabuzonen. Die Kommune beteiligt bei der Aufstellung der Bauleitpläne die Untere Wasserbehörde und erfragt, ob diese in dem konkreten Wasserschutzgebiet in Anbetracht der konkreten Verhältnisse entgegen der Vermutung in der Verordnung (Verbot) relevante B</w:t>
      </w:r>
      <w:r>
        <w:t>e</w:t>
      </w:r>
      <w:r>
        <w:t>freiungsmöglichkeiten sieht. Hier sind neben den konkreten Regelungen in der Schutzgebietsverordnung §</w:t>
      </w:r>
      <w:r w:rsidR="00E3754C">
        <w:t> </w:t>
      </w:r>
      <w:r>
        <w:t>52 Absatz 1 Satz 2 und 3 des Wasserhaushaltsgesetzes einschlägig. Überwiegende Gründe des Wohls der Allgemeinheit liegen nicht allein deshalb vor, weil eine Windenergieanlage regenerativen Strom erzeugt. Bei der Prüfung, ob eine Befreiung erteilt werden kann, sind wegen der überragenden Bedeutung des Grundwassers zur Sicherstellung der öffentlichen Trinkwasserversorgung strenge Maßstäbe anzulegen.</w:t>
      </w:r>
    </w:p>
    <w:p w:rsidR="001C22C8" w:rsidRDefault="001C22C8" w:rsidP="001C22C8">
      <w:pPr>
        <w:pStyle w:val="GesAbsatz"/>
      </w:pPr>
      <w:r>
        <w:t>Im Regelfall wird eine Befreiung nur möglich sein, wenn der Schutzzweck der Verordnung nicht gefährdet ist. Erforderlich ist hierfür stets, dass bei dem beabsichtigten Standort die (hydro-)geologischen Verhältnisse im Einzelfall gegenüber den für die Abgrenzung und Festsetzung allgemein festgestellten (hydro-)geologischen Verhältnissen so abweichen, dass die Schutz- und Reinigungsfunktion der Deckschichten und wasserfü</w:t>
      </w:r>
      <w:r>
        <w:t>h</w:t>
      </w:r>
      <w:r>
        <w:t>renden Schichten trotz der Durchführung der Baumaßnahme gewahrt bleibt. Eine solche Befreiung könnte gegebenenfalls in Einzelfällen in Betracht kommen, wenn an geplanten Standorten von Anlagen innerhalb der Zone II günstigere (hydro-)geologische Verhältnisse vorliegen, die zu einer geringeren Gefährdung der Wassergewinnung führen oder bei atypischen Anlagen. Diese Voraussetzungen werden nur äußerst selten vorliegen. Bei der in Aussichtstellung einer Befreiung hat die zuständige Wasserbehörde zu prüfen, wie die Wasserversorgung weiterhin sichergestellt wird. Im Grundsatz muss die Einzelfallprüfung vorweg genommen werden.</w:t>
      </w:r>
    </w:p>
    <w:p w:rsidR="001C22C8" w:rsidRDefault="001C22C8" w:rsidP="001C22C8">
      <w:pPr>
        <w:pStyle w:val="GesAbsatz"/>
      </w:pPr>
      <w:r>
        <w:t>Die Wasserschutzzone III ist nicht als harte Tabuzone einzuordnen.</w:t>
      </w:r>
    </w:p>
    <w:p w:rsidR="001C22C8" w:rsidRDefault="001C22C8" w:rsidP="001C22C8">
      <w:pPr>
        <w:pStyle w:val="GesAbsatz"/>
      </w:pPr>
      <w:r>
        <w:t>Sofern bei Heilquellenschutzgebieten qualitative Schutzzonen festgesetzt worden sind, gilt in diesen das gleiche wie für die Schutzzonen I bis III der Wasserschutzgebiete. Sofern quantitative Schutzzonen festg</w:t>
      </w:r>
      <w:r>
        <w:t>e</w:t>
      </w:r>
      <w:r>
        <w:t>setzt worden sind, sind in der Regel in der Schutzzone A (Innere Zone) Eingriffe in den Untergrund von mehr als 5 Meter Tiefe zumindest der Genehmigungspflicht unterworfen. Die Heilquellen-Schutzzonen des qualit</w:t>
      </w:r>
      <w:r>
        <w:t>a</w:t>
      </w:r>
      <w:r>
        <w:t>tiven und quantitativen Schutzes können sich teilweise oder ganz überlagern.</w:t>
      </w:r>
    </w:p>
    <w:p w:rsidR="001C22C8" w:rsidRDefault="001C22C8" w:rsidP="001C22C8">
      <w:pPr>
        <w:pStyle w:val="GesAbsatz"/>
      </w:pPr>
      <w:r>
        <w:t>b)</w:t>
      </w:r>
      <w:r w:rsidR="00E3754C">
        <w:tab/>
      </w:r>
      <w:r>
        <w:t>Genehmigungsverfahren</w:t>
      </w:r>
    </w:p>
    <w:p w:rsidR="001C22C8" w:rsidRDefault="001C22C8" w:rsidP="001C22C8">
      <w:pPr>
        <w:pStyle w:val="GesAbsatz"/>
      </w:pPr>
      <w:r>
        <w:t>Jede Wasserschutzgebiet-Verordnung enthält eine Regelung zur Befreiung von den Verboten in den Zonen I und II, die in § 52 Absatz 1 Satz 2 und 3 des Wasserhaushaltsgesetzes vorgegeben ist. Im Regelfall ist j</w:t>
      </w:r>
      <w:r>
        <w:t>e</w:t>
      </w:r>
      <w:r>
        <w:t>doch davon auszugehen, dass eine solche Befreiung nicht erteilt werden kann.</w:t>
      </w:r>
    </w:p>
    <w:p w:rsidR="001C22C8" w:rsidRDefault="001C22C8" w:rsidP="001C22C8">
      <w:pPr>
        <w:pStyle w:val="GesAbsatz"/>
      </w:pPr>
      <w:r>
        <w:t>8.2.3.3</w:t>
      </w:r>
      <w:r w:rsidR="00E3754C">
        <w:t xml:space="preserve"> </w:t>
      </w:r>
      <w:r>
        <w:t>Überschwemmungsgebiete</w:t>
      </w:r>
    </w:p>
    <w:p w:rsidR="001C22C8" w:rsidRDefault="001C22C8" w:rsidP="001C22C8">
      <w:pPr>
        <w:pStyle w:val="GesAbsatz"/>
      </w:pPr>
      <w:r>
        <w:t>Bei den folgenden Vorgaben für Anlagen und damit Windenergieanlagen kommt es bei der Windenergiea</w:t>
      </w:r>
      <w:r>
        <w:t>n</w:t>
      </w:r>
      <w:r>
        <w:t>lage auf das Fundament und den Turm an und nicht auf die Rotorblätter. Es sind grundsätzlich zwei Fälle zu unterscheiden, in denen das Fachrecht zur Anwendung kommen kann:</w:t>
      </w:r>
    </w:p>
    <w:p w:rsidR="001C22C8" w:rsidRDefault="001C22C8" w:rsidP="001C22C8">
      <w:pPr>
        <w:pStyle w:val="GesAbsatz"/>
      </w:pPr>
      <w:r>
        <w:t>a)</w:t>
      </w:r>
      <w:r w:rsidR="00E3754C">
        <w:tab/>
      </w:r>
      <w:r>
        <w:t>Planungsverfahren</w:t>
      </w:r>
    </w:p>
    <w:p w:rsidR="001C22C8" w:rsidRDefault="001C22C8" w:rsidP="001C22C8">
      <w:pPr>
        <w:pStyle w:val="GesAbsatz"/>
      </w:pPr>
      <w:r>
        <w:t xml:space="preserve">Da es sich bei einer im Flächennutzungsplan dargestellten Konzentrationszone nicht um eine Baugebiet handelt, ist § 78 Absatz 1 Nummer 1 des Wasserhaushaltsgesetzes nicht einschlägig, wonach in nach § 76 </w:t>
      </w:r>
      <w:r>
        <w:lastRenderedPageBreak/>
        <w:t>Absatz 2 des Wasserhaushaltsgesetzes festgesetzten oder nach § 76 Absatz 3 des Wasserhaushaltsgese</w:t>
      </w:r>
      <w:r>
        <w:t>t</w:t>
      </w:r>
      <w:r>
        <w:t>zes gesicherten Überschwemmungsgebieten (ÜSG) eine Ausweisung von neuen Baugebieten verboten ist.</w:t>
      </w:r>
    </w:p>
    <w:p w:rsidR="001C22C8" w:rsidRDefault="001C22C8" w:rsidP="001C22C8">
      <w:pPr>
        <w:pStyle w:val="GesAbsatz"/>
      </w:pPr>
      <w:r>
        <w:t>Die Anforderungen an die Zulassung einzelner Windenergieanlagen führen nur in Einzelfällen dazu, dass eine Genehmigung nicht erteilt werden kann (siehe unten b)), so zum Beispiel in Abflussbereichen des Überschwemmungsgebietes in der Nähe von Bebauung. Die Überschwemmungsgebiete sind aus diesen Gründen keine harten Tabuzonen.</w:t>
      </w:r>
    </w:p>
    <w:p w:rsidR="001C22C8" w:rsidRDefault="001C22C8" w:rsidP="001C22C8">
      <w:pPr>
        <w:pStyle w:val="GesAbsatz"/>
      </w:pPr>
      <w:r>
        <w:t>b)</w:t>
      </w:r>
      <w:r w:rsidR="00E3754C">
        <w:tab/>
      </w:r>
      <w:r>
        <w:t>Genehmigungsverfahren</w:t>
      </w:r>
    </w:p>
    <w:p w:rsidR="001C22C8" w:rsidRDefault="001C22C8" w:rsidP="001C22C8">
      <w:pPr>
        <w:pStyle w:val="GesAbsatz"/>
      </w:pPr>
      <w:r>
        <w:t>In nach § 76 Absatz 2 des Wasserhaushaltsgesetzes festgesetzten oder nach § 76 Absatz 3 des Wasse</w:t>
      </w:r>
      <w:r>
        <w:t>r</w:t>
      </w:r>
      <w:r>
        <w:t>haushaltsgesetzes gesicherten Überschwemmungsgebiete ist unabhängig von baurechtlichen Vorausse</w:t>
      </w:r>
      <w:r>
        <w:t>t</w:t>
      </w:r>
      <w:r>
        <w:t>zungen nach § 78 Absatz 1 Nummer 2 des Wasserhaushaltsgesetzes die Errichtung von baulichen Anlagen verboten. Eine Genehmigung kann nach § 78 Absatz 3 des Wasserhaushaltsgesetzes erteilt werden, wenn im Einzelfall das Vorhaben</w:t>
      </w:r>
    </w:p>
    <w:p w:rsidR="001C22C8" w:rsidRDefault="001C22C8" w:rsidP="00E3754C">
      <w:pPr>
        <w:pStyle w:val="GesAbsatz"/>
        <w:ind w:left="426" w:hanging="426"/>
      </w:pPr>
      <w:r>
        <w:t>–</w:t>
      </w:r>
      <w:r w:rsidR="00E3754C">
        <w:tab/>
      </w:r>
      <w:r>
        <w:t>die Hochwasserrückhaltung nicht oder nur unwesentlich beeinträchtigt und der Verlust von verloren gehendem Rückhalteraum zeitgleich ausgeglichen wird;</w:t>
      </w:r>
    </w:p>
    <w:p w:rsidR="001C22C8" w:rsidRDefault="001C22C8" w:rsidP="001C22C8">
      <w:pPr>
        <w:pStyle w:val="GesAbsatz"/>
      </w:pPr>
      <w:r>
        <w:t>–</w:t>
      </w:r>
      <w:r w:rsidR="00E3754C">
        <w:tab/>
      </w:r>
      <w:r>
        <w:t>den Wasserstand und den Abfluss bei Hochwasser nicht nachteilig verändert;</w:t>
      </w:r>
    </w:p>
    <w:p w:rsidR="001C22C8" w:rsidRDefault="001C22C8" w:rsidP="001C22C8">
      <w:pPr>
        <w:pStyle w:val="GesAbsatz"/>
      </w:pPr>
      <w:r>
        <w:t>–</w:t>
      </w:r>
      <w:r w:rsidR="00E3754C">
        <w:tab/>
      </w:r>
      <w:r>
        <w:t>den bestehenden Hochwasserschutz nicht beeinträchtigt und</w:t>
      </w:r>
    </w:p>
    <w:p w:rsidR="001C22C8" w:rsidRDefault="001C22C8" w:rsidP="001C22C8">
      <w:pPr>
        <w:pStyle w:val="GesAbsatz"/>
      </w:pPr>
      <w:r>
        <w:t>–</w:t>
      </w:r>
      <w:r w:rsidR="00E3754C">
        <w:tab/>
      </w:r>
      <w:r>
        <w:t>hochwasserangepasst ausgeführt wird;</w:t>
      </w:r>
    </w:p>
    <w:p w:rsidR="001C22C8" w:rsidRDefault="001C22C8" w:rsidP="001C22C8">
      <w:pPr>
        <w:pStyle w:val="GesAbsatz"/>
      </w:pPr>
      <w:r>
        <w:t>oder wenn die nachteiligen Auswirkungen durch Nebenbestimmungen ausgeglichen werden können. Die Voraussetzungen für eine Genehmigung werden nur in Ausnahmefällen nicht vorliegen.</w:t>
      </w:r>
    </w:p>
    <w:p w:rsidR="001C22C8" w:rsidRDefault="001C22C8" w:rsidP="001C22C8">
      <w:pPr>
        <w:pStyle w:val="GesAbsatz"/>
      </w:pPr>
      <w:r>
        <w:t>8.2.3.4</w:t>
      </w:r>
      <w:r w:rsidR="00E3754C">
        <w:t xml:space="preserve"> </w:t>
      </w:r>
      <w:r>
        <w:t>Hochwasserschutzanlagen</w:t>
      </w:r>
    </w:p>
    <w:p w:rsidR="001C22C8" w:rsidRDefault="001C22C8" w:rsidP="001C22C8">
      <w:pPr>
        <w:pStyle w:val="GesAbsatz"/>
      </w:pPr>
      <w:r>
        <w:t>Bei den folgenden Vorgaben für Anlagen und damit Windenergieanlagen kommt es bei der Windenergiea</w:t>
      </w:r>
      <w:r>
        <w:t>n</w:t>
      </w:r>
      <w:r>
        <w:t>lage auf das Fundament und den Turm an und nicht auf die Rotorblätter.</w:t>
      </w:r>
    </w:p>
    <w:p w:rsidR="001C22C8" w:rsidRDefault="001C22C8" w:rsidP="001C22C8">
      <w:pPr>
        <w:pStyle w:val="GesAbsatz"/>
      </w:pPr>
      <w:r>
        <w:t>Hochwasserschutzanlagen wie Deiche sind durch die Regelungen des § 111a des Landeswassergesetzes und insbesondere am Rhein durch Verordnungen nach § 111a Absatz 3 geschützt, die weitergehende A</w:t>
      </w:r>
      <w:r>
        <w:t>n</w:t>
      </w:r>
      <w:r>
        <w:t>forderungen enthalten können. Nach § 111a Absatz 1 Nummer 1 des Landeswassergesetzes ist es auf dem Deich und in einer Schutzzone von beidseitig 4 Metern vom Deichfuß unter anderem verboten, die Erdobe</w:t>
      </w:r>
      <w:r>
        <w:t>r</w:t>
      </w:r>
      <w:r>
        <w:t>fläche zu vertiefen und Anlagen zu errichten. Bei anderen Hochwasserschutzanlagen ist insoweit eine G</w:t>
      </w:r>
      <w:r>
        <w:t>e</w:t>
      </w:r>
      <w:r>
        <w:t>nehmigungspflicht geregelt (§ 111a Absatz 1 Satz 3, 4 LWG). Im Übrigen sind die jeweiligen Deichschut</w:t>
      </w:r>
      <w:r>
        <w:t>z</w:t>
      </w:r>
      <w:r>
        <w:t>verordnungen zu beachten.</w:t>
      </w:r>
    </w:p>
    <w:p w:rsidR="001C22C8" w:rsidRPr="00650908" w:rsidRDefault="001C22C8" w:rsidP="001C22C8">
      <w:pPr>
        <w:pStyle w:val="GesAbsatz"/>
        <w:rPr>
          <w:b/>
        </w:rPr>
      </w:pPr>
      <w:r w:rsidRPr="00650908">
        <w:rPr>
          <w:b/>
        </w:rPr>
        <w:t>8.2.4</w:t>
      </w:r>
      <w:r w:rsidR="00E3754C" w:rsidRPr="00650908">
        <w:rPr>
          <w:b/>
        </w:rPr>
        <w:t xml:space="preserve"> </w:t>
      </w:r>
      <w:r w:rsidRPr="00650908">
        <w:rPr>
          <w:b/>
        </w:rPr>
        <w:t>Denkmalschutz</w:t>
      </w:r>
    </w:p>
    <w:p w:rsidR="001C22C8" w:rsidRDefault="001C22C8" w:rsidP="001C22C8">
      <w:pPr>
        <w:pStyle w:val="GesAbsatz"/>
      </w:pPr>
      <w:r>
        <w:t>Die denkmalrechtliche Beurteilung der Genehmigungsfähigkeit von Windenergieanlagen erfolgt auf der Grundlage des Denkmalschutzgesetzes (DSchG). Nach § 9 Absatz 1 des Denkmalschutzgesetzes ist die Errichtung von Windenergieanlagen auf einem Bodendenkmal, in einem Denkmalbereich und, wenn hie</w:t>
      </w:r>
      <w:r>
        <w:t>r</w:t>
      </w:r>
      <w:r>
        <w:t>durch das Erscheinungsbild des Denkmals beeinträchtigt wird, in der engeren Umgebung von Baudenkm</w:t>
      </w:r>
      <w:r>
        <w:t>ä</w:t>
      </w:r>
      <w:r>
        <w:t>lern und ortsfesten Bodendenkmälern erlaubnispflichtig. Ob ein Bauvorhaben sich „in der engeren Umg</w:t>
      </w:r>
      <w:r>
        <w:t>e</w:t>
      </w:r>
      <w:r>
        <w:t>bung“ eines Baudenkmals oder eines ortsfesten Bodendenkmals befindet und ob durch das Bauvorhaben das Erscheinungsbild des Denkmals beeinträchtigt wird, hängt unter anderem ab von Art, Standort und B</w:t>
      </w:r>
      <w:r>
        <w:t>e</w:t>
      </w:r>
      <w:r>
        <w:t>deutung des Denkmals einerseits und des geplanten Vorhabens andererseits. Die Erlaubnis der Unteren Denkmalbehörde ergeht im Benehmen mit dem Amt für Denkmalpflege oder Bodendenkmalpflege beim Landschaftsverband (§ 21 DSchG; vgl. Sonderregelung für das Stadtgebiet Köln gemäß § 22 Absatz 5 DSchG).</w:t>
      </w:r>
    </w:p>
    <w:p w:rsidR="001C22C8" w:rsidRDefault="001C22C8" w:rsidP="001C22C8">
      <w:pPr>
        <w:pStyle w:val="GesAbsatz"/>
      </w:pPr>
      <w:r>
        <w:t>Die Erlaubnis ist zu erteilen, wenn Gründe des Denkmalschutzes nicht entgegenstehen oder ein überwi</w:t>
      </w:r>
      <w:r>
        <w:t>e</w:t>
      </w:r>
      <w:r>
        <w:t>gendes öffentliches Interesse die Maßnahme verlangt (§ 9 Absatz 2 DSchG). Gründe des Denkmalschutzes stehen einem Vorhaben entgegen, wenn es Belange des Denkmalschutzes mehr als geringfügig beeinträc</w:t>
      </w:r>
      <w:r>
        <w:t>h</w:t>
      </w:r>
      <w:r>
        <w:t>tigt. Ob und inwiefern Gründe des Denkmalschutzes der Errichtung von Windenergieanlagen entgegenst</w:t>
      </w:r>
      <w:r>
        <w:t>e</w:t>
      </w:r>
      <w:r>
        <w:t>hen, ist stets aus den Besonderheiten des zur Entscheidung anstehenden konkreten Falles abzuleiten (OVG NRW, Urt. v. 27.6.2000 – 8 A 4631/97, vgl. auch OVG NRW, Beschl. v. 12.2.2013 – 8 A 96/12). Zu mögl</w:t>
      </w:r>
      <w:r>
        <w:t>i</w:t>
      </w:r>
      <w:r>
        <w:t xml:space="preserve">chen Merkmalen und Kriterien der Prüfung wird auf </w:t>
      </w:r>
      <w:proofErr w:type="spellStart"/>
      <w:r>
        <w:t>BayVGH</w:t>
      </w:r>
      <w:proofErr w:type="spellEnd"/>
      <w:r>
        <w:t>, Urt. v. 18.7.2013 – 22 B 12.1741- verwiesen. Maßgeblich bei der Beurteilung ist dabei die Perspektive eines fachkundigen Betrachters, der mit dem jewe</w:t>
      </w:r>
      <w:r>
        <w:t>i</w:t>
      </w:r>
      <w:r>
        <w:t>ligen Denkmal oder Denkmalbereich und deren charakteristischen Merkmalen vertraut ist. Voraussetzung für die Erteilung einer Erlaubnis nach § 9 Absatz 2 Buchstabe b des Denkmalschutzgesetzes ist, dass für die Durchführung der Maßnahme öffentliche Interessen sprechen, die gewichtiger sind als die Belange des Denkmalschutzes (OVG NRW, Urt. v. 18.5.1984 – 11 A 1776/83). Weiterhin muss geprüft werden, ob zur Verwirklichung dieser öffentlichen Interessen keine weniger denkmalbeeinträchtigenden Alternativen möglich sind (Alternativenprüfung).</w:t>
      </w:r>
    </w:p>
    <w:p w:rsidR="001C22C8" w:rsidRDefault="001C22C8" w:rsidP="001C22C8">
      <w:pPr>
        <w:pStyle w:val="GesAbsatz"/>
      </w:pPr>
      <w:r>
        <w:t>Es sind grundsätzlich zwei Fälle zu unterscheiden, in denen das Fachrecht zur Anwendung kommen kann:</w:t>
      </w:r>
    </w:p>
    <w:p w:rsidR="001C22C8" w:rsidRDefault="001C22C8" w:rsidP="001C22C8">
      <w:pPr>
        <w:pStyle w:val="GesAbsatz"/>
      </w:pPr>
      <w:r>
        <w:lastRenderedPageBreak/>
        <w:t>a)</w:t>
      </w:r>
      <w:r w:rsidR="00E3754C">
        <w:tab/>
      </w:r>
      <w:r>
        <w:t>Planungsverfahren</w:t>
      </w:r>
    </w:p>
    <w:p w:rsidR="001C22C8" w:rsidRDefault="001C22C8" w:rsidP="001C22C8">
      <w:pPr>
        <w:pStyle w:val="GesAbsatz"/>
      </w:pPr>
      <w:r>
        <w:t>Die Gemeinde beabsichtigt in ihrem Flächennutzungsplan Konzentrationszonen mit der Wirkung des § 35 Absatz 3 Satz 3 des Baugesetzbuches darzustellen. Die Voraussetzungen von § 35 Absatz 3 Satz 3 des Baugesetzbuches liegen nur vor, wenn die Gemeinde auf der Grundlage einer Untersuchung des gesamten Plangebietes ein schlüssiges Plankonzept für die Ausweisung von Konzentrationszonen erarbeitet hat. Hie</w:t>
      </w:r>
      <w:r>
        <w:t>r</w:t>
      </w:r>
      <w:r>
        <w:t>zu müssen alle abwägungserheblichen Belange vollständig ermittelt und gerecht gegeneinander und unte</w:t>
      </w:r>
      <w:r>
        <w:t>r</w:t>
      </w:r>
      <w:r>
        <w:t>einander gemäß § 1 Absatz 7 des Baugesetzbuches abgewogen werden (siehe Nummer 4.3.1). Zu diesen Belangen zählen auch gemäß § 1 Absatz 6 Nummer 5 des Baugesetzbuches die Belange des Denkma</w:t>
      </w:r>
      <w:r>
        <w:t>l</w:t>
      </w:r>
      <w:r>
        <w:t>schutzes und der Denkmalpflege, wie sie insbesondere als „bedeutsame Kulturlandschaftsbereiche“, „b</w:t>
      </w:r>
      <w:r>
        <w:t>e</w:t>
      </w:r>
      <w:r>
        <w:t>deutsame Orte“ und „Sichtbeziehungen“ mit ihren Elementen und Strukturen in den kulturlandschaftlichen Fachbeiträgen zu den Regionalplänen ausgewiesen sind. Gemäß § 1 Absatz 3 des Denkmalschutzgesetzes sind bei öffentlichen Planungen und Maßnahmen die Belange des Denkmalschutzes und der Denkmalpflege angemessen zu berücksichtigen. Die für den Denkmalschutz und die Denkmalpflege zuständigen Behörden (dazu gehören als Träger öffentlicher Belange auch die Ämter für Denkmalpflege und Bodendenkmalpflege bei den Landschaftsverbänden und der Stadt Köln) sind frühzeitig einzuschalten. Aus der Stellungnahme gegenüber dem Planungsträger soll sich ergeben, ob Belange des Denkmalschutzes der Planung entgege</w:t>
      </w:r>
      <w:r>
        <w:t>n</w:t>
      </w:r>
      <w:r>
        <w:t>stehen und ob dies voraussichtlich zur Versagung von Erlaubnissen für Windenergieanlagen in der gepla</w:t>
      </w:r>
      <w:r>
        <w:t>n</w:t>
      </w:r>
      <w:r>
        <w:t>ten Konzentrationszone führen wird. Die Aussagen sollen bezogen auf Teilflächen, bestimmte Anlage</w:t>
      </w:r>
      <w:r>
        <w:t>n</w:t>
      </w:r>
      <w:r>
        <w:t>standorte oder Anlagenhöhen differenziert werden. Eine Vorgehensweise für die sachgerechte Ermittlung der Belange des Denkmalschutzes ist in der Handreichung „Kulturgüter in der Planung“, UVP-Gesellschaft e.V. (Hrsg.), Hamm 2008, dargestellt.</w:t>
      </w:r>
    </w:p>
    <w:p w:rsidR="001C22C8" w:rsidRDefault="001C22C8" w:rsidP="001C22C8">
      <w:pPr>
        <w:pStyle w:val="GesAbsatz"/>
      </w:pPr>
      <w:r>
        <w:t>b)</w:t>
      </w:r>
      <w:r w:rsidR="00E3754C">
        <w:tab/>
      </w:r>
      <w:r>
        <w:t>Genehmigungsverfahren</w:t>
      </w:r>
    </w:p>
    <w:p w:rsidR="001C22C8" w:rsidRDefault="001C22C8" w:rsidP="001C22C8">
      <w:pPr>
        <w:pStyle w:val="GesAbsatz"/>
      </w:pPr>
      <w:r>
        <w:t>Wenn eine denkmalrechtliche Erlaubnis gemäß § 9 Absatz 3 Satz 2 des Denkmalschutzgesetzes in der G</w:t>
      </w:r>
      <w:r>
        <w:t>e</w:t>
      </w:r>
      <w:r>
        <w:t>nehmigung nach dem Bundes-Immissionsschutzgesetz oder der Landesbauordnung konzentriert wird, h</w:t>
      </w:r>
      <w:r>
        <w:t>a</w:t>
      </w:r>
      <w:r>
        <w:t>ben die für die Genehmigung zuständigen Behörden die Belange des Denkmalschutzes und der Denkma</w:t>
      </w:r>
      <w:r>
        <w:t>l</w:t>
      </w:r>
      <w:r>
        <w:t>pflege entsprechend dem Denkmalschutzgesetz in angemessener Weise zu berücksichtigen (§ 9 Absatz 3 Satz 1 DSchG). Der Denkmalschutz hat den gleichen Stellenwert und die gleiche Bedeutung wie bei einem gesonderten denkmalschutzrechtlichen Verfahren (OVG NRW, Urt. v. 18.5.1984 – 11 A 1776/83).</w:t>
      </w:r>
    </w:p>
    <w:p w:rsidR="001C22C8" w:rsidRDefault="001C22C8" w:rsidP="001C22C8">
      <w:pPr>
        <w:pStyle w:val="GesAbsatz"/>
      </w:pPr>
      <w:r>
        <w:t>Im Rahmen der Genehmigung sind die Tatbestandsvoraussetzungen für die Erteilung einer denkmalrechtl</w:t>
      </w:r>
      <w:r>
        <w:t>i</w:t>
      </w:r>
      <w:r>
        <w:t>chen Erlaubnis einzelfallbezogen nach den Maßstäben des § 9 Absatz 2 des Denkmalschutzgesetzes zu prüfen. Neben dem denkmalrechtlichen Umgebungsschutz (§ 9 Absatz 1b DSchG) stellt dabei das denkma</w:t>
      </w:r>
      <w:r>
        <w:t>l</w:t>
      </w:r>
      <w:r>
        <w:t>rechtliche Nutzungsgebot (§ 1 Absatz 1 Satz 1, § 8 Absatz 1 DSchG) einen für die nachvollziehende Abw</w:t>
      </w:r>
      <w:r>
        <w:t>ä</w:t>
      </w:r>
      <w:r>
        <w:t>gung relevanten denkmalrechtlichen Belang dar (vgl. VG Gelsenkirchen, Urt. v. 3.11.1999 – 10 K 1131/97).</w:t>
      </w:r>
    </w:p>
    <w:p w:rsidR="001C22C8" w:rsidRPr="00650908" w:rsidRDefault="001C22C8" w:rsidP="001C22C8">
      <w:pPr>
        <w:pStyle w:val="GesAbsatz"/>
        <w:rPr>
          <w:b/>
        </w:rPr>
      </w:pPr>
      <w:r w:rsidRPr="00650908">
        <w:rPr>
          <w:b/>
        </w:rPr>
        <w:t>8.2.5</w:t>
      </w:r>
      <w:r w:rsidR="00E3754C" w:rsidRPr="00650908">
        <w:rPr>
          <w:b/>
        </w:rPr>
        <w:t xml:space="preserve"> </w:t>
      </w:r>
      <w:r w:rsidRPr="00650908">
        <w:rPr>
          <w:b/>
        </w:rPr>
        <w:t>Straßenrecht</w:t>
      </w:r>
    </w:p>
    <w:p w:rsidR="001C22C8" w:rsidRDefault="001C22C8" w:rsidP="001C22C8">
      <w:pPr>
        <w:pStyle w:val="GesAbsatz"/>
      </w:pPr>
      <w:r>
        <w:t>Gemäß § 9 Absatz 1 des Bundesfernstraßengesetzes (FStrG) dürfen längs der Bundesfernstraßen nicht errichtet werden (Anbauverbote)</w:t>
      </w:r>
    </w:p>
    <w:p w:rsidR="001C22C8" w:rsidRDefault="001C22C8" w:rsidP="00E3754C">
      <w:pPr>
        <w:pStyle w:val="GesAbsatz"/>
        <w:ind w:left="426" w:hanging="426"/>
      </w:pPr>
      <w:r>
        <w:t>1.</w:t>
      </w:r>
      <w:r w:rsidR="00E3754C">
        <w:tab/>
      </w:r>
      <w:r>
        <w:t>Hochbauten jeder Art in einer Entfernung bis zu 40 Metern bei Bundesautobahnen und bis zu 20 Metern bei Bundesstraßen außerhalb der zur Erschließung der anliegenden Grundstücke bestimmten Teile der Ortsdurchfahrten, jeweils gemessen vom äußeren Rand der befestigten Fahrbahn,</w:t>
      </w:r>
    </w:p>
    <w:p w:rsidR="001C22C8" w:rsidRDefault="001C22C8" w:rsidP="00E3754C">
      <w:pPr>
        <w:pStyle w:val="GesAbsatz"/>
        <w:ind w:left="426" w:hanging="426"/>
      </w:pPr>
      <w:r>
        <w:t>2.</w:t>
      </w:r>
      <w:r w:rsidR="00E3754C">
        <w:tab/>
      </w:r>
      <w:r>
        <w:t>bauliche Anlagen, die außerhalb der zur Erschließung der anliegenden Grundstücke bestimmten Teile der Ortsdurchfahrten über Zufahrten oder Zugänge an Bundesstraßen unmittelbar oder mittelbar ang</w:t>
      </w:r>
      <w:r>
        <w:t>e</w:t>
      </w:r>
      <w:r>
        <w:t>schlossen werden sollen.</w:t>
      </w:r>
    </w:p>
    <w:p w:rsidR="001C22C8" w:rsidRDefault="001C22C8" w:rsidP="001C22C8">
      <w:pPr>
        <w:pStyle w:val="GesAbsatz"/>
      </w:pPr>
      <w:r>
        <w:t>Im Übrigen bedürfen Baugenehmigungen oder nach anderen Vorschriften notwendige Genehmigungen g</w:t>
      </w:r>
      <w:r>
        <w:t>e</w:t>
      </w:r>
      <w:r>
        <w:t>mäß § 9 Absatz 2 des Bundesfernstraßengesetzes der Zustimmung der obersten Landesstraßenbaubehö</w:t>
      </w:r>
      <w:r>
        <w:t>r</w:t>
      </w:r>
      <w:r>
        <w:t>de (Anbaubeschränkung), wenn</w:t>
      </w:r>
    </w:p>
    <w:p w:rsidR="001C22C8" w:rsidRDefault="001C22C8" w:rsidP="00AB5C0D">
      <w:pPr>
        <w:pStyle w:val="GesAbsatz"/>
        <w:ind w:left="426" w:hanging="426"/>
      </w:pPr>
      <w:r>
        <w:t>1.</w:t>
      </w:r>
      <w:r w:rsidR="00AB5C0D">
        <w:tab/>
      </w:r>
      <w:r>
        <w:t>bauliche Anlagen längs der Bundesautobahnen in einer Entfernung bis zu 100 Metern und längs der Bundesstraßen außerhalb der zur Erschließung der anliegenden Grundstücke bestimmten Teile der Ortsdurchfahrten bis zu 40 Metern, gemessen vom äußeren Rand der befestigten Fahrbahn, errichtet, erheblich geändert oder anders genutzt werden sollen,</w:t>
      </w:r>
    </w:p>
    <w:p w:rsidR="001C22C8" w:rsidRDefault="001C22C8" w:rsidP="00AB5C0D">
      <w:pPr>
        <w:pStyle w:val="GesAbsatz"/>
        <w:ind w:left="426" w:hanging="426"/>
      </w:pPr>
      <w:r>
        <w:t>2.</w:t>
      </w:r>
      <w:r w:rsidR="00AB5C0D">
        <w:tab/>
      </w:r>
      <w:r>
        <w:t>bauliche Anlagen auf Grundstücken, die außerhalb der zur Erschließung der anliegenden Grundstücke bestimmten Teile der Ortsdurchfahrten über Zufahrten oder Zugänge an Bundesstraßen unmittelbar oder mittelbar angeschlossen sind, erheblich geändert oder anders genutzt werden sollen.</w:t>
      </w:r>
    </w:p>
    <w:p w:rsidR="001C22C8" w:rsidRDefault="001C22C8" w:rsidP="001C22C8">
      <w:pPr>
        <w:pStyle w:val="GesAbsatz"/>
      </w:pPr>
      <w:r>
        <w:t>Diese Zustimmung darf nur versagt oder mit Bedingungen und Auflagen erteilt werden, soweit dies wegen der Sicherheit oder Leichtigkeit des Verkehrs, der Ausbauabsichten oder der Straßenbaugestaltung nötig ist.</w:t>
      </w:r>
    </w:p>
    <w:p w:rsidR="001C22C8" w:rsidRDefault="001C22C8" w:rsidP="001C22C8">
      <w:pPr>
        <w:pStyle w:val="GesAbsatz"/>
      </w:pPr>
      <w:r>
        <w:t>Gemäß § 25 Absatz 1 des Straßen- und Wegegesetzes des Landes Nordrhein-Westfalen (StrWG NRW) bedürfen außerhalb der Ortsdurchfahrten Baugenehmigungen oder nach anderen Vorschriften notwendige Genehmigungen der Zustimmung der Straßenbaubehörde, wenn bauliche Anlagen jeder Art</w:t>
      </w:r>
    </w:p>
    <w:p w:rsidR="001C22C8" w:rsidRDefault="001C22C8" w:rsidP="00AB5C0D">
      <w:pPr>
        <w:pStyle w:val="GesAbsatz"/>
        <w:ind w:left="426" w:hanging="426"/>
      </w:pPr>
      <w:r>
        <w:lastRenderedPageBreak/>
        <w:t>1.</w:t>
      </w:r>
      <w:r w:rsidR="00AB5C0D">
        <w:tab/>
      </w:r>
      <w:r>
        <w:t>längs der Landesstraßen und Kreisstraßen in einer Entfernung bis zu 40 Metern, gemessen vom äuß</w:t>
      </w:r>
      <w:r>
        <w:t>e</w:t>
      </w:r>
      <w:r>
        <w:t>ren Rand der für den Kraftfahrzeugverkehr bestimmten Fahrbahn, errichtet, erheblich geändert oder anders genutzt werden sollen;</w:t>
      </w:r>
    </w:p>
    <w:p w:rsidR="001C22C8" w:rsidRDefault="001C22C8" w:rsidP="00AB5C0D">
      <w:pPr>
        <w:pStyle w:val="GesAbsatz"/>
        <w:ind w:left="426" w:hanging="426"/>
      </w:pPr>
      <w:r>
        <w:t>2.</w:t>
      </w:r>
      <w:r w:rsidR="00AB5C0D">
        <w:tab/>
      </w:r>
      <w:r>
        <w:t>über Zufahrten oder Zugänge an Landesstraßen und Kreisstraßen unmittelbar oder mittelbar ang</w:t>
      </w:r>
      <w:r>
        <w:t>e</w:t>
      </w:r>
      <w:r>
        <w:t>schlossen oder bei bereits bestehendem Anschluss erheblich geändert oder anders genutzt werden so</w:t>
      </w:r>
      <w:r>
        <w:t>l</w:t>
      </w:r>
      <w:r>
        <w:t>len.</w:t>
      </w:r>
    </w:p>
    <w:p w:rsidR="001C22C8" w:rsidRDefault="001C22C8" w:rsidP="001C22C8">
      <w:pPr>
        <w:pStyle w:val="GesAbsatz"/>
      </w:pPr>
      <w:r>
        <w:t>Diese Zustimmung darf nur versagt oder mit Bedingungen und Auflagen erteilt werden, wenn eine konkrete Beeinträchtigung der Sicherheit oder Leichtigkeit des Verkehrs zu erwarten ist oder Ausbauabsichten sowie Straßenbaugestaltung dies erfordern.</w:t>
      </w:r>
    </w:p>
    <w:p w:rsidR="001C22C8" w:rsidRDefault="001C22C8" w:rsidP="001C22C8">
      <w:pPr>
        <w:pStyle w:val="GesAbsatz"/>
      </w:pPr>
      <w:r>
        <w:t>Die Entfernungen sind nicht vom Mastfuß einer Windenergieanlage, sondern von der Rotorspitze zum äuß</w:t>
      </w:r>
      <w:r>
        <w:t>e</w:t>
      </w:r>
      <w:r>
        <w:t>ren Rand der befestigten Fahrbahn zu messen.</w:t>
      </w:r>
    </w:p>
    <w:p w:rsidR="001C22C8" w:rsidRDefault="001C22C8" w:rsidP="001C22C8">
      <w:pPr>
        <w:pStyle w:val="GesAbsatz"/>
      </w:pPr>
      <w:r>
        <w:t>Innerhalb der Anbauverbotszone zu Bundesfernstraßen können keine Windenergieanlagen errichtet werden, während in der Anbaubeschränkungszone nach § 9 Absatz 2 des Bundesfernstraßengesetzes oder § 25 des Straßen- und Wegegesetzes des Landes Nordrhein-Westfalen mit Zustimmung der zuständigen Straße</w:t>
      </w:r>
      <w:r>
        <w:t>n</w:t>
      </w:r>
      <w:r>
        <w:t>baubehörde eine Anlagenerrichtung möglich ist. Für die Versagung der Zustimmung nach § 9 Absatz 3 des Bundesfernstraßengesetzes muss nicht die unbedingte Gewissheit bestehen, dass das Vorhaben den Ve</w:t>
      </w:r>
      <w:r>
        <w:t>r</w:t>
      </w:r>
      <w:r>
        <w:t>kehrsablauf auf der Bundesfernstraße beeinträchtigt oder gefährdet; es reicht die erkennbare Möglichkeit (vgl. BVerwG, Urt. v. 28.5.1963 – I C 247.58). Für eine Versagung der Zustimmung nach § 25 Absatz 2 des Straßen- und Wegegesetzes des Landes Nordrhein-Westfalen reicht hingegen nicht die erkennbare Mö</w:t>
      </w:r>
      <w:r>
        <w:t>g</w:t>
      </w:r>
      <w:r>
        <w:t>lichkeit einer Beeinträchtigung des Verkehrsablaufs, sondern es muss eine Prüfung aufgrund der konkreten Umstände des Einzelfalls erfolgen (vgl. OVG NRW, Urt. v. 23.6.1994 – 23 A 4027/92).</w:t>
      </w:r>
    </w:p>
    <w:p w:rsidR="001C22C8" w:rsidRDefault="001C22C8" w:rsidP="001C22C8">
      <w:pPr>
        <w:pStyle w:val="GesAbsatz"/>
      </w:pPr>
      <w:r>
        <w:t>Es sind grundsätzlich zwei Fälle zu unterscheiden, in denen das Fachrecht zur Anwendung kommen kann:</w:t>
      </w:r>
    </w:p>
    <w:p w:rsidR="001C22C8" w:rsidRDefault="001C22C8" w:rsidP="001C22C8">
      <w:pPr>
        <w:pStyle w:val="GesAbsatz"/>
      </w:pPr>
      <w:r>
        <w:t>a)</w:t>
      </w:r>
      <w:r w:rsidR="00AB5C0D">
        <w:tab/>
      </w:r>
      <w:r>
        <w:t>Planungsverfahren</w:t>
      </w:r>
    </w:p>
    <w:p w:rsidR="001C22C8" w:rsidRDefault="001C22C8" w:rsidP="001C22C8">
      <w:pPr>
        <w:pStyle w:val="GesAbsatz"/>
      </w:pPr>
      <w:r>
        <w:t>Die Gemeinde beabsichtigt in ihrem Flächennutzungsplan Konzentrationszonen mit der Wirkung des § 35 Absatz 3 Satz 3 des Baugesetzbuches darzustellen. Die Voraussetzungen von § 35 Absatz 3 Satz 3 des Baugesetzbuches liegen nur vor, wenn die Gemeinde auf der Grundlage einer Untersuchung des gesamten Plangebietes ein schlüssiges Plankonzept für die Ausweisung von Konzentrationszonen erarbeitet hat. Hie</w:t>
      </w:r>
      <w:r>
        <w:t>r</w:t>
      </w:r>
      <w:r>
        <w:t>zu müssen alle abwägungserheblichen Belange vollständig ermittelt und gerecht gegeneinander und unte</w:t>
      </w:r>
      <w:r>
        <w:t>r</w:t>
      </w:r>
      <w:r>
        <w:t>einander gemäß § 1 Absatz 7 des Baugesetzbuches abgewogen werden (siehe Nummer 4.3.1). Zu diesen Belangen zählen auch die verkehrlichen Belange gemäß § 1 Absatz 6 Nummer 9 des Baugesetzbuches. Hierbei ist die Anbauverbotszone gemäß § 9 des Bundesfernstraßengesetzes als hartes Tabukriterium zu werten, da dort die Errichtung einer Windenergieanlage grundsätzlich nicht möglich ist. Ob die Errichtung einer Windenergieanlagen innerhalb der nach § 9 des Bundesfernstraßengesetzes oder § 25 des Straßen- und Wegegesetzes des Landes Nordrhein-Westfalen beschränkten Bereiche zulässig ist, ist im Aufste</w:t>
      </w:r>
      <w:r>
        <w:t>l</w:t>
      </w:r>
      <w:r>
        <w:t>lungsverfahren zu prüfen. Hierzu beteiligt die Gemeinde die zuständige Straßenbaubehörde. Aus dem E</w:t>
      </w:r>
      <w:r>
        <w:t>r</w:t>
      </w:r>
      <w:r>
        <w:t>gebnis der Prüfung ergibt sich, ob die Beschränkungszone als hartes Tabukriterium zu werten ist. Dies ist dann der Fall, wenn an Bundesfernstraßen die erkennbare Möglichkeit einer Beeinträchtigung beziehung</w:t>
      </w:r>
      <w:r>
        <w:t>s</w:t>
      </w:r>
      <w:r>
        <w:t>weise an Landesstraßen und Kreisstraßen eine konkrete Beeinträchtigung der Sicherheit oder Leichtigkeit des Verkehrs zu erwarten ist oder Ausbauabsichten sowie Straßenbaugestaltung dies erfordern.</w:t>
      </w:r>
    </w:p>
    <w:p w:rsidR="001C22C8" w:rsidRDefault="001C22C8" w:rsidP="001C22C8">
      <w:pPr>
        <w:pStyle w:val="GesAbsatz"/>
      </w:pPr>
      <w:r>
        <w:t>Stellt die zuständige Straßenbaubehörde eine Genehmigung für die Errichtung von Windenergieanlagen im Bereich der Anbaubeschränkung in Aussicht, stellt die Beschränkungszone kein hartes Tabukriterium dar.</w:t>
      </w:r>
    </w:p>
    <w:p w:rsidR="001C22C8" w:rsidRDefault="001C22C8" w:rsidP="001C22C8">
      <w:pPr>
        <w:pStyle w:val="GesAbsatz"/>
      </w:pPr>
      <w:r>
        <w:t>b)</w:t>
      </w:r>
      <w:r w:rsidR="00AB5C0D">
        <w:tab/>
      </w:r>
      <w:r>
        <w:t>Genehmigungsverfahren</w:t>
      </w:r>
    </w:p>
    <w:p w:rsidR="001C22C8" w:rsidRDefault="001C22C8" w:rsidP="001C22C8">
      <w:pPr>
        <w:pStyle w:val="GesAbsatz"/>
      </w:pPr>
      <w:r>
        <w:t>Für die Anwendung des Straßenrechts im Genehmigungsverfahren sind grundsätzlich zwei Fallkonstellati</w:t>
      </w:r>
      <w:r>
        <w:t>o</w:t>
      </w:r>
      <w:r>
        <w:t>nen zu unterscheiden.</w:t>
      </w:r>
    </w:p>
    <w:p w:rsidR="001C22C8" w:rsidRDefault="001C22C8" w:rsidP="001C22C8">
      <w:pPr>
        <w:pStyle w:val="GesAbsatz"/>
      </w:pPr>
      <w:r>
        <w:t>Gemeinden ohne Konzentrationszonen: In diesem Fall sind die Belange des Straßenrechts im Rahmen der Genehmigung einzelfallbezogen zu prüfen. Innerhalb der Anbauverbots- und der Anbaubeschränkungszone von Bundesfernstraßen können im Regelfall keine Windenergieanlagen errichtet werden.</w:t>
      </w:r>
    </w:p>
    <w:p w:rsidR="001C22C8" w:rsidRDefault="001C22C8" w:rsidP="001C22C8">
      <w:pPr>
        <w:pStyle w:val="GesAbsatz"/>
      </w:pPr>
      <w:r>
        <w:t>Gemeinden mit Konzentrationszonen: Eine positive Standortzuweisung nach § 35 Absatz 3 Satz 3 des Ba</w:t>
      </w:r>
      <w:r>
        <w:t>u</w:t>
      </w:r>
      <w:r>
        <w:t>gesetzbuches setzt voraus, dass sich die Planung als vollzugsfähig erweist und dass ihr auf unabsehbare Zeit keine unüberwindbaren rechtlichen oder tatsächlichen Hindernisse im Wege stehen (BVerwG, Urt. v. 17.12.2002 – 4 C 15/01). Innerhalb einer im Flächennutzungsplan dargestellten Konzentrationszone dürfen die Belange des § 35 Absatz 3 Satz 1 des Baugesetzbuches, die bereits im Rahmen der Planung abschli</w:t>
      </w:r>
      <w:r>
        <w:t>e</w:t>
      </w:r>
      <w:r>
        <w:t>ßend abgewogen worden sind, bei der Entscheidung über die Zulassung einer Windenergieanlage nicht wieder als Genehmigungshindernis aktiviert werden (vgl. BVerwG, Urt. v. 20.5.2010 – 4 C 7/09). Entgege</w:t>
      </w:r>
      <w:r>
        <w:t>n</w:t>
      </w:r>
      <w:r>
        <w:t>stehende öffentliche Belange werden deswegen für Windenergieanlagen in Konzentrationszonen nur rel</w:t>
      </w:r>
      <w:r>
        <w:t>e</w:t>
      </w:r>
      <w:r>
        <w:t>vant, soweit sie auf Ebene der Bauleitplanung noch nicht abschließend berücksichtigt wurden.</w:t>
      </w:r>
    </w:p>
    <w:p w:rsidR="001C22C8" w:rsidRDefault="001C22C8" w:rsidP="001C22C8">
      <w:pPr>
        <w:pStyle w:val="GesAbsatz"/>
      </w:pPr>
      <w:r>
        <w:lastRenderedPageBreak/>
        <w:t>Es ist von daher nicht zielführend, wenn im Genehmigungsverfahren einer Windenergieanlage eine straße</w:t>
      </w:r>
      <w:r>
        <w:t>n</w:t>
      </w:r>
      <w:r>
        <w:t>rechtliche Genehmigung nicht erteilt werden kann, obwohl die zuständige Straßenbaubehörde im Planve</w:t>
      </w:r>
      <w:r>
        <w:t>r</w:t>
      </w:r>
      <w:r>
        <w:t>fahren beteiligt worden ist und sie gegen die Planung keine Bedenken geltend gemacht hat.</w:t>
      </w:r>
    </w:p>
    <w:p w:rsidR="001C22C8" w:rsidRDefault="001C22C8" w:rsidP="001C22C8">
      <w:pPr>
        <w:pStyle w:val="GesAbsatz"/>
      </w:pPr>
      <w:r>
        <w:t>An Landes- und Kreisstraßen ist zu prüfen, ob möglichen Beeinträchtigungen der Sicherheit oder Leichtigkeit des Verkehrs im Einzelfall durch die Beifügung von Nebenbestimmungen angemessen begegnet werden kann (OVG NRW, Urteil v. 28.8.2008 – 8 A 2138/06). Im Übrigen wird auf den Gemeinsamen Runderlass des Ministeriums für Wirtschaft und Mittelstand, Technologie und Verkehr und des Ministeriums für Bauen und Wohnen „Zusammenarbeit der Straßenbaubehörden und der Bauaufsichtsbehörden bei Anbauvorhaben an Straßen des überörtlichen Verkehrs (Anbauerlass)„ vom 4. Februar 1997 (SMBl. NRW. 911) verwiesen.</w:t>
      </w:r>
    </w:p>
    <w:p w:rsidR="001C22C8" w:rsidRDefault="001C22C8" w:rsidP="001C22C8">
      <w:pPr>
        <w:pStyle w:val="GesAbsatz"/>
      </w:pPr>
      <w:r>
        <w:t>Eine Gefährdung der öffentlichen Sicherheit im Straßenverkehr durch Windenergieanlagen (z.B. durch Brand, Eiswurf) ist auszuschließen. Dafür wird der Rückgriff auf technische Lösungen empfohlen. Ander</w:t>
      </w:r>
      <w:r>
        <w:t>n</w:t>
      </w:r>
      <w:r>
        <w:t>falls sind Abstände gemäß Nummer 5.2.3.5 (vgl. Nummer 2 der dort genannten Anlage 2.7/12 der LTB) von klassifizierten Straßen einzuhalten.</w:t>
      </w:r>
    </w:p>
    <w:p w:rsidR="001C22C8" w:rsidRPr="00650908" w:rsidRDefault="001C22C8" w:rsidP="001C22C8">
      <w:pPr>
        <w:pStyle w:val="GesAbsatz"/>
        <w:rPr>
          <w:b/>
        </w:rPr>
      </w:pPr>
      <w:r w:rsidRPr="00650908">
        <w:rPr>
          <w:b/>
        </w:rPr>
        <w:t>8.2.6</w:t>
      </w:r>
      <w:r w:rsidR="00AB5C0D" w:rsidRPr="00650908">
        <w:rPr>
          <w:b/>
        </w:rPr>
        <w:t xml:space="preserve"> </w:t>
      </w:r>
      <w:r w:rsidRPr="00650908">
        <w:rPr>
          <w:b/>
        </w:rPr>
        <w:t>Luftverkehrsrecht</w:t>
      </w:r>
    </w:p>
    <w:p w:rsidR="001C22C8" w:rsidRDefault="001C22C8" w:rsidP="001C22C8">
      <w:pPr>
        <w:pStyle w:val="GesAbsatz"/>
      </w:pPr>
      <w:r>
        <w:t>Die Bauschutzbereiche nach dem Luftverkehrsgesetz dienen der Hindernisüberwachung für Flugplätze. Diese bedeuten nicht, dass grundsätzlich nicht gebaut werden darf, sondern nur, dass die Errichtung von Bauwerken in diesen Bereichen unter einem Genehmigungsvorbehalt steht beziehungsweise eine Gene</w:t>
      </w:r>
      <w:r>
        <w:t>h</w:t>
      </w:r>
      <w:r>
        <w:t>migung nur mit Zustimmung durch die zuständige Luftfahrtbehörde erteilt werden darf. Es werden zwei Ba</w:t>
      </w:r>
      <w:r>
        <w:t>u</w:t>
      </w:r>
      <w:r>
        <w:t>schutzbereiche unterschieden:</w:t>
      </w:r>
    </w:p>
    <w:p w:rsidR="001C22C8" w:rsidRDefault="001C22C8" w:rsidP="001C22C8">
      <w:pPr>
        <w:pStyle w:val="GesAbsatz"/>
      </w:pPr>
      <w:r>
        <w:t>–</w:t>
      </w:r>
      <w:r w:rsidR="00AB5C0D">
        <w:tab/>
      </w:r>
      <w:r>
        <w:t>der „große“ Bauschutzbereich nach § 12 des Luftverkehrsgesetzes sowie</w:t>
      </w:r>
    </w:p>
    <w:p w:rsidR="001C22C8" w:rsidRDefault="001C22C8" w:rsidP="001C22C8">
      <w:pPr>
        <w:pStyle w:val="GesAbsatz"/>
      </w:pPr>
      <w:r>
        <w:t>–</w:t>
      </w:r>
      <w:r w:rsidR="00AB5C0D">
        <w:tab/>
      </w:r>
      <w:r>
        <w:t>der beschränkte („kleine“) Bauschutzbereich nach § 17 des Luftverkehrsgesetzes.</w:t>
      </w:r>
    </w:p>
    <w:p w:rsidR="001C22C8" w:rsidRDefault="001C22C8" w:rsidP="001C22C8">
      <w:pPr>
        <w:pStyle w:val="GesAbsatz"/>
      </w:pPr>
      <w:r>
        <w:t>Ein weiteres Zustimmungserfordernis ergibt sich bei Bauwerken außerhalb von Bauschutzbereichen, die eine im § 14 des Luftverkehrsgesetzes definierte Höhe überschreiten.</w:t>
      </w:r>
    </w:p>
    <w:p w:rsidR="001C22C8" w:rsidRDefault="001C22C8" w:rsidP="001C22C8">
      <w:pPr>
        <w:pStyle w:val="GesAbsatz"/>
      </w:pPr>
      <w:r>
        <w:t>Nach § 18a Absatz 1 Satz 1 des Luftverkehrsgesetzes dürfen Windenergieanlagen nicht errichtet werden, wenn dadurch Flugsicherungseinrichtungen gestört werden können. Damit können in Anlagenschutzbere</w:t>
      </w:r>
      <w:r>
        <w:t>i</w:t>
      </w:r>
      <w:r>
        <w:t xml:space="preserve">chen für Flugsicherungseinrichtungen – wie beispielsweise Radaranlagen – Baubeschränkungen nach § 18a des Luftverkehrsgesetzes bestehen (siehe hierzu Interaktive Karte der Anlagenschutzbereiche </w:t>
      </w:r>
      <w:hyperlink r:id="rId17" w:history="1">
        <w:r w:rsidRPr="00C35038">
          <w:rPr>
            <w:rStyle w:val="Hyperlink"/>
          </w:rPr>
          <w:t>http://www.anlagenschutz.baf.bund.de/mapapps/resources/apps/anlagenschutz_v2/index.html?lang=de</w:t>
        </w:r>
      </w:hyperlink>
      <w:r>
        <w:t>). Ob eine Störung vorliegt, entscheidet das Bundesaufsichtsamt für Flugsicherung (BAF) aufgrund einer gu</w:t>
      </w:r>
      <w:r>
        <w:t>t</w:t>
      </w:r>
      <w:r>
        <w:t>achterlichen Stellungnahme der Deutsche Flugsicherung GmbH (DFS) (§ 18a Absatz1 Satz 2 LuftVG, vgl. OVG Lüneburg, Beschl. v. 22.1.2015 – 12 ME 39/14).</w:t>
      </w:r>
    </w:p>
    <w:p w:rsidR="001C22C8" w:rsidRDefault="001C22C8" w:rsidP="001C22C8">
      <w:pPr>
        <w:pStyle w:val="GesAbsatz"/>
      </w:pPr>
      <w:r>
        <w:t>Die allgemeinen baurechtlichen Vorschriften, zu denen auch das Gebot gehört, mit Vorhaben im Außenb</w:t>
      </w:r>
      <w:r>
        <w:t>e</w:t>
      </w:r>
      <w:r>
        <w:t>reich auf den luftverkehrsrechtlich genehmigten Betrieb eines Segelfluggeländes Rücksicht zu nehmen, werden nicht durch vorrangige Regelungen des Luftverkehrsgesetzes verdrängt (BVerwG, Urt. v. 18.11.2004 – 4 C 1.04). Dies betrifft alle Flugplätze im Sinn des § 6 Absatz 1 Satz 1 des Luftverkehrsgesetzes, deren hindernisfreier Betrieb nicht über einen (beschränkten) Bauschutzbereich im Sinn der §§ 12 und 17 des Luf</w:t>
      </w:r>
      <w:r>
        <w:t>t</w:t>
      </w:r>
      <w:r>
        <w:t>verkehrsgesetzes gesichert wird. Wenn ein bauliches Vorhaben nämlich den Betrieb eines Flugplatzes g</w:t>
      </w:r>
      <w:r>
        <w:t>e</w:t>
      </w:r>
      <w:r>
        <w:t>fährdet, obwohl es keinem luftverkehrsrechtlichen Zustimmungs- oder Genehmigungsvorbehalt unterliegt, kann das baurechtliche Gebot der Rücksichtnahme auch zugunsten von Flugplätzen eine eigenständige Bedeutung entfalten (BVerwG, a.a.O.).</w:t>
      </w:r>
    </w:p>
    <w:p w:rsidR="001C22C8" w:rsidRDefault="001C22C8" w:rsidP="001C22C8">
      <w:pPr>
        <w:pStyle w:val="GesAbsatz"/>
      </w:pPr>
      <w:r>
        <w:t>Die frühzeitige Einbindung der zuständigen Luftfahrtbehörden zur Beurteilung der möglichen Auswirkungen von Windenergieanlagen auf die Sicherheit des Luftverkehrs ist insbesondere dann geboten, wenn in der Umgebung von Flugplätzen – ohne (beschränkten) Bauschutzbereich – beziehungsweise in der Umgebung von Flugsicherungseinrichtungen die Errichtung einzelner, evtl. zu einem schon vorhandenen Bestand hi</w:t>
      </w:r>
      <w:r>
        <w:t>n</w:t>
      </w:r>
      <w:r>
        <w:t>zutretender, Windenergieanlagen zu einer Hindernisverdichtung führen kann. Eine Hindernisverdichtung kann sich zum Beispiel durch einen Wandeffekt mehrerer konzentrierter Windenergieanlagen zum Beispiel im Bereich des Platzrundenverlaufs beim Verkehr nach Sichtflugregeln nachteilig auf die Sicherheit des Luf</w:t>
      </w:r>
      <w:r>
        <w:t>t</w:t>
      </w:r>
      <w:r>
        <w:t>verkehrs auswirken. Die konkrete Gefahr für den Luftverkehr ist im Einzelfall darzulegen. Dabei ist die Anfo</w:t>
      </w:r>
      <w:r>
        <w:t>r</w:t>
      </w:r>
      <w:r>
        <w:t>derung an die Wahrscheinlichkeit des Schadenseintritts umso geringer, je größer der zu befürchtende Sch</w:t>
      </w:r>
      <w:r>
        <w:t>a</w:t>
      </w:r>
      <w:r>
        <w:t>den ist. Zuständig für die Darlegung der Gefahr ist die Luftfahrtbehörde.</w:t>
      </w:r>
    </w:p>
    <w:p w:rsidR="001C22C8" w:rsidRDefault="001C22C8" w:rsidP="001C22C8">
      <w:pPr>
        <w:pStyle w:val="GesAbsatz"/>
      </w:pPr>
      <w:r>
        <w:t>Gemäß § 16a des Luftverkehrsgesetzes sind Windenergieanlagen, auch wenn sie die nach § 14 des Luf</w:t>
      </w:r>
      <w:r>
        <w:t>t</w:t>
      </w:r>
      <w:r>
        <w:t>verkehrsgesetzes zulässige Höhe nicht überschreiten, in geeigneter Weise zu kennzeichnen, soweit dies zur Sicherheit des Luftverkehrs erforderlich ist. Über die Notwendigkeit und die Art der Kennzeichnung hat die zuständige Luftfahrtbehörde zu entscheiden (s. auch Nummer 4.3.7).</w:t>
      </w:r>
    </w:p>
    <w:p w:rsidR="001C22C8" w:rsidRDefault="001C22C8" w:rsidP="001C22C8">
      <w:pPr>
        <w:pStyle w:val="GesAbsatz"/>
      </w:pPr>
      <w:r>
        <w:t>Für die bauordnungsrechtliche Überwachung der Einhaltung derjenigen Auflagen, die die Luftverkehrsb</w:t>
      </w:r>
      <w:r>
        <w:t>e</w:t>
      </w:r>
      <w:r>
        <w:t>hörde im Genehmigungsverfahren zur Sicherstellung der Luftverkehrssicherheit gefordert hat, sind gemäß §</w:t>
      </w:r>
      <w:r w:rsidR="00AB5C0D">
        <w:t> </w:t>
      </w:r>
      <w:r>
        <w:t>61 der Landesbauordnung die Bauaufsichtsbehörden zuständig.</w:t>
      </w:r>
    </w:p>
    <w:p w:rsidR="001C22C8" w:rsidRDefault="001C22C8" w:rsidP="001C22C8">
      <w:pPr>
        <w:pStyle w:val="GesAbsatz"/>
      </w:pPr>
      <w:r>
        <w:lastRenderedPageBreak/>
        <w:t>Es sind grundsätzlich zwei Fälle zu unterscheiden, in denen das Fachrecht zur Anwendung kommen kann:</w:t>
      </w:r>
    </w:p>
    <w:p w:rsidR="001C22C8" w:rsidRDefault="001C22C8" w:rsidP="001C22C8">
      <w:pPr>
        <w:pStyle w:val="GesAbsatz"/>
      </w:pPr>
      <w:r>
        <w:t>a)</w:t>
      </w:r>
      <w:r w:rsidR="00AB5C0D">
        <w:tab/>
      </w:r>
      <w:r>
        <w:t>Planungsverfahren</w:t>
      </w:r>
    </w:p>
    <w:p w:rsidR="001C22C8" w:rsidRDefault="001C22C8" w:rsidP="001C22C8">
      <w:pPr>
        <w:pStyle w:val="GesAbsatz"/>
      </w:pPr>
      <w:r>
        <w:t>Die Gemeinde beabsichtigt in ihrem Flächennutzungsplan Konzentrationszonen mit der Wirkung des § 35 Absatz 3 Satz 3 des Baugesetzbuches darzustellen. Die Voraussetzungen von § 35 Absatz 3 Satz 3 des Baugesetzbuches liegen nur vor, wenn die Gemeinde auf der Grundlage einer Untersuchung des gesamten Plangebietes ein schlüssiges Plankonzept für die Ausweisung von Konzentrationszonen erarbeitet hat. Hie</w:t>
      </w:r>
      <w:r>
        <w:t>r</w:t>
      </w:r>
      <w:r>
        <w:t>zu müssen alle abwägungserheblichen Belange vollständig ermittelt und gerecht gegeneinander und unte</w:t>
      </w:r>
      <w:r>
        <w:t>r</w:t>
      </w:r>
      <w:r>
        <w:t>einander gemäß § 1 Absatz 7 des Baugesetzbuches abgewogen werden (siehe Nummer 4.3.1).</w:t>
      </w:r>
    </w:p>
    <w:p w:rsidR="001C22C8" w:rsidRDefault="001C22C8" w:rsidP="001C22C8">
      <w:pPr>
        <w:pStyle w:val="GesAbsatz"/>
      </w:pPr>
      <w:r>
        <w:t>Ob die Errichtung von Windenergieanlagen innerhalb eines Bauschutzbereichs gemäß § 12 oder § 17 des Luftverkehrsgesetzes, die Errichtung von Windenergieanlagen mit geplanten Anlagenhöhen oberhalb der Höhen gemäß § 14 des Luftverkehrsgesetzes und/oder innerhalb eines Anlagenschutzbereichs nach § 18 a des Luftverkehrsgesetzes grundsätzlich zulässig ist, ist bereits im Aufstellungsverfahren zu prüfen:</w:t>
      </w:r>
    </w:p>
    <w:p w:rsidR="001C22C8" w:rsidRDefault="001C22C8" w:rsidP="00AB5C0D">
      <w:pPr>
        <w:pStyle w:val="GesAbsatz"/>
        <w:ind w:left="426" w:hanging="426"/>
      </w:pPr>
      <w:r>
        <w:t>–</w:t>
      </w:r>
      <w:r w:rsidR="00AB5C0D">
        <w:tab/>
      </w:r>
      <w:r>
        <w:t>Prüfung inner- und außerhalb der Bauschutzbereiche gemäß der §§ 12, 17 beziehungsweise 14 des Luftverkehrsgesetzes:</w:t>
      </w:r>
    </w:p>
    <w:p w:rsidR="001C22C8" w:rsidRDefault="001C22C8" w:rsidP="002B6107">
      <w:pPr>
        <w:pStyle w:val="GesAbsatz"/>
        <w:ind w:left="426"/>
      </w:pPr>
      <w:r>
        <w:t>Hierzu beteiligt die Gemeinde im Planverfahren die zuständige Luftfahrtbehörde. Aus dem Ergebnis dieser Prüfung ergibt sich, ob der Bauschutzbereich und darüber hinaus gehende Bereiche (Bauwer</w:t>
      </w:r>
      <w:r>
        <w:t>k</w:t>
      </w:r>
      <w:r>
        <w:t>beschränkungen) als hartes Tabukriterium zu werten sind. Stellt die zuständige Luftfahrtbehörde eine Zustimmung für die Errichtung von Windenergieanlagen im Bereich der Bauschutzbereiche in Aussicht, stellt der Bauschutzbereich kein hartes Tabukriterium dar.</w:t>
      </w:r>
    </w:p>
    <w:p w:rsidR="001C22C8" w:rsidRDefault="001C22C8" w:rsidP="001C22C8">
      <w:pPr>
        <w:pStyle w:val="GesAbsatz"/>
      </w:pPr>
      <w:r>
        <w:t>–</w:t>
      </w:r>
      <w:r w:rsidR="00AB5C0D">
        <w:tab/>
      </w:r>
      <w:r>
        <w:t>Prüfung innerhalb der Anlagenschutzbereiche nach § 18a des Luftverkehrsgesetzes:</w:t>
      </w:r>
    </w:p>
    <w:p w:rsidR="001C22C8" w:rsidRDefault="001C22C8" w:rsidP="002B6107">
      <w:pPr>
        <w:pStyle w:val="GesAbsatz"/>
        <w:ind w:left="426"/>
      </w:pPr>
      <w:r>
        <w:t>Entscheidungen, ob die Errichtung einer Windenergieanlage Flugsicherungseinrichtungen nach § 18a des Luftverkehrsgesetzes stört, basieren immer auf Einzelfallprüfungen konkreter Windenergieanlagen durch das Bundesaufsichtsamt für Flugsicherung auf Basis einer gutachterlichen Stellungnahme der Deutsche Flugsicherung GmbH und berücksichtigen im Wesentlichen konkrete Angaben zum Standort, Art und Größe der Windenergieanlagen. Ausschlaggebend für eine planerisch belastbare Entscheidung durch das Bundesaufsichtsamt für Flugsicherung ist damit der Zeitpunkt der Antragsstellung der konkr</w:t>
      </w:r>
      <w:r>
        <w:t>e</w:t>
      </w:r>
      <w:r>
        <w:t>ten Windenergieanlage.</w:t>
      </w:r>
    </w:p>
    <w:p w:rsidR="001C22C8" w:rsidRDefault="001C22C8" w:rsidP="002B6107">
      <w:pPr>
        <w:pStyle w:val="GesAbsatz"/>
        <w:ind w:left="426"/>
      </w:pPr>
      <w:r>
        <w:t>Gemeinden, deren Plangebiet nicht von Anlagenschutzbereichen betroffen ist, müssen sich mit diesem Belang nicht beschäftigen. Ist das Plangebiet nur in geringem Umfang von Anlagenschutzbereichen b</w:t>
      </w:r>
      <w:r>
        <w:t>e</w:t>
      </w:r>
      <w:r>
        <w:t>troffen, kann die Gemeinde diese Flächen zur vorsorglichen Konfliktvermeidung als weiche Tabuzonen ausschließen. Sind maßgebliche Flächenanteile der Gemeinde von Anlagenschutzbereichen betroffen, kann die Gemeinde auf der Ebene der Einzelfallbewertung der nach Ausschluss der anderen pausch</w:t>
      </w:r>
      <w:r>
        <w:t>a</w:t>
      </w:r>
      <w:r>
        <w:t>len Tabukriterien verbleibenden Potenzialflächen eine prognostische Einschätzung über die vorau</w:t>
      </w:r>
      <w:r>
        <w:t>s</w:t>
      </w:r>
      <w:r>
        <w:t>sichtliche Konfliktintensität der Potenzialflächen in Hinsicht auf die Flugsicherheitseinrichtungen vo</w:t>
      </w:r>
      <w:r>
        <w:t>r</w:t>
      </w:r>
      <w:r>
        <w:t>nehmen. Maßgebliche Kriterien hierfür sind die Entfernung der Fläche von der Flugsicherheitseinric</w:t>
      </w:r>
      <w:r>
        <w:t>h</w:t>
      </w:r>
      <w:r>
        <w:t>tung und die geschätzte Zahl der auf der Fläche möglichen Windenergieanlagen. Die Internationale Z</w:t>
      </w:r>
      <w:r>
        <w:t>i</w:t>
      </w:r>
      <w:r>
        <w:t>villuftfahrtorganisation (ICAO) geht davon aus, dass bei Projekten mit weniger als 6 Windenergieanl</w:t>
      </w:r>
      <w:r>
        <w:t>a</w:t>
      </w:r>
      <w:r>
        <w:t>gen in der Regel keine Probleme bestehen, wenn sie mehr als 10 km von der VOR- oder DVOR-Anlagen beziehungsweise mehr als 6 km von einem Peiler (DF) entfernt liegen (siehe ICAO EUR Doc 15, 2. Ausgabe, 2009).</w:t>
      </w:r>
    </w:p>
    <w:p w:rsidR="001C22C8" w:rsidRDefault="001C22C8" w:rsidP="001C22C8">
      <w:pPr>
        <w:pStyle w:val="GesAbsatz"/>
      </w:pPr>
      <w:r>
        <w:t>b)</w:t>
      </w:r>
      <w:r w:rsidR="00AB5C0D">
        <w:tab/>
      </w:r>
      <w:r>
        <w:t>Genehmigungsverfahren</w:t>
      </w:r>
    </w:p>
    <w:p w:rsidR="001C22C8" w:rsidRDefault="001C22C8" w:rsidP="001C22C8">
      <w:pPr>
        <w:pStyle w:val="GesAbsatz"/>
      </w:pPr>
      <w:r>
        <w:t>Für die Anwendung des Luftverkehrsrechts im Genehmigungsverfahren sind grundsätzlich zwei Fallkonste</w:t>
      </w:r>
      <w:r>
        <w:t>l</w:t>
      </w:r>
      <w:r>
        <w:t>lationen zu unterscheiden.</w:t>
      </w:r>
    </w:p>
    <w:p w:rsidR="001C22C8" w:rsidRDefault="001C22C8" w:rsidP="001C22C8">
      <w:pPr>
        <w:pStyle w:val="GesAbsatz"/>
      </w:pPr>
      <w:r>
        <w:t>Gemeinden ohne Konzentrationszonen: In diesem Fall sind die Belange des Luftfahrtrechts im Rahmen der Genehmigung einzelfallbezogen zu prüfen.</w:t>
      </w:r>
    </w:p>
    <w:p w:rsidR="001C22C8" w:rsidRDefault="001C22C8" w:rsidP="001C22C8">
      <w:pPr>
        <w:pStyle w:val="GesAbsatz"/>
      </w:pPr>
      <w:r>
        <w:t>Gemeinden mit Konzentrationszonen: Eine positive Standortzuweisung nach § 35 Absatz 3 Satz 3 des Ba</w:t>
      </w:r>
      <w:r>
        <w:t>u</w:t>
      </w:r>
      <w:r>
        <w:t>gesetzbuches setzt voraus, dass sich die Planung als vollzugsfähig erweist und dass ihr auf unabsehbare Zeit keine unüberwindbaren rechtlichen oder tatsächlichen Hindernisse im Wege stehen (BVerwG, Urt. v. 17.12.2002 – 4 C 15/01). Innerhalb einer im Flächennutzungsplan dargestellten Konzentrationszone dürfen die Belange des § 35 Absatz 3 Satz 1 des Baugesetzbuches, die bereits im Rahmen der Planung abschli</w:t>
      </w:r>
      <w:r>
        <w:t>e</w:t>
      </w:r>
      <w:r>
        <w:t>ßend abgewogen worden sind, bei der Entscheidung über die Zulassung einer Windenergieanlage nicht wieder als Genehmigungshindernis aktiviert werden (vgl. BVerwG, Urt. v. 20.05.2010 – 4 C 7/09). Entgege</w:t>
      </w:r>
      <w:r>
        <w:t>n</w:t>
      </w:r>
      <w:r>
        <w:t>stehende öffentliche Belange werden deswegen für Windenergieanlagen in Konzentrationszonen nur rel</w:t>
      </w:r>
      <w:r>
        <w:t>e</w:t>
      </w:r>
      <w:r>
        <w:t>vant, soweit sie auf Ebene der Bauleitplanung noch nicht abschließend berücksichtigt wurden.</w:t>
      </w:r>
    </w:p>
    <w:p w:rsidR="001C22C8" w:rsidRDefault="001C22C8" w:rsidP="001C22C8">
      <w:pPr>
        <w:pStyle w:val="GesAbsatz"/>
      </w:pPr>
      <w:r>
        <w:t>Im Genehmigungsverfahren ist stets eine einzelfallbezogene luftverkehrsrechtliche Prüfung nach den §§ 12, 14, 17 und 18a des Luftverkehrsgesetzes erforderlich, sofern der jeweilige Anwendungsbereich dieser Reg</w:t>
      </w:r>
      <w:r>
        <w:t>e</w:t>
      </w:r>
      <w:r>
        <w:t>lungen eröffnet ist.</w:t>
      </w:r>
    </w:p>
    <w:p w:rsidR="001C22C8" w:rsidRDefault="001C22C8" w:rsidP="001C22C8">
      <w:pPr>
        <w:pStyle w:val="GesAbsatz"/>
      </w:pPr>
      <w:r>
        <w:lastRenderedPageBreak/>
        <w:t>Bei den Regelungen der §§ 12, 14 und 17 des Luftverkehrsgesetzes handelt es sich um formelle verwa</w:t>
      </w:r>
      <w:r>
        <w:t>l</w:t>
      </w:r>
      <w:r>
        <w:t>tungsinterne Zustimmungen der zuständigen Luftfahrtbehörde, die die Genehmigungsbehörde nicht übe</w:t>
      </w:r>
      <w:r>
        <w:t>r</w:t>
      </w:r>
      <w:r>
        <w:t>stimmen darf.</w:t>
      </w:r>
    </w:p>
    <w:p w:rsidR="001C22C8" w:rsidRPr="00650908" w:rsidRDefault="001C22C8" w:rsidP="001C22C8">
      <w:pPr>
        <w:pStyle w:val="GesAbsatz"/>
        <w:rPr>
          <w:b/>
        </w:rPr>
      </w:pPr>
      <w:r w:rsidRPr="00650908">
        <w:rPr>
          <w:b/>
        </w:rPr>
        <w:t>8.2.7</w:t>
      </w:r>
      <w:r w:rsidR="00AB5C0D" w:rsidRPr="00650908">
        <w:rPr>
          <w:b/>
        </w:rPr>
        <w:t xml:space="preserve"> </w:t>
      </w:r>
      <w:r w:rsidRPr="00650908">
        <w:rPr>
          <w:b/>
        </w:rPr>
        <w:t>Wasserstraßenrecht</w:t>
      </w:r>
    </w:p>
    <w:p w:rsidR="001C22C8" w:rsidRDefault="001C22C8" w:rsidP="001C22C8">
      <w:pPr>
        <w:pStyle w:val="GesAbsatz"/>
      </w:pPr>
      <w:r>
        <w:t>Einer strom- und schifffahrtspolizeilichen Genehmigung des Wasser- und Schifffahrtsamtes bedürfen gemäß § 31 Absatz 1 des Bundeswasserstraßengesetzes (WaStrG)</w:t>
      </w:r>
    </w:p>
    <w:p w:rsidR="001C22C8" w:rsidRDefault="001C22C8" w:rsidP="001C22C8">
      <w:pPr>
        <w:pStyle w:val="GesAbsatz"/>
      </w:pPr>
      <w:r>
        <w:t>1.</w:t>
      </w:r>
      <w:r w:rsidR="00AB5C0D">
        <w:tab/>
      </w:r>
      <w:r>
        <w:t>Benutzungen (§ 9 WHG) einer Bundeswasserstraße,</w:t>
      </w:r>
    </w:p>
    <w:p w:rsidR="001C22C8" w:rsidRDefault="001C22C8" w:rsidP="00AB5C0D">
      <w:pPr>
        <w:pStyle w:val="GesAbsatz"/>
        <w:ind w:left="426" w:hanging="426"/>
      </w:pPr>
      <w:r>
        <w:t>2.</w:t>
      </w:r>
      <w:r w:rsidR="00AB5C0D">
        <w:tab/>
      </w:r>
      <w:r>
        <w:t>die Errichtung, die Veränderung und der Betrieb von Anlagen einschließlich des Verlegens, der Verä</w:t>
      </w:r>
      <w:r>
        <w:t>n</w:t>
      </w:r>
      <w:r>
        <w:t>derung und des Betriebs von Seekabeln in, über oder unter einer Bundeswasserstraße oder an ihrem Ufer,</w:t>
      </w:r>
    </w:p>
    <w:p w:rsidR="001C22C8" w:rsidRDefault="001C22C8" w:rsidP="001C22C8">
      <w:pPr>
        <w:pStyle w:val="GesAbsatz"/>
      </w:pPr>
      <w:r>
        <w:t>wenn durch die beabsichtigte Maßnahme eine Beeinträchtigung des für die Schifffahrt erforderlichen Z</w:t>
      </w:r>
      <w:r>
        <w:t>u</w:t>
      </w:r>
      <w:r>
        <w:t>standes der Bundeswasserstraße oder der Sicherheit und Leichtigkeit des Verkehrs zu erwarten ist.</w:t>
      </w:r>
    </w:p>
    <w:p w:rsidR="001C22C8" w:rsidRDefault="001C22C8" w:rsidP="001C22C8">
      <w:pPr>
        <w:pStyle w:val="GesAbsatz"/>
      </w:pPr>
      <w:r>
        <w:t>Es sind grundsätzlich zwei Fälle zu unterscheiden, in denen das Fachrecht zur Anwendung kommen kann:</w:t>
      </w:r>
    </w:p>
    <w:p w:rsidR="001C22C8" w:rsidRDefault="001C22C8" w:rsidP="001C22C8">
      <w:pPr>
        <w:pStyle w:val="GesAbsatz"/>
      </w:pPr>
      <w:r>
        <w:t>a)</w:t>
      </w:r>
      <w:r w:rsidR="00AB5C0D">
        <w:tab/>
      </w:r>
      <w:r>
        <w:t>Planungsverfahren</w:t>
      </w:r>
    </w:p>
    <w:p w:rsidR="001C22C8" w:rsidRDefault="001C22C8" w:rsidP="001C22C8">
      <w:pPr>
        <w:pStyle w:val="GesAbsatz"/>
      </w:pPr>
      <w:r>
        <w:t>Die Gemeinde beabsichtigt in ihrem Flächennutzungsplan Konzentrationszonen mit der Wirkung des § 35 Absatz 3 Satz 3 des Baugesetzbuches darzustellen. Die Voraussetzungen von § 35 Absatz 3 Satz 3 des Baugesetzbuches liegen nur vor, wenn die Gemeinde auf der Grundlage einer Untersuchung des gesamten Plangebietes ein schlüssiges Plankonzept für die Ausweisung von Konzentrationszonen erarbeitet hat. Hie</w:t>
      </w:r>
      <w:r>
        <w:t>r</w:t>
      </w:r>
      <w:r>
        <w:t>zu müssen alle abwägungserheblichen Belange vollständig ermittelt und gerecht gegeneinander und unte</w:t>
      </w:r>
      <w:r>
        <w:t>r</w:t>
      </w:r>
      <w:r>
        <w:t>einander gemäß § 1 Absatz 7 des Baugesetzbuches abgewogen werden (siehe Nummer 4.3.1).</w:t>
      </w:r>
    </w:p>
    <w:p w:rsidR="001C22C8" w:rsidRDefault="001C22C8" w:rsidP="001C22C8">
      <w:pPr>
        <w:pStyle w:val="GesAbsatz"/>
      </w:pPr>
      <w:r>
        <w:t>Ob die Errichtung einer Windenergieanlage an den Ufern einer Bundeswasserstraße grundsätzlich zulässig ist, ist bereits im Aufstellungsverfahren zu prüfen. Hierzu beteiligt die Gemeinde das zuständige Wasser- und Schifffahrtsamt. Aus dem Ergebnis der Prüfung ergibt sich, ob und in welchem Umfang das Ufer einer Bundeswasserstraße als hartes Tabukriterium zu werten ist.</w:t>
      </w:r>
    </w:p>
    <w:p w:rsidR="001C22C8" w:rsidRDefault="001C22C8" w:rsidP="001C22C8">
      <w:pPr>
        <w:pStyle w:val="GesAbsatz"/>
      </w:pPr>
      <w:r>
        <w:t>Stellt das zuständige Wasser- und Schifffahrtsamt eine Genehmigung für die Errichtung von Windenergiea</w:t>
      </w:r>
      <w:r>
        <w:t>n</w:t>
      </w:r>
      <w:r>
        <w:t>lagen am Ufer einer Bundeswasserstraße in Aussicht, stellt die Uferzone der Bundeswasserstraße kein ha</w:t>
      </w:r>
      <w:r>
        <w:t>r</w:t>
      </w:r>
      <w:r>
        <w:t>tes Tabukriterium dar.</w:t>
      </w:r>
    </w:p>
    <w:p w:rsidR="001C22C8" w:rsidRDefault="001C22C8" w:rsidP="001C22C8">
      <w:pPr>
        <w:pStyle w:val="GesAbsatz"/>
      </w:pPr>
      <w:r>
        <w:t>b)</w:t>
      </w:r>
      <w:r w:rsidR="00AB5C0D">
        <w:tab/>
      </w:r>
      <w:r>
        <w:t>Genehmigungsverfahren</w:t>
      </w:r>
    </w:p>
    <w:p w:rsidR="001C22C8" w:rsidRDefault="001C22C8" w:rsidP="001C22C8">
      <w:pPr>
        <w:pStyle w:val="GesAbsatz"/>
      </w:pPr>
      <w:r>
        <w:t>Für die Anwendung des Wasserstraßenrechts im Genehmigungsverfahren sind grundsätzlich zwei Fallkon</w:t>
      </w:r>
      <w:r>
        <w:t>s</w:t>
      </w:r>
      <w:r>
        <w:t>tellationen zu unterscheiden.</w:t>
      </w:r>
    </w:p>
    <w:p w:rsidR="001C22C8" w:rsidRDefault="001C22C8" w:rsidP="001C22C8">
      <w:pPr>
        <w:pStyle w:val="GesAbsatz"/>
      </w:pPr>
      <w:r>
        <w:t>Gemeinden ohne Konzentrationszonen: In diesem Fall sind die Belange des Wasserstraßenrechts im Ra</w:t>
      </w:r>
      <w:r>
        <w:t>h</w:t>
      </w:r>
      <w:r>
        <w:t>men der Genehmigung einzelfallbezogen zu prüfen.</w:t>
      </w:r>
    </w:p>
    <w:p w:rsidR="001C22C8" w:rsidRDefault="001C22C8" w:rsidP="001C22C8">
      <w:pPr>
        <w:pStyle w:val="GesAbsatz"/>
      </w:pPr>
      <w:r>
        <w:t>Gemeinden mit Konzentrationszonen: Eine positive Standortzuweisung nach § 35 Absatz 3 Satz 3 des Ba</w:t>
      </w:r>
      <w:r>
        <w:t>u</w:t>
      </w:r>
      <w:r>
        <w:t>gesetzbuches setzt voraus, dass sich die Planung als vollzugsfähig erweist und dass ihr auf unabsehbare Zeit keine unüberwindbaren rechtlichen oder tatsächlichen Hindernisse im Wege stehen (BVerwG, Urt. v. 17.12.2002 – 4 C 15/01). Innerhalb einer im Flächennutzungsplan dargestellten Konzentrationszone dürfen die Belange des § 35 Absatz 3 Satz 1 des Baugesetzbuches, die bereits im Rahmen der Planung abschli</w:t>
      </w:r>
      <w:r>
        <w:t>e</w:t>
      </w:r>
      <w:r>
        <w:t>ßend abgewogen worden sind, bei der Entscheidung über die Zulassung einer Windenergieanlage nicht wieder als Genehmigungshindernis aktiviert werden (vgl. BVerwG, Urt. v. 20.5.2010 – 4 C 7/09). Entgege</w:t>
      </w:r>
      <w:r>
        <w:t>n</w:t>
      </w:r>
      <w:r>
        <w:t>stehende öffentliche Belange werden deswegen für Windenergieanlagen in Konzentrationszonen nur rel</w:t>
      </w:r>
      <w:r>
        <w:t>e</w:t>
      </w:r>
      <w:r>
        <w:t>vant, soweit sie auf Ebene der Bauleitplanung noch nicht abschließend berücksichtigt wurden.</w:t>
      </w:r>
    </w:p>
    <w:p w:rsidR="001C22C8" w:rsidRDefault="001C22C8" w:rsidP="001C22C8">
      <w:pPr>
        <w:pStyle w:val="GesAbsatz"/>
      </w:pPr>
      <w:r>
        <w:t>Es ist von daher nicht zielführend, wenn im Genehmigungsverfahren für eine Windenergieanlage eine wa</w:t>
      </w:r>
      <w:r>
        <w:t>s</w:t>
      </w:r>
      <w:r>
        <w:t>serstraßenrechtliche Genehmigung nicht erteilt werden kann, obwohl das zuständige Wasser- und Schif</w:t>
      </w:r>
      <w:r>
        <w:t>f</w:t>
      </w:r>
      <w:r>
        <w:t>fahrtsamt im Planverfahren beteiligt worden ist und es gegen die Planung keine Bedenken geltend gemacht hat.</w:t>
      </w:r>
    </w:p>
    <w:p w:rsidR="001C22C8" w:rsidRPr="00650908" w:rsidRDefault="001C22C8" w:rsidP="001C22C8">
      <w:pPr>
        <w:pStyle w:val="GesAbsatz"/>
        <w:rPr>
          <w:b/>
        </w:rPr>
      </w:pPr>
      <w:r w:rsidRPr="00650908">
        <w:rPr>
          <w:b/>
        </w:rPr>
        <w:t>8.2.8</w:t>
      </w:r>
      <w:r w:rsidR="00AB5C0D" w:rsidRPr="00650908">
        <w:rPr>
          <w:b/>
        </w:rPr>
        <w:t xml:space="preserve"> </w:t>
      </w:r>
      <w:r w:rsidRPr="00650908">
        <w:rPr>
          <w:b/>
        </w:rPr>
        <w:t>Militärische Anlagen</w:t>
      </w:r>
    </w:p>
    <w:p w:rsidR="001C22C8" w:rsidRDefault="001C22C8" w:rsidP="001C22C8">
      <w:pPr>
        <w:pStyle w:val="GesAbsatz"/>
      </w:pPr>
      <w:r>
        <w:t>Windenergieanlagen können wegen ihrer Auswirkungen insbesondere auf militärische funk- und radartec</w:t>
      </w:r>
      <w:r>
        <w:t>h</w:t>
      </w:r>
      <w:r>
        <w:t>nische Einrichtungen wie auch die Flugsicherheit militärische Interessen berühren oder beeinträchtigen. Das Bundesamt für Infrastruktur, Umweltschutz und Dienstleistungen der Bundeswehr (BAIUDBw) ist als Träger öffentlicher Belange im Planverfahren und Genehmigungsverfahren zur Errichtung von Windenergieanlagen zwingend zu beteiligen. Die Bundeswehr unterstützt den Ausbau erneuerbarer Energien, soweit militärische Belange dem nicht entgegenstehen.</w:t>
      </w:r>
    </w:p>
    <w:p w:rsidR="001C22C8" w:rsidRDefault="001C22C8" w:rsidP="001C22C8">
      <w:pPr>
        <w:pStyle w:val="GesAbsatz"/>
      </w:pPr>
      <w:r>
        <w:t>Militärische Interessen können insbesondere berührt oder beeinträchtigt sein, wenn</w:t>
      </w:r>
    </w:p>
    <w:p w:rsidR="001C22C8" w:rsidRDefault="001C22C8" w:rsidP="00AB5C0D">
      <w:pPr>
        <w:pStyle w:val="GesAbsatz"/>
        <w:ind w:left="426" w:hanging="426"/>
      </w:pPr>
      <w:r>
        <w:lastRenderedPageBreak/>
        <w:t>–</w:t>
      </w:r>
      <w:r w:rsidR="00AB5C0D">
        <w:tab/>
      </w:r>
      <w:r>
        <w:t>Windenergieanlagen innerhalb des Zuständigkeitsbereiches gemäß § 18a des Luftverkehrsgesetzes militärischer Flugplätze errichtet werden sollen,</w:t>
      </w:r>
    </w:p>
    <w:p w:rsidR="001C22C8" w:rsidRDefault="001C22C8" w:rsidP="001C22C8">
      <w:pPr>
        <w:pStyle w:val="GesAbsatz"/>
      </w:pPr>
      <w:r>
        <w:t>–</w:t>
      </w:r>
      <w:r w:rsidR="00AB5C0D">
        <w:tab/>
      </w:r>
      <w:r>
        <w:t>der Interessenbereich von Luftverteidigungsanlagen berührt wird,</w:t>
      </w:r>
    </w:p>
    <w:p w:rsidR="001C22C8" w:rsidRDefault="001C22C8" w:rsidP="001C22C8">
      <w:pPr>
        <w:pStyle w:val="GesAbsatz"/>
      </w:pPr>
      <w:r>
        <w:t>–</w:t>
      </w:r>
      <w:r w:rsidR="00AB5C0D">
        <w:tab/>
      </w:r>
      <w:r>
        <w:t>militärische Funksysteme berührt werden,</w:t>
      </w:r>
    </w:p>
    <w:p w:rsidR="001C22C8" w:rsidRDefault="001C22C8" w:rsidP="001C22C8">
      <w:pPr>
        <w:pStyle w:val="GesAbsatz"/>
      </w:pPr>
      <w:r>
        <w:t>–</w:t>
      </w:r>
      <w:r w:rsidR="00AB5C0D">
        <w:tab/>
      </w:r>
      <w:r>
        <w:t>Hubschraubertiefflugstrecken berührt sind,</w:t>
      </w:r>
    </w:p>
    <w:p w:rsidR="001C22C8" w:rsidRDefault="001C22C8" w:rsidP="00AB5C0D">
      <w:pPr>
        <w:pStyle w:val="GesAbsatz"/>
        <w:ind w:left="426" w:hanging="426"/>
      </w:pPr>
      <w:r>
        <w:t>–</w:t>
      </w:r>
      <w:r w:rsidR="00AB5C0D">
        <w:tab/>
      </w:r>
      <w:r>
        <w:t>Windenergieanlagen innerhalb oder in der Nähe der Schutzbereiche militärischer Anlagen errichtet werden sollen.</w:t>
      </w:r>
    </w:p>
    <w:p w:rsidR="001C22C8" w:rsidRDefault="001C22C8" w:rsidP="001C22C8">
      <w:pPr>
        <w:pStyle w:val="GesAbsatz"/>
      </w:pPr>
      <w:r>
        <w:t>Militärisch genutzte Flughäfen befinden sich in Nordrhein-Westfalen in Nörvenich, Geilenkirchen und Rhe</w:t>
      </w:r>
      <w:r>
        <w:t>i</w:t>
      </w:r>
      <w:r>
        <w:t>ne-</w:t>
      </w:r>
      <w:proofErr w:type="spellStart"/>
      <w:r>
        <w:t>Bentlage</w:t>
      </w:r>
      <w:proofErr w:type="spellEnd"/>
      <w:r>
        <w:t>. Teile der Zuständigkeitsbereiche der militärisch genutzten Flughäfen in Bückeburg (Niede</w:t>
      </w:r>
      <w:r>
        <w:t>r</w:t>
      </w:r>
      <w:r>
        <w:t>sachsen), Fritzlar (Hessen) und Spangdahlem (Rheinland-Pfalz) ragen auf Nordrhein-Westfalen-Gebiet und müssen daher ebenfalls betrachtet werden. Die militärischen Zuständigkeitsbereiche sind online beim Bu</w:t>
      </w:r>
      <w:r>
        <w:t>n</w:t>
      </w:r>
      <w:r>
        <w:t>desaufsichtsamt für Flugsicherung (http://www.baf.bund.de/DE/Home/home_node.html) abgebildet.</w:t>
      </w:r>
    </w:p>
    <w:p w:rsidR="001C22C8" w:rsidRDefault="001C22C8" w:rsidP="001C22C8">
      <w:pPr>
        <w:pStyle w:val="GesAbsatz"/>
      </w:pPr>
      <w:r>
        <w:t>Bei der Planung und Genehmigung von Windenergieanlagen sind neben den zivilen Belangen auch Belange des militärischen Flugbetriebs zu beachten. Neben der Zuständigkeit nach § 30 Absatz 2 des Luftverkehr</w:t>
      </w:r>
      <w:r>
        <w:t>s</w:t>
      </w:r>
      <w:r>
        <w:t>gesetzes für Windenergieanlagen, die innerhalb von Bauschutzbereichen militärischer Flugplätze geplant werden, muss die Bundeswehr zusätzlich ihre verfassungsgemäße Aufgabenwahrnehmung sicherstellen. Dies schließt den Betrieb der Hubschraubertiefflugstrecken, die Nutzung der Sonderlufträume für militär</w:t>
      </w:r>
      <w:r>
        <w:t>i</w:t>
      </w:r>
      <w:r>
        <w:t>schen Übungsflugbetrieb sowie die Luftraumüberwachung (Flugsicherung und Luftverteidigung) mit ein.</w:t>
      </w:r>
    </w:p>
    <w:p w:rsidR="001C22C8" w:rsidRDefault="001C22C8" w:rsidP="001C22C8">
      <w:pPr>
        <w:pStyle w:val="GesAbsatz"/>
      </w:pPr>
      <w:r>
        <w:t>Durch den Betrieb von Windenergieanlagen kann es im Erfassungsbereich der Flugsicherungsanlagen zu Einschränkungen der Radarabdeckung des Luftraums kommen. Dabei können zum Beispiel Positionsu</w:t>
      </w:r>
      <w:r>
        <w:t>n</w:t>
      </w:r>
      <w:r>
        <w:t>genauigkeiten der Flugzieldarstellung und temporäre Verluste von Flugzielen auftreten. Ob und in welchem Umfang eine Störung auftritt, ist unter anderem abhängig von der Art der Radaranlage und ihrer technischen Auslegung, der Entfernung zu einer Windenergieanlage, der Höhe, der Größe, der Bauart und der Anzahl der Windenergieanlagen sowie von topographischen Gegebenheiten und Wetterlagen. Aufgrund dieses Störpotentials müssen alle geplanten Windenergieanlagen innerhalb militärischer Zuständigkeitsbereiche daher geprüft und hinsichtlich der Hinnehmbarkeit der Störung beurteilt werden.</w:t>
      </w:r>
    </w:p>
    <w:p w:rsidR="001C22C8" w:rsidRDefault="001C22C8" w:rsidP="001C22C8">
      <w:pPr>
        <w:pStyle w:val="GesAbsatz"/>
      </w:pPr>
      <w:r>
        <w:t>Die Radaranlagen der Luftverteidigung werden im Rahmen der Bündnisverpflichtungen betrieben und sind daher von besonderer Bedeutung.</w:t>
      </w:r>
    </w:p>
    <w:p w:rsidR="001C22C8" w:rsidRDefault="001C22C8" w:rsidP="001C22C8">
      <w:pPr>
        <w:pStyle w:val="GesAbsatz"/>
      </w:pPr>
      <w:r>
        <w:t>Windenergieanlagen können die dem Zentrum Luftoperationen (ZLO) unterstellten Radaranlagen der Luf</w:t>
      </w:r>
      <w:r>
        <w:t>t</w:t>
      </w:r>
      <w:r>
        <w:t>verteidigung beeinträchtigen, wenn sie mit ihren dämpfungs- und verschattungswirksamen Anteilen (Turm, Gondel, Rotorblattwurzel – etwa unteres Drittel des Rotorblatts) in den Erfassungsbereich der Radaranlagen hineinragen.</w:t>
      </w:r>
    </w:p>
    <w:p w:rsidR="001C22C8" w:rsidRDefault="001C22C8" w:rsidP="001C22C8">
      <w:pPr>
        <w:pStyle w:val="GesAbsatz"/>
      </w:pPr>
      <w:r>
        <w:t>Das generierte Störpotential einer Windenergieanlage entsteht aufgrund deren Nabenanhöhe, Größe und Form der Gondel, Höhe des Standortes in Relation zur Radaranlage. Das Störpotential von zwei oder mehr Windenergieanlagen in einem Gebiet kann aufgrund von drohenden Wechselwirkungen zwischen den Windenergieanlagen noch anwachsen.</w:t>
      </w:r>
    </w:p>
    <w:p w:rsidR="001C22C8" w:rsidRDefault="001C22C8" w:rsidP="001C22C8">
      <w:pPr>
        <w:pStyle w:val="GesAbsatz"/>
      </w:pPr>
      <w:r>
        <w:t>Aufgrund ihres unterschiedlich hohen Störpotentials müssen alle geplanten Windenergieanlagen, die in den Erfassungsbereich der Radaranlage hineinragen daher geprüft und hinsichtlich der Hinnehmbarkeit der St</w:t>
      </w:r>
      <w:r>
        <w:t>ö</w:t>
      </w:r>
      <w:r>
        <w:t>rung beurteilt werden.</w:t>
      </w:r>
    </w:p>
    <w:p w:rsidR="001C22C8" w:rsidRDefault="001C22C8" w:rsidP="001C22C8">
      <w:pPr>
        <w:pStyle w:val="GesAbsatz"/>
      </w:pPr>
      <w:r>
        <w:t>Der Schutzbereich der Radaranlage der Luftverteidigung erstreckt sich auf die ersten 5 Kilometer um jede Anlage. Innerhalb dieses Schutzbereichs nach dem Schutzbereichsgesetz sind nur Bauten erlaubt, die nicht in den Erfassungsbereich der Radaranlage hineinragen.</w:t>
      </w:r>
    </w:p>
    <w:p w:rsidR="001C22C8" w:rsidRDefault="001C22C8" w:rsidP="001C22C8">
      <w:pPr>
        <w:pStyle w:val="GesAbsatz"/>
      </w:pPr>
      <w:r>
        <w:t>Das sich anschließende Interessengebiet erstreckt sich im Umkreis von 5 bis 50 Kilometer zur jeweiligen Anlage. In diesem Gebiet werden Bauvorhaben im Einzelfall durch Fachdienststellen der Bundeswehr g</w:t>
      </w:r>
      <w:r>
        <w:t>e</w:t>
      </w:r>
      <w:r>
        <w:t>prüft und können bei Bedarf mit dem Bauträger abgesprochen werden.</w:t>
      </w:r>
    </w:p>
    <w:p w:rsidR="001C22C8" w:rsidRDefault="001C22C8" w:rsidP="001C22C8">
      <w:pPr>
        <w:pStyle w:val="GesAbsatz"/>
      </w:pPr>
      <w:r>
        <w:t>Radaranlagen der Luftverteidigung in Nordrhein-Westfalen sind:</w:t>
      </w:r>
    </w:p>
    <w:p w:rsidR="001C22C8" w:rsidRDefault="001C22C8" w:rsidP="001C22C8">
      <w:pPr>
        <w:pStyle w:val="GesAbsatz"/>
      </w:pPr>
      <w:r>
        <w:t>–</w:t>
      </w:r>
      <w:r w:rsidR="00AB5C0D">
        <w:tab/>
      </w:r>
      <w:r>
        <w:t>LV Auenhausen,</w:t>
      </w:r>
    </w:p>
    <w:p w:rsidR="001C22C8" w:rsidRDefault="001C22C8" w:rsidP="001C22C8">
      <w:pPr>
        <w:pStyle w:val="GesAbsatz"/>
      </w:pPr>
      <w:r>
        <w:t>–</w:t>
      </w:r>
      <w:r w:rsidR="00AB5C0D">
        <w:tab/>
      </w:r>
      <w:r>
        <w:t>LV Erndtebrück,</w:t>
      </w:r>
    </w:p>
    <w:p w:rsidR="001C22C8" w:rsidRDefault="001C22C8" w:rsidP="001C22C8">
      <w:pPr>
        <w:pStyle w:val="GesAbsatz"/>
      </w:pPr>
      <w:r>
        <w:t>–</w:t>
      </w:r>
      <w:r w:rsidR="00AB5C0D">
        <w:tab/>
      </w:r>
      <w:r>
        <w:t>LV Marienbaum.</w:t>
      </w:r>
    </w:p>
    <w:p w:rsidR="001C22C8" w:rsidRDefault="001C22C8" w:rsidP="001C22C8">
      <w:pPr>
        <w:pStyle w:val="GesAbsatz"/>
      </w:pPr>
      <w:r>
        <w:t>Je nach Stellungnahme der Bundeswehr im Rahmen des Verfahrens zur Änderung des Flächennutzung</w:t>
      </w:r>
      <w:r>
        <w:t>s</w:t>
      </w:r>
      <w:r>
        <w:t>planes muss die planende Gemeinde bewerten, ob die entsprechenden Bereiche als harte Tabuzonen ei</w:t>
      </w:r>
      <w:r>
        <w:t>n</w:t>
      </w:r>
      <w:r>
        <w:t>zuordnen sind. In den Fällen, in denen eine Windenergienutzung grundsätzlich nicht ausgeschlossen ist, kann sie jedoch nicht von einer harten Tabuzone ausgehen. Zur Absicherung ihrer Planungsentscheidung kann der Gemeinde empfohlen werden, die Bundeswehr um eine (unverbindliche) Vorprüfung anhand von Beispielanlagen mit konkreten Angaben zu Standort, Art und Höhe der Anlagen zu bitten. Hierbei ist zu b</w:t>
      </w:r>
      <w:r>
        <w:t>e</w:t>
      </w:r>
      <w:r>
        <w:lastRenderedPageBreak/>
        <w:t>achten, dass mit wachsender Zeit zwischen Vorprüfung und Genehmigungsverfahren die Aussagekraft der Vorprüfung abnimmt.</w:t>
      </w:r>
    </w:p>
    <w:p w:rsidR="001C22C8" w:rsidRDefault="001C22C8" w:rsidP="001C22C8">
      <w:pPr>
        <w:pStyle w:val="GesAbsatz"/>
      </w:pPr>
      <w:r>
        <w:t>In welchem Umfang die Belange der Bundeswehr im Einzelnen betroffen sind, kann erst festgestellt werden, wenn die Daten über die Anzahl, den Typus, die Nabenhöhe, den Rotordurchmesser, die Höhe über Grund, die Höhe über Normal-Null und die genauen Koordinaten der zu errichtenden Windenergieanlagen vorli</w:t>
      </w:r>
      <w:r>
        <w:t>e</w:t>
      </w:r>
      <w:r>
        <w:t>gen. Nur dann kann im Rahmen einer Einzelfallbetrachtung, in Rücksprache mit den zu beteiligenden milit</w:t>
      </w:r>
      <w:r>
        <w:t>ä</w:t>
      </w:r>
      <w:r>
        <w:t>rischen Fachdienststellen eine dezidierte Stellungnahme abgegeben werden.</w:t>
      </w:r>
    </w:p>
    <w:p w:rsidR="001C22C8" w:rsidRDefault="001C22C8" w:rsidP="001C22C8">
      <w:pPr>
        <w:pStyle w:val="GesAbsatz"/>
      </w:pPr>
      <w:r>
        <w:t>Um eine schnelle Bearbeitung von Anträgen unter Einbeziehung aller in Frage kommenden Fachdienstste</w:t>
      </w:r>
      <w:r>
        <w:t>l</w:t>
      </w:r>
      <w:r>
        <w:t>len zu gewährleisten, sind alle Anträge sowie Anfragen an das Bundesamt für Infrastruktur, Umweltschutz und Dienstleistungen der Bundeswehr, Fontainengraben 200, 53123 Bonn (E-Mail: baiudbwtoeb@bundeswehr.org) zu richten.</w:t>
      </w:r>
    </w:p>
    <w:p w:rsidR="001C22C8" w:rsidRPr="00650908" w:rsidRDefault="001C22C8" w:rsidP="001C22C8">
      <w:pPr>
        <w:pStyle w:val="GesAbsatz"/>
        <w:rPr>
          <w:b/>
        </w:rPr>
      </w:pPr>
      <w:r w:rsidRPr="00650908">
        <w:rPr>
          <w:b/>
        </w:rPr>
        <w:t>8.2.9</w:t>
      </w:r>
      <w:r w:rsidR="00AB5C0D" w:rsidRPr="00650908">
        <w:rPr>
          <w:b/>
        </w:rPr>
        <w:t xml:space="preserve"> </w:t>
      </w:r>
      <w:r w:rsidRPr="00650908">
        <w:rPr>
          <w:b/>
        </w:rPr>
        <w:t>Flurbereinigung</w:t>
      </w:r>
    </w:p>
    <w:p w:rsidR="001C22C8" w:rsidRDefault="001C22C8" w:rsidP="001C22C8">
      <w:pPr>
        <w:pStyle w:val="GesAbsatz"/>
      </w:pPr>
      <w:r>
        <w:t>Für Flächen, die in ein laufendes Flurbereinigungsverfahren einbezogen sind, besteht bis zur Unanfechtba</w:t>
      </w:r>
      <w:r>
        <w:t>r</w:t>
      </w:r>
      <w:r>
        <w:t>keit des Flurbereinigungsgesetzes eine Veränderungssperre nach § 34 des Flurbereinigungsgesetzes. Somit ist vor der Errichtung einer Windenergieanlage die Zustimmung der zuständigen Flurbereinigungsbehörde einzuholen. Soweit die Windenergieanlage immissionsschutzrechtlich genehmigungsbedürftig ist, wird diese Zustimmung in die immissionsschutzrechtliche Genehmigung eingeschlossen. Die jeweilige Bezirksregi</w:t>
      </w:r>
      <w:r>
        <w:t>e</w:t>
      </w:r>
      <w:r>
        <w:t>rung wird als Flurbereinigungsbehörde im Genehmigungsverfahren beteiligt. Soweit es sich um eine baug</w:t>
      </w:r>
      <w:r>
        <w:t>e</w:t>
      </w:r>
      <w:r>
        <w:t>nehmigungsbedürftige Windenergieanlage handelt, ist die Zustimmung dabei zusätzlich zu der erteilten Baugenehmigung notwendig und wird durch diese nicht entbehrlich.</w:t>
      </w:r>
    </w:p>
    <w:p w:rsidR="001C22C8" w:rsidRPr="00650908" w:rsidRDefault="001C22C8" w:rsidP="001C22C8">
      <w:pPr>
        <w:pStyle w:val="GesAbsatz"/>
        <w:rPr>
          <w:b/>
        </w:rPr>
      </w:pPr>
      <w:r w:rsidRPr="00650908">
        <w:rPr>
          <w:b/>
        </w:rPr>
        <w:t>8.2.10</w:t>
      </w:r>
      <w:r w:rsidR="00AB5C0D" w:rsidRPr="00650908">
        <w:rPr>
          <w:b/>
        </w:rPr>
        <w:t xml:space="preserve"> </w:t>
      </w:r>
      <w:r w:rsidRPr="00650908">
        <w:rPr>
          <w:b/>
        </w:rPr>
        <w:t>Stromnetze</w:t>
      </w:r>
    </w:p>
    <w:p w:rsidR="001C22C8" w:rsidRDefault="001C22C8" w:rsidP="001C22C8">
      <w:pPr>
        <w:pStyle w:val="GesAbsatz"/>
      </w:pPr>
      <w:r>
        <w:t>Der Ausbau der Windenergie und der Abtransport des erzeugten Stroms zu den Verbrauchszentren bedi</w:t>
      </w:r>
      <w:r>
        <w:t>n</w:t>
      </w:r>
      <w:r>
        <w:t>gen einander. Über 95Prozent des Stroms aus Windenergieanlagen wird dabei zunächst auf der Verteilnet</w:t>
      </w:r>
      <w:r>
        <w:t>z</w:t>
      </w:r>
      <w:r>
        <w:t>ebene eingespeist. Für den großräumigen Transport ist ein Aus- und Umbau der Übertragungsnetze erfo</w:t>
      </w:r>
      <w:r>
        <w:t>r</w:t>
      </w:r>
      <w:r>
        <w:t>derlich. Es ist daher unumgänglich, dass bei der Planung- und Genehmigung von Windenergieanlagen s</w:t>
      </w:r>
      <w:r>
        <w:t>o</w:t>
      </w:r>
      <w:r>
        <w:t>wohl rechtzeitig auf den Netzanschluss des jeweiligen Projekts als auch auf die Vereinbarkeit mit den örtlich vorhandenen oder in Planung befindlichen Stromleitungen und mit diesen zusammenhängenden Einrichtu</w:t>
      </w:r>
      <w:r>
        <w:t>n</w:t>
      </w:r>
      <w:r>
        <w:t>gen (z.B. Umspannanlagen) geachtet wird.</w:t>
      </w:r>
    </w:p>
    <w:p w:rsidR="001C22C8" w:rsidRDefault="001C22C8" w:rsidP="001C22C8">
      <w:pPr>
        <w:pStyle w:val="GesAbsatz"/>
      </w:pPr>
      <w:r>
        <w:t>Stromleitungen mit einer Nennspannung von 110 Kilovolt oder mehr werden durch Planfeststellungsb</w:t>
      </w:r>
      <w:r>
        <w:t>e</w:t>
      </w:r>
      <w:r>
        <w:t>schluss nach den §§ 43ff. des Energiewirtschaftsgesetzes zugelassen. Dieser kann auch Nebenanlagen wie Umspannwerke mit umfassen. Mit der Planfeststellung wird anhand technischer Regelwerke auf der Grun</w:t>
      </w:r>
      <w:r>
        <w:t>d</w:t>
      </w:r>
      <w:r>
        <w:t>lage der Antragsunterlagen ein Schutzstreifen festgelegt, der grundsätzlich von anderer Bebauung freizuha</w:t>
      </w:r>
      <w:r>
        <w:t>l</w:t>
      </w:r>
      <w:r>
        <w:t>ten ist. Andere Vorhaben können mit Zustimmung des Netzbetreibers zugelassen werden. Die Zustimmung zur Planung und Genehmigung von Windenergieanlagen in Schutzstreifen kann in der Regel nicht erteilt werden.</w:t>
      </w:r>
    </w:p>
    <w:p w:rsidR="001C22C8" w:rsidRDefault="001C22C8" w:rsidP="001C22C8">
      <w:pPr>
        <w:pStyle w:val="GesAbsatz"/>
      </w:pPr>
      <w:r>
        <w:t>Als Mindeststandard gilt daher für Freileitungen aller Spannungsebenen, dass auch bei ungünstiger Stellung des Rotors die Blattspitze nicht in den planfestgestellten Schutzstreifen der Freileitung ragen darf.</w:t>
      </w:r>
    </w:p>
    <w:p w:rsidR="001C22C8" w:rsidRDefault="001C22C8" w:rsidP="001C22C8">
      <w:pPr>
        <w:pStyle w:val="GesAbsatz"/>
      </w:pPr>
      <w:r>
        <w:t>In planfestgestellten Schutzstreifen von Erdkabeltrassen ist ein Fundamentstandort einer Windenergieanlage in der Regel nicht zulässig. Es besteht aber keine vergleichbare Gefahr durch Rotorblätter wie für die Leite</w:t>
      </w:r>
      <w:r>
        <w:t>r</w:t>
      </w:r>
      <w:r>
        <w:t>seile bei Freileitungen. Denkbar erscheinen beispielsweise Windenergieanlagen mit Fundamenten auße</w:t>
      </w:r>
      <w:r>
        <w:t>r</w:t>
      </w:r>
      <w:r>
        <w:t>halb des Schutzstreifens, deren Rotorblätter in den Schutzstreifen von Erdkabeln hineinreichen. Die Z</w:t>
      </w:r>
      <w:r>
        <w:t>u</w:t>
      </w:r>
      <w:r>
        <w:t>stimmungsfähigkeit ist stets im Einzelfall zu prüfen.</w:t>
      </w:r>
    </w:p>
    <w:p w:rsidR="001C22C8" w:rsidRDefault="001C22C8" w:rsidP="001C22C8">
      <w:pPr>
        <w:pStyle w:val="GesAbsatz"/>
      </w:pPr>
      <w:r>
        <w:t>Über die Freihaltung des Schutzstreifens hinausgehend stellt sich die Frage des Abstandes von Windene</w:t>
      </w:r>
      <w:r>
        <w:t>r</w:t>
      </w:r>
      <w:r>
        <w:t>gieanlagen zu Freileitungen selbst. Es wird empfohlen, dafür den neuen technischen Standard in DIN EN 50341-2-4 (VDE 0210-2) heranzuziehen.</w:t>
      </w:r>
    </w:p>
    <w:p w:rsidR="001C22C8" w:rsidRDefault="001C22C8" w:rsidP="001C22C8">
      <w:pPr>
        <w:pStyle w:val="GesAbsatz"/>
      </w:pPr>
      <w:r>
        <w:t>a)</w:t>
      </w:r>
      <w:r w:rsidR="00AB5C0D">
        <w:tab/>
      </w:r>
      <w:r>
        <w:t>Planungsverfahren</w:t>
      </w:r>
    </w:p>
    <w:p w:rsidR="001C22C8" w:rsidRDefault="001C22C8" w:rsidP="001C22C8">
      <w:pPr>
        <w:pStyle w:val="GesAbsatz"/>
      </w:pPr>
      <w:r>
        <w:t>Da eine Windenergienutzung in Schutzstreifen von Freileitungen und mit diesen zusammenhängenden Ei</w:t>
      </w:r>
      <w:r>
        <w:t>n</w:t>
      </w:r>
      <w:r>
        <w:t>richtungen nicht möglich ist, sind die Schutzstreifen im Rahmen von Planungsverfahren für Windenergiea</w:t>
      </w:r>
      <w:r>
        <w:t>n</w:t>
      </w:r>
      <w:r>
        <w:t>lagen als sogenannte harte Tabuzonen anzusehen.</w:t>
      </w:r>
    </w:p>
    <w:p w:rsidR="001C22C8" w:rsidRDefault="001C22C8" w:rsidP="001C22C8">
      <w:pPr>
        <w:pStyle w:val="GesAbsatz"/>
      </w:pPr>
      <w:r>
        <w:t>Da Fundamentstandorte von Windenergieanlagen in Schutzstreifen von Erdkabelleitungen und mit diesen zusammenhängenden Einrichtungen nicht möglich sind, muss dies bei der Ausweisung von Flächen für die Windenergienutzung beachtet werden. Dabei ist die Nutzung des Luftraums über dem Schutzstreifen durch den Rotor einer Windenergieanlage grundsätzlich möglich, soweit der Planfeststellungsbeschluss nicht den Luftraum über dem Schutzstreifen schützt, so dass der Schutzstreifen nicht als sogenannte harte Tabuzone von jeglicher Windenergienutzung freigehalten werden muss. Ob im Rahmen einer Konzentrationszone</w:t>
      </w:r>
      <w:r>
        <w:t>n</w:t>
      </w:r>
      <w:r>
        <w:t xml:space="preserve">ausweisung Rotorblätter von Windenergieanlagen in den Schutzstreifen einer Erdkabeltrasse hereinragen </w:t>
      </w:r>
      <w:r>
        <w:lastRenderedPageBreak/>
        <w:t>können, ist von der planenden Gemeinde unter Abfrage des Netzbetreibers und der für das Erdkabel z</w:t>
      </w:r>
      <w:r>
        <w:t>u</w:t>
      </w:r>
      <w:r>
        <w:t>ständigen Planfeststellungsbehörde zu klären.</w:t>
      </w:r>
    </w:p>
    <w:p w:rsidR="001C22C8" w:rsidRDefault="001C22C8" w:rsidP="001C22C8">
      <w:pPr>
        <w:pStyle w:val="GesAbsatz"/>
      </w:pPr>
      <w:r>
        <w:t>Bei Leitungsbauvorhaben, die der Planfeststellung nach §§ 43ff. des Energiewirtschaftsgesetzes unterli</w:t>
      </w:r>
      <w:r>
        <w:t>e</w:t>
      </w:r>
      <w:r>
        <w:t>gen, tritt nach § 44a des Energiewirtschaftsgesetzes mit öffentlicher Auslegung der Planunterlagen von G</w:t>
      </w:r>
      <w:r>
        <w:t>e</w:t>
      </w:r>
      <w:r>
        <w:t>setzes wegen eine Veränderungssperre ein. Bei Leitungsbauvorhaben, die der Bundesfachplanung nach dem Netzausbaubeschleunigungsgesetz (NABEG) unterliegen, kann die Bundesnetzagentur nach § 16 des Netzausbaubeschleunigungsgesetzes mit Abschluss des Bundesfachplanungsverfahrens eine Veränd</w:t>
      </w:r>
      <w:r>
        <w:t>e</w:t>
      </w:r>
      <w:r>
        <w:t>rungssperre anordnen. Derartige Veränderungssperren sind bei der Planung von Konzentrationszonen für Windenergieanlagen zu beachten.</w:t>
      </w:r>
    </w:p>
    <w:p w:rsidR="001C22C8" w:rsidRDefault="001C22C8" w:rsidP="001C22C8">
      <w:pPr>
        <w:pStyle w:val="GesAbsatz"/>
      </w:pPr>
      <w:r>
        <w:t>Soweit die entsprechenden Pläne in Aufstellung befindlich sind, so sind sie im Rahmen der Planung zu b</w:t>
      </w:r>
      <w:r>
        <w:t>e</w:t>
      </w:r>
      <w:r>
        <w:t>rücksichtigen, damit nicht Netzausbaumöglichkeiten und Trassenalternativen einschließlich zugehöriger Nebenanlagen vorzeitig entfallen. Dies gilt insbesondere für Trassen und dazugehörige Nebenanlagen zur Umsetzung der gesetzlichen Bedarfskataloge des Energieleitungsausbaugesetzes und des Bundesbedarf</w:t>
      </w:r>
      <w:r>
        <w:t>s</w:t>
      </w:r>
      <w:r>
        <w:t>plangesetzes.</w:t>
      </w:r>
    </w:p>
    <w:p w:rsidR="001C22C8" w:rsidRDefault="001C22C8" w:rsidP="001C22C8">
      <w:pPr>
        <w:pStyle w:val="GesAbsatz"/>
      </w:pPr>
      <w:r>
        <w:t>Im Hinblick auf eine frühzeitige Konfliktvermeidung zwischen Windenergieausbau und Netzausbau samt Nebenanlagen kann die planende Gemeinde bei Bundesnetzagentur oder Netzbetreiber Informationen über den Planungsstand und den Belang des Netzausbaus samt Nebenanlagenumbau erfragen.</w:t>
      </w:r>
    </w:p>
    <w:p w:rsidR="001C22C8" w:rsidRDefault="001C22C8" w:rsidP="001C22C8">
      <w:pPr>
        <w:pStyle w:val="GesAbsatz"/>
      </w:pPr>
      <w:r>
        <w:t>b)</w:t>
      </w:r>
      <w:r w:rsidR="00AB5C0D">
        <w:tab/>
      </w:r>
      <w:r>
        <w:t>Genehmigungsverfahren</w:t>
      </w:r>
    </w:p>
    <w:p w:rsidR="001C22C8" w:rsidRDefault="001C22C8" w:rsidP="001C22C8">
      <w:pPr>
        <w:pStyle w:val="GesAbsatz"/>
      </w:pPr>
      <w:r>
        <w:t>Der Rotor einer Windenergieanlage darf nicht in den Schutzstreifen einer Freileitung hineinragen. Ob Roto</w:t>
      </w:r>
      <w:r>
        <w:t>r</w:t>
      </w:r>
      <w:r>
        <w:t>blätter von Windenergieanlagen in den Schutzstreifen einer Erdkabeltrasse hereinragen können, ist von der Genehmigungsbehörde unter Abfrage der Zustimmung des Netzbetreibers und der Planfeststellungsbehörde zu klären.</w:t>
      </w:r>
    </w:p>
    <w:p w:rsidR="001C22C8" w:rsidRDefault="001C22C8" w:rsidP="001C22C8">
      <w:pPr>
        <w:pStyle w:val="GesAbsatz"/>
      </w:pPr>
      <w:r>
        <w:t>Wie in Planungsverfahren sind auch in Genehmigungsverfahren bestehende Veränderungssperren und in Aufstellung befindliche Pläne nach obigen Maßgaben zu beachten beziehungsweise zu berücksichtigen.</w:t>
      </w:r>
    </w:p>
    <w:p w:rsidR="001C22C8" w:rsidRPr="00650908" w:rsidRDefault="001C22C8" w:rsidP="001C22C8">
      <w:pPr>
        <w:pStyle w:val="GesAbsatz"/>
        <w:rPr>
          <w:b/>
        </w:rPr>
      </w:pPr>
      <w:r w:rsidRPr="00650908">
        <w:rPr>
          <w:b/>
        </w:rPr>
        <w:t>8.2.11</w:t>
      </w:r>
      <w:r w:rsidR="00AB5C0D" w:rsidRPr="00650908">
        <w:rPr>
          <w:b/>
        </w:rPr>
        <w:t xml:space="preserve"> </w:t>
      </w:r>
      <w:r w:rsidRPr="00650908">
        <w:rPr>
          <w:b/>
        </w:rPr>
        <w:t>Rohrfernleitungen</w:t>
      </w:r>
    </w:p>
    <w:p w:rsidR="001C22C8" w:rsidRDefault="001C22C8" w:rsidP="001C22C8">
      <w:pPr>
        <w:pStyle w:val="GesAbsatz"/>
      </w:pPr>
      <w:r>
        <w:t>Windenergieanlagen können im Nutzungskonflikt mit Rohrfernleitungen stehen. In der gemäß § 20 des G</w:t>
      </w:r>
      <w:r>
        <w:t>e</w:t>
      </w:r>
      <w:r>
        <w:t>setzes über die Umweltverträglichkeitsprüfung erforderlichen Planfeststellung oder Plangenehmigung oder einer nach § 4a der Rohrfernleitungsverordnung (RohrFLtgV) erforderlichen Anzeige für die Errichtung und den Betrieb einer Rohrfernleitungsanlage wird auf Grundlage der Antrags- oder Anzeigeunterlagen jedenfalls ein Schutzstreifen (je nach Nennweite 4 bis mindestens 10 Meter) nach Nummer 3.3.5 der Technischen Regel für Rohrfernleitungsanlagen (TRFL) festgelegt. Sollte keine Zulassung vorliegen, sind die Vorgaben nach § 3 Absatz 2 der Rohrfernleitungsverordnung in Verbindung mit Teil 1 Nummer 3.3.5 der Technischen Regel für Rohrfernleitungsanlagen als fachliche Aussagen über die Schutzbedürftigkeit dennoch zu beac</w:t>
      </w:r>
      <w:r>
        <w:t>h</w:t>
      </w:r>
      <w:r>
        <w:t>ten. Dabei schützt der Schutzstreifen nach Nummer 3.3.5 der Technischen Regel für Rohrfernleitungsanl</w:t>
      </w:r>
      <w:r>
        <w:t>a</w:t>
      </w:r>
      <w:r>
        <w:t>gen die Leitung nicht vor Gefahren aus der Luft. Aber auch diese sind fachlich zu bewerten, sollte die Zula</w:t>
      </w:r>
      <w:r>
        <w:t>s</w:t>
      </w:r>
      <w:r>
        <w:t>sung eine diesbezügliche Regelung enthalten.</w:t>
      </w:r>
    </w:p>
    <w:p w:rsidR="001C22C8" w:rsidRDefault="001C22C8" w:rsidP="001C22C8">
      <w:pPr>
        <w:pStyle w:val="GesAbsatz"/>
      </w:pPr>
      <w:r>
        <w:t>a)</w:t>
      </w:r>
      <w:r w:rsidR="00AB5C0D">
        <w:tab/>
      </w:r>
      <w:r>
        <w:t>Planungsverfahren</w:t>
      </w:r>
    </w:p>
    <w:p w:rsidR="001C22C8" w:rsidRDefault="001C22C8" w:rsidP="001C22C8">
      <w:pPr>
        <w:pStyle w:val="GesAbsatz"/>
      </w:pPr>
      <w:r>
        <w:t>Im Planungsverfahren sind die oben genannten Vorgaben zwingend zu beachten, wenn sie in einer Zula</w:t>
      </w:r>
      <w:r>
        <w:t>s</w:t>
      </w:r>
      <w:r>
        <w:t>sung geregelt sind. Je nach Art des geregelten Schutzstreifens ist der Bau eines Fundaments einer Win</w:t>
      </w:r>
      <w:r>
        <w:t>d</w:t>
      </w:r>
      <w:r>
        <w:t>energieanlage oder auch eines überlagernden Rotorblatts nicht zulässig. Besteht keine Regelung in der Zulassung, sind die oben genannten Vorgaben bei der Planung zu beachten. Die Schutzbedürftigkeit ist abhängig von der Rohrfernleitung und den Eigenschaften des transportierten Stoffes.</w:t>
      </w:r>
    </w:p>
    <w:p w:rsidR="001C22C8" w:rsidRDefault="001C22C8" w:rsidP="001C22C8">
      <w:pPr>
        <w:pStyle w:val="GesAbsatz"/>
      </w:pPr>
      <w:r>
        <w:t>Da der Schutzstreifen nach Nummer 3.3.5 der der Technischen Regel für Rohrfernleitungsanlagen nicht den Schutz vor Gefahren aus dem Luftraum regelt, muss, soweit der Planfeststellungsbeschluss nicht den Luf</w:t>
      </w:r>
      <w:r>
        <w:t>t</w:t>
      </w:r>
      <w:r>
        <w:t>raum über einen Schutzstreifen schützt, die Frage eines auf Zulassungsebene der Windenergienutzung entgegenstehenden Belangs, der für die Umsetzbarkeit der Planung maßgeblich ist, unter Beteiligung des Rohrfernleitungsbetreibers und der für die Rohrfernleitungsanlage zuständigen Behörde geklärt werden.</w:t>
      </w:r>
    </w:p>
    <w:p w:rsidR="001C22C8" w:rsidRDefault="001C22C8" w:rsidP="001C22C8">
      <w:pPr>
        <w:pStyle w:val="GesAbsatz"/>
      </w:pPr>
      <w:r>
        <w:t>Rohrfernleitungen und ihr Schutzstreifen nach Nummer 3.3.5 der Technischen Regel für Rohrfernleitungsa</w:t>
      </w:r>
      <w:r>
        <w:t>n</w:t>
      </w:r>
      <w:r>
        <w:t>lagen können nach Maßgabe des Planfeststellungsbeschlusses in Konzentrationszonen integriert werden.</w:t>
      </w:r>
    </w:p>
    <w:p w:rsidR="001C22C8" w:rsidRDefault="001C22C8" w:rsidP="001C22C8">
      <w:pPr>
        <w:pStyle w:val="GesAbsatz"/>
      </w:pPr>
      <w:r>
        <w:t>Neben dem Ausbau der Stromnetze erfolgt auch ein Ausbau der Fernleitungsnetze. Soweit die entspr</w:t>
      </w:r>
      <w:r>
        <w:t>e</w:t>
      </w:r>
      <w:r>
        <w:t>chenden Pläne in Aufstellung befindlich sind, so sind sie im Rahmen der Planung zu berücksichtigen, damit nicht Netzausbaumöglichkeiten und Trassenalternativen einschließlich zugehöriger Nebenanlagen vorzeitig entfallen. Dies gilt insbesondere für Trassen und dazugehörige Nebenanlagen zur Umsetzung der nation</w:t>
      </w:r>
      <w:r>
        <w:t>a</w:t>
      </w:r>
      <w:r>
        <w:t>len und europäischen Bedarfskataloge. Im Hinblick auf eine frühzeitige Konfliktvermeidung zwischen Win</w:t>
      </w:r>
      <w:r>
        <w:t>d</w:t>
      </w:r>
      <w:r>
        <w:t>energieausbau und Fernleitungsausbau samt Nebenanlagen kann die planende Gemeinde bei Bundesnet</w:t>
      </w:r>
      <w:r>
        <w:t>z</w:t>
      </w:r>
      <w:r>
        <w:t>agentur oder Fernleitungsbetreiber Informationen über den Planungsstand und den Belang des Fernle</w:t>
      </w:r>
      <w:r>
        <w:t>i</w:t>
      </w:r>
      <w:r>
        <w:t>tungsausbaus samt Nebenanlagenumbau erfragen.</w:t>
      </w:r>
    </w:p>
    <w:p w:rsidR="001C22C8" w:rsidRDefault="001C22C8" w:rsidP="001C22C8">
      <w:pPr>
        <w:pStyle w:val="GesAbsatz"/>
      </w:pPr>
      <w:r>
        <w:lastRenderedPageBreak/>
        <w:t>b)</w:t>
      </w:r>
      <w:r w:rsidR="00AB5C0D">
        <w:tab/>
      </w:r>
      <w:r>
        <w:t>Genehmigungsverfahren</w:t>
      </w:r>
    </w:p>
    <w:p w:rsidR="001C22C8" w:rsidRDefault="001C22C8" w:rsidP="001C22C8">
      <w:pPr>
        <w:pStyle w:val="GesAbsatz"/>
      </w:pPr>
      <w:r>
        <w:t>Im Genehmigungsverfahren sind die oben genannten Ausführungen ebenfalls einschlägig.</w:t>
      </w:r>
    </w:p>
    <w:p w:rsidR="001C22C8" w:rsidRPr="00650908" w:rsidRDefault="001C22C8" w:rsidP="001C22C8">
      <w:pPr>
        <w:pStyle w:val="GesAbsatz"/>
        <w:rPr>
          <w:b/>
        </w:rPr>
      </w:pPr>
      <w:r w:rsidRPr="00650908">
        <w:rPr>
          <w:b/>
        </w:rPr>
        <w:t>8.2.12</w:t>
      </w:r>
      <w:r w:rsidR="00AB5C0D" w:rsidRPr="00650908">
        <w:rPr>
          <w:b/>
        </w:rPr>
        <w:t xml:space="preserve"> </w:t>
      </w:r>
      <w:r w:rsidRPr="00650908">
        <w:rPr>
          <w:b/>
        </w:rPr>
        <w:t>Geologischer Dienst</w:t>
      </w:r>
    </w:p>
    <w:p w:rsidR="001C22C8" w:rsidRDefault="001C22C8" w:rsidP="001C22C8">
      <w:pPr>
        <w:pStyle w:val="GesAbsatz"/>
      </w:pPr>
      <w:r>
        <w:t>Windenergieanlagen können im Nutzungskonflikt mit Messstationen des Geologischen Dienstes stehen. Der Geologische Dienst des Landes Nordrhein-Westfalen ist zuständig für die Erdbebenüberwachung und die Bewertung der Erdbebengefährdung in Nordrhein-Westfalen. Zudem ist in Nordrhein-Westfalen ein Erdb</w:t>
      </w:r>
      <w:r>
        <w:t>e</w:t>
      </w:r>
      <w:r>
        <w:t>benalarmsystem als Maßnahme der Gefahrenabwehr und des Katastrophenschutzes eingerichtet.</w:t>
      </w:r>
    </w:p>
    <w:p w:rsidR="001C22C8" w:rsidRDefault="001C22C8" w:rsidP="001C22C8">
      <w:pPr>
        <w:pStyle w:val="GesAbsatz"/>
      </w:pPr>
      <w:r>
        <w:t>In Planungs- und Genehmigungsverfahren für Windenergieanlagen ist der Geologische Dienst diesbezüglich in einem Umkreis von 10 Kilometern um die auf der Internetseite des Geologischen angegebenen Standorte der Erdbebenmessstationen zwingend zu beteiligen (</w:t>
      </w:r>
      <w:hyperlink r:id="rId18" w:history="1">
        <w:r w:rsidRPr="00A9793E">
          <w:rPr>
            <w:rStyle w:val="Hyperlink"/>
          </w:rPr>
          <w:t>http://www.gd.nrw.de/gg_erdbebenstationsnetz.htm</w:t>
        </w:r>
      </w:hyperlink>
      <w:r>
        <w:t>). Der Geologische Dienst führt eine Einzelfallprüfung durch, ob und inwieweit die beabsichtigte Errichtung und der Betrieb der Windenergieanlage zu Beeinträchtigungen des Betriebs der Erdbebenmessstationen führen kann. Somit besteht im Planungsverfahren für den Geologischen Dienst die Möglichkeit, auf eine eventuelle Beeinträchtigung von Erdbebenmessstationen hinzuweisen und auf das Erfordernis einer Einzelfallprüfung im Genehmigungsverfahren aufmerksam zu machen.</w:t>
      </w:r>
    </w:p>
    <w:p w:rsidR="001C22C8" w:rsidRDefault="001C22C8" w:rsidP="001C22C8">
      <w:pPr>
        <w:pStyle w:val="GesAbsatz"/>
      </w:pPr>
      <w:r>
        <w:t>Je nach Stellungnahme des Geologischen Dienstes im Rahmen des Verfahrens zur Änderung des Fläche</w:t>
      </w:r>
      <w:r>
        <w:t>n</w:t>
      </w:r>
      <w:r>
        <w:t>nutzungsplanes muss die planende Gemeinde bewerten, ob die entsprechenden Bereiche als harte Tabuzonen einzuordnen sind. In den Fällen, in denen eine Windenergienutzung grundsätzlich nicht ausg</w:t>
      </w:r>
      <w:r>
        <w:t>e</w:t>
      </w:r>
      <w:r>
        <w:t>schlossen ist, kann sie jedoch nicht von einer harten Tabuzone ausgehen. Zur Absicherung ihrer Planung</w:t>
      </w:r>
      <w:r>
        <w:t>s</w:t>
      </w:r>
      <w:r>
        <w:t>entscheidung kann der Gemeinde empfohlen werden, den Geologischen Dienst um eine (unverbindliche) Vorprüfung anhand von Beispielanlagen mit konkreten Angaben zu Standort, Art und Höhe der Anlagen zu bitten.</w:t>
      </w:r>
    </w:p>
    <w:p w:rsidR="001C22C8" w:rsidRDefault="001C22C8" w:rsidP="001C22C8">
      <w:pPr>
        <w:pStyle w:val="GesAbsatz"/>
      </w:pPr>
      <w:r>
        <w:t>Die Stellungnahme des Geologischen Dienstes ist in Genehmigungsverfahren für Windenergieanlagen zu berücksichtigen.</w:t>
      </w:r>
    </w:p>
    <w:p w:rsidR="001C22C8" w:rsidRDefault="001C22C8" w:rsidP="00AB5C0D">
      <w:pPr>
        <w:pStyle w:val="berschrift3"/>
        <w:jc w:val="left"/>
      </w:pPr>
      <w:bookmarkStart w:id="34" w:name="_Toc451849536"/>
      <w:r>
        <w:t>8.3</w:t>
      </w:r>
      <w:r w:rsidR="00AB5C0D">
        <w:t xml:space="preserve"> </w:t>
      </w:r>
      <w:r>
        <w:t>Anlagenkataster und Meldepflicht</w:t>
      </w:r>
      <w:bookmarkEnd w:id="34"/>
    </w:p>
    <w:p w:rsidR="001C22C8" w:rsidRDefault="001C22C8" w:rsidP="001C22C8">
      <w:pPr>
        <w:pStyle w:val="GesAbsatz"/>
      </w:pPr>
      <w:r>
        <w:t>Die Genehmigungsbehörde hat nach § 3 Absatz 2 des Vermessungs- und Katastergesetzes (VermKatG NRW) die Katasterbehörden über die Erteilung der Genehmigung zu unterrichten.</w:t>
      </w:r>
    </w:p>
    <w:p w:rsidR="001C22C8" w:rsidRDefault="001C22C8" w:rsidP="001C22C8">
      <w:pPr>
        <w:pStyle w:val="GesAbsatz"/>
      </w:pPr>
      <w:r>
        <w:t>Die sogenannte ISA-Datenbank (Informationssystem Stoffe und Anlagen) beim Landesamt für Natur, U</w:t>
      </w:r>
      <w:r>
        <w:t>m</w:t>
      </w:r>
      <w:r>
        <w:t>welt und Verbraucherschutz ermöglicht eine Erfassung der Windenergieanlagen. Die Genehmigungsbehö</w:t>
      </w:r>
      <w:r>
        <w:t>r</w:t>
      </w:r>
      <w:r>
        <w:t>den können ihre Daten in die Datenbank einpflegen.</w:t>
      </w:r>
    </w:p>
    <w:p w:rsidR="001C22C8" w:rsidRDefault="001C22C8" w:rsidP="00AB5C0D">
      <w:pPr>
        <w:pStyle w:val="berschrift2"/>
        <w:jc w:val="left"/>
      </w:pPr>
      <w:bookmarkStart w:id="35" w:name="_Toc451849537"/>
      <w:r>
        <w:t>9</w:t>
      </w:r>
      <w:r w:rsidR="00AB5C0D">
        <w:t xml:space="preserve"> </w:t>
      </w:r>
      <w:r>
        <w:t>Aufhebung</w:t>
      </w:r>
      <w:bookmarkEnd w:id="35"/>
    </w:p>
    <w:p w:rsidR="001C22C8" w:rsidRDefault="001C22C8" w:rsidP="001C22C8">
      <w:pPr>
        <w:pStyle w:val="GesAbsatz"/>
      </w:pPr>
      <w:r>
        <w:t>Der Gemeinsamer Runderlass des Ministeriums für Klimaschutz, Umwelt, Landwirtschaft, Natur- und Ve</w:t>
      </w:r>
      <w:r>
        <w:t>r</w:t>
      </w:r>
      <w:r>
        <w:t>braucherschutz, des Ministeriums für Wirtschaft, Energie, Bauen, Wohnen und Verkehr und der Staatskan</w:t>
      </w:r>
      <w:r>
        <w:t>z</w:t>
      </w:r>
      <w:r>
        <w:t>lei „Erlass für die Planung und Genehmigung von Windenergieanlagen und Hinweise für die Zielsetzung und Anwendung (Windenergie-Erlass)“ vom 11. Juli 2011 (MBl. NRW S. 321) wird aufgehoben.</w:t>
      </w:r>
    </w:p>
    <w:p w:rsidR="00A9793E" w:rsidRDefault="00A9793E" w:rsidP="001C22C8">
      <w:pPr>
        <w:pStyle w:val="GesAbsatz"/>
      </w:pPr>
    </w:p>
    <w:p w:rsidR="00A9793E" w:rsidRDefault="00A9793E" w:rsidP="001C22C8">
      <w:pPr>
        <w:pStyle w:val="GesAbsatz"/>
      </w:pPr>
    </w:p>
    <w:p w:rsidR="00A9793E" w:rsidRDefault="00A9793E" w:rsidP="001C22C8">
      <w:pPr>
        <w:pStyle w:val="GesAbsatz"/>
      </w:pPr>
    </w:p>
    <w:p w:rsidR="00AB5C0D" w:rsidRDefault="00AB5C0D">
      <w:pPr>
        <w:tabs>
          <w:tab w:val="clear" w:pos="425"/>
        </w:tabs>
        <w:overflowPunct/>
        <w:autoSpaceDE/>
        <w:autoSpaceDN/>
        <w:adjustRightInd/>
        <w:spacing w:before="0" w:after="0"/>
        <w:jc w:val="left"/>
        <w:textAlignment w:val="auto"/>
        <w:rPr>
          <w:color w:val="000000"/>
        </w:rPr>
      </w:pPr>
      <w:r>
        <w:br w:type="page"/>
      </w:r>
    </w:p>
    <w:p w:rsidR="00AB5C0D" w:rsidRDefault="00E754B7" w:rsidP="00E754B7">
      <w:pPr>
        <w:pStyle w:val="berschrift2"/>
        <w:jc w:val="left"/>
      </w:pPr>
      <w:bookmarkStart w:id="36" w:name="_Toc451849538"/>
      <w:r w:rsidRPr="00E754B7">
        <w:lastRenderedPageBreak/>
        <w:t>Anhang zum Windenergie-Erlass vom 4.11.2015</w:t>
      </w:r>
      <w:bookmarkEnd w:id="36"/>
    </w:p>
    <w:p w:rsidR="00E754B7" w:rsidRDefault="00E754B7" w:rsidP="001C22C8">
      <w:pPr>
        <w:pStyle w:val="GesAbsatz"/>
        <w:rPr>
          <w:b/>
        </w:rPr>
      </w:pPr>
      <w:r w:rsidRPr="00E754B7">
        <w:rPr>
          <w:b/>
        </w:rPr>
        <w:t>Zu Nummer 4.3.3 „Prüfschritte Konzentrationszonenplanung“:</w:t>
      </w:r>
    </w:p>
    <w:p w:rsidR="00E754B7" w:rsidRDefault="00E754B7" w:rsidP="001C22C8">
      <w:pPr>
        <w:pStyle w:val="GesAbsatz"/>
      </w:pPr>
      <w:r>
        <w:rPr>
          <w:noProof/>
        </w:rPr>
        <w:drawing>
          <wp:inline distT="0" distB="0" distL="0" distR="0">
            <wp:extent cx="6120130" cy="4588502"/>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588502"/>
                    </a:xfrm>
                    <a:prstGeom prst="rect">
                      <a:avLst/>
                    </a:prstGeom>
                    <a:noFill/>
                    <a:ln>
                      <a:noFill/>
                    </a:ln>
                  </pic:spPr>
                </pic:pic>
              </a:graphicData>
            </a:graphic>
          </wp:inline>
        </w:drawing>
      </w:r>
    </w:p>
    <w:p w:rsidR="00E754B7" w:rsidRDefault="00E754B7" w:rsidP="001C22C8">
      <w:pPr>
        <w:pStyle w:val="GesAbsatz"/>
      </w:pPr>
    </w:p>
    <w:p w:rsidR="00E754B7" w:rsidRPr="00E754B7" w:rsidRDefault="00E754B7" w:rsidP="001C22C8">
      <w:pPr>
        <w:pStyle w:val="GesAbsatz"/>
        <w:rPr>
          <w:b/>
        </w:rPr>
      </w:pPr>
      <w:r w:rsidRPr="00E754B7">
        <w:rPr>
          <w:b/>
        </w:rPr>
        <w:t>Zu Nummer 5.1.2 „Windfarm“:</w:t>
      </w:r>
    </w:p>
    <w:p w:rsidR="00E754B7" w:rsidRDefault="00E754B7" w:rsidP="001C22C8">
      <w:pPr>
        <w:pStyle w:val="GesAbsatz"/>
      </w:pPr>
      <w:r>
        <w:rPr>
          <w:noProof/>
        </w:rPr>
        <w:drawing>
          <wp:inline distT="0" distB="0" distL="0" distR="0">
            <wp:extent cx="6120130" cy="349434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494348"/>
                    </a:xfrm>
                    <a:prstGeom prst="rect">
                      <a:avLst/>
                    </a:prstGeom>
                    <a:noFill/>
                    <a:ln>
                      <a:noFill/>
                    </a:ln>
                  </pic:spPr>
                </pic:pic>
              </a:graphicData>
            </a:graphic>
          </wp:inline>
        </w:drawing>
      </w:r>
    </w:p>
    <w:p w:rsidR="00E754B7" w:rsidRPr="00E754B7" w:rsidRDefault="00E754B7" w:rsidP="000E5718">
      <w:pPr>
        <w:pStyle w:val="GesAbsatz"/>
        <w:keepLines/>
        <w:rPr>
          <w:b/>
        </w:rPr>
      </w:pPr>
      <w:r w:rsidRPr="00E754B7">
        <w:rPr>
          <w:b/>
        </w:rPr>
        <w:lastRenderedPageBreak/>
        <w:t>Zu Nummer 8.2.2.1 Tabelle „Wertstufen“:</w:t>
      </w:r>
    </w:p>
    <w:tbl>
      <w:tblPr>
        <w:tblStyle w:val="Tabellenraster"/>
        <w:tblW w:w="0" w:type="auto"/>
        <w:tblLook w:val="04A0" w:firstRow="1" w:lastRow="0" w:firstColumn="1" w:lastColumn="0" w:noHBand="0" w:noVBand="1"/>
      </w:tblPr>
      <w:tblGrid>
        <w:gridCol w:w="1072"/>
        <w:gridCol w:w="2310"/>
        <w:gridCol w:w="2157"/>
        <w:gridCol w:w="2157"/>
        <w:gridCol w:w="2158"/>
      </w:tblGrid>
      <w:tr w:rsidR="00E754B7" w:rsidRPr="00E754B7" w:rsidTr="00E754B7">
        <w:tc>
          <w:tcPr>
            <w:tcW w:w="425" w:type="dxa"/>
            <w:vAlign w:val="center"/>
          </w:tcPr>
          <w:p w:rsidR="00E754B7" w:rsidRPr="00E754B7" w:rsidRDefault="00E754B7" w:rsidP="000E5718">
            <w:pPr>
              <w:pStyle w:val="GesAbsatz"/>
              <w:keepLines/>
              <w:tabs>
                <w:tab w:val="clear" w:pos="425"/>
              </w:tabs>
              <w:jc w:val="left"/>
            </w:pPr>
            <w:r w:rsidRPr="00E754B7">
              <w:t>Wertstufe</w:t>
            </w:r>
          </w:p>
        </w:tc>
        <w:tc>
          <w:tcPr>
            <w:tcW w:w="2338" w:type="dxa"/>
            <w:vAlign w:val="center"/>
          </w:tcPr>
          <w:p w:rsidR="00E754B7" w:rsidRPr="00E754B7" w:rsidRDefault="00E754B7" w:rsidP="000E5718">
            <w:pPr>
              <w:pStyle w:val="GesAbsatz"/>
              <w:keepLines/>
              <w:tabs>
                <w:tab w:val="clear" w:pos="425"/>
              </w:tabs>
              <w:jc w:val="left"/>
            </w:pPr>
            <w:r w:rsidRPr="00E754B7">
              <w:t>Landschaftsbildeinheit</w:t>
            </w:r>
          </w:p>
        </w:tc>
        <w:tc>
          <w:tcPr>
            <w:tcW w:w="2338" w:type="dxa"/>
            <w:vAlign w:val="center"/>
          </w:tcPr>
          <w:p w:rsidR="00E754B7" w:rsidRPr="00E754B7" w:rsidRDefault="00E754B7" w:rsidP="000E5718">
            <w:pPr>
              <w:pStyle w:val="GesAbsatz"/>
              <w:keepLines/>
              <w:tabs>
                <w:tab w:val="clear" w:pos="425"/>
              </w:tabs>
              <w:jc w:val="left"/>
            </w:pPr>
            <w:r w:rsidRPr="00E754B7">
              <w:t>bis zu 2 WEA Ersat</w:t>
            </w:r>
            <w:r w:rsidRPr="00E754B7">
              <w:t>z</w:t>
            </w:r>
            <w:r w:rsidRPr="00E754B7">
              <w:t>geld pro Anlage je Meter Anlagenhöhe</w:t>
            </w:r>
          </w:p>
        </w:tc>
        <w:tc>
          <w:tcPr>
            <w:tcW w:w="2338" w:type="dxa"/>
            <w:vAlign w:val="center"/>
          </w:tcPr>
          <w:p w:rsidR="00E754B7" w:rsidRPr="00E754B7" w:rsidRDefault="00E754B7" w:rsidP="000E5718">
            <w:pPr>
              <w:pStyle w:val="GesAbsatz"/>
              <w:keepLines/>
              <w:tabs>
                <w:tab w:val="clear" w:pos="425"/>
              </w:tabs>
              <w:jc w:val="left"/>
            </w:pPr>
            <w:r w:rsidRPr="00E754B7">
              <w:t>Windparks mit 3-5 Anlagen Ersatzgeld pro Anlage je Meter Anlagenhöhe</w:t>
            </w:r>
          </w:p>
        </w:tc>
        <w:tc>
          <w:tcPr>
            <w:tcW w:w="2339" w:type="dxa"/>
            <w:vAlign w:val="center"/>
          </w:tcPr>
          <w:p w:rsidR="00E754B7" w:rsidRPr="00E754B7" w:rsidRDefault="00E754B7" w:rsidP="000E5718">
            <w:pPr>
              <w:pStyle w:val="GesAbsatz"/>
              <w:keepLines/>
              <w:tabs>
                <w:tab w:val="clear" w:pos="425"/>
              </w:tabs>
              <w:jc w:val="left"/>
            </w:pPr>
            <w:r w:rsidRPr="00E754B7">
              <w:t>Windparks ab 6 A</w:t>
            </w:r>
            <w:r w:rsidRPr="00E754B7">
              <w:t>n</w:t>
            </w:r>
            <w:r w:rsidRPr="00E754B7">
              <w:t>lagen Ersatzgeld pro Anlage je Meter A</w:t>
            </w:r>
            <w:r w:rsidRPr="00E754B7">
              <w:t>n</w:t>
            </w:r>
            <w:r w:rsidRPr="00E754B7">
              <w:t>lagenhöhe</w:t>
            </w:r>
          </w:p>
        </w:tc>
      </w:tr>
      <w:tr w:rsidR="00E754B7" w:rsidRPr="00E754B7" w:rsidTr="00E754B7">
        <w:tc>
          <w:tcPr>
            <w:tcW w:w="425" w:type="dxa"/>
          </w:tcPr>
          <w:p w:rsidR="00E754B7" w:rsidRPr="00E754B7" w:rsidRDefault="00E754B7" w:rsidP="00A47F10">
            <w:pPr>
              <w:pStyle w:val="GesAbsatz"/>
              <w:tabs>
                <w:tab w:val="clear" w:pos="425"/>
              </w:tabs>
            </w:pPr>
            <w:r w:rsidRPr="00E754B7">
              <w:t>1</w:t>
            </w:r>
          </w:p>
        </w:tc>
        <w:tc>
          <w:tcPr>
            <w:tcW w:w="2338" w:type="dxa"/>
          </w:tcPr>
          <w:p w:rsidR="00E754B7" w:rsidRPr="00E754B7" w:rsidRDefault="00E754B7" w:rsidP="00A47F10">
            <w:pPr>
              <w:pStyle w:val="GesAbsatz"/>
              <w:tabs>
                <w:tab w:val="clear" w:pos="425"/>
              </w:tabs>
            </w:pPr>
            <w:r w:rsidRPr="00E754B7">
              <w:t>sehr gering / gering</w:t>
            </w:r>
          </w:p>
        </w:tc>
        <w:tc>
          <w:tcPr>
            <w:tcW w:w="2338" w:type="dxa"/>
          </w:tcPr>
          <w:p w:rsidR="00E754B7" w:rsidRPr="00E754B7" w:rsidRDefault="00E754B7" w:rsidP="00A47F10">
            <w:pPr>
              <w:pStyle w:val="GesAbsatz"/>
              <w:tabs>
                <w:tab w:val="clear" w:pos="425"/>
              </w:tabs>
            </w:pPr>
            <w:r w:rsidRPr="00E754B7">
              <w:t>100 €</w:t>
            </w:r>
          </w:p>
        </w:tc>
        <w:tc>
          <w:tcPr>
            <w:tcW w:w="2338" w:type="dxa"/>
          </w:tcPr>
          <w:p w:rsidR="00E754B7" w:rsidRPr="00E754B7" w:rsidRDefault="00E754B7" w:rsidP="00A47F10">
            <w:pPr>
              <w:pStyle w:val="GesAbsatz"/>
              <w:tabs>
                <w:tab w:val="clear" w:pos="425"/>
              </w:tabs>
            </w:pPr>
            <w:r w:rsidRPr="00E754B7">
              <w:t>75 €</w:t>
            </w:r>
          </w:p>
        </w:tc>
        <w:tc>
          <w:tcPr>
            <w:tcW w:w="2339" w:type="dxa"/>
          </w:tcPr>
          <w:p w:rsidR="00E754B7" w:rsidRPr="00E754B7" w:rsidRDefault="00E754B7" w:rsidP="00A47F10">
            <w:pPr>
              <w:pStyle w:val="GesAbsatz"/>
              <w:tabs>
                <w:tab w:val="clear" w:pos="425"/>
              </w:tabs>
            </w:pPr>
            <w:r w:rsidRPr="00E754B7">
              <w:t>50 €</w:t>
            </w:r>
          </w:p>
        </w:tc>
      </w:tr>
      <w:tr w:rsidR="00E754B7" w:rsidRPr="00E754B7" w:rsidTr="00E754B7">
        <w:tc>
          <w:tcPr>
            <w:tcW w:w="425" w:type="dxa"/>
          </w:tcPr>
          <w:p w:rsidR="00E754B7" w:rsidRPr="00E754B7" w:rsidRDefault="00E754B7" w:rsidP="00A47F10">
            <w:pPr>
              <w:pStyle w:val="GesAbsatz"/>
              <w:tabs>
                <w:tab w:val="clear" w:pos="425"/>
              </w:tabs>
            </w:pPr>
            <w:r w:rsidRPr="00E754B7">
              <w:t>2</w:t>
            </w:r>
          </w:p>
        </w:tc>
        <w:tc>
          <w:tcPr>
            <w:tcW w:w="2338" w:type="dxa"/>
          </w:tcPr>
          <w:p w:rsidR="00E754B7" w:rsidRPr="00E754B7" w:rsidRDefault="00E754B7" w:rsidP="00A47F10">
            <w:pPr>
              <w:pStyle w:val="GesAbsatz"/>
              <w:tabs>
                <w:tab w:val="clear" w:pos="425"/>
              </w:tabs>
            </w:pPr>
            <w:r w:rsidRPr="00E754B7">
              <w:t>mittel</w:t>
            </w:r>
          </w:p>
        </w:tc>
        <w:tc>
          <w:tcPr>
            <w:tcW w:w="2338" w:type="dxa"/>
          </w:tcPr>
          <w:p w:rsidR="00E754B7" w:rsidRPr="00E754B7" w:rsidRDefault="00E754B7" w:rsidP="00A47F10">
            <w:pPr>
              <w:pStyle w:val="GesAbsatz"/>
              <w:tabs>
                <w:tab w:val="clear" w:pos="425"/>
              </w:tabs>
            </w:pPr>
            <w:r w:rsidRPr="00E754B7">
              <w:t>200 €</w:t>
            </w:r>
          </w:p>
        </w:tc>
        <w:tc>
          <w:tcPr>
            <w:tcW w:w="2338" w:type="dxa"/>
          </w:tcPr>
          <w:p w:rsidR="00E754B7" w:rsidRPr="00E754B7" w:rsidRDefault="00E754B7" w:rsidP="00A47F10">
            <w:pPr>
              <w:pStyle w:val="GesAbsatz"/>
              <w:tabs>
                <w:tab w:val="clear" w:pos="425"/>
              </w:tabs>
            </w:pPr>
            <w:r w:rsidRPr="00E754B7">
              <w:t>160 €</w:t>
            </w:r>
          </w:p>
        </w:tc>
        <w:tc>
          <w:tcPr>
            <w:tcW w:w="2339" w:type="dxa"/>
          </w:tcPr>
          <w:p w:rsidR="00E754B7" w:rsidRPr="00E754B7" w:rsidRDefault="00E754B7" w:rsidP="00A47F10">
            <w:pPr>
              <w:pStyle w:val="GesAbsatz"/>
              <w:tabs>
                <w:tab w:val="clear" w:pos="425"/>
              </w:tabs>
            </w:pPr>
            <w:r w:rsidRPr="00E754B7">
              <w:t>120 €</w:t>
            </w:r>
          </w:p>
        </w:tc>
      </w:tr>
      <w:tr w:rsidR="00E754B7" w:rsidRPr="00E754B7" w:rsidTr="00E754B7">
        <w:tc>
          <w:tcPr>
            <w:tcW w:w="425" w:type="dxa"/>
          </w:tcPr>
          <w:p w:rsidR="00E754B7" w:rsidRPr="00E754B7" w:rsidRDefault="00E754B7" w:rsidP="00A47F10">
            <w:pPr>
              <w:pStyle w:val="GesAbsatz"/>
              <w:tabs>
                <w:tab w:val="clear" w:pos="425"/>
              </w:tabs>
            </w:pPr>
            <w:r w:rsidRPr="00E754B7">
              <w:t>3</w:t>
            </w:r>
          </w:p>
        </w:tc>
        <w:tc>
          <w:tcPr>
            <w:tcW w:w="2338" w:type="dxa"/>
          </w:tcPr>
          <w:p w:rsidR="00E754B7" w:rsidRPr="00E754B7" w:rsidRDefault="00E754B7" w:rsidP="00A47F10">
            <w:pPr>
              <w:pStyle w:val="GesAbsatz"/>
              <w:tabs>
                <w:tab w:val="clear" w:pos="425"/>
              </w:tabs>
            </w:pPr>
            <w:r w:rsidRPr="00E754B7">
              <w:t>hoch</w:t>
            </w:r>
          </w:p>
        </w:tc>
        <w:tc>
          <w:tcPr>
            <w:tcW w:w="2338" w:type="dxa"/>
          </w:tcPr>
          <w:p w:rsidR="00E754B7" w:rsidRPr="00E754B7" w:rsidRDefault="00E754B7" w:rsidP="00A47F10">
            <w:pPr>
              <w:pStyle w:val="GesAbsatz"/>
              <w:tabs>
                <w:tab w:val="clear" w:pos="425"/>
              </w:tabs>
            </w:pPr>
            <w:r w:rsidRPr="00E754B7">
              <w:t>400 €</w:t>
            </w:r>
          </w:p>
        </w:tc>
        <w:tc>
          <w:tcPr>
            <w:tcW w:w="2338" w:type="dxa"/>
          </w:tcPr>
          <w:p w:rsidR="00E754B7" w:rsidRPr="00E754B7" w:rsidRDefault="00E754B7" w:rsidP="00A47F10">
            <w:pPr>
              <w:pStyle w:val="GesAbsatz"/>
              <w:tabs>
                <w:tab w:val="clear" w:pos="425"/>
              </w:tabs>
            </w:pPr>
            <w:r w:rsidRPr="00E754B7">
              <w:t>340 €</w:t>
            </w:r>
          </w:p>
        </w:tc>
        <w:tc>
          <w:tcPr>
            <w:tcW w:w="2339" w:type="dxa"/>
          </w:tcPr>
          <w:p w:rsidR="00E754B7" w:rsidRPr="00E754B7" w:rsidRDefault="00E754B7" w:rsidP="00A47F10">
            <w:pPr>
              <w:pStyle w:val="GesAbsatz"/>
              <w:tabs>
                <w:tab w:val="clear" w:pos="425"/>
              </w:tabs>
            </w:pPr>
            <w:r w:rsidRPr="00E754B7">
              <w:t>280 €</w:t>
            </w:r>
          </w:p>
        </w:tc>
      </w:tr>
      <w:tr w:rsidR="00E754B7" w:rsidRPr="00E754B7" w:rsidTr="00E754B7">
        <w:tc>
          <w:tcPr>
            <w:tcW w:w="425" w:type="dxa"/>
          </w:tcPr>
          <w:p w:rsidR="00E754B7" w:rsidRPr="00E754B7" w:rsidRDefault="00E754B7" w:rsidP="00A47F10">
            <w:pPr>
              <w:pStyle w:val="GesAbsatz"/>
              <w:tabs>
                <w:tab w:val="clear" w:pos="425"/>
              </w:tabs>
            </w:pPr>
            <w:r w:rsidRPr="00E754B7">
              <w:t>4</w:t>
            </w:r>
          </w:p>
        </w:tc>
        <w:tc>
          <w:tcPr>
            <w:tcW w:w="2338" w:type="dxa"/>
          </w:tcPr>
          <w:p w:rsidR="00E754B7" w:rsidRPr="00E754B7" w:rsidRDefault="00E754B7" w:rsidP="00A47F10">
            <w:pPr>
              <w:pStyle w:val="GesAbsatz"/>
              <w:tabs>
                <w:tab w:val="clear" w:pos="425"/>
              </w:tabs>
            </w:pPr>
            <w:r w:rsidRPr="00E754B7">
              <w:t>sehr hoch</w:t>
            </w:r>
          </w:p>
        </w:tc>
        <w:tc>
          <w:tcPr>
            <w:tcW w:w="2338" w:type="dxa"/>
          </w:tcPr>
          <w:p w:rsidR="00E754B7" w:rsidRPr="00E754B7" w:rsidRDefault="00E754B7" w:rsidP="00A47F10">
            <w:pPr>
              <w:pStyle w:val="GesAbsatz"/>
              <w:tabs>
                <w:tab w:val="clear" w:pos="425"/>
              </w:tabs>
            </w:pPr>
            <w:r w:rsidRPr="00E754B7">
              <w:t>800 €</w:t>
            </w:r>
          </w:p>
        </w:tc>
        <w:tc>
          <w:tcPr>
            <w:tcW w:w="2338" w:type="dxa"/>
          </w:tcPr>
          <w:p w:rsidR="00E754B7" w:rsidRPr="00E754B7" w:rsidRDefault="00E754B7" w:rsidP="00A47F10">
            <w:pPr>
              <w:pStyle w:val="GesAbsatz"/>
              <w:tabs>
                <w:tab w:val="clear" w:pos="425"/>
              </w:tabs>
            </w:pPr>
            <w:r w:rsidRPr="00E754B7">
              <w:t>720 €</w:t>
            </w:r>
          </w:p>
        </w:tc>
        <w:tc>
          <w:tcPr>
            <w:tcW w:w="2339" w:type="dxa"/>
          </w:tcPr>
          <w:p w:rsidR="00E754B7" w:rsidRPr="00E754B7" w:rsidRDefault="00E754B7" w:rsidP="00A47F10">
            <w:pPr>
              <w:pStyle w:val="GesAbsatz"/>
              <w:tabs>
                <w:tab w:val="clear" w:pos="425"/>
              </w:tabs>
            </w:pPr>
            <w:r w:rsidRPr="00E754B7">
              <w:t>640 €</w:t>
            </w:r>
          </w:p>
        </w:tc>
      </w:tr>
    </w:tbl>
    <w:p w:rsidR="00E754B7" w:rsidRDefault="00E754B7" w:rsidP="00E754B7">
      <w:pPr>
        <w:pStyle w:val="GesAbsatz"/>
      </w:pPr>
    </w:p>
    <w:p w:rsidR="00E754B7" w:rsidRPr="00E754B7" w:rsidRDefault="00E754B7" w:rsidP="00E754B7">
      <w:pPr>
        <w:pStyle w:val="GesAbsatz"/>
        <w:rPr>
          <w:b/>
        </w:rPr>
      </w:pPr>
      <w:r w:rsidRPr="00E754B7">
        <w:rPr>
          <w:b/>
        </w:rPr>
        <w:t>Zu Nummer 8.2.2.5 „Konzentrationszonenplanung bei Landschaftsschutzgebieten“:</w:t>
      </w:r>
    </w:p>
    <w:p w:rsidR="00E754B7" w:rsidRDefault="00E754B7" w:rsidP="00E754B7">
      <w:pPr>
        <w:pStyle w:val="GesAbsatz"/>
      </w:pPr>
      <w:r>
        <w:rPr>
          <w:noProof/>
        </w:rPr>
        <w:drawing>
          <wp:inline distT="0" distB="0" distL="0" distR="0">
            <wp:extent cx="6120130" cy="4360009"/>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360009"/>
                    </a:xfrm>
                    <a:prstGeom prst="rect">
                      <a:avLst/>
                    </a:prstGeom>
                    <a:noFill/>
                    <a:ln>
                      <a:noFill/>
                    </a:ln>
                  </pic:spPr>
                </pic:pic>
              </a:graphicData>
            </a:graphic>
          </wp:inline>
        </w:drawing>
      </w:r>
    </w:p>
    <w:p w:rsidR="00DE7025" w:rsidRDefault="00DE7025">
      <w:pPr>
        <w:tabs>
          <w:tab w:val="clear" w:pos="425"/>
        </w:tabs>
        <w:overflowPunct/>
        <w:autoSpaceDE/>
        <w:autoSpaceDN/>
        <w:adjustRightInd/>
        <w:spacing w:before="0" w:after="0"/>
        <w:jc w:val="left"/>
        <w:textAlignment w:val="auto"/>
        <w:rPr>
          <w:color w:val="000000"/>
        </w:rPr>
      </w:pPr>
      <w:r>
        <w:br w:type="page"/>
      </w:r>
    </w:p>
    <w:p w:rsidR="00B62D98" w:rsidRDefault="009E6507" w:rsidP="009E6507">
      <w:pPr>
        <w:pStyle w:val="berschrift2"/>
        <w:jc w:val="left"/>
      </w:pPr>
      <w:bookmarkStart w:id="37" w:name="_Toc451849539"/>
      <w:r>
        <w:lastRenderedPageBreak/>
        <w:t xml:space="preserve">Anlage </w:t>
      </w:r>
      <w:r w:rsidR="00B62D98">
        <w:t>1</w:t>
      </w:r>
      <w:bookmarkEnd w:id="37"/>
    </w:p>
    <w:p w:rsidR="00B62D98" w:rsidRPr="009E6507" w:rsidRDefault="00B62D98" w:rsidP="009E6507">
      <w:pPr>
        <w:pStyle w:val="GesAbsatz"/>
        <w:jc w:val="center"/>
        <w:rPr>
          <w:b/>
        </w:rPr>
      </w:pPr>
      <w:r w:rsidRPr="009E6507">
        <w:rPr>
          <w:b/>
        </w:rPr>
        <w:t>Verfahren zur Landschaftsbildbewertung</w:t>
      </w:r>
      <w:r w:rsidR="009E6507" w:rsidRPr="009E6507">
        <w:rPr>
          <w:b/>
        </w:rPr>
        <w:t xml:space="preserve"> </w:t>
      </w:r>
      <w:r w:rsidRPr="009E6507">
        <w:rPr>
          <w:b/>
        </w:rPr>
        <w:t>im Zuge der Ersatzgeld-Ermittlung</w:t>
      </w:r>
      <w:r w:rsidR="009E6507" w:rsidRPr="009E6507">
        <w:rPr>
          <w:b/>
        </w:rPr>
        <w:t xml:space="preserve"> </w:t>
      </w:r>
      <w:r w:rsidRPr="009E6507">
        <w:rPr>
          <w:b/>
        </w:rPr>
        <w:t>für Eingriffe</w:t>
      </w:r>
      <w:r w:rsidR="009E6507">
        <w:rPr>
          <w:b/>
        </w:rPr>
        <w:br/>
      </w:r>
      <w:r w:rsidRPr="009E6507">
        <w:rPr>
          <w:b/>
        </w:rPr>
        <w:t>in das Landschaftsbild</w:t>
      </w:r>
      <w:r w:rsidR="009E6507" w:rsidRPr="009E6507">
        <w:rPr>
          <w:b/>
        </w:rPr>
        <w:t xml:space="preserve"> </w:t>
      </w:r>
      <w:r w:rsidRPr="009E6507">
        <w:rPr>
          <w:b/>
        </w:rPr>
        <w:t>durch den Bau von Windenergieanlagen</w:t>
      </w:r>
    </w:p>
    <w:tbl>
      <w:tblPr>
        <w:tblStyle w:val="Tabellenraster"/>
        <w:tblW w:w="0" w:type="auto"/>
        <w:tblLook w:val="04A0" w:firstRow="1" w:lastRow="0" w:firstColumn="1" w:lastColumn="0" w:noHBand="0" w:noVBand="1"/>
      </w:tblPr>
      <w:tblGrid>
        <w:gridCol w:w="9778"/>
      </w:tblGrid>
      <w:tr w:rsidR="009E6507" w:rsidRPr="009E6507" w:rsidTr="009E6507">
        <w:tc>
          <w:tcPr>
            <w:tcW w:w="9778" w:type="dxa"/>
          </w:tcPr>
          <w:p w:rsidR="009E6507" w:rsidRPr="009E6507" w:rsidRDefault="009E6507" w:rsidP="00A47F10">
            <w:pPr>
              <w:pStyle w:val="GesAbsatz"/>
            </w:pPr>
            <w:r w:rsidRPr="009E6507">
              <w:rPr>
                <w:b/>
              </w:rPr>
              <w:t>Hinweis:</w:t>
            </w:r>
            <w:r w:rsidRPr="009E6507">
              <w:t xml:space="preserve"> Dieses Verfahren ist Grundlage, sofern für den Bereich mit einem Radius der 15-fachen Anlage</w:t>
            </w:r>
            <w:r w:rsidRPr="009E6507">
              <w:t>n</w:t>
            </w:r>
            <w:r w:rsidRPr="009E6507">
              <w:t>höhe um den geplanten Standort einer Windenergieanlage noch keine Landschaftsbildbewertung im Ra</w:t>
            </w:r>
            <w:r w:rsidRPr="009E6507">
              <w:t>h</w:t>
            </w:r>
            <w:r w:rsidRPr="009E6507">
              <w:t>men des Fachbeitrages des Naturschutzes und der Landschaftspflege vorhanden ist. Liegt eine Lan</w:t>
            </w:r>
            <w:r w:rsidRPr="009E6507">
              <w:t>d</w:t>
            </w:r>
            <w:r w:rsidRPr="009E6507">
              <w:t>schaftsbildbewertung aus dem Fachbeitrag vor, sind die Abgrenzungen der Landschaftsbildeinheiten und die Wertstufen daraus zu übernehmen. Die Daten können in Form einer Shape-Datei vom LANUV bereitg</w:t>
            </w:r>
            <w:r w:rsidRPr="009E6507">
              <w:t>e</w:t>
            </w:r>
            <w:r w:rsidRPr="009E6507">
              <w:t>stellt werden.</w:t>
            </w:r>
          </w:p>
        </w:tc>
      </w:tr>
    </w:tbl>
    <w:p w:rsidR="00B62D98" w:rsidRPr="009E6507" w:rsidRDefault="00B62D98" w:rsidP="00B62D98">
      <w:pPr>
        <w:pStyle w:val="GesAbsatz"/>
        <w:rPr>
          <w:b/>
        </w:rPr>
      </w:pPr>
      <w:r w:rsidRPr="009E6507">
        <w:rPr>
          <w:b/>
        </w:rPr>
        <w:t>Abgrenzung von Landschaftsbildeinheiten</w:t>
      </w:r>
    </w:p>
    <w:p w:rsidR="00B62D98" w:rsidRDefault="00B62D98" w:rsidP="00B62D98">
      <w:pPr>
        <w:pStyle w:val="GesAbsatz"/>
      </w:pPr>
      <w:r>
        <w:t>Räumliche Bezugseinheit für die Erfassung und Bewertung des Landschaftsbildes bilden die</w:t>
      </w:r>
      <w:r w:rsidR="009E6507">
        <w:t xml:space="preserve"> </w:t>
      </w:r>
      <w:r>
        <w:t xml:space="preserve">im Rahmen der Erarbeitung des Fachbeitrages abgegrenzten </w:t>
      </w:r>
      <w:r w:rsidRPr="009E6507">
        <w:rPr>
          <w:b/>
          <w:i/>
        </w:rPr>
        <w:t>Landschaftsräume</w:t>
      </w:r>
      <w:r>
        <w:t>. Eine</w:t>
      </w:r>
      <w:r w:rsidR="009E6507">
        <w:t xml:space="preserve"> </w:t>
      </w:r>
      <w:r>
        <w:t>landschaftsräumliche Gliederung liegt für die gesamte Landesfläche Nordrhein-Westfalens</w:t>
      </w:r>
      <w:r w:rsidR="009E6507">
        <w:t xml:space="preserve"> </w:t>
      </w:r>
      <w:r>
        <w:t>vor. Die Abgrenzung und Beschreibung der Lan</w:t>
      </w:r>
      <w:r>
        <w:t>d</w:t>
      </w:r>
      <w:r>
        <w:t>schaftsräume wird im Internet-Fachinformationssystem (</w:t>
      </w:r>
      <w:hyperlink r:id="rId22" w:history="1">
        <w:r w:rsidR="00B57FA9" w:rsidRPr="008B2D4A">
          <w:rPr>
            <w:rStyle w:val="Hyperlink"/>
          </w:rPr>
          <w:t>https://www.lanuv.nrw.de/natur/landschaftsplanung/</w:t>
        </w:r>
        <w:r w:rsidR="00B57FA9" w:rsidRPr="008B2D4A">
          <w:rPr>
            <w:rStyle w:val="Hyperlink"/>
          </w:rPr>
          <w:softHyphen/>
          <w:t>landschaftsraeume-in-nrw/</w:t>
        </w:r>
      </w:hyperlink>
      <w:r>
        <w:t>) dargestellt und als Download bereitgestellt. Die Landschaftsräume sind bezü</w:t>
      </w:r>
      <w:r>
        <w:t>g</w:t>
      </w:r>
      <w:r>
        <w:t>lich</w:t>
      </w:r>
      <w:r w:rsidR="009E6507">
        <w:t xml:space="preserve"> </w:t>
      </w:r>
      <w:r>
        <w:t>ihrer natürlichen Ausstattung und ihrer anthropogenen Überprägung überwiegend homogen.</w:t>
      </w:r>
    </w:p>
    <w:p w:rsidR="00B62D98" w:rsidRDefault="00B62D98" w:rsidP="00B62D98">
      <w:pPr>
        <w:pStyle w:val="GesAbsatz"/>
      </w:pPr>
      <w:r>
        <w:t>In einem ersten Schritt wird die Eignung der Landschafträume für die Abgrenzung als</w:t>
      </w:r>
      <w:r w:rsidR="009E6507">
        <w:t xml:space="preserve"> </w:t>
      </w:r>
      <w:r w:rsidRPr="009E6507">
        <w:rPr>
          <w:b/>
          <w:i/>
        </w:rPr>
        <w:t>Landschaftsbildei</w:t>
      </w:r>
      <w:r w:rsidRPr="009E6507">
        <w:rPr>
          <w:b/>
          <w:i/>
        </w:rPr>
        <w:t>n</w:t>
      </w:r>
      <w:r w:rsidRPr="009E6507">
        <w:rPr>
          <w:b/>
          <w:i/>
        </w:rPr>
        <w:t>heiten</w:t>
      </w:r>
      <w:r>
        <w:t xml:space="preserve"> für eine nachvollziehbare Bewertung des Landschaftsbildes</w:t>
      </w:r>
      <w:r w:rsidR="009E6507">
        <w:t xml:space="preserve"> </w:t>
      </w:r>
      <w:r>
        <w:t>geprüft. In der Regel ist eine weitere Binnendifferenzierung dieser Räume entsprechend</w:t>
      </w:r>
      <w:r w:rsidR="009E6507">
        <w:t xml:space="preserve"> </w:t>
      </w:r>
      <w:r>
        <w:t>ihrem Charakter, ihrer Physiognomie (u. a. relief-/nutzungsorientiert) und ihres</w:t>
      </w:r>
      <w:r w:rsidR="009E6507">
        <w:t xml:space="preserve"> </w:t>
      </w:r>
      <w:r>
        <w:t>Strukturreichtums in Landschaftsbildeinheiten, die der Betrachter bzw. Erh</w:t>
      </w:r>
      <w:r>
        <w:t>o</w:t>
      </w:r>
      <w:r>
        <w:t>lungssuchende</w:t>
      </w:r>
      <w:r w:rsidR="009E6507">
        <w:t xml:space="preserve"> </w:t>
      </w:r>
      <w:r>
        <w:t>als unverwechselbares Ganzes erlebt, vorzunehmen.</w:t>
      </w:r>
    </w:p>
    <w:p w:rsidR="00B62D98" w:rsidRDefault="00B62D98" w:rsidP="00B62D98">
      <w:pPr>
        <w:pStyle w:val="GesAbsatz"/>
      </w:pPr>
      <w:r>
        <w:t>Als Grundlage für die weitere Binnendifferenzierung der Landschaftsräume als Landschaftsbildeinheiten</w:t>
      </w:r>
      <w:r w:rsidR="009E6507">
        <w:t xml:space="preserve"> </w:t>
      </w:r>
      <w:r>
        <w:t>werden u. a. Luftbilder sowie topographische Karten, die Nutzungskartierung</w:t>
      </w:r>
      <w:r w:rsidR="009E6507">
        <w:t xml:space="preserve"> </w:t>
      </w:r>
      <w:r>
        <w:t>und weitere die Landschaft</w:t>
      </w:r>
      <w:r>
        <w:t>s</w:t>
      </w:r>
      <w:r>
        <w:t>bildeinheit charakterisierende Landschaftsbestandteile herangezogen.</w:t>
      </w:r>
    </w:p>
    <w:p w:rsidR="00B62D98" w:rsidRDefault="00B62D98" w:rsidP="00B62D98">
      <w:pPr>
        <w:pStyle w:val="GesAbsatz"/>
      </w:pPr>
      <w:r>
        <w:t>Es erfolgt eine Gliederung der Landschaftsbildeinheiten anhand folgender Kategorien:</w:t>
      </w:r>
    </w:p>
    <w:p w:rsidR="00B62D98" w:rsidRDefault="009E6507" w:rsidP="00B62D98">
      <w:pPr>
        <w:pStyle w:val="GesAbsatz"/>
      </w:pPr>
      <w:r>
        <w:t>-</w:t>
      </w:r>
      <w:r>
        <w:tab/>
      </w:r>
      <w:r w:rsidR="00B62D98">
        <w:t>Offene Agrarlandschaft</w:t>
      </w:r>
    </w:p>
    <w:p w:rsidR="00B62D98" w:rsidRDefault="009E6507" w:rsidP="00B62D98">
      <w:pPr>
        <w:pStyle w:val="GesAbsatz"/>
      </w:pPr>
      <w:r>
        <w:t>-</w:t>
      </w:r>
      <w:r>
        <w:tab/>
      </w:r>
      <w:r w:rsidR="00B62D98">
        <w:t>Grünland-Acker-Mosaik</w:t>
      </w:r>
    </w:p>
    <w:p w:rsidR="00B62D98" w:rsidRDefault="009E6507" w:rsidP="00B62D98">
      <w:pPr>
        <w:pStyle w:val="GesAbsatz"/>
      </w:pPr>
      <w:r>
        <w:t>-</w:t>
      </w:r>
      <w:r>
        <w:tab/>
      </w:r>
      <w:r w:rsidR="00B62D98">
        <w:t>Wald-Offenland-Mosaik</w:t>
      </w:r>
    </w:p>
    <w:p w:rsidR="00B62D98" w:rsidRDefault="009E6507" w:rsidP="00B62D98">
      <w:pPr>
        <w:pStyle w:val="GesAbsatz"/>
      </w:pPr>
      <w:r>
        <w:t>-</w:t>
      </w:r>
      <w:r>
        <w:tab/>
      </w:r>
      <w:r w:rsidR="00B62D98">
        <w:t>Wald</w:t>
      </w:r>
    </w:p>
    <w:p w:rsidR="00B62D98" w:rsidRDefault="009E6507" w:rsidP="00B62D98">
      <w:pPr>
        <w:pStyle w:val="GesAbsatz"/>
      </w:pPr>
      <w:r>
        <w:t>-</w:t>
      </w:r>
      <w:r>
        <w:tab/>
      </w:r>
      <w:r w:rsidR="00B62D98">
        <w:t>Flusstal</w:t>
      </w:r>
    </w:p>
    <w:p w:rsidR="00B62D98" w:rsidRDefault="009E6507" w:rsidP="00B62D98">
      <w:pPr>
        <w:pStyle w:val="GesAbsatz"/>
      </w:pPr>
      <w:r>
        <w:t>-</w:t>
      </w:r>
      <w:r>
        <w:tab/>
      </w:r>
      <w:r w:rsidR="00B62D98">
        <w:t>Bachtal,</w:t>
      </w:r>
    </w:p>
    <w:p w:rsidR="00B62D98" w:rsidRDefault="009E6507" w:rsidP="00B62D98">
      <w:pPr>
        <w:pStyle w:val="GesAbsatz"/>
      </w:pPr>
      <w:r>
        <w:t>-</w:t>
      </w:r>
      <w:r>
        <w:tab/>
      </w:r>
      <w:r w:rsidR="00B62D98">
        <w:t>Stillgewässer</w:t>
      </w:r>
    </w:p>
    <w:p w:rsidR="00B62D98" w:rsidRDefault="009E6507" w:rsidP="00B62D98">
      <w:pPr>
        <w:pStyle w:val="GesAbsatz"/>
      </w:pPr>
      <w:r>
        <w:t>-</w:t>
      </w:r>
      <w:r>
        <w:tab/>
      </w:r>
      <w:r w:rsidR="00B62D98">
        <w:t>Siedlung und Gewerbe</w:t>
      </w:r>
    </w:p>
    <w:p w:rsidR="00B62D98" w:rsidRDefault="00B62D98" w:rsidP="00B62D98">
      <w:pPr>
        <w:pStyle w:val="GesAbsatz"/>
      </w:pPr>
      <w:r>
        <w:t>Orts- und Siedlungslagen &gt; 5 km², ggf. weitere als Siedlung und Gewerbe, als Sonstige (z.B.</w:t>
      </w:r>
      <w:r w:rsidR="009E6507">
        <w:t xml:space="preserve"> </w:t>
      </w:r>
      <w:r>
        <w:t>Bergehalden) sowie als zusammenhängende Siedlungsbänder ausgegrenzte Einheiten sind</w:t>
      </w:r>
      <w:r w:rsidR="009E6507">
        <w:t xml:space="preserve"> </w:t>
      </w:r>
      <w:r>
        <w:t>aufgrund ihrer Größe und der flächendeckenden Ausstattung und Überformung mit anthropogenen</w:t>
      </w:r>
      <w:r w:rsidR="009E6507">
        <w:t xml:space="preserve"> </w:t>
      </w:r>
      <w:r>
        <w:t>Strukturen nicht in Wert zu setzen.</w:t>
      </w:r>
    </w:p>
    <w:p w:rsidR="00B62D98" w:rsidRDefault="00B62D98" w:rsidP="00B62D98">
      <w:pPr>
        <w:pStyle w:val="GesAbsatz"/>
      </w:pPr>
      <w:r>
        <w:t>Weitere Anhaltspunkte für eine ggf. erforderliche Binnendifferenzierung der Landschaftsräume</w:t>
      </w:r>
      <w:r w:rsidR="009E6507">
        <w:t xml:space="preserve"> </w:t>
      </w:r>
      <w:r>
        <w:t>liefern z.B. Adam et al. (1986) oder Nohl (2001).</w:t>
      </w:r>
    </w:p>
    <w:p w:rsidR="00B62D98" w:rsidRPr="009E6507" w:rsidRDefault="00B62D98" w:rsidP="00B62D98">
      <w:pPr>
        <w:pStyle w:val="GesAbsatz"/>
        <w:rPr>
          <w:b/>
        </w:rPr>
      </w:pPr>
      <w:r w:rsidRPr="009E6507">
        <w:rPr>
          <w:b/>
        </w:rPr>
        <w:t>Bewertung des Landschaftsbildes innerhalb der Landschaftsbildeinheiten</w:t>
      </w:r>
    </w:p>
    <w:p w:rsidR="00B62D98" w:rsidRDefault="00B62D98" w:rsidP="00B62D98">
      <w:pPr>
        <w:pStyle w:val="GesAbsatz"/>
      </w:pPr>
      <w:r>
        <w:t>Für jede der ausgegrenzten Landschaftsbildeinheiten (außer den oben genannten</w:t>
      </w:r>
      <w:r w:rsidR="009E6507">
        <w:t xml:space="preserve"> </w:t>
      </w:r>
      <w:r>
        <w:t xml:space="preserve">Bereichen) erfolgt die </w:t>
      </w:r>
      <w:r w:rsidRPr="009E6507">
        <w:rPr>
          <w:b/>
          <w:i/>
        </w:rPr>
        <w:t>Bewertung</w:t>
      </w:r>
      <w:r>
        <w:t xml:space="preserve"> des Landschaftsbildes bzw. die Zuordnung zu einer der</w:t>
      </w:r>
      <w:r w:rsidR="009E6507">
        <w:t xml:space="preserve"> </w:t>
      </w:r>
      <w:r>
        <w:t>vier Wertstufen („sehr gering / gering“, „mittel“, „hoch, besondere Bedeutung“ und „sehr</w:t>
      </w:r>
      <w:r w:rsidR="009E6507">
        <w:t xml:space="preserve"> </w:t>
      </w:r>
      <w:r>
        <w:t>hoch, herausragende Bedeutung“).</w:t>
      </w:r>
    </w:p>
    <w:p w:rsidR="00B62D98" w:rsidRDefault="00B62D98" w:rsidP="00B62D98">
      <w:pPr>
        <w:pStyle w:val="GesAbsatz"/>
      </w:pPr>
      <w:r>
        <w:t>Bei der Landschaftsbildbewertung wird ein Vergleich des derzeitigen Zustandes mit dem</w:t>
      </w:r>
      <w:r w:rsidR="009E6507">
        <w:t xml:space="preserve"> </w:t>
      </w:r>
      <w:r>
        <w:t>Sollzustand (Lei</w:t>
      </w:r>
      <w:r>
        <w:t>t</w:t>
      </w:r>
      <w:r>
        <w:t>bild) der jeweiligen Landschaftsbildeinheit vorgenommen.</w:t>
      </w:r>
    </w:p>
    <w:p w:rsidR="00B62D98" w:rsidRDefault="00B62D98" w:rsidP="00B62D98">
      <w:pPr>
        <w:pStyle w:val="GesAbsatz"/>
      </w:pPr>
      <w:r>
        <w:t>Die Formulierung des Soll-Zustandes bzw. Leitbildes soll sich eng an der Beschreibung der</w:t>
      </w:r>
      <w:r w:rsidR="009E6507">
        <w:t xml:space="preserve"> </w:t>
      </w:r>
      <w:r>
        <w:t>Landschaft</w:t>
      </w:r>
      <w:r>
        <w:t>s</w:t>
      </w:r>
      <w:r>
        <w:t>räume, insbesondere dem darin formulierten Leitbild orientieren. Da nur ein Teilbereich</w:t>
      </w:r>
      <w:r w:rsidR="009E6507">
        <w:t xml:space="preserve"> </w:t>
      </w:r>
      <w:r>
        <w:t>des jeweiligen Lan</w:t>
      </w:r>
      <w:r>
        <w:t>d</w:t>
      </w:r>
      <w:r>
        <w:t>schaftsraumes betrachtet wird, sind ggf. nur Teile der Landschaftsraumbeschreibung</w:t>
      </w:r>
      <w:r w:rsidR="009E6507">
        <w:t xml:space="preserve"> </w:t>
      </w:r>
      <w:r>
        <w:t>relevant.</w:t>
      </w:r>
    </w:p>
    <w:p w:rsidR="00B62D98" w:rsidRDefault="00B62D98" w:rsidP="00B62D98">
      <w:pPr>
        <w:pStyle w:val="GesAbsatz"/>
      </w:pPr>
      <w:r>
        <w:t xml:space="preserve">Der </w:t>
      </w:r>
      <w:r w:rsidRPr="009E6507">
        <w:rPr>
          <w:b/>
          <w:i/>
        </w:rPr>
        <w:t>Soll-Ist-Vergleich</w:t>
      </w:r>
      <w:r>
        <w:t xml:space="preserve"> erfolgt anhand der Kriterien „Eigenart“, „Vielfalt“ und „Schönheit“:</w:t>
      </w:r>
    </w:p>
    <w:p w:rsidR="00B62D98" w:rsidRDefault="009E6507" w:rsidP="009E6507">
      <w:pPr>
        <w:pStyle w:val="GesAbsatz"/>
        <w:ind w:left="426" w:hanging="426"/>
      </w:pPr>
      <w:r>
        <w:t>-</w:t>
      </w:r>
      <w:r>
        <w:tab/>
      </w:r>
      <w:r w:rsidR="00B62D98">
        <w:t xml:space="preserve">Dem Kriterium </w:t>
      </w:r>
      <w:r w:rsidR="00B62D98" w:rsidRPr="009E6507">
        <w:rPr>
          <w:b/>
        </w:rPr>
        <w:t>„Eigenart“</w:t>
      </w:r>
      <w:r w:rsidR="00B62D98">
        <w:t xml:space="preserve"> kommt eine zentrale Bedeutung im Rahmen der Bewertung</w:t>
      </w:r>
      <w:r>
        <w:t xml:space="preserve"> </w:t>
      </w:r>
      <w:r w:rsidR="00B62D98">
        <w:t>zu. Es charakt</w:t>
      </w:r>
      <w:r w:rsidR="00B62D98">
        <w:t>e</w:t>
      </w:r>
      <w:r w:rsidR="00B62D98">
        <w:t>risiert das Typische einer Landschaft. Bewertet wird orientiert am</w:t>
      </w:r>
      <w:r>
        <w:t xml:space="preserve"> </w:t>
      </w:r>
      <w:r w:rsidR="00B62D98">
        <w:t>Leitbild das Maß der Übereinsti</w:t>
      </w:r>
      <w:r w:rsidR="00B62D98">
        <w:t>m</w:t>
      </w:r>
      <w:r w:rsidR="00B62D98">
        <w:t>mung der jeweiligen Einheit mit dem Leitbild bzw.</w:t>
      </w:r>
      <w:r>
        <w:t xml:space="preserve"> </w:t>
      </w:r>
      <w:r w:rsidR="00B62D98">
        <w:t>der Eigenartverlust in der Einheit.</w:t>
      </w:r>
    </w:p>
    <w:p w:rsidR="00B62D98" w:rsidRDefault="00B62D98" w:rsidP="009E6507">
      <w:pPr>
        <w:pStyle w:val="GesAbsatz"/>
        <w:ind w:left="426"/>
      </w:pPr>
      <w:r>
        <w:lastRenderedPageBreak/>
        <w:t>Die Bewertung erfolgt anhand der Teilkriterien „Relief“, „Gewässer“, „qualitatives Nutzungsmuster“</w:t>
      </w:r>
      <w:r w:rsidR="009E6507">
        <w:t xml:space="preserve"> </w:t>
      </w:r>
      <w:r>
        <w:t>und „Siedlungsausprägung“.</w:t>
      </w:r>
    </w:p>
    <w:p w:rsidR="00B62D98" w:rsidRDefault="009E6507" w:rsidP="009E6507">
      <w:pPr>
        <w:pStyle w:val="GesAbsatz"/>
        <w:ind w:left="426" w:hanging="426"/>
      </w:pPr>
      <w:r>
        <w:t>-</w:t>
      </w:r>
      <w:r>
        <w:tab/>
      </w:r>
      <w:r w:rsidR="00B62D98">
        <w:t xml:space="preserve">Die </w:t>
      </w:r>
      <w:r w:rsidR="00B62D98" w:rsidRPr="009E6507">
        <w:rPr>
          <w:b/>
        </w:rPr>
        <w:t>„Vielfalt“</w:t>
      </w:r>
      <w:r w:rsidR="00B62D98">
        <w:t xml:space="preserve"> beschreibt quantitativ den Abwechslungsreichtum der landschafts- und</w:t>
      </w:r>
      <w:r>
        <w:t xml:space="preserve"> </w:t>
      </w:r>
      <w:r w:rsidR="00B62D98">
        <w:t>naturraumtyp</w:t>
      </w:r>
      <w:r w:rsidR="00B62D98">
        <w:t>i</w:t>
      </w:r>
      <w:r w:rsidR="00B62D98">
        <w:t>schen Ausprägung der Nutzungen, Strukturen und Elemente. Diese ist</w:t>
      </w:r>
      <w:r>
        <w:t xml:space="preserve"> </w:t>
      </w:r>
      <w:r w:rsidR="00B62D98">
        <w:t>abhängig insbesondere von der Eigenart.</w:t>
      </w:r>
    </w:p>
    <w:p w:rsidR="00B62D98" w:rsidRDefault="009E6507" w:rsidP="009E6507">
      <w:pPr>
        <w:pStyle w:val="GesAbsatz"/>
        <w:ind w:left="426" w:hanging="426"/>
      </w:pPr>
      <w:r>
        <w:t>-</w:t>
      </w:r>
      <w:r>
        <w:tab/>
      </w:r>
      <w:r w:rsidR="00B62D98">
        <w:t xml:space="preserve">Die </w:t>
      </w:r>
      <w:r w:rsidR="00B62D98" w:rsidRPr="009E6507">
        <w:rPr>
          <w:b/>
          <w:i/>
        </w:rPr>
        <w:t>„Schönheit“</w:t>
      </w:r>
      <w:r w:rsidR="00B62D98">
        <w:t xml:space="preserve"> bewertet das Maß der Übereinstimmung der landschaftstypischen</w:t>
      </w:r>
      <w:r>
        <w:t xml:space="preserve"> </w:t>
      </w:r>
      <w:r w:rsidR="00B62D98">
        <w:t>Ausstattung der Natur mit der menschlichen Nutzung. Die Schönheit wird charakterisiert</w:t>
      </w:r>
      <w:r>
        <w:t xml:space="preserve"> </w:t>
      </w:r>
      <w:r w:rsidR="00B62D98">
        <w:t>durch das Kriterium „Naturn</w:t>
      </w:r>
      <w:r w:rsidR="00B62D98">
        <w:t>ä</w:t>
      </w:r>
      <w:r w:rsidR="00B62D98">
        <w:t>he“.</w:t>
      </w:r>
    </w:p>
    <w:p w:rsidR="00B62D98" w:rsidRDefault="00B62D98" w:rsidP="00B62D98">
      <w:pPr>
        <w:pStyle w:val="GesAbsatz"/>
      </w:pPr>
      <w:r>
        <w:t>Tab. 1 gibt eine Übersicht über diese Kriterien und die zugeordneten Erfassungsmerkmale.</w:t>
      </w:r>
    </w:p>
    <w:p w:rsidR="00B62D98" w:rsidRPr="008A1C04" w:rsidRDefault="00B62D98" w:rsidP="005D7AA5">
      <w:pPr>
        <w:pStyle w:val="GesAbsatz"/>
        <w:jc w:val="left"/>
        <w:rPr>
          <w:b/>
        </w:rPr>
      </w:pPr>
      <w:r w:rsidRPr="008A1C04">
        <w:rPr>
          <w:b/>
        </w:rPr>
        <w:t>Tab. 1: Übersicht der Kriterien und Bewertungsmerkmale für die Landschaftsbildbewertung.</w:t>
      </w:r>
    </w:p>
    <w:tbl>
      <w:tblPr>
        <w:tblStyle w:val="Tabellenraster"/>
        <w:tblW w:w="9747" w:type="dxa"/>
        <w:tblLook w:val="04A0" w:firstRow="1" w:lastRow="0" w:firstColumn="1" w:lastColumn="0" w:noHBand="0" w:noVBand="1"/>
      </w:tblPr>
      <w:tblGrid>
        <w:gridCol w:w="1526"/>
        <w:gridCol w:w="2977"/>
        <w:gridCol w:w="5244"/>
      </w:tblGrid>
      <w:tr w:rsidR="008A1C04" w:rsidRPr="008A1C04" w:rsidTr="005D7AA5">
        <w:trPr>
          <w:tblHeader/>
        </w:trPr>
        <w:tc>
          <w:tcPr>
            <w:tcW w:w="1526" w:type="dxa"/>
          </w:tcPr>
          <w:p w:rsidR="008A1C04" w:rsidRPr="0065525D" w:rsidRDefault="008A1C04" w:rsidP="00A47F10">
            <w:pPr>
              <w:pStyle w:val="GesAbsatz"/>
              <w:tabs>
                <w:tab w:val="clear" w:pos="425"/>
              </w:tabs>
              <w:rPr>
                <w:b/>
              </w:rPr>
            </w:pPr>
            <w:r w:rsidRPr="0065525D">
              <w:rPr>
                <w:b/>
              </w:rPr>
              <w:t>Kriterium</w:t>
            </w:r>
          </w:p>
        </w:tc>
        <w:tc>
          <w:tcPr>
            <w:tcW w:w="2977" w:type="dxa"/>
          </w:tcPr>
          <w:p w:rsidR="008A1C04" w:rsidRPr="0065525D" w:rsidRDefault="008A1C04" w:rsidP="00A47F10">
            <w:pPr>
              <w:pStyle w:val="GesAbsatz"/>
              <w:tabs>
                <w:tab w:val="clear" w:pos="425"/>
              </w:tabs>
              <w:rPr>
                <w:b/>
              </w:rPr>
            </w:pPr>
            <w:r w:rsidRPr="0065525D">
              <w:rPr>
                <w:b/>
              </w:rPr>
              <w:t>Teilkriterium</w:t>
            </w:r>
          </w:p>
        </w:tc>
        <w:tc>
          <w:tcPr>
            <w:tcW w:w="5244" w:type="dxa"/>
          </w:tcPr>
          <w:p w:rsidR="008A1C04" w:rsidRPr="0065525D" w:rsidRDefault="008A1C04" w:rsidP="00A47F10">
            <w:pPr>
              <w:pStyle w:val="GesAbsatz"/>
              <w:tabs>
                <w:tab w:val="clear" w:pos="425"/>
              </w:tabs>
              <w:rPr>
                <w:b/>
              </w:rPr>
            </w:pPr>
            <w:r w:rsidRPr="0065525D">
              <w:rPr>
                <w:b/>
              </w:rPr>
              <w:t>Bewertungsmerkmal</w:t>
            </w:r>
          </w:p>
        </w:tc>
      </w:tr>
      <w:tr w:rsidR="0065525D" w:rsidRPr="008A1C04" w:rsidTr="0065525D">
        <w:tc>
          <w:tcPr>
            <w:tcW w:w="1526" w:type="dxa"/>
            <w:vMerge w:val="restart"/>
          </w:tcPr>
          <w:p w:rsidR="0065525D" w:rsidRPr="008A1C04" w:rsidRDefault="0065525D" w:rsidP="00A47F10">
            <w:pPr>
              <w:pStyle w:val="GesAbsatz"/>
              <w:tabs>
                <w:tab w:val="clear" w:pos="425"/>
              </w:tabs>
            </w:pPr>
            <w:r w:rsidRPr="008A1C04">
              <w:t>Eigenart</w:t>
            </w:r>
          </w:p>
        </w:tc>
        <w:tc>
          <w:tcPr>
            <w:tcW w:w="2977" w:type="dxa"/>
            <w:vMerge w:val="restart"/>
          </w:tcPr>
          <w:p w:rsidR="0065525D" w:rsidRPr="008A1C04" w:rsidRDefault="0065525D" w:rsidP="00A47F10">
            <w:pPr>
              <w:pStyle w:val="GesAbsatz"/>
              <w:tabs>
                <w:tab w:val="clear" w:pos="425"/>
              </w:tabs>
            </w:pPr>
            <w:r w:rsidRPr="008A1C04">
              <w:t>Relief</w:t>
            </w:r>
          </w:p>
        </w:tc>
        <w:tc>
          <w:tcPr>
            <w:tcW w:w="5244" w:type="dxa"/>
          </w:tcPr>
          <w:p w:rsidR="0065525D" w:rsidRPr="008A1C04" w:rsidRDefault="0065525D" w:rsidP="0065525D">
            <w:pPr>
              <w:pStyle w:val="GesAbsatz"/>
              <w:tabs>
                <w:tab w:val="clear" w:pos="425"/>
              </w:tabs>
              <w:ind w:left="317" w:hanging="317"/>
            </w:pPr>
            <w:r>
              <w:t>-</w:t>
            </w:r>
            <w:r>
              <w:tab/>
            </w:r>
            <w:r w:rsidRPr="008A1C04">
              <w:t>Erlebbarkeit des typischen, unverformten Reliefs</w:t>
            </w:r>
          </w:p>
        </w:tc>
      </w:tr>
      <w:tr w:rsidR="0065525D" w:rsidRPr="008A1C04" w:rsidTr="0065525D">
        <w:tc>
          <w:tcPr>
            <w:tcW w:w="1526" w:type="dxa"/>
            <w:vMerge/>
          </w:tcPr>
          <w:p w:rsidR="0065525D" w:rsidRPr="008A1C04" w:rsidRDefault="0065525D" w:rsidP="00A47F10">
            <w:pPr>
              <w:pStyle w:val="GesAbsatz"/>
              <w:tabs>
                <w:tab w:val="clear" w:pos="425"/>
              </w:tabs>
            </w:pPr>
          </w:p>
        </w:tc>
        <w:tc>
          <w:tcPr>
            <w:tcW w:w="2977" w:type="dxa"/>
            <w:vMerge/>
          </w:tcPr>
          <w:p w:rsidR="0065525D" w:rsidRPr="008A1C04" w:rsidRDefault="0065525D" w:rsidP="00A47F10">
            <w:pPr>
              <w:pStyle w:val="GesAbsatz"/>
              <w:tabs>
                <w:tab w:val="clear" w:pos="425"/>
              </w:tabs>
            </w:pPr>
          </w:p>
        </w:tc>
        <w:tc>
          <w:tcPr>
            <w:tcW w:w="5244" w:type="dxa"/>
          </w:tcPr>
          <w:p w:rsidR="0065525D" w:rsidRPr="008A1C04" w:rsidRDefault="0065525D" w:rsidP="0065525D">
            <w:pPr>
              <w:pStyle w:val="GesAbsatz"/>
              <w:tabs>
                <w:tab w:val="clear" w:pos="425"/>
              </w:tabs>
              <w:ind w:left="317" w:hanging="317"/>
            </w:pPr>
            <w:r>
              <w:t>-</w:t>
            </w:r>
            <w:r>
              <w:tab/>
            </w:r>
            <w:r w:rsidRPr="008A1C04">
              <w:t>Großformen</w:t>
            </w:r>
          </w:p>
        </w:tc>
      </w:tr>
      <w:tr w:rsidR="0065525D" w:rsidRPr="008A1C04" w:rsidTr="0065525D">
        <w:tc>
          <w:tcPr>
            <w:tcW w:w="1526" w:type="dxa"/>
            <w:vMerge/>
          </w:tcPr>
          <w:p w:rsidR="0065525D" w:rsidRPr="008A1C04" w:rsidRDefault="0065525D" w:rsidP="00A47F10">
            <w:pPr>
              <w:pStyle w:val="GesAbsatz"/>
              <w:tabs>
                <w:tab w:val="clear" w:pos="425"/>
              </w:tabs>
            </w:pPr>
          </w:p>
        </w:tc>
        <w:tc>
          <w:tcPr>
            <w:tcW w:w="2977" w:type="dxa"/>
            <w:vMerge/>
          </w:tcPr>
          <w:p w:rsidR="0065525D" w:rsidRPr="008A1C04" w:rsidRDefault="0065525D" w:rsidP="00A47F10">
            <w:pPr>
              <w:pStyle w:val="GesAbsatz"/>
              <w:tabs>
                <w:tab w:val="clear" w:pos="425"/>
              </w:tabs>
            </w:pPr>
          </w:p>
        </w:tc>
        <w:tc>
          <w:tcPr>
            <w:tcW w:w="5244" w:type="dxa"/>
          </w:tcPr>
          <w:p w:rsidR="0065525D" w:rsidRPr="008A1C04" w:rsidRDefault="0065525D" w:rsidP="0065525D">
            <w:pPr>
              <w:pStyle w:val="GesAbsatz"/>
              <w:tabs>
                <w:tab w:val="clear" w:pos="425"/>
              </w:tabs>
              <w:ind w:left="317" w:hanging="317"/>
            </w:pPr>
            <w:r>
              <w:t>-</w:t>
            </w:r>
            <w:r>
              <w:tab/>
            </w:r>
            <w:r w:rsidRPr="008A1C04">
              <w:t>Talformen</w:t>
            </w:r>
          </w:p>
        </w:tc>
      </w:tr>
      <w:tr w:rsidR="0065525D" w:rsidRPr="008A1C04" w:rsidTr="0065525D">
        <w:tc>
          <w:tcPr>
            <w:tcW w:w="1526" w:type="dxa"/>
            <w:vMerge/>
          </w:tcPr>
          <w:p w:rsidR="0065525D" w:rsidRPr="008A1C04" w:rsidRDefault="0065525D" w:rsidP="00A47F10">
            <w:pPr>
              <w:pStyle w:val="GesAbsatz"/>
              <w:tabs>
                <w:tab w:val="clear" w:pos="425"/>
              </w:tabs>
            </w:pPr>
          </w:p>
        </w:tc>
        <w:tc>
          <w:tcPr>
            <w:tcW w:w="2977" w:type="dxa"/>
            <w:vMerge/>
          </w:tcPr>
          <w:p w:rsidR="0065525D" w:rsidRPr="008A1C04" w:rsidRDefault="0065525D" w:rsidP="00A47F10">
            <w:pPr>
              <w:pStyle w:val="GesAbsatz"/>
              <w:tabs>
                <w:tab w:val="clear" w:pos="425"/>
              </w:tabs>
            </w:pPr>
          </w:p>
        </w:tc>
        <w:tc>
          <w:tcPr>
            <w:tcW w:w="5244" w:type="dxa"/>
          </w:tcPr>
          <w:p w:rsidR="0065525D" w:rsidRPr="008A1C04" w:rsidRDefault="0065525D" w:rsidP="0065525D">
            <w:pPr>
              <w:pStyle w:val="GesAbsatz"/>
              <w:tabs>
                <w:tab w:val="clear" w:pos="425"/>
              </w:tabs>
              <w:ind w:left="317" w:hanging="317"/>
            </w:pPr>
            <w:r>
              <w:t>-</w:t>
            </w:r>
            <w:r>
              <w:tab/>
            </w:r>
            <w:r w:rsidRPr="008A1C04">
              <w:t>Kuppen</w:t>
            </w:r>
          </w:p>
        </w:tc>
      </w:tr>
      <w:tr w:rsidR="0065525D" w:rsidRPr="008A1C04" w:rsidTr="0065525D">
        <w:tc>
          <w:tcPr>
            <w:tcW w:w="1526" w:type="dxa"/>
            <w:vMerge/>
          </w:tcPr>
          <w:p w:rsidR="0065525D" w:rsidRPr="008A1C04" w:rsidRDefault="0065525D" w:rsidP="00A47F10">
            <w:pPr>
              <w:pStyle w:val="GesAbsatz"/>
              <w:tabs>
                <w:tab w:val="clear" w:pos="425"/>
              </w:tabs>
            </w:pPr>
          </w:p>
        </w:tc>
        <w:tc>
          <w:tcPr>
            <w:tcW w:w="2977" w:type="dxa"/>
            <w:vMerge/>
          </w:tcPr>
          <w:p w:rsidR="0065525D" w:rsidRPr="008A1C04" w:rsidRDefault="0065525D" w:rsidP="00A47F10">
            <w:pPr>
              <w:pStyle w:val="GesAbsatz"/>
              <w:tabs>
                <w:tab w:val="clear" w:pos="425"/>
              </w:tabs>
            </w:pPr>
          </w:p>
        </w:tc>
        <w:tc>
          <w:tcPr>
            <w:tcW w:w="5244" w:type="dxa"/>
          </w:tcPr>
          <w:p w:rsidR="0065525D" w:rsidRPr="008A1C04" w:rsidRDefault="0065525D" w:rsidP="0065525D">
            <w:pPr>
              <w:pStyle w:val="GesAbsatz"/>
              <w:tabs>
                <w:tab w:val="clear" w:pos="425"/>
              </w:tabs>
              <w:ind w:left="317" w:hanging="317"/>
            </w:pPr>
            <w:r>
              <w:t>-</w:t>
            </w:r>
            <w:r>
              <w:tab/>
            </w:r>
            <w:r w:rsidRPr="008A1C04">
              <w:t>Hangneigungen (Steilhänge)</w:t>
            </w:r>
          </w:p>
        </w:tc>
      </w:tr>
      <w:tr w:rsidR="0065525D" w:rsidRPr="008A1C04" w:rsidTr="0065525D">
        <w:tc>
          <w:tcPr>
            <w:tcW w:w="1526" w:type="dxa"/>
            <w:vMerge/>
          </w:tcPr>
          <w:p w:rsidR="0065525D" w:rsidRPr="008A1C04" w:rsidRDefault="0065525D" w:rsidP="00A47F10">
            <w:pPr>
              <w:pStyle w:val="GesAbsatz"/>
              <w:tabs>
                <w:tab w:val="clear" w:pos="425"/>
              </w:tabs>
            </w:pPr>
          </w:p>
        </w:tc>
        <w:tc>
          <w:tcPr>
            <w:tcW w:w="2977" w:type="dxa"/>
            <w:vMerge/>
          </w:tcPr>
          <w:p w:rsidR="0065525D" w:rsidRPr="008A1C04" w:rsidRDefault="0065525D" w:rsidP="00A47F10">
            <w:pPr>
              <w:pStyle w:val="GesAbsatz"/>
              <w:tabs>
                <w:tab w:val="clear" w:pos="425"/>
              </w:tabs>
            </w:pPr>
          </w:p>
        </w:tc>
        <w:tc>
          <w:tcPr>
            <w:tcW w:w="5244" w:type="dxa"/>
          </w:tcPr>
          <w:p w:rsidR="0065525D" w:rsidRPr="008A1C04" w:rsidRDefault="0065525D" w:rsidP="0065525D">
            <w:pPr>
              <w:pStyle w:val="GesAbsatz"/>
              <w:tabs>
                <w:tab w:val="clear" w:pos="425"/>
              </w:tabs>
              <w:ind w:left="317" w:hanging="317"/>
            </w:pPr>
            <w:r>
              <w:t>-</w:t>
            </w:r>
            <w:r>
              <w:tab/>
            </w:r>
            <w:r w:rsidRPr="008A1C04">
              <w:t>Reliefdynamik</w:t>
            </w:r>
          </w:p>
        </w:tc>
      </w:tr>
      <w:tr w:rsidR="0065525D" w:rsidRPr="008A1C04" w:rsidTr="0065525D">
        <w:tc>
          <w:tcPr>
            <w:tcW w:w="1526" w:type="dxa"/>
            <w:vMerge/>
          </w:tcPr>
          <w:p w:rsidR="0065525D" w:rsidRPr="008A1C04" w:rsidRDefault="0065525D" w:rsidP="00A47F10">
            <w:pPr>
              <w:pStyle w:val="GesAbsatz"/>
              <w:tabs>
                <w:tab w:val="clear" w:pos="425"/>
              </w:tabs>
            </w:pPr>
          </w:p>
        </w:tc>
        <w:tc>
          <w:tcPr>
            <w:tcW w:w="2977" w:type="dxa"/>
            <w:vMerge/>
          </w:tcPr>
          <w:p w:rsidR="0065525D" w:rsidRPr="008A1C04" w:rsidRDefault="0065525D" w:rsidP="00A47F10">
            <w:pPr>
              <w:pStyle w:val="GesAbsatz"/>
              <w:tabs>
                <w:tab w:val="clear" w:pos="425"/>
              </w:tabs>
            </w:pPr>
          </w:p>
        </w:tc>
        <w:tc>
          <w:tcPr>
            <w:tcW w:w="5244" w:type="dxa"/>
          </w:tcPr>
          <w:p w:rsidR="0065525D" w:rsidRPr="008A1C04" w:rsidRDefault="0065525D" w:rsidP="0065525D">
            <w:pPr>
              <w:pStyle w:val="GesAbsatz"/>
              <w:tabs>
                <w:tab w:val="clear" w:pos="425"/>
              </w:tabs>
              <w:ind w:left="317" w:hanging="317"/>
            </w:pPr>
            <w:r>
              <w:t>-</w:t>
            </w:r>
            <w:r>
              <w:tab/>
            </w:r>
            <w:r w:rsidRPr="008A1C04">
              <w:t>markante Geländemerkmale (ausgeprägte Hangka</w:t>
            </w:r>
            <w:r w:rsidRPr="008A1C04">
              <w:t>n</w:t>
            </w:r>
            <w:r w:rsidRPr="008A1C04">
              <w:t>ten, Felsen, Hügel, Gebirge etc.)</w:t>
            </w:r>
          </w:p>
        </w:tc>
      </w:tr>
      <w:tr w:rsidR="0065525D" w:rsidRPr="008A1C04" w:rsidTr="0065525D">
        <w:tc>
          <w:tcPr>
            <w:tcW w:w="1526" w:type="dxa"/>
            <w:vMerge/>
          </w:tcPr>
          <w:p w:rsidR="0065525D" w:rsidRPr="008A1C04" w:rsidRDefault="0065525D" w:rsidP="00A47F10">
            <w:pPr>
              <w:pStyle w:val="GesAbsatz"/>
              <w:tabs>
                <w:tab w:val="clear" w:pos="425"/>
              </w:tabs>
            </w:pPr>
          </w:p>
        </w:tc>
        <w:tc>
          <w:tcPr>
            <w:tcW w:w="2977" w:type="dxa"/>
            <w:vMerge/>
          </w:tcPr>
          <w:p w:rsidR="0065525D" w:rsidRPr="008A1C04" w:rsidRDefault="0065525D" w:rsidP="00A47F10">
            <w:pPr>
              <w:pStyle w:val="GesAbsatz"/>
              <w:tabs>
                <w:tab w:val="clear" w:pos="425"/>
              </w:tabs>
            </w:pPr>
          </w:p>
        </w:tc>
        <w:tc>
          <w:tcPr>
            <w:tcW w:w="5244" w:type="dxa"/>
          </w:tcPr>
          <w:p w:rsidR="0065525D" w:rsidRPr="008A1C04" w:rsidRDefault="0065525D" w:rsidP="0065525D">
            <w:pPr>
              <w:pStyle w:val="GesAbsatz"/>
              <w:tabs>
                <w:tab w:val="clear" w:pos="425"/>
              </w:tabs>
              <w:ind w:left="317" w:hanging="317"/>
            </w:pPr>
            <w:r>
              <w:t>-</w:t>
            </w:r>
            <w:r>
              <w:tab/>
            </w:r>
            <w:r w:rsidRPr="008A1C04">
              <w:t>naturhistorisch bzw. geologisch bedeutsame Lan</w:t>
            </w:r>
            <w:r w:rsidRPr="008A1C04">
              <w:t>d</w:t>
            </w:r>
            <w:r w:rsidRPr="008A1C04">
              <w:t>schaftsteile und -</w:t>
            </w:r>
            <w:proofErr w:type="spellStart"/>
            <w:r w:rsidRPr="008A1C04">
              <w:t>bestandteile</w:t>
            </w:r>
            <w:proofErr w:type="spellEnd"/>
            <w:r w:rsidRPr="008A1C04">
              <w:t xml:space="preserve"> (z. B. geologisch int</w:t>
            </w:r>
            <w:r w:rsidRPr="008A1C04">
              <w:t>e</w:t>
            </w:r>
            <w:r w:rsidRPr="008A1C04">
              <w:t>ressante Aufschlüsse, Findlinge, Binnendünen, G</w:t>
            </w:r>
            <w:r w:rsidRPr="008A1C04">
              <w:t>e</w:t>
            </w:r>
            <w:r w:rsidRPr="008A1C04">
              <w:t xml:space="preserve">otope </w:t>
            </w:r>
            <w:r w:rsidR="001555FF">
              <w:rPr>
                <w:rFonts w:cs="Arial"/>
              </w:rPr>
              <w:t>→</w:t>
            </w:r>
            <w:r w:rsidRPr="008A1C04">
              <w:t xml:space="preserve"> s. Geotopkataster)</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val="restart"/>
          </w:tcPr>
          <w:p w:rsidR="005D7AA5" w:rsidRPr="008A1C04" w:rsidRDefault="005D7AA5" w:rsidP="00A47F10">
            <w:pPr>
              <w:pStyle w:val="GesAbsatz"/>
              <w:tabs>
                <w:tab w:val="clear" w:pos="425"/>
              </w:tabs>
            </w:pPr>
            <w:r w:rsidRPr="008A1C04">
              <w:t>Gewässer</w:t>
            </w:r>
          </w:p>
        </w:tc>
        <w:tc>
          <w:tcPr>
            <w:tcW w:w="5244" w:type="dxa"/>
          </w:tcPr>
          <w:p w:rsidR="005D7AA5" w:rsidRPr="008A1C04" w:rsidRDefault="005D7AA5" w:rsidP="005D7AA5">
            <w:pPr>
              <w:pStyle w:val="GesAbsatz"/>
              <w:tabs>
                <w:tab w:val="clear" w:pos="425"/>
              </w:tabs>
              <w:ind w:left="317" w:hanging="317"/>
            </w:pPr>
            <w:r>
              <w:t>-</w:t>
            </w:r>
            <w:r>
              <w:tab/>
            </w:r>
            <w:r w:rsidRPr="008A1C04">
              <w:t>Stillgewässer</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Fließgewässer</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Morphologie der Gewässer</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Gestalt und Verteilung des Gewässernetzes</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Begradigungen</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angrenzende Nutzungen</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historische Gewässertypen, z. B. Gräften</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val="restart"/>
          </w:tcPr>
          <w:p w:rsidR="005D7AA5" w:rsidRPr="008A1C04" w:rsidRDefault="005D7AA5" w:rsidP="00A47F10">
            <w:pPr>
              <w:pStyle w:val="GesAbsatz"/>
              <w:tabs>
                <w:tab w:val="clear" w:pos="425"/>
              </w:tabs>
            </w:pPr>
            <w:r w:rsidRPr="008A1C04">
              <w:t>qualitatives Nutzungsmuster</w:t>
            </w:r>
          </w:p>
        </w:tc>
        <w:tc>
          <w:tcPr>
            <w:tcW w:w="5244" w:type="dxa"/>
          </w:tcPr>
          <w:p w:rsidR="005D7AA5" w:rsidRPr="008A1C04" w:rsidRDefault="005D7AA5" w:rsidP="005D7AA5">
            <w:pPr>
              <w:pStyle w:val="GesAbsatz"/>
              <w:tabs>
                <w:tab w:val="clear" w:pos="425"/>
              </w:tabs>
              <w:ind w:left="317" w:hanging="317"/>
            </w:pPr>
            <w:r>
              <w:t>-</w:t>
            </w:r>
            <w:r>
              <w:tab/>
            </w:r>
            <w:r w:rsidRPr="008A1C04">
              <w:t>Gestalt und Verteilung des Nutzungsmusters</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(z. B. Realteilungsgebiete, flurbereinigte Gebiete, extensive und kleinteilige Nutzung etc.)</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Laub-, Misch- und Nadelwald-Verteilung</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Wald-Offenlandverteilung und -Übergänge</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Grünland-Acker-Verteilung</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kulturhistorische Nutzungsformen</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val="restart"/>
          </w:tcPr>
          <w:p w:rsidR="005D7AA5" w:rsidRPr="008A1C04" w:rsidRDefault="005D7AA5" w:rsidP="00A47F10">
            <w:pPr>
              <w:pStyle w:val="GesAbsatz"/>
              <w:tabs>
                <w:tab w:val="clear" w:pos="425"/>
              </w:tabs>
            </w:pPr>
            <w:r w:rsidRPr="008A1C04">
              <w:t>Siedlungsausprägung</w:t>
            </w:r>
          </w:p>
        </w:tc>
        <w:tc>
          <w:tcPr>
            <w:tcW w:w="5244" w:type="dxa"/>
          </w:tcPr>
          <w:p w:rsidR="005D7AA5" w:rsidRPr="008A1C04" w:rsidRDefault="005D7AA5" w:rsidP="005D7AA5">
            <w:pPr>
              <w:pStyle w:val="GesAbsatz"/>
              <w:tabs>
                <w:tab w:val="clear" w:pos="425"/>
              </w:tabs>
              <w:ind w:left="317" w:hanging="317"/>
            </w:pPr>
            <w:r>
              <w:t>-</w:t>
            </w:r>
            <w:r>
              <w:tab/>
            </w:r>
            <w:r w:rsidRPr="008A1C04">
              <w:t>typische Bauweisen</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1555FF">
            <w:pPr>
              <w:pStyle w:val="GesAbsatz"/>
              <w:tabs>
                <w:tab w:val="clear" w:pos="425"/>
              </w:tabs>
              <w:ind w:left="317" w:hanging="317"/>
              <w:jc w:val="left"/>
            </w:pPr>
            <w:r>
              <w:t>-</w:t>
            </w:r>
            <w:r>
              <w:tab/>
            </w:r>
            <w:r w:rsidRPr="008A1C04">
              <w:t xml:space="preserve">typische Ortsstrukturen (Siedlungsanordnung, </w:t>
            </w:r>
            <w:r w:rsidR="001555FF">
              <w:noBreakHyphen/>
            </w:r>
            <w:proofErr w:type="spellStart"/>
            <w:r w:rsidRPr="008A1C04">
              <w:t>verteilung</w:t>
            </w:r>
            <w:proofErr w:type="spellEnd"/>
            <w:r w:rsidRPr="008A1C04">
              <w:t>)</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historisch gewachsene Siedlungen</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 xml:space="preserve">Baudenkmäler (Burgen, Schlösser, Kirchen, Klöster </w:t>
            </w:r>
            <w:r w:rsidRPr="008A1C04">
              <w:lastRenderedPageBreak/>
              <w:t>etc.)</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 xml:space="preserve">sonstige kulturhistorische Landschaftselemente (Gräften, Kreuzweg, Gerichtseiche, historischer Friedhof, Ringwall etc., Alleen </w:t>
            </w:r>
            <w:r>
              <w:sym w:font="Symbol" w:char="F0AE"/>
            </w:r>
            <w:r w:rsidRPr="008A1C04">
              <w:t xml:space="preserve"> s. Alleenkataster, landschaftsprägende Einzelbäume </w:t>
            </w:r>
            <w:r>
              <w:sym w:font="Symbol" w:char="F0AE"/>
            </w:r>
            <w:r w:rsidRPr="008A1C04">
              <w:t xml:space="preserve"> s. Naturden</w:t>
            </w:r>
            <w:r w:rsidRPr="008A1C04">
              <w:t>k</w:t>
            </w:r>
            <w:r w:rsidRPr="008A1C04">
              <w:t>male, Denkmale)</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bauliche Störelemente (optische Beeinträchtigungen von regionaler Bedeutung)</w:t>
            </w:r>
          </w:p>
        </w:tc>
      </w:tr>
      <w:tr w:rsidR="005D7AA5" w:rsidRPr="008A1C04" w:rsidTr="0065525D">
        <w:tc>
          <w:tcPr>
            <w:tcW w:w="1526" w:type="dxa"/>
            <w:vMerge w:val="restart"/>
          </w:tcPr>
          <w:p w:rsidR="005D7AA5" w:rsidRPr="008A1C04" w:rsidRDefault="005D7AA5" w:rsidP="00A47F10">
            <w:pPr>
              <w:pStyle w:val="GesAbsatz"/>
              <w:tabs>
                <w:tab w:val="clear" w:pos="425"/>
              </w:tabs>
            </w:pPr>
            <w:r w:rsidRPr="008A1C04">
              <w:t>Vielfalt</w:t>
            </w:r>
          </w:p>
        </w:tc>
        <w:tc>
          <w:tcPr>
            <w:tcW w:w="2977" w:type="dxa"/>
            <w:vMerge w:val="restart"/>
          </w:tcPr>
          <w:p w:rsidR="005D7AA5" w:rsidRPr="008A1C04" w:rsidRDefault="005D7AA5" w:rsidP="00A47F10">
            <w:pPr>
              <w:pStyle w:val="GesAbsatz"/>
              <w:tabs>
                <w:tab w:val="clear" w:pos="425"/>
              </w:tabs>
            </w:pPr>
            <w:r w:rsidRPr="008A1C04">
              <w:t>quantitatives Nutzungsmuster</w:t>
            </w:r>
          </w:p>
        </w:tc>
        <w:tc>
          <w:tcPr>
            <w:tcW w:w="5244" w:type="dxa"/>
          </w:tcPr>
          <w:p w:rsidR="005D7AA5" w:rsidRPr="008A1C04" w:rsidRDefault="005D7AA5" w:rsidP="00A47F10">
            <w:pPr>
              <w:pStyle w:val="GesAbsatz"/>
              <w:tabs>
                <w:tab w:val="clear" w:pos="425"/>
              </w:tabs>
            </w:pPr>
            <w:r w:rsidRPr="008A1C04">
              <w:t>Abwechslungsreichtum:</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Wald, Acker, Grünland, Hecken, Gewässer, Siedlu</w:t>
            </w:r>
            <w:r w:rsidRPr="008A1C04">
              <w:t>n</w:t>
            </w:r>
            <w:r w:rsidRPr="008A1C04">
              <w:t>gen</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hohe Reliefdynamik</w:t>
            </w:r>
          </w:p>
        </w:tc>
      </w:tr>
      <w:tr w:rsidR="005D7AA5" w:rsidRPr="008A1C04" w:rsidTr="0065525D">
        <w:tc>
          <w:tcPr>
            <w:tcW w:w="1526" w:type="dxa"/>
            <w:vMerge w:val="restart"/>
          </w:tcPr>
          <w:p w:rsidR="005D7AA5" w:rsidRPr="008A1C04" w:rsidRDefault="005D7AA5" w:rsidP="00A47F10">
            <w:pPr>
              <w:pStyle w:val="GesAbsatz"/>
              <w:tabs>
                <w:tab w:val="clear" w:pos="425"/>
              </w:tabs>
            </w:pPr>
            <w:r w:rsidRPr="008A1C04">
              <w:t>Schönheit</w:t>
            </w:r>
          </w:p>
        </w:tc>
        <w:tc>
          <w:tcPr>
            <w:tcW w:w="2977" w:type="dxa"/>
            <w:vMerge w:val="restart"/>
          </w:tcPr>
          <w:p w:rsidR="005D7AA5" w:rsidRPr="008A1C04" w:rsidRDefault="005D7AA5" w:rsidP="00A47F10">
            <w:pPr>
              <w:pStyle w:val="GesAbsatz"/>
              <w:tabs>
                <w:tab w:val="clear" w:pos="425"/>
              </w:tabs>
            </w:pPr>
            <w:r w:rsidRPr="008A1C04">
              <w:t>Naturnähe</w:t>
            </w:r>
          </w:p>
        </w:tc>
        <w:tc>
          <w:tcPr>
            <w:tcW w:w="5244" w:type="dxa"/>
          </w:tcPr>
          <w:p w:rsidR="005D7AA5" w:rsidRPr="008A1C04" w:rsidRDefault="005D7AA5" w:rsidP="005D7AA5">
            <w:pPr>
              <w:pStyle w:val="GesAbsatz"/>
              <w:tabs>
                <w:tab w:val="clear" w:pos="425"/>
              </w:tabs>
              <w:ind w:left="317" w:hanging="317"/>
            </w:pPr>
            <w:r>
              <w:t>-</w:t>
            </w:r>
            <w:r>
              <w:tab/>
            </w:r>
            <w:r w:rsidRPr="008A1C04">
              <w:t>natürliche und naturnahe Lebensräume mit ihrer spezifischen Ausprägung an Formen, Arten und L</w:t>
            </w:r>
            <w:r w:rsidRPr="008A1C04">
              <w:t>e</w:t>
            </w:r>
            <w:r w:rsidRPr="008A1C04">
              <w:t>bensgemeinschaften (z.B. Laubwälder, Hecken, Baumgruppen, schutzwürdige Biotope, gesetzlich geschützte Biotope, FFH-Lebensraumtypen, Schut</w:t>
            </w:r>
            <w:r w:rsidRPr="008A1C04">
              <w:t>z</w:t>
            </w:r>
            <w:r w:rsidRPr="008A1C04">
              <w:t xml:space="preserve">gebiete </w:t>
            </w:r>
            <w:r w:rsidR="001555FF">
              <w:sym w:font="Symbol" w:char="F0AE"/>
            </w:r>
            <w:r w:rsidRPr="008A1C04">
              <w:t xml:space="preserve"> s. Biotopkataster NRW und Information</w:t>
            </w:r>
            <w:r w:rsidRPr="008A1C04">
              <w:t>s</w:t>
            </w:r>
            <w:r w:rsidRPr="008A1C04">
              <w:t>systeme des LANUV zu den Schutzgebieten)</w:t>
            </w:r>
          </w:p>
        </w:tc>
      </w:tr>
      <w:tr w:rsidR="005D7AA5" w:rsidRPr="008A1C04" w:rsidTr="0065525D">
        <w:tc>
          <w:tcPr>
            <w:tcW w:w="1526" w:type="dxa"/>
            <w:vMerge/>
          </w:tcPr>
          <w:p w:rsidR="005D7AA5" w:rsidRPr="008A1C04" w:rsidRDefault="005D7AA5" w:rsidP="00A47F10">
            <w:pPr>
              <w:pStyle w:val="GesAbsatz"/>
              <w:tabs>
                <w:tab w:val="clear" w:pos="425"/>
              </w:tabs>
            </w:pPr>
          </w:p>
        </w:tc>
        <w:tc>
          <w:tcPr>
            <w:tcW w:w="2977" w:type="dxa"/>
            <w:vMerge/>
          </w:tcPr>
          <w:p w:rsidR="005D7AA5" w:rsidRPr="008A1C04" w:rsidRDefault="005D7AA5" w:rsidP="00A47F10">
            <w:pPr>
              <w:pStyle w:val="GesAbsatz"/>
              <w:tabs>
                <w:tab w:val="clear" w:pos="425"/>
              </w:tabs>
            </w:pPr>
          </w:p>
        </w:tc>
        <w:tc>
          <w:tcPr>
            <w:tcW w:w="5244" w:type="dxa"/>
          </w:tcPr>
          <w:p w:rsidR="005D7AA5" w:rsidRPr="008A1C04" w:rsidRDefault="005D7AA5" w:rsidP="005D7AA5">
            <w:pPr>
              <w:pStyle w:val="GesAbsatz"/>
              <w:tabs>
                <w:tab w:val="clear" w:pos="425"/>
              </w:tabs>
              <w:ind w:left="317" w:hanging="317"/>
            </w:pPr>
            <w:r>
              <w:t>-</w:t>
            </w:r>
            <w:r>
              <w:tab/>
            </w:r>
            <w:r w:rsidRPr="008A1C04">
              <w:t>naturnahe Gewässer (s. Biotopkataster und Gewä</w:t>
            </w:r>
            <w:r w:rsidRPr="008A1C04">
              <w:t>s</w:t>
            </w:r>
            <w:r w:rsidRPr="008A1C04">
              <w:t>serstrukturgütekartierung, Gewässertypen)</w:t>
            </w:r>
          </w:p>
        </w:tc>
      </w:tr>
    </w:tbl>
    <w:p w:rsidR="005D7AA5" w:rsidRDefault="005D7AA5" w:rsidP="00B62D98">
      <w:pPr>
        <w:pStyle w:val="GesAbsatz"/>
      </w:pPr>
    </w:p>
    <w:p w:rsidR="00B62D98" w:rsidRDefault="00B62D98" w:rsidP="00B62D98">
      <w:pPr>
        <w:pStyle w:val="GesAbsatz"/>
      </w:pPr>
      <w:r>
        <w:t>Als störende Elemente wirken z. B. Abgrabungen, Windkraftanlagen, bestehende Freileitungen, landschaft</w:t>
      </w:r>
      <w:r>
        <w:t>s</w:t>
      </w:r>
      <w:r>
        <w:t>bildbeeinträchtigende</w:t>
      </w:r>
      <w:r w:rsidR="005D7AA5">
        <w:t xml:space="preserve"> </w:t>
      </w:r>
      <w:r>
        <w:t>Straßen, nicht eingebundene Ortsränder und überdimensionale Industriebauten.</w:t>
      </w:r>
    </w:p>
    <w:p w:rsidR="00B62D98" w:rsidRDefault="00B62D98" w:rsidP="00B62D98">
      <w:pPr>
        <w:pStyle w:val="GesAbsatz"/>
      </w:pPr>
      <w:r>
        <w:t>Die Gegenüberstellung von Soll- und Istzustand erfolgt in tabellarischer Form (Tab. 2). Pro</w:t>
      </w:r>
      <w:r w:rsidR="005D7AA5">
        <w:t xml:space="preserve"> </w:t>
      </w:r>
      <w:r>
        <w:t>Landschaftsbil</w:t>
      </w:r>
      <w:r>
        <w:t>d</w:t>
      </w:r>
      <w:r>
        <w:t>einheit ist eine solche Tabelle auszufüllen.</w:t>
      </w:r>
    </w:p>
    <w:p w:rsidR="00B62D98" w:rsidRPr="005D7AA5" w:rsidRDefault="00B62D98" w:rsidP="00B62D98">
      <w:pPr>
        <w:pStyle w:val="GesAbsatz"/>
        <w:rPr>
          <w:b/>
        </w:rPr>
      </w:pPr>
      <w:r w:rsidRPr="005D7AA5">
        <w:rPr>
          <w:b/>
        </w:rPr>
        <w:t>Tab. 2: Tabelle zur Gegenüberstellung von Soll- und Istzustand des Landschaftsbildes mit der B</w:t>
      </w:r>
      <w:r w:rsidRPr="005D7AA5">
        <w:rPr>
          <w:b/>
        </w:rPr>
        <w:t>e</w:t>
      </w:r>
      <w:r w:rsidRPr="005D7AA5">
        <w:rPr>
          <w:b/>
        </w:rPr>
        <w:t>wertung der Übereinstimmung</w:t>
      </w:r>
      <w:r w:rsidR="005D7AA5" w:rsidRPr="005D7AA5">
        <w:rPr>
          <w:b/>
        </w:rPr>
        <w:t xml:space="preserve"> </w:t>
      </w:r>
      <w:r w:rsidRPr="005D7AA5">
        <w:rPr>
          <w:b/>
        </w:rPr>
        <w:t>zwischen Istzustand und Leitbild.</w:t>
      </w:r>
    </w:p>
    <w:tbl>
      <w:tblPr>
        <w:tblStyle w:val="Tabellenraster"/>
        <w:tblW w:w="0" w:type="auto"/>
        <w:tblLook w:val="04A0" w:firstRow="1" w:lastRow="0" w:firstColumn="1" w:lastColumn="0" w:noHBand="0" w:noVBand="1"/>
      </w:tblPr>
      <w:tblGrid>
        <w:gridCol w:w="2518"/>
        <w:gridCol w:w="2250"/>
        <w:gridCol w:w="2147"/>
        <w:gridCol w:w="2664"/>
      </w:tblGrid>
      <w:tr w:rsidR="005D7AA5" w:rsidRPr="00B274C9" w:rsidTr="00B274C9">
        <w:tc>
          <w:tcPr>
            <w:tcW w:w="9579" w:type="dxa"/>
            <w:gridSpan w:val="4"/>
            <w:shd w:val="clear" w:color="auto" w:fill="A6A6A6" w:themeFill="background1" w:themeFillShade="A6"/>
          </w:tcPr>
          <w:p w:rsidR="005D7AA5" w:rsidRPr="00B274C9" w:rsidRDefault="005D7AA5" w:rsidP="00A47F10">
            <w:pPr>
              <w:pStyle w:val="GesAbsatz"/>
              <w:tabs>
                <w:tab w:val="clear" w:pos="425"/>
              </w:tabs>
              <w:rPr>
                <w:b/>
              </w:rPr>
            </w:pPr>
            <w:r w:rsidRPr="00B274C9">
              <w:rPr>
                <w:b/>
              </w:rPr>
              <w:t>Landschaftsbildeinheit: &lt;Nummer&gt; - Kategorie: &lt;Kategorie&gt;</w:t>
            </w:r>
          </w:p>
        </w:tc>
      </w:tr>
      <w:tr w:rsidR="005D7AA5" w:rsidRPr="00B274C9" w:rsidTr="004E6B25">
        <w:tc>
          <w:tcPr>
            <w:tcW w:w="2518" w:type="dxa"/>
            <w:shd w:val="clear" w:color="auto" w:fill="A6A6A6" w:themeFill="background1" w:themeFillShade="A6"/>
            <w:vAlign w:val="center"/>
          </w:tcPr>
          <w:p w:rsidR="005D7AA5" w:rsidRPr="00B274C9" w:rsidRDefault="005D7AA5" w:rsidP="004E6B25">
            <w:pPr>
              <w:pStyle w:val="GesAbsatz"/>
              <w:tabs>
                <w:tab w:val="clear" w:pos="425"/>
              </w:tabs>
              <w:jc w:val="left"/>
              <w:rPr>
                <w:b/>
              </w:rPr>
            </w:pPr>
            <w:r w:rsidRPr="00B274C9">
              <w:rPr>
                <w:b/>
              </w:rPr>
              <w:t>Merkmal</w:t>
            </w:r>
          </w:p>
        </w:tc>
        <w:tc>
          <w:tcPr>
            <w:tcW w:w="2250" w:type="dxa"/>
            <w:shd w:val="clear" w:color="auto" w:fill="A6A6A6" w:themeFill="background1" w:themeFillShade="A6"/>
            <w:vAlign w:val="center"/>
          </w:tcPr>
          <w:p w:rsidR="005D7AA5" w:rsidRPr="00B274C9" w:rsidRDefault="005D7AA5" w:rsidP="004E6B25">
            <w:pPr>
              <w:pStyle w:val="GesAbsatz"/>
              <w:tabs>
                <w:tab w:val="clear" w:pos="425"/>
              </w:tabs>
              <w:jc w:val="left"/>
              <w:rPr>
                <w:b/>
              </w:rPr>
            </w:pPr>
            <w:r w:rsidRPr="00B274C9">
              <w:rPr>
                <w:b/>
              </w:rPr>
              <w:t>charakteristische Ausprägung (Soll-Zustand, Leitbild)</w:t>
            </w:r>
          </w:p>
        </w:tc>
        <w:tc>
          <w:tcPr>
            <w:tcW w:w="2147" w:type="dxa"/>
            <w:shd w:val="clear" w:color="auto" w:fill="A6A6A6" w:themeFill="background1" w:themeFillShade="A6"/>
            <w:vAlign w:val="center"/>
          </w:tcPr>
          <w:p w:rsidR="005D7AA5" w:rsidRPr="00B274C9" w:rsidRDefault="005D7AA5" w:rsidP="004E6B25">
            <w:pPr>
              <w:pStyle w:val="GesAbsatz"/>
              <w:tabs>
                <w:tab w:val="clear" w:pos="425"/>
              </w:tabs>
              <w:jc w:val="left"/>
              <w:rPr>
                <w:b/>
              </w:rPr>
            </w:pPr>
            <w:r w:rsidRPr="00B274C9">
              <w:rPr>
                <w:b/>
              </w:rPr>
              <w:t>Ist-Zustand</w:t>
            </w:r>
          </w:p>
        </w:tc>
        <w:tc>
          <w:tcPr>
            <w:tcW w:w="2664" w:type="dxa"/>
            <w:shd w:val="clear" w:color="auto" w:fill="A6A6A6" w:themeFill="background1" w:themeFillShade="A6"/>
            <w:vAlign w:val="center"/>
          </w:tcPr>
          <w:p w:rsidR="005D7AA5" w:rsidRPr="00B274C9" w:rsidRDefault="005D7AA5" w:rsidP="004E6B25">
            <w:pPr>
              <w:pStyle w:val="GesAbsatz"/>
              <w:tabs>
                <w:tab w:val="clear" w:pos="425"/>
              </w:tabs>
              <w:jc w:val="left"/>
              <w:rPr>
                <w:b/>
              </w:rPr>
            </w:pPr>
            <w:r w:rsidRPr="00B274C9">
              <w:rPr>
                <w:b/>
              </w:rPr>
              <w:t>Übereinstimmung zw</w:t>
            </w:r>
            <w:r w:rsidRPr="00B274C9">
              <w:rPr>
                <w:b/>
              </w:rPr>
              <w:t>i</w:t>
            </w:r>
            <w:r w:rsidRPr="00B274C9">
              <w:rPr>
                <w:b/>
              </w:rPr>
              <w:t>schen Soll- und Istz</w:t>
            </w:r>
            <w:r w:rsidRPr="00B274C9">
              <w:rPr>
                <w:b/>
              </w:rPr>
              <w:t>u</w:t>
            </w:r>
            <w:r w:rsidRPr="00B274C9">
              <w:rPr>
                <w:b/>
              </w:rPr>
              <w:t>stand</w:t>
            </w:r>
          </w:p>
        </w:tc>
      </w:tr>
      <w:tr w:rsidR="005D7AA5" w:rsidRPr="005D7AA5" w:rsidTr="00B274C9">
        <w:tc>
          <w:tcPr>
            <w:tcW w:w="2518" w:type="dxa"/>
            <w:shd w:val="clear" w:color="auto" w:fill="D9D9D9" w:themeFill="background1" w:themeFillShade="D9"/>
          </w:tcPr>
          <w:p w:rsidR="005D7AA5" w:rsidRPr="005D7AA5" w:rsidRDefault="005D7AA5" w:rsidP="00A47F10">
            <w:pPr>
              <w:pStyle w:val="GesAbsatz"/>
              <w:tabs>
                <w:tab w:val="clear" w:pos="425"/>
              </w:tabs>
            </w:pPr>
            <w:r w:rsidRPr="005D7AA5">
              <w:t>Eigenart</w:t>
            </w:r>
          </w:p>
        </w:tc>
        <w:tc>
          <w:tcPr>
            <w:tcW w:w="2250" w:type="dxa"/>
            <w:shd w:val="clear" w:color="auto" w:fill="D9D9D9" w:themeFill="background1" w:themeFillShade="D9"/>
          </w:tcPr>
          <w:p w:rsidR="005D7AA5" w:rsidRPr="005D7AA5" w:rsidRDefault="005D7AA5" w:rsidP="00A47F10">
            <w:pPr>
              <w:pStyle w:val="GesAbsatz"/>
              <w:tabs>
                <w:tab w:val="clear" w:pos="425"/>
              </w:tabs>
            </w:pPr>
          </w:p>
        </w:tc>
        <w:tc>
          <w:tcPr>
            <w:tcW w:w="2147" w:type="dxa"/>
            <w:shd w:val="clear" w:color="auto" w:fill="D9D9D9" w:themeFill="background1" w:themeFillShade="D9"/>
          </w:tcPr>
          <w:p w:rsidR="005D7AA5" w:rsidRPr="005D7AA5" w:rsidRDefault="005D7AA5" w:rsidP="00A47F10">
            <w:pPr>
              <w:pStyle w:val="GesAbsatz"/>
              <w:tabs>
                <w:tab w:val="clear" w:pos="425"/>
              </w:tabs>
            </w:pPr>
          </w:p>
        </w:tc>
        <w:tc>
          <w:tcPr>
            <w:tcW w:w="2664" w:type="dxa"/>
            <w:shd w:val="clear" w:color="auto" w:fill="D9D9D9" w:themeFill="background1" w:themeFillShade="D9"/>
          </w:tcPr>
          <w:p w:rsidR="005D7AA5" w:rsidRPr="005D7AA5" w:rsidRDefault="005D7AA5" w:rsidP="00A47F10">
            <w:pPr>
              <w:pStyle w:val="GesAbsatz"/>
              <w:tabs>
                <w:tab w:val="clear" w:pos="425"/>
              </w:tabs>
            </w:pPr>
          </w:p>
        </w:tc>
      </w:tr>
      <w:tr w:rsidR="005D7AA5" w:rsidRPr="005D7AA5" w:rsidTr="00B274C9">
        <w:tc>
          <w:tcPr>
            <w:tcW w:w="2518" w:type="dxa"/>
          </w:tcPr>
          <w:p w:rsidR="005D7AA5" w:rsidRPr="005D7AA5" w:rsidRDefault="005D7AA5" w:rsidP="00B274C9">
            <w:pPr>
              <w:pStyle w:val="GesAbsatz"/>
              <w:tabs>
                <w:tab w:val="clear" w:pos="425"/>
              </w:tabs>
              <w:ind w:left="426" w:hanging="426"/>
            </w:pPr>
            <w:r w:rsidRPr="005D7AA5">
              <w:t>-</w:t>
            </w:r>
            <w:r>
              <w:tab/>
            </w:r>
            <w:r w:rsidRPr="005D7AA5">
              <w:t>Relief</w:t>
            </w:r>
          </w:p>
        </w:tc>
        <w:tc>
          <w:tcPr>
            <w:tcW w:w="2250" w:type="dxa"/>
          </w:tcPr>
          <w:p w:rsidR="005D7AA5" w:rsidRPr="005D7AA5" w:rsidRDefault="005D7AA5" w:rsidP="00B274C9">
            <w:pPr>
              <w:pStyle w:val="GesAbsatz"/>
              <w:tabs>
                <w:tab w:val="clear" w:pos="425"/>
              </w:tabs>
              <w:jc w:val="center"/>
            </w:pPr>
            <w:r w:rsidRPr="005D7AA5">
              <w:t>&lt; verbale Beschre</w:t>
            </w:r>
            <w:r w:rsidRPr="005D7AA5">
              <w:t>i</w:t>
            </w:r>
            <w:r w:rsidRPr="005D7AA5">
              <w:t>bung in Stichpunk</w:t>
            </w:r>
            <w:r w:rsidRPr="005D7AA5">
              <w:t>t</w:t>
            </w:r>
            <w:r w:rsidRPr="005D7AA5">
              <w:t>form &gt;</w:t>
            </w:r>
          </w:p>
        </w:tc>
        <w:tc>
          <w:tcPr>
            <w:tcW w:w="2147" w:type="dxa"/>
          </w:tcPr>
          <w:p w:rsidR="005D7AA5" w:rsidRPr="005D7AA5" w:rsidRDefault="005D7AA5" w:rsidP="00B274C9">
            <w:pPr>
              <w:pStyle w:val="GesAbsatz"/>
              <w:tabs>
                <w:tab w:val="clear" w:pos="425"/>
              </w:tabs>
              <w:jc w:val="center"/>
            </w:pPr>
            <w:r w:rsidRPr="005D7AA5">
              <w:t>&lt; verbale Beschre</w:t>
            </w:r>
            <w:r w:rsidRPr="005D7AA5">
              <w:t>i</w:t>
            </w:r>
            <w:r w:rsidRPr="005D7AA5">
              <w:t>bung in Stichpunk</w:t>
            </w:r>
            <w:r w:rsidRPr="005D7AA5">
              <w:t>t</w:t>
            </w:r>
            <w:r w:rsidRPr="005D7AA5">
              <w:t>form &gt;</w:t>
            </w:r>
          </w:p>
        </w:tc>
        <w:tc>
          <w:tcPr>
            <w:tcW w:w="2664" w:type="dxa"/>
          </w:tcPr>
          <w:p w:rsidR="005D7AA5" w:rsidRPr="005D7AA5" w:rsidRDefault="005D7AA5" w:rsidP="00B274C9">
            <w:pPr>
              <w:pStyle w:val="GesAbsatz"/>
              <w:tabs>
                <w:tab w:val="clear" w:pos="425"/>
              </w:tabs>
              <w:jc w:val="center"/>
            </w:pPr>
            <w:r w:rsidRPr="005D7AA5">
              <w:t>&lt;gering&gt;&lt;mittel&gt;&lt;hoch&gt;</w:t>
            </w:r>
          </w:p>
        </w:tc>
      </w:tr>
      <w:tr w:rsidR="005D7AA5" w:rsidRPr="005D7AA5" w:rsidTr="00B274C9">
        <w:tc>
          <w:tcPr>
            <w:tcW w:w="2518" w:type="dxa"/>
          </w:tcPr>
          <w:p w:rsidR="005D7AA5" w:rsidRPr="005D7AA5" w:rsidRDefault="005D7AA5" w:rsidP="00B274C9">
            <w:pPr>
              <w:pStyle w:val="GesAbsatz"/>
              <w:tabs>
                <w:tab w:val="clear" w:pos="425"/>
              </w:tabs>
              <w:ind w:left="426" w:hanging="426"/>
            </w:pPr>
            <w:r w:rsidRPr="005D7AA5">
              <w:t>-</w:t>
            </w:r>
            <w:r>
              <w:tab/>
            </w:r>
            <w:r w:rsidRPr="005D7AA5">
              <w:t>Gewässer</w:t>
            </w:r>
          </w:p>
        </w:tc>
        <w:tc>
          <w:tcPr>
            <w:tcW w:w="2250" w:type="dxa"/>
          </w:tcPr>
          <w:p w:rsidR="005D7AA5" w:rsidRPr="005D7AA5" w:rsidRDefault="005D7AA5" w:rsidP="00B274C9">
            <w:pPr>
              <w:pStyle w:val="GesAbsatz"/>
              <w:tabs>
                <w:tab w:val="clear" w:pos="425"/>
              </w:tabs>
              <w:jc w:val="center"/>
            </w:pPr>
            <w:r w:rsidRPr="005D7AA5">
              <w:t>…</w:t>
            </w:r>
          </w:p>
        </w:tc>
        <w:tc>
          <w:tcPr>
            <w:tcW w:w="2147" w:type="dxa"/>
          </w:tcPr>
          <w:p w:rsidR="005D7AA5" w:rsidRPr="005D7AA5" w:rsidRDefault="005D7AA5" w:rsidP="00B274C9">
            <w:pPr>
              <w:pStyle w:val="GesAbsatz"/>
              <w:tabs>
                <w:tab w:val="clear" w:pos="425"/>
              </w:tabs>
              <w:jc w:val="center"/>
            </w:pPr>
            <w:r w:rsidRPr="005D7AA5">
              <w:t>…</w:t>
            </w:r>
          </w:p>
        </w:tc>
        <w:tc>
          <w:tcPr>
            <w:tcW w:w="2664" w:type="dxa"/>
          </w:tcPr>
          <w:p w:rsidR="005D7AA5" w:rsidRPr="005D7AA5" w:rsidRDefault="005D7AA5" w:rsidP="00B274C9">
            <w:pPr>
              <w:pStyle w:val="GesAbsatz"/>
              <w:tabs>
                <w:tab w:val="clear" w:pos="425"/>
              </w:tabs>
              <w:jc w:val="center"/>
            </w:pPr>
            <w:r w:rsidRPr="005D7AA5">
              <w:t>…</w:t>
            </w:r>
          </w:p>
        </w:tc>
      </w:tr>
      <w:tr w:rsidR="005D7AA5" w:rsidRPr="005D7AA5" w:rsidTr="00B274C9">
        <w:tc>
          <w:tcPr>
            <w:tcW w:w="2518" w:type="dxa"/>
          </w:tcPr>
          <w:p w:rsidR="005D7AA5" w:rsidRPr="005D7AA5" w:rsidRDefault="005D7AA5" w:rsidP="00EB1985">
            <w:pPr>
              <w:pStyle w:val="GesAbsatz"/>
              <w:tabs>
                <w:tab w:val="clear" w:pos="425"/>
              </w:tabs>
              <w:ind w:left="426" w:hanging="426"/>
              <w:jc w:val="left"/>
            </w:pPr>
            <w:r w:rsidRPr="005D7AA5">
              <w:t>-</w:t>
            </w:r>
            <w:r>
              <w:tab/>
            </w:r>
            <w:r w:rsidRPr="005D7AA5">
              <w:t>qualitatives Nu</w:t>
            </w:r>
            <w:r w:rsidRPr="005D7AA5">
              <w:t>t</w:t>
            </w:r>
            <w:r w:rsidRPr="005D7AA5">
              <w:t>zungsmuster</w:t>
            </w:r>
          </w:p>
        </w:tc>
        <w:tc>
          <w:tcPr>
            <w:tcW w:w="2250" w:type="dxa"/>
          </w:tcPr>
          <w:p w:rsidR="005D7AA5" w:rsidRPr="005D7AA5" w:rsidRDefault="005D7AA5" w:rsidP="00B274C9">
            <w:pPr>
              <w:pStyle w:val="GesAbsatz"/>
              <w:tabs>
                <w:tab w:val="clear" w:pos="425"/>
              </w:tabs>
              <w:jc w:val="center"/>
            </w:pPr>
            <w:r w:rsidRPr="005D7AA5">
              <w:t>…</w:t>
            </w:r>
          </w:p>
        </w:tc>
        <w:tc>
          <w:tcPr>
            <w:tcW w:w="2147" w:type="dxa"/>
          </w:tcPr>
          <w:p w:rsidR="005D7AA5" w:rsidRPr="005D7AA5" w:rsidRDefault="005D7AA5" w:rsidP="00B274C9">
            <w:pPr>
              <w:pStyle w:val="GesAbsatz"/>
              <w:tabs>
                <w:tab w:val="clear" w:pos="425"/>
              </w:tabs>
              <w:jc w:val="center"/>
            </w:pPr>
            <w:r w:rsidRPr="005D7AA5">
              <w:t>…</w:t>
            </w:r>
          </w:p>
        </w:tc>
        <w:tc>
          <w:tcPr>
            <w:tcW w:w="2664" w:type="dxa"/>
          </w:tcPr>
          <w:p w:rsidR="005D7AA5" w:rsidRPr="005D7AA5" w:rsidRDefault="005D7AA5" w:rsidP="00B274C9">
            <w:pPr>
              <w:pStyle w:val="GesAbsatz"/>
              <w:tabs>
                <w:tab w:val="clear" w:pos="425"/>
              </w:tabs>
              <w:jc w:val="center"/>
            </w:pPr>
            <w:r w:rsidRPr="005D7AA5">
              <w:t>…</w:t>
            </w:r>
          </w:p>
        </w:tc>
      </w:tr>
      <w:tr w:rsidR="005D7AA5" w:rsidRPr="005D7AA5" w:rsidTr="00B274C9">
        <w:tc>
          <w:tcPr>
            <w:tcW w:w="2518" w:type="dxa"/>
          </w:tcPr>
          <w:p w:rsidR="005D7AA5" w:rsidRPr="005D7AA5" w:rsidRDefault="005D7AA5" w:rsidP="00B274C9">
            <w:pPr>
              <w:pStyle w:val="GesAbsatz"/>
              <w:tabs>
                <w:tab w:val="clear" w:pos="425"/>
              </w:tabs>
              <w:ind w:left="426" w:hanging="426"/>
            </w:pPr>
            <w:r w:rsidRPr="005D7AA5">
              <w:t>-</w:t>
            </w:r>
            <w:r>
              <w:tab/>
            </w:r>
            <w:r w:rsidRPr="005D7AA5">
              <w:t>Siedlungsauspr</w:t>
            </w:r>
            <w:r w:rsidRPr="005D7AA5">
              <w:t>ä</w:t>
            </w:r>
            <w:r w:rsidRPr="005D7AA5">
              <w:t>gung</w:t>
            </w:r>
          </w:p>
        </w:tc>
        <w:tc>
          <w:tcPr>
            <w:tcW w:w="2250" w:type="dxa"/>
          </w:tcPr>
          <w:p w:rsidR="005D7AA5" w:rsidRPr="005D7AA5" w:rsidRDefault="005D7AA5" w:rsidP="00B274C9">
            <w:pPr>
              <w:pStyle w:val="GesAbsatz"/>
              <w:tabs>
                <w:tab w:val="clear" w:pos="425"/>
              </w:tabs>
              <w:jc w:val="center"/>
            </w:pPr>
            <w:r w:rsidRPr="005D7AA5">
              <w:t>…</w:t>
            </w:r>
          </w:p>
        </w:tc>
        <w:tc>
          <w:tcPr>
            <w:tcW w:w="2147" w:type="dxa"/>
          </w:tcPr>
          <w:p w:rsidR="005D7AA5" w:rsidRPr="005D7AA5" w:rsidRDefault="005D7AA5" w:rsidP="00B274C9">
            <w:pPr>
              <w:pStyle w:val="GesAbsatz"/>
              <w:tabs>
                <w:tab w:val="clear" w:pos="425"/>
              </w:tabs>
              <w:jc w:val="center"/>
            </w:pPr>
            <w:r w:rsidRPr="005D7AA5">
              <w:t>…</w:t>
            </w:r>
          </w:p>
        </w:tc>
        <w:tc>
          <w:tcPr>
            <w:tcW w:w="2664" w:type="dxa"/>
          </w:tcPr>
          <w:p w:rsidR="005D7AA5" w:rsidRPr="005D7AA5" w:rsidRDefault="005D7AA5" w:rsidP="00B274C9">
            <w:pPr>
              <w:pStyle w:val="GesAbsatz"/>
              <w:tabs>
                <w:tab w:val="clear" w:pos="425"/>
              </w:tabs>
              <w:jc w:val="center"/>
            </w:pPr>
            <w:r w:rsidRPr="005D7AA5">
              <w:t>…</w:t>
            </w:r>
          </w:p>
        </w:tc>
      </w:tr>
      <w:tr w:rsidR="005D7AA5" w:rsidRPr="005D7AA5" w:rsidTr="00B274C9">
        <w:tc>
          <w:tcPr>
            <w:tcW w:w="2518" w:type="dxa"/>
          </w:tcPr>
          <w:p w:rsidR="005D7AA5" w:rsidRPr="005D7AA5" w:rsidRDefault="005D7AA5" w:rsidP="00B274C9">
            <w:pPr>
              <w:pStyle w:val="GesAbsatz"/>
              <w:tabs>
                <w:tab w:val="clear" w:pos="425"/>
              </w:tabs>
              <w:ind w:left="426" w:hanging="426"/>
            </w:pPr>
            <w:r w:rsidRPr="005D7AA5">
              <w:sym w:font="Symbol" w:char="F0AE"/>
            </w:r>
            <w:r>
              <w:tab/>
            </w:r>
            <w:r w:rsidRPr="005D7AA5">
              <w:t>Gesamtbewertung „Eigenart“</w:t>
            </w:r>
          </w:p>
        </w:tc>
        <w:tc>
          <w:tcPr>
            <w:tcW w:w="2250" w:type="dxa"/>
          </w:tcPr>
          <w:p w:rsidR="005D7AA5" w:rsidRPr="005D7AA5" w:rsidRDefault="005D7AA5" w:rsidP="00B274C9">
            <w:pPr>
              <w:pStyle w:val="GesAbsatz"/>
              <w:tabs>
                <w:tab w:val="clear" w:pos="425"/>
              </w:tabs>
              <w:jc w:val="center"/>
            </w:pPr>
          </w:p>
        </w:tc>
        <w:tc>
          <w:tcPr>
            <w:tcW w:w="2147" w:type="dxa"/>
          </w:tcPr>
          <w:p w:rsidR="005D7AA5" w:rsidRPr="005D7AA5" w:rsidRDefault="005D7AA5" w:rsidP="00B274C9">
            <w:pPr>
              <w:pStyle w:val="GesAbsatz"/>
              <w:tabs>
                <w:tab w:val="clear" w:pos="425"/>
              </w:tabs>
              <w:jc w:val="center"/>
            </w:pPr>
          </w:p>
        </w:tc>
        <w:tc>
          <w:tcPr>
            <w:tcW w:w="2664" w:type="dxa"/>
          </w:tcPr>
          <w:p w:rsidR="005D7AA5" w:rsidRPr="005D7AA5" w:rsidRDefault="005D7AA5" w:rsidP="00B274C9">
            <w:pPr>
              <w:pStyle w:val="GesAbsatz"/>
              <w:tabs>
                <w:tab w:val="clear" w:pos="425"/>
              </w:tabs>
              <w:jc w:val="center"/>
            </w:pPr>
            <w:r w:rsidRPr="005D7AA5">
              <w:t>&lt;gering&gt;&lt;mittel&gt;&lt;hoch&gt;</w:t>
            </w:r>
          </w:p>
        </w:tc>
      </w:tr>
      <w:tr w:rsidR="005D7AA5" w:rsidRPr="005D7AA5" w:rsidTr="00B274C9">
        <w:tc>
          <w:tcPr>
            <w:tcW w:w="2518" w:type="dxa"/>
            <w:shd w:val="clear" w:color="auto" w:fill="D9D9D9" w:themeFill="background1" w:themeFillShade="D9"/>
          </w:tcPr>
          <w:p w:rsidR="005D7AA5" w:rsidRPr="005D7AA5" w:rsidRDefault="005D7AA5" w:rsidP="00A47F10">
            <w:pPr>
              <w:pStyle w:val="GesAbsatz"/>
              <w:tabs>
                <w:tab w:val="clear" w:pos="425"/>
              </w:tabs>
            </w:pPr>
            <w:r w:rsidRPr="005D7AA5">
              <w:t>Vielfalt</w:t>
            </w:r>
          </w:p>
        </w:tc>
        <w:tc>
          <w:tcPr>
            <w:tcW w:w="2250" w:type="dxa"/>
            <w:shd w:val="clear" w:color="auto" w:fill="D9D9D9" w:themeFill="background1" w:themeFillShade="D9"/>
          </w:tcPr>
          <w:p w:rsidR="005D7AA5" w:rsidRPr="005D7AA5" w:rsidRDefault="005D7AA5" w:rsidP="00B274C9">
            <w:pPr>
              <w:pStyle w:val="GesAbsatz"/>
              <w:tabs>
                <w:tab w:val="clear" w:pos="425"/>
              </w:tabs>
              <w:jc w:val="center"/>
            </w:pPr>
          </w:p>
        </w:tc>
        <w:tc>
          <w:tcPr>
            <w:tcW w:w="2147" w:type="dxa"/>
            <w:shd w:val="clear" w:color="auto" w:fill="D9D9D9" w:themeFill="background1" w:themeFillShade="D9"/>
          </w:tcPr>
          <w:p w:rsidR="005D7AA5" w:rsidRPr="005D7AA5" w:rsidRDefault="005D7AA5" w:rsidP="00B274C9">
            <w:pPr>
              <w:pStyle w:val="GesAbsatz"/>
              <w:tabs>
                <w:tab w:val="clear" w:pos="425"/>
              </w:tabs>
              <w:jc w:val="center"/>
            </w:pPr>
          </w:p>
        </w:tc>
        <w:tc>
          <w:tcPr>
            <w:tcW w:w="2664" w:type="dxa"/>
            <w:shd w:val="clear" w:color="auto" w:fill="D9D9D9" w:themeFill="background1" w:themeFillShade="D9"/>
          </w:tcPr>
          <w:p w:rsidR="005D7AA5" w:rsidRPr="005D7AA5" w:rsidRDefault="005D7AA5" w:rsidP="00B274C9">
            <w:pPr>
              <w:pStyle w:val="GesAbsatz"/>
              <w:tabs>
                <w:tab w:val="clear" w:pos="425"/>
              </w:tabs>
              <w:jc w:val="center"/>
            </w:pPr>
          </w:p>
        </w:tc>
      </w:tr>
      <w:tr w:rsidR="005D7AA5" w:rsidRPr="005D7AA5" w:rsidTr="00B274C9">
        <w:tc>
          <w:tcPr>
            <w:tcW w:w="2518" w:type="dxa"/>
          </w:tcPr>
          <w:p w:rsidR="005D7AA5" w:rsidRPr="005D7AA5" w:rsidRDefault="005D7AA5" w:rsidP="00B274C9">
            <w:pPr>
              <w:pStyle w:val="GesAbsatz"/>
              <w:tabs>
                <w:tab w:val="clear" w:pos="425"/>
              </w:tabs>
              <w:ind w:left="426" w:hanging="426"/>
            </w:pPr>
            <w:r w:rsidRPr="005D7AA5">
              <w:t>-</w:t>
            </w:r>
            <w:r>
              <w:tab/>
            </w:r>
            <w:r w:rsidRPr="005D7AA5">
              <w:t>quantitatives Nu</w:t>
            </w:r>
            <w:r w:rsidRPr="005D7AA5">
              <w:t>t</w:t>
            </w:r>
            <w:r w:rsidRPr="005D7AA5">
              <w:t>zungsmuster</w:t>
            </w:r>
          </w:p>
        </w:tc>
        <w:tc>
          <w:tcPr>
            <w:tcW w:w="2250" w:type="dxa"/>
          </w:tcPr>
          <w:p w:rsidR="005D7AA5" w:rsidRPr="005D7AA5" w:rsidRDefault="005D7AA5" w:rsidP="00B274C9">
            <w:pPr>
              <w:pStyle w:val="GesAbsatz"/>
              <w:tabs>
                <w:tab w:val="clear" w:pos="425"/>
              </w:tabs>
              <w:jc w:val="center"/>
            </w:pPr>
            <w:r w:rsidRPr="005D7AA5">
              <w:t>…</w:t>
            </w:r>
          </w:p>
        </w:tc>
        <w:tc>
          <w:tcPr>
            <w:tcW w:w="2147" w:type="dxa"/>
          </w:tcPr>
          <w:p w:rsidR="005D7AA5" w:rsidRPr="005D7AA5" w:rsidRDefault="005D7AA5" w:rsidP="00B274C9">
            <w:pPr>
              <w:pStyle w:val="GesAbsatz"/>
              <w:tabs>
                <w:tab w:val="clear" w:pos="425"/>
              </w:tabs>
              <w:jc w:val="center"/>
            </w:pPr>
            <w:r w:rsidRPr="005D7AA5">
              <w:t>…</w:t>
            </w:r>
          </w:p>
        </w:tc>
        <w:tc>
          <w:tcPr>
            <w:tcW w:w="2664" w:type="dxa"/>
          </w:tcPr>
          <w:p w:rsidR="005D7AA5" w:rsidRPr="005D7AA5" w:rsidRDefault="005D7AA5" w:rsidP="00B274C9">
            <w:pPr>
              <w:pStyle w:val="GesAbsatz"/>
              <w:tabs>
                <w:tab w:val="clear" w:pos="425"/>
              </w:tabs>
              <w:jc w:val="center"/>
            </w:pPr>
            <w:r w:rsidRPr="005D7AA5">
              <w:t>…</w:t>
            </w:r>
          </w:p>
        </w:tc>
      </w:tr>
      <w:tr w:rsidR="005D7AA5" w:rsidRPr="005D7AA5" w:rsidTr="00B274C9">
        <w:tc>
          <w:tcPr>
            <w:tcW w:w="2518" w:type="dxa"/>
          </w:tcPr>
          <w:p w:rsidR="005D7AA5" w:rsidRPr="005D7AA5" w:rsidRDefault="005D7AA5" w:rsidP="00B274C9">
            <w:pPr>
              <w:pStyle w:val="GesAbsatz"/>
              <w:tabs>
                <w:tab w:val="clear" w:pos="425"/>
              </w:tabs>
              <w:ind w:left="426" w:hanging="426"/>
            </w:pPr>
            <w:r w:rsidRPr="005D7AA5">
              <w:lastRenderedPageBreak/>
              <w:sym w:font="Symbol" w:char="F0AE"/>
            </w:r>
            <w:r>
              <w:tab/>
            </w:r>
            <w:r w:rsidRPr="005D7AA5">
              <w:t>entspricht Gesam</w:t>
            </w:r>
            <w:r w:rsidRPr="005D7AA5">
              <w:t>t</w:t>
            </w:r>
            <w:r w:rsidRPr="005D7AA5">
              <w:t>bewertung „Vielfalt“</w:t>
            </w:r>
          </w:p>
        </w:tc>
        <w:tc>
          <w:tcPr>
            <w:tcW w:w="2250" w:type="dxa"/>
          </w:tcPr>
          <w:p w:rsidR="005D7AA5" w:rsidRPr="005D7AA5" w:rsidRDefault="005D7AA5" w:rsidP="00B274C9">
            <w:pPr>
              <w:pStyle w:val="GesAbsatz"/>
              <w:tabs>
                <w:tab w:val="clear" w:pos="425"/>
              </w:tabs>
              <w:jc w:val="center"/>
            </w:pPr>
            <w:r w:rsidRPr="005D7AA5">
              <w:t>…</w:t>
            </w:r>
          </w:p>
        </w:tc>
        <w:tc>
          <w:tcPr>
            <w:tcW w:w="2147" w:type="dxa"/>
          </w:tcPr>
          <w:p w:rsidR="005D7AA5" w:rsidRPr="005D7AA5" w:rsidRDefault="005D7AA5" w:rsidP="00B274C9">
            <w:pPr>
              <w:pStyle w:val="GesAbsatz"/>
              <w:tabs>
                <w:tab w:val="clear" w:pos="425"/>
              </w:tabs>
              <w:jc w:val="center"/>
            </w:pPr>
            <w:r w:rsidRPr="005D7AA5">
              <w:t>…</w:t>
            </w:r>
          </w:p>
        </w:tc>
        <w:tc>
          <w:tcPr>
            <w:tcW w:w="2664" w:type="dxa"/>
          </w:tcPr>
          <w:p w:rsidR="005D7AA5" w:rsidRPr="005D7AA5" w:rsidRDefault="005D7AA5" w:rsidP="00B274C9">
            <w:pPr>
              <w:pStyle w:val="GesAbsatz"/>
              <w:tabs>
                <w:tab w:val="clear" w:pos="425"/>
              </w:tabs>
              <w:jc w:val="center"/>
            </w:pPr>
            <w:r w:rsidRPr="005D7AA5">
              <w:t>…</w:t>
            </w:r>
          </w:p>
        </w:tc>
      </w:tr>
      <w:tr w:rsidR="005D7AA5" w:rsidRPr="005D7AA5" w:rsidTr="00B274C9">
        <w:tc>
          <w:tcPr>
            <w:tcW w:w="2518" w:type="dxa"/>
          </w:tcPr>
          <w:p w:rsidR="005D7AA5" w:rsidRPr="005D7AA5" w:rsidRDefault="005D7AA5" w:rsidP="00A47F10">
            <w:pPr>
              <w:pStyle w:val="GesAbsatz"/>
              <w:tabs>
                <w:tab w:val="clear" w:pos="425"/>
              </w:tabs>
            </w:pPr>
            <w:r w:rsidRPr="005D7AA5">
              <w:t>Schönheit</w:t>
            </w:r>
          </w:p>
        </w:tc>
        <w:tc>
          <w:tcPr>
            <w:tcW w:w="2250" w:type="dxa"/>
          </w:tcPr>
          <w:p w:rsidR="005D7AA5" w:rsidRPr="005D7AA5" w:rsidRDefault="005D7AA5" w:rsidP="00B274C9">
            <w:pPr>
              <w:pStyle w:val="GesAbsatz"/>
              <w:tabs>
                <w:tab w:val="clear" w:pos="425"/>
              </w:tabs>
              <w:jc w:val="center"/>
            </w:pPr>
          </w:p>
        </w:tc>
        <w:tc>
          <w:tcPr>
            <w:tcW w:w="2147" w:type="dxa"/>
          </w:tcPr>
          <w:p w:rsidR="005D7AA5" w:rsidRPr="005D7AA5" w:rsidRDefault="005D7AA5" w:rsidP="00B274C9">
            <w:pPr>
              <w:pStyle w:val="GesAbsatz"/>
              <w:tabs>
                <w:tab w:val="clear" w:pos="425"/>
              </w:tabs>
              <w:jc w:val="center"/>
            </w:pPr>
          </w:p>
        </w:tc>
        <w:tc>
          <w:tcPr>
            <w:tcW w:w="2664" w:type="dxa"/>
          </w:tcPr>
          <w:p w:rsidR="005D7AA5" w:rsidRPr="005D7AA5" w:rsidRDefault="005D7AA5" w:rsidP="00B274C9">
            <w:pPr>
              <w:pStyle w:val="GesAbsatz"/>
              <w:tabs>
                <w:tab w:val="clear" w:pos="425"/>
              </w:tabs>
              <w:jc w:val="center"/>
            </w:pPr>
          </w:p>
        </w:tc>
      </w:tr>
      <w:tr w:rsidR="005D7AA5" w:rsidRPr="005D7AA5" w:rsidTr="00B274C9">
        <w:tc>
          <w:tcPr>
            <w:tcW w:w="2518" w:type="dxa"/>
          </w:tcPr>
          <w:p w:rsidR="005D7AA5" w:rsidRPr="005D7AA5" w:rsidRDefault="005D7AA5" w:rsidP="00B274C9">
            <w:pPr>
              <w:pStyle w:val="GesAbsatz"/>
              <w:tabs>
                <w:tab w:val="clear" w:pos="425"/>
              </w:tabs>
              <w:ind w:left="426" w:hanging="426"/>
            </w:pPr>
            <w:r w:rsidRPr="005D7AA5">
              <w:t>-</w:t>
            </w:r>
            <w:r>
              <w:tab/>
            </w:r>
            <w:r w:rsidRPr="005D7AA5">
              <w:t>Naturnähe</w:t>
            </w:r>
          </w:p>
        </w:tc>
        <w:tc>
          <w:tcPr>
            <w:tcW w:w="2250" w:type="dxa"/>
          </w:tcPr>
          <w:p w:rsidR="005D7AA5" w:rsidRPr="005D7AA5" w:rsidRDefault="005D7AA5" w:rsidP="00B274C9">
            <w:pPr>
              <w:pStyle w:val="GesAbsatz"/>
              <w:tabs>
                <w:tab w:val="clear" w:pos="425"/>
              </w:tabs>
              <w:jc w:val="center"/>
            </w:pPr>
            <w:r w:rsidRPr="005D7AA5">
              <w:t>…</w:t>
            </w:r>
          </w:p>
        </w:tc>
        <w:tc>
          <w:tcPr>
            <w:tcW w:w="2147" w:type="dxa"/>
          </w:tcPr>
          <w:p w:rsidR="005D7AA5" w:rsidRPr="005D7AA5" w:rsidRDefault="005D7AA5" w:rsidP="00B274C9">
            <w:pPr>
              <w:pStyle w:val="GesAbsatz"/>
              <w:tabs>
                <w:tab w:val="clear" w:pos="425"/>
              </w:tabs>
              <w:jc w:val="center"/>
            </w:pPr>
            <w:r w:rsidRPr="005D7AA5">
              <w:t>…</w:t>
            </w:r>
          </w:p>
        </w:tc>
        <w:tc>
          <w:tcPr>
            <w:tcW w:w="2664" w:type="dxa"/>
          </w:tcPr>
          <w:p w:rsidR="005D7AA5" w:rsidRPr="005D7AA5" w:rsidRDefault="005D7AA5" w:rsidP="00B274C9">
            <w:pPr>
              <w:pStyle w:val="GesAbsatz"/>
              <w:tabs>
                <w:tab w:val="clear" w:pos="425"/>
              </w:tabs>
              <w:jc w:val="center"/>
            </w:pPr>
            <w:r w:rsidRPr="005D7AA5">
              <w:t>…</w:t>
            </w:r>
          </w:p>
        </w:tc>
      </w:tr>
      <w:tr w:rsidR="005D7AA5" w:rsidRPr="005D7AA5" w:rsidTr="00B274C9">
        <w:tc>
          <w:tcPr>
            <w:tcW w:w="2518" w:type="dxa"/>
          </w:tcPr>
          <w:p w:rsidR="005D7AA5" w:rsidRPr="005D7AA5" w:rsidRDefault="005D7AA5" w:rsidP="00EB1985">
            <w:pPr>
              <w:pStyle w:val="GesAbsatz"/>
              <w:tabs>
                <w:tab w:val="clear" w:pos="425"/>
              </w:tabs>
              <w:ind w:left="426" w:hanging="426"/>
              <w:jc w:val="left"/>
            </w:pPr>
            <w:r w:rsidRPr="005D7AA5">
              <w:sym w:font="Symbol" w:char="F0AE"/>
            </w:r>
            <w:r>
              <w:tab/>
            </w:r>
            <w:r w:rsidRPr="005D7AA5">
              <w:t>entspricht Gesam</w:t>
            </w:r>
            <w:r w:rsidRPr="005D7AA5">
              <w:t>t</w:t>
            </w:r>
            <w:r w:rsidRPr="005D7AA5">
              <w:t>bewertung „Schö</w:t>
            </w:r>
            <w:r w:rsidRPr="005D7AA5">
              <w:t>n</w:t>
            </w:r>
            <w:r w:rsidRPr="005D7AA5">
              <w:t>heit“</w:t>
            </w:r>
          </w:p>
        </w:tc>
        <w:tc>
          <w:tcPr>
            <w:tcW w:w="2250" w:type="dxa"/>
          </w:tcPr>
          <w:p w:rsidR="005D7AA5" w:rsidRPr="005D7AA5" w:rsidRDefault="005D7AA5" w:rsidP="00B274C9">
            <w:pPr>
              <w:pStyle w:val="GesAbsatz"/>
              <w:tabs>
                <w:tab w:val="clear" w:pos="425"/>
              </w:tabs>
              <w:jc w:val="center"/>
            </w:pPr>
            <w:r w:rsidRPr="005D7AA5">
              <w:t>…</w:t>
            </w:r>
          </w:p>
        </w:tc>
        <w:tc>
          <w:tcPr>
            <w:tcW w:w="2147" w:type="dxa"/>
          </w:tcPr>
          <w:p w:rsidR="005D7AA5" w:rsidRPr="005D7AA5" w:rsidRDefault="005D7AA5" w:rsidP="00B274C9">
            <w:pPr>
              <w:pStyle w:val="GesAbsatz"/>
              <w:tabs>
                <w:tab w:val="clear" w:pos="425"/>
              </w:tabs>
              <w:jc w:val="center"/>
            </w:pPr>
            <w:r w:rsidRPr="005D7AA5">
              <w:t>…</w:t>
            </w:r>
          </w:p>
        </w:tc>
        <w:tc>
          <w:tcPr>
            <w:tcW w:w="2664" w:type="dxa"/>
          </w:tcPr>
          <w:p w:rsidR="005D7AA5" w:rsidRPr="005D7AA5" w:rsidRDefault="005D7AA5" w:rsidP="00B274C9">
            <w:pPr>
              <w:pStyle w:val="GesAbsatz"/>
              <w:tabs>
                <w:tab w:val="clear" w:pos="425"/>
              </w:tabs>
              <w:jc w:val="center"/>
            </w:pPr>
            <w:r w:rsidRPr="005D7AA5">
              <w:t>…</w:t>
            </w:r>
          </w:p>
        </w:tc>
      </w:tr>
      <w:tr w:rsidR="005D7AA5" w:rsidRPr="005D7AA5" w:rsidTr="00B274C9">
        <w:trPr>
          <w:trHeight w:val="1209"/>
        </w:trPr>
        <w:tc>
          <w:tcPr>
            <w:tcW w:w="4768" w:type="dxa"/>
            <w:gridSpan w:val="2"/>
            <w:shd w:val="clear" w:color="auto" w:fill="A6A6A6" w:themeFill="background1" w:themeFillShade="A6"/>
          </w:tcPr>
          <w:p w:rsidR="005D7AA5" w:rsidRPr="005D7AA5" w:rsidRDefault="005D7AA5" w:rsidP="00A47F10">
            <w:pPr>
              <w:pStyle w:val="GesAbsatz"/>
              <w:tabs>
                <w:tab w:val="clear" w:pos="425"/>
              </w:tabs>
            </w:pPr>
            <w:r w:rsidRPr="005D7AA5">
              <w:t>Gesamtbewertung Landschaftsbild in der LBE:</w:t>
            </w:r>
          </w:p>
        </w:tc>
        <w:tc>
          <w:tcPr>
            <w:tcW w:w="4811" w:type="dxa"/>
            <w:gridSpan w:val="2"/>
            <w:shd w:val="clear" w:color="auto" w:fill="A6A6A6" w:themeFill="background1" w:themeFillShade="A6"/>
          </w:tcPr>
          <w:p w:rsidR="005D7AA5" w:rsidRPr="005D7AA5" w:rsidRDefault="005D7AA5" w:rsidP="00A47F10">
            <w:pPr>
              <w:pStyle w:val="GesAbsatz"/>
              <w:tabs>
                <w:tab w:val="clear" w:pos="425"/>
              </w:tabs>
            </w:pPr>
            <w:r w:rsidRPr="005D7AA5">
              <w:t>&lt;sehr gering / gering&gt;</w:t>
            </w:r>
          </w:p>
          <w:p w:rsidR="005D7AA5" w:rsidRPr="005D7AA5" w:rsidRDefault="005D7AA5" w:rsidP="00A47F10">
            <w:pPr>
              <w:pStyle w:val="GesAbsatz"/>
              <w:tabs>
                <w:tab w:val="clear" w:pos="425"/>
              </w:tabs>
            </w:pPr>
            <w:r w:rsidRPr="005D7AA5">
              <w:t>&lt;mittel&gt;</w:t>
            </w:r>
          </w:p>
          <w:p w:rsidR="005D7AA5" w:rsidRPr="005D7AA5" w:rsidRDefault="005D7AA5" w:rsidP="00A47F10">
            <w:pPr>
              <w:pStyle w:val="GesAbsatz"/>
              <w:tabs>
                <w:tab w:val="clear" w:pos="425"/>
              </w:tabs>
            </w:pPr>
            <w:r w:rsidRPr="005D7AA5">
              <w:t>&lt;hoch, bes. Bedeutung&gt;</w:t>
            </w:r>
          </w:p>
          <w:p w:rsidR="005D7AA5" w:rsidRPr="005D7AA5" w:rsidRDefault="005D7AA5" w:rsidP="00A47F10">
            <w:pPr>
              <w:pStyle w:val="GesAbsatz"/>
            </w:pPr>
            <w:r w:rsidRPr="005D7AA5">
              <w:t xml:space="preserve">&lt;hoch, </w:t>
            </w:r>
            <w:proofErr w:type="spellStart"/>
            <w:r w:rsidRPr="005D7AA5">
              <w:t>herausrag</w:t>
            </w:r>
            <w:proofErr w:type="spellEnd"/>
            <w:r w:rsidRPr="005D7AA5">
              <w:t xml:space="preserve">. </w:t>
            </w:r>
            <w:proofErr w:type="spellStart"/>
            <w:r w:rsidRPr="005D7AA5">
              <w:t>Bed</w:t>
            </w:r>
            <w:proofErr w:type="spellEnd"/>
            <w:r w:rsidRPr="005D7AA5">
              <w:t>.&gt;</w:t>
            </w:r>
          </w:p>
        </w:tc>
      </w:tr>
    </w:tbl>
    <w:p w:rsidR="00E46D1A" w:rsidRDefault="00E46D1A" w:rsidP="00B62D98">
      <w:pPr>
        <w:pStyle w:val="GesAbsatz"/>
      </w:pPr>
    </w:p>
    <w:p w:rsidR="00B62D98" w:rsidRDefault="00B62D98" w:rsidP="00B62D98">
      <w:pPr>
        <w:pStyle w:val="GesAbsatz"/>
      </w:pPr>
      <w:r>
        <w:t>Die Beschreibung von Soll- und Istzustand erfolgt verbal in Stichpunktform.</w:t>
      </w:r>
    </w:p>
    <w:p w:rsidR="00B62D98" w:rsidRDefault="00B62D98" w:rsidP="00B62D98">
      <w:pPr>
        <w:pStyle w:val="GesAbsatz"/>
      </w:pPr>
      <w:r>
        <w:t>Das Maß der Übereinstimmung zwischen Soll- und Istzustand wird in den Klassen „gering“,</w:t>
      </w:r>
      <w:r w:rsidR="00E46D1A">
        <w:t xml:space="preserve"> </w:t>
      </w:r>
      <w:r>
        <w:t>„mittel“ oder „hoch“ bewertet.</w:t>
      </w:r>
    </w:p>
    <w:p w:rsidR="00B62D98" w:rsidRDefault="00B62D98" w:rsidP="00B62D98">
      <w:pPr>
        <w:pStyle w:val="GesAbsatz"/>
      </w:pPr>
      <w:r>
        <w:t>Die Gesamtbewertung des Kriteriums „Eigenart“ ergibt</w:t>
      </w:r>
      <w:r w:rsidR="00E46D1A">
        <w:t xml:space="preserve"> </w:t>
      </w:r>
      <w:r>
        <w:t>sich aus den Einzelbewertungen der vier Teilkriterien.</w:t>
      </w:r>
      <w:r w:rsidR="00E46D1A">
        <w:t xml:space="preserve"> </w:t>
      </w:r>
      <w:r>
        <w:t>Wertet man die Übereinstimmungsstufe „gering“ mit</w:t>
      </w:r>
      <w:r w:rsidR="00E46D1A">
        <w:t xml:space="preserve"> </w:t>
      </w:r>
      <w:r>
        <w:t>einem, „mittel“ mit zwei und „hoch“ mit drei Wertpunkten</w:t>
      </w:r>
      <w:r w:rsidR="00E46D1A">
        <w:t xml:space="preserve"> </w:t>
      </w:r>
      <w:r>
        <w:t>(Tab. 3), erhält man durch arithmetische Mittelbildung</w:t>
      </w:r>
      <w:r w:rsidR="00E46D1A">
        <w:t xml:space="preserve"> </w:t>
      </w:r>
      <w:r>
        <w:t>und Rundung die Gesamtbewertung für das Kriterium</w:t>
      </w:r>
      <w:r w:rsidR="00E46D1A">
        <w:t xml:space="preserve"> </w:t>
      </w:r>
      <w:r>
        <w:t>„Eigenart“ (Bsp. 1). Die Kriterien „Vielfalt“ und „Schönheit“</w:t>
      </w:r>
      <w:r w:rsidR="00E46D1A">
        <w:t xml:space="preserve"> </w:t>
      </w:r>
      <w:r>
        <w:t>sind nicht weiter in Teilkriterien untergliedert.</w:t>
      </w:r>
    </w:p>
    <w:p w:rsidR="00B62D98" w:rsidRPr="00E46D1A" w:rsidRDefault="00B62D98" w:rsidP="00B62D98">
      <w:pPr>
        <w:pStyle w:val="GesAbsatz"/>
        <w:rPr>
          <w:b/>
        </w:rPr>
      </w:pPr>
      <w:r w:rsidRPr="00E46D1A">
        <w:rPr>
          <w:b/>
        </w:rPr>
        <w:t>Tab. 3:</w:t>
      </w:r>
      <w:r w:rsidR="00E46D1A" w:rsidRPr="00E46D1A">
        <w:rPr>
          <w:b/>
        </w:rPr>
        <w:t xml:space="preserve"> </w:t>
      </w:r>
      <w:r w:rsidRPr="00E46D1A">
        <w:rPr>
          <w:b/>
        </w:rPr>
        <w:t>Maß der Übereinstimmung von Soll- und</w:t>
      </w:r>
      <w:r w:rsidR="00E46D1A" w:rsidRPr="00E46D1A">
        <w:rPr>
          <w:b/>
        </w:rPr>
        <w:t xml:space="preserve"> </w:t>
      </w:r>
      <w:r w:rsidRPr="00E46D1A">
        <w:rPr>
          <w:b/>
        </w:rPr>
        <w:t>Istzustand und zugeordnete Wertpunkte.</w:t>
      </w:r>
    </w:p>
    <w:tbl>
      <w:tblPr>
        <w:tblStyle w:val="Tabellenraster"/>
        <w:tblW w:w="0" w:type="auto"/>
        <w:tblLook w:val="04A0" w:firstRow="1" w:lastRow="0" w:firstColumn="1" w:lastColumn="0" w:noHBand="0" w:noVBand="1"/>
      </w:tblPr>
      <w:tblGrid>
        <w:gridCol w:w="4928"/>
        <w:gridCol w:w="3685"/>
      </w:tblGrid>
      <w:tr w:rsidR="00E46D1A" w:rsidRPr="00E46D1A" w:rsidTr="00E46D1A">
        <w:tc>
          <w:tcPr>
            <w:tcW w:w="4928" w:type="dxa"/>
          </w:tcPr>
          <w:p w:rsidR="00E46D1A" w:rsidRPr="00E46D1A" w:rsidRDefault="00E46D1A" w:rsidP="00E46D1A">
            <w:pPr>
              <w:pStyle w:val="GesAbsatz"/>
              <w:tabs>
                <w:tab w:val="clear" w:pos="425"/>
              </w:tabs>
              <w:jc w:val="center"/>
              <w:rPr>
                <w:b/>
              </w:rPr>
            </w:pPr>
            <w:r w:rsidRPr="00E46D1A">
              <w:rPr>
                <w:b/>
              </w:rPr>
              <w:t>Übereinstimmung zwischen Soll- und Istzustand</w:t>
            </w:r>
          </w:p>
        </w:tc>
        <w:tc>
          <w:tcPr>
            <w:tcW w:w="3685" w:type="dxa"/>
          </w:tcPr>
          <w:p w:rsidR="00E46D1A" w:rsidRPr="00E46D1A" w:rsidRDefault="00E46D1A" w:rsidP="00E46D1A">
            <w:pPr>
              <w:pStyle w:val="GesAbsatz"/>
              <w:tabs>
                <w:tab w:val="clear" w:pos="425"/>
              </w:tabs>
              <w:jc w:val="center"/>
              <w:rPr>
                <w:b/>
              </w:rPr>
            </w:pPr>
            <w:r w:rsidRPr="00E46D1A">
              <w:rPr>
                <w:b/>
              </w:rPr>
              <w:t>Wertpunkte</w:t>
            </w:r>
          </w:p>
        </w:tc>
      </w:tr>
      <w:tr w:rsidR="00E46D1A" w:rsidRPr="00E46D1A" w:rsidTr="00E46D1A">
        <w:tc>
          <w:tcPr>
            <w:tcW w:w="4928" w:type="dxa"/>
          </w:tcPr>
          <w:p w:rsidR="00E46D1A" w:rsidRPr="00E46D1A" w:rsidRDefault="00E46D1A" w:rsidP="00E46D1A">
            <w:pPr>
              <w:pStyle w:val="GesAbsatz"/>
              <w:tabs>
                <w:tab w:val="clear" w:pos="425"/>
              </w:tabs>
              <w:jc w:val="center"/>
            </w:pPr>
            <w:r w:rsidRPr="00E46D1A">
              <w:t>gering</w:t>
            </w:r>
          </w:p>
        </w:tc>
        <w:tc>
          <w:tcPr>
            <w:tcW w:w="3685" w:type="dxa"/>
          </w:tcPr>
          <w:p w:rsidR="00E46D1A" w:rsidRPr="00E46D1A" w:rsidRDefault="00E46D1A" w:rsidP="00E46D1A">
            <w:pPr>
              <w:pStyle w:val="GesAbsatz"/>
              <w:tabs>
                <w:tab w:val="clear" w:pos="425"/>
              </w:tabs>
              <w:jc w:val="center"/>
            </w:pPr>
            <w:r w:rsidRPr="00E46D1A">
              <w:t>1</w:t>
            </w:r>
          </w:p>
        </w:tc>
      </w:tr>
      <w:tr w:rsidR="00E46D1A" w:rsidRPr="00E46D1A" w:rsidTr="00E46D1A">
        <w:tc>
          <w:tcPr>
            <w:tcW w:w="4928" w:type="dxa"/>
          </w:tcPr>
          <w:p w:rsidR="00E46D1A" w:rsidRPr="00E46D1A" w:rsidRDefault="00E46D1A" w:rsidP="00E46D1A">
            <w:pPr>
              <w:pStyle w:val="GesAbsatz"/>
              <w:tabs>
                <w:tab w:val="clear" w:pos="425"/>
              </w:tabs>
              <w:jc w:val="center"/>
            </w:pPr>
            <w:r w:rsidRPr="00E46D1A">
              <w:t>mittel</w:t>
            </w:r>
          </w:p>
        </w:tc>
        <w:tc>
          <w:tcPr>
            <w:tcW w:w="3685" w:type="dxa"/>
          </w:tcPr>
          <w:p w:rsidR="00E46D1A" w:rsidRPr="00E46D1A" w:rsidRDefault="00E46D1A" w:rsidP="00E46D1A">
            <w:pPr>
              <w:pStyle w:val="GesAbsatz"/>
              <w:tabs>
                <w:tab w:val="clear" w:pos="425"/>
              </w:tabs>
              <w:jc w:val="center"/>
            </w:pPr>
            <w:r w:rsidRPr="00E46D1A">
              <w:t>2</w:t>
            </w:r>
          </w:p>
        </w:tc>
      </w:tr>
      <w:tr w:rsidR="00E46D1A" w:rsidRPr="00E46D1A" w:rsidTr="00E46D1A">
        <w:tc>
          <w:tcPr>
            <w:tcW w:w="4928" w:type="dxa"/>
          </w:tcPr>
          <w:p w:rsidR="00E46D1A" w:rsidRPr="00E46D1A" w:rsidRDefault="00E46D1A" w:rsidP="00E46D1A">
            <w:pPr>
              <w:pStyle w:val="GesAbsatz"/>
              <w:tabs>
                <w:tab w:val="clear" w:pos="425"/>
              </w:tabs>
              <w:jc w:val="center"/>
            </w:pPr>
            <w:r w:rsidRPr="00E46D1A">
              <w:t>hoch</w:t>
            </w:r>
          </w:p>
        </w:tc>
        <w:tc>
          <w:tcPr>
            <w:tcW w:w="3685" w:type="dxa"/>
          </w:tcPr>
          <w:p w:rsidR="00E46D1A" w:rsidRPr="00E46D1A" w:rsidRDefault="00E46D1A" w:rsidP="00E46D1A">
            <w:pPr>
              <w:pStyle w:val="GesAbsatz"/>
              <w:tabs>
                <w:tab w:val="clear" w:pos="425"/>
              </w:tabs>
              <w:jc w:val="center"/>
            </w:pPr>
            <w:r w:rsidRPr="00E46D1A">
              <w:t>3</w:t>
            </w:r>
          </w:p>
        </w:tc>
      </w:tr>
    </w:tbl>
    <w:p w:rsidR="00B62D98" w:rsidRDefault="00B62D98" w:rsidP="00B62D98">
      <w:pPr>
        <w:pStyle w:val="GesAbsatz"/>
      </w:pPr>
    </w:p>
    <w:p w:rsidR="00B62D98" w:rsidRPr="00A47F10" w:rsidRDefault="00B62D98" w:rsidP="00B62D98">
      <w:pPr>
        <w:pStyle w:val="GesAbsatz"/>
        <w:rPr>
          <w:b/>
        </w:rPr>
      </w:pPr>
      <w:r w:rsidRPr="00A47F10">
        <w:rPr>
          <w:b/>
        </w:rPr>
        <w:t xml:space="preserve">Bsp. 1: Ermittlung der Gesamtbewertung für das </w:t>
      </w:r>
      <w:r w:rsidR="008C06B6" w:rsidRPr="00A47F10">
        <w:rPr>
          <w:b/>
        </w:rPr>
        <w:t>Kriterium</w:t>
      </w:r>
      <w:r w:rsidRPr="00A47F10">
        <w:rPr>
          <w:b/>
        </w:rPr>
        <w:t xml:space="preserve"> „Eigenart“ aus den Einzelbewertungen der vier Teilkriterien.</w:t>
      </w:r>
    </w:p>
    <w:tbl>
      <w:tblPr>
        <w:tblStyle w:val="Tabellenraster"/>
        <w:tblW w:w="0" w:type="auto"/>
        <w:tblLook w:val="04A0" w:firstRow="1" w:lastRow="0" w:firstColumn="1" w:lastColumn="0" w:noHBand="0" w:noVBand="1"/>
      </w:tblPr>
      <w:tblGrid>
        <w:gridCol w:w="3227"/>
        <w:gridCol w:w="2635"/>
        <w:gridCol w:w="3781"/>
      </w:tblGrid>
      <w:tr w:rsidR="00A47F10" w:rsidRPr="00A47F10" w:rsidTr="008C06B6">
        <w:tc>
          <w:tcPr>
            <w:tcW w:w="3227" w:type="dxa"/>
            <w:vAlign w:val="center"/>
          </w:tcPr>
          <w:p w:rsidR="00A47F10" w:rsidRPr="00A47F10" w:rsidRDefault="00A47F10" w:rsidP="00650908">
            <w:pPr>
              <w:pStyle w:val="GesAbsatz"/>
              <w:tabs>
                <w:tab w:val="clear" w:pos="425"/>
              </w:tabs>
              <w:jc w:val="left"/>
              <w:rPr>
                <w:b/>
              </w:rPr>
            </w:pPr>
            <w:r w:rsidRPr="00A47F10">
              <w:rPr>
                <w:b/>
              </w:rPr>
              <w:t>Teilkriterium</w:t>
            </w:r>
          </w:p>
        </w:tc>
        <w:tc>
          <w:tcPr>
            <w:tcW w:w="2635" w:type="dxa"/>
            <w:vAlign w:val="center"/>
          </w:tcPr>
          <w:p w:rsidR="00A47F10" w:rsidRPr="00A47F10" w:rsidRDefault="00A47F10" w:rsidP="00650908">
            <w:pPr>
              <w:pStyle w:val="GesAbsatz"/>
              <w:tabs>
                <w:tab w:val="clear" w:pos="425"/>
              </w:tabs>
              <w:jc w:val="left"/>
              <w:rPr>
                <w:b/>
              </w:rPr>
            </w:pPr>
            <w:r w:rsidRPr="00A47F10">
              <w:rPr>
                <w:b/>
              </w:rPr>
              <w:t>Übereinstimmung von Soll- und Istzustand</w:t>
            </w:r>
          </w:p>
        </w:tc>
        <w:tc>
          <w:tcPr>
            <w:tcW w:w="3781" w:type="dxa"/>
            <w:vAlign w:val="center"/>
          </w:tcPr>
          <w:p w:rsidR="00A47F10" w:rsidRPr="00A47F10" w:rsidRDefault="00A47F10" w:rsidP="00650908">
            <w:pPr>
              <w:pStyle w:val="GesAbsatz"/>
              <w:tabs>
                <w:tab w:val="clear" w:pos="425"/>
              </w:tabs>
              <w:jc w:val="left"/>
              <w:rPr>
                <w:b/>
              </w:rPr>
            </w:pPr>
            <w:r w:rsidRPr="00A47F10">
              <w:rPr>
                <w:b/>
              </w:rPr>
              <w:t>Wertpunkte</w:t>
            </w:r>
          </w:p>
        </w:tc>
      </w:tr>
      <w:tr w:rsidR="00A47F10" w:rsidRPr="00A47F10" w:rsidTr="008C06B6">
        <w:tc>
          <w:tcPr>
            <w:tcW w:w="3227" w:type="dxa"/>
          </w:tcPr>
          <w:p w:rsidR="00A47F10" w:rsidRPr="00A47F10" w:rsidRDefault="00A47F10" w:rsidP="00A47F10">
            <w:pPr>
              <w:pStyle w:val="GesAbsatz"/>
              <w:tabs>
                <w:tab w:val="clear" w:pos="425"/>
              </w:tabs>
            </w:pPr>
            <w:r w:rsidRPr="00A47F10">
              <w:t>Relief</w:t>
            </w:r>
          </w:p>
        </w:tc>
        <w:tc>
          <w:tcPr>
            <w:tcW w:w="2635" w:type="dxa"/>
          </w:tcPr>
          <w:p w:rsidR="00A47F10" w:rsidRPr="00A47F10" w:rsidRDefault="00A47F10" w:rsidP="00A47F10">
            <w:pPr>
              <w:pStyle w:val="GesAbsatz"/>
              <w:tabs>
                <w:tab w:val="clear" w:pos="425"/>
              </w:tabs>
            </w:pPr>
            <w:r w:rsidRPr="00A47F10">
              <w:t>hoch</w:t>
            </w:r>
          </w:p>
        </w:tc>
        <w:tc>
          <w:tcPr>
            <w:tcW w:w="3781" w:type="dxa"/>
          </w:tcPr>
          <w:p w:rsidR="00A47F10" w:rsidRPr="00A47F10" w:rsidRDefault="00A47F10" w:rsidP="00A47F10">
            <w:pPr>
              <w:pStyle w:val="GesAbsatz"/>
              <w:tabs>
                <w:tab w:val="clear" w:pos="425"/>
              </w:tabs>
            </w:pPr>
            <w:r w:rsidRPr="00A47F10">
              <w:t>3</w:t>
            </w:r>
          </w:p>
        </w:tc>
      </w:tr>
      <w:tr w:rsidR="00A47F10" w:rsidRPr="00A47F10" w:rsidTr="008C06B6">
        <w:tc>
          <w:tcPr>
            <w:tcW w:w="3227" w:type="dxa"/>
          </w:tcPr>
          <w:p w:rsidR="00A47F10" w:rsidRPr="00A47F10" w:rsidRDefault="00A47F10" w:rsidP="00A47F10">
            <w:pPr>
              <w:pStyle w:val="GesAbsatz"/>
              <w:tabs>
                <w:tab w:val="clear" w:pos="425"/>
              </w:tabs>
            </w:pPr>
            <w:r w:rsidRPr="00A47F10">
              <w:t>Gewässer</w:t>
            </w:r>
          </w:p>
        </w:tc>
        <w:tc>
          <w:tcPr>
            <w:tcW w:w="2635" w:type="dxa"/>
          </w:tcPr>
          <w:p w:rsidR="00A47F10" w:rsidRPr="00A47F10" w:rsidRDefault="00A47F10" w:rsidP="00A47F10">
            <w:pPr>
              <w:pStyle w:val="GesAbsatz"/>
              <w:tabs>
                <w:tab w:val="clear" w:pos="425"/>
              </w:tabs>
            </w:pPr>
            <w:r w:rsidRPr="00A47F10">
              <w:t>mittel</w:t>
            </w:r>
          </w:p>
        </w:tc>
        <w:tc>
          <w:tcPr>
            <w:tcW w:w="3781" w:type="dxa"/>
          </w:tcPr>
          <w:p w:rsidR="00A47F10" w:rsidRPr="00A47F10" w:rsidRDefault="00A47F10" w:rsidP="00A47F10">
            <w:pPr>
              <w:pStyle w:val="GesAbsatz"/>
              <w:tabs>
                <w:tab w:val="clear" w:pos="425"/>
              </w:tabs>
            </w:pPr>
            <w:r w:rsidRPr="00A47F10">
              <w:t>2</w:t>
            </w:r>
          </w:p>
        </w:tc>
      </w:tr>
      <w:tr w:rsidR="00A47F10" w:rsidRPr="00A47F10" w:rsidTr="008C06B6">
        <w:tc>
          <w:tcPr>
            <w:tcW w:w="3227" w:type="dxa"/>
            <w:tcBorders>
              <w:bottom w:val="single" w:sz="4" w:space="0" w:color="auto"/>
            </w:tcBorders>
          </w:tcPr>
          <w:p w:rsidR="00A47F10" w:rsidRPr="00A47F10" w:rsidRDefault="00A47F10" w:rsidP="00A47F10">
            <w:pPr>
              <w:pStyle w:val="GesAbsatz"/>
              <w:tabs>
                <w:tab w:val="clear" w:pos="425"/>
              </w:tabs>
            </w:pPr>
            <w:r w:rsidRPr="00A47F10">
              <w:t>Qualitatives Nutzungsmuster</w:t>
            </w:r>
          </w:p>
        </w:tc>
        <w:tc>
          <w:tcPr>
            <w:tcW w:w="2635" w:type="dxa"/>
            <w:tcBorders>
              <w:bottom w:val="single" w:sz="4" w:space="0" w:color="auto"/>
            </w:tcBorders>
          </w:tcPr>
          <w:p w:rsidR="00A47F10" w:rsidRPr="00A47F10" w:rsidRDefault="00A47F10" w:rsidP="00A47F10">
            <w:pPr>
              <w:pStyle w:val="GesAbsatz"/>
              <w:tabs>
                <w:tab w:val="clear" w:pos="425"/>
              </w:tabs>
            </w:pPr>
            <w:r w:rsidRPr="00A47F10">
              <w:t>hoch</w:t>
            </w:r>
          </w:p>
        </w:tc>
        <w:tc>
          <w:tcPr>
            <w:tcW w:w="3781" w:type="dxa"/>
            <w:tcBorders>
              <w:bottom w:val="single" w:sz="4" w:space="0" w:color="auto"/>
            </w:tcBorders>
          </w:tcPr>
          <w:p w:rsidR="00A47F10" w:rsidRPr="00A47F10" w:rsidRDefault="00A47F10" w:rsidP="00A47F10">
            <w:pPr>
              <w:pStyle w:val="GesAbsatz"/>
              <w:tabs>
                <w:tab w:val="clear" w:pos="425"/>
              </w:tabs>
            </w:pPr>
            <w:r w:rsidRPr="00A47F10">
              <w:t>3</w:t>
            </w:r>
          </w:p>
        </w:tc>
      </w:tr>
      <w:tr w:rsidR="00A47F10" w:rsidRPr="00A47F10" w:rsidTr="008C06B6">
        <w:tc>
          <w:tcPr>
            <w:tcW w:w="3227" w:type="dxa"/>
            <w:tcBorders>
              <w:bottom w:val="single" w:sz="12" w:space="0" w:color="auto"/>
            </w:tcBorders>
          </w:tcPr>
          <w:p w:rsidR="00A47F10" w:rsidRPr="00A47F10" w:rsidRDefault="00A47F10" w:rsidP="00A47F10">
            <w:pPr>
              <w:pStyle w:val="GesAbsatz"/>
              <w:tabs>
                <w:tab w:val="clear" w:pos="425"/>
              </w:tabs>
            </w:pPr>
            <w:r w:rsidRPr="00A47F10">
              <w:t>Siedlungsausprägung</w:t>
            </w:r>
          </w:p>
        </w:tc>
        <w:tc>
          <w:tcPr>
            <w:tcW w:w="2635" w:type="dxa"/>
            <w:tcBorders>
              <w:bottom w:val="single" w:sz="12" w:space="0" w:color="auto"/>
            </w:tcBorders>
          </w:tcPr>
          <w:p w:rsidR="00A47F10" w:rsidRPr="00A47F10" w:rsidRDefault="00A47F10" w:rsidP="00A47F10">
            <w:pPr>
              <w:pStyle w:val="GesAbsatz"/>
              <w:tabs>
                <w:tab w:val="clear" w:pos="425"/>
              </w:tabs>
            </w:pPr>
            <w:r w:rsidRPr="00A47F10">
              <w:t>mitte</w:t>
            </w:r>
            <w:r>
              <w:t>l</w:t>
            </w:r>
          </w:p>
        </w:tc>
        <w:tc>
          <w:tcPr>
            <w:tcW w:w="3781" w:type="dxa"/>
            <w:tcBorders>
              <w:bottom w:val="single" w:sz="12" w:space="0" w:color="auto"/>
            </w:tcBorders>
          </w:tcPr>
          <w:p w:rsidR="00A47F10" w:rsidRPr="00A47F10" w:rsidRDefault="00A47F10" w:rsidP="00A47F10">
            <w:pPr>
              <w:pStyle w:val="GesAbsatz"/>
              <w:tabs>
                <w:tab w:val="clear" w:pos="425"/>
              </w:tabs>
            </w:pPr>
            <w:r w:rsidRPr="00A47F10">
              <w:t>2</w:t>
            </w:r>
          </w:p>
        </w:tc>
      </w:tr>
      <w:tr w:rsidR="00A47F10" w:rsidRPr="00A47F10" w:rsidTr="008C06B6">
        <w:tc>
          <w:tcPr>
            <w:tcW w:w="3227" w:type="dxa"/>
            <w:tcBorders>
              <w:top w:val="single" w:sz="12" w:space="0" w:color="auto"/>
            </w:tcBorders>
          </w:tcPr>
          <w:p w:rsidR="00A47F10" w:rsidRPr="00A47F10" w:rsidRDefault="00A47F10" w:rsidP="00A47F10">
            <w:pPr>
              <w:pStyle w:val="GesAbsatz"/>
              <w:tabs>
                <w:tab w:val="clear" w:pos="425"/>
              </w:tabs>
            </w:pPr>
            <w:r w:rsidRPr="00A47F10">
              <w:sym w:font="Symbol" w:char="F0AE"/>
            </w:r>
            <w:r w:rsidRPr="00A47F10">
              <w:t xml:space="preserve"> Gesamtbewertung „Eigenart“:</w:t>
            </w:r>
          </w:p>
        </w:tc>
        <w:tc>
          <w:tcPr>
            <w:tcW w:w="2635" w:type="dxa"/>
            <w:tcBorders>
              <w:top w:val="single" w:sz="12" w:space="0" w:color="auto"/>
            </w:tcBorders>
          </w:tcPr>
          <w:p w:rsidR="00A47F10" w:rsidRPr="00A47F10" w:rsidRDefault="00A47F10" w:rsidP="00A47F10">
            <w:pPr>
              <w:pStyle w:val="GesAbsatz"/>
              <w:tabs>
                <w:tab w:val="clear" w:pos="425"/>
              </w:tabs>
            </w:pPr>
          </w:p>
        </w:tc>
        <w:tc>
          <w:tcPr>
            <w:tcW w:w="3781" w:type="dxa"/>
            <w:tcBorders>
              <w:top w:val="single" w:sz="12" w:space="0" w:color="auto"/>
            </w:tcBorders>
          </w:tcPr>
          <w:p w:rsidR="00A47F10" w:rsidRPr="00A47F10" w:rsidRDefault="00A47F10" w:rsidP="00A47F10">
            <w:pPr>
              <w:pStyle w:val="GesAbsatz"/>
              <w:tabs>
                <w:tab w:val="clear" w:pos="425"/>
              </w:tabs>
            </w:pPr>
            <w:r w:rsidRPr="00A47F10">
              <w:t>Mittelwert: (3+2+3+2) / 4 = 2,5</w:t>
            </w:r>
            <w:r w:rsidR="008C06B6">
              <w:br/>
            </w:r>
            <w:r w:rsidR="008C06B6" w:rsidRPr="00A47F10">
              <w:t>gerundet: 3</w:t>
            </w:r>
          </w:p>
        </w:tc>
      </w:tr>
      <w:tr w:rsidR="00A47F10" w:rsidRPr="00A47F10" w:rsidTr="008C06B6">
        <w:tc>
          <w:tcPr>
            <w:tcW w:w="3227" w:type="dxa"/>
          </w:tcPr>
          <w:p w:rsidR="00A47F10" w:rsidRPr="00A47F10" w:rsidRDefault="00A47F10" w:rsidP="00A47F10">
            <w:pPr>
              <w:pStyle w:val="GesAbsatz"/>
              <w:tabs>
                <w:tab w:val="clear" w:pos="425"/>
              </w:tabs>
            </w:pPr>
            <w:r w:rsidRPr="00A47F10">
              <w:t>also:</w:t>
            </w:r>
          </w:p>
        </w:tc>
        <w:tc>
          <w:tcPr>
            <w:tcW w:w="2635" w:type="dxa"/>
          </w:tcPr>
          <w:p w:rsidR="00A47F10" w:rsidRPr="00A47F10" w:rsidRDefault="00A47F10" w:rsidP="00A47F10">
            <w:pPr>
              <w:pStyle w:val="GesAbsatz"/>
              <w:tabs>
                <w:tab w:val="clear" w:pos="425"/>
              </w:tabs>
            </w:pPr>
            <w:r w:rsidRPr="00A47F10">
              <w:t>hoch</w:t>
            </w:r>
          </w:p>
        </w:tc>
        <w:tc>
          <w:tcPr>
            <w:tcW w:w="3781" w:type="dxa"/>
          </w:tcPr>
          <w:p w:rsidR="00A47F10" w:rsidRPr="00A47F10" w:rsidRDefault="00A47F10" w:rsidP="00A47F10">
            <w:pPr>
              <w:pStyle w:val="GesAbsatz"/>
              <w:tabs>
                <w:tab w:val="clear" w:pos="425"/>
              </w:tabs>
            </w:pPr>
            <w:r w:rsidRPr="00A47F10">
              <w:t>3</w:t>
            </w:r>
          </w:p>
        </w:tc>
      </w:tr>
    </w:tbl>
    <w:p w:rsidR="00A47F10" w:rsidRDefault="00A47F10" w:rsidP="00B62D98">
      <w:pPr>
        <w:pStyle w:val="GesAbsatz"/>
      </w:pPr>
    </w:p>
    <w:p w:rsidR="00B62D98" w:rsidRDefault="00B62D98" w:rsidP="00B62D98">
      <w:pPr>
        <w:pStyle w:val="GesAbsatz"/>
      </w:pPr>
      <w:r>
        <w:t xml:space="preserve">Die </w:t>
      </w:r>
      <w:r w:rsidRPr="00A47F10">
        <w:rPr>
          <w:b/>
          <w:i/>
        </w:rPr>
        <w:t>Gesamtbewertung</w:t>
      </w:r>
      <w:r>
        <w:t xml:space="preserve"> des Landschaftsbildes in der jeweiligen Landschaftsbildeinheit ergibt</w:t>
      </w:r>
      <w:r w:rsidR="00A47F10">
        <w:t xml:space="preserve"> </w:t>
      </w:r>
      <w:r>
        <w:t>sich nach fo</w:t>
      </w:r>
      <w:r>
        <w:t>l</w:t>
      </w:r>
      <w:r>
        <w:t>gender Matrix aus den Teilbewertungen der Kriterien „Eigenart“, „Vielfalt“ und</w:t>
      </w:r>
      <w:r w:rsidR="00A47F10">
        <w:t xml:space="preserve"> </w:t>
      </w:r>
      <w:r>
        <w:t>„Schönheit“, wobei das Kriter</w:t>
      </w:r>
      <w:r>
        <w:t>i</w:t>
      </w:r>
      <w:r>
        <w:t>um „Eigenart“ eine stärkere Gewichtung erfährt als die anderen</w:t>
      </w:r>
      <w:r w:rsidR="00A47F10">
        <w:t xml:space="preserve"> </w:t>
      </w:r>
      <w:r>
        <w:t>beiden Kriterien:</w:t>
      </w:r>
    </w:p>
    <w:p w:rsidR="008C06B6" w:rsidRDefault="008C06B6" w:rsidP="00B62D98">
      <w:pPr>
        <w:pStyle w:val="GesAbsatz"/>
        <w:rPr>
          <w:b/>
        </w:rPr>
      </w:pPr>
    </w:p>
    <w:p w:rsidR="00B62D98" w:rsidRPr="00A47F10" w:rsidRDefault="00B62D98" w:rsidP="00B62D98">
      <w:pPr>
        <w:pStyle w:val="GesAbsatz"/>
        <w:rPr>
          <w:b/>
        </w:rPr>
      </w:pPr>
      <w:r w:rsidRPr="00A47F10">
        <w:rPr>
          <w:b/>
        </w:rPr>
        <w:t>Tab. 4: Ableitung der Gesamtbewertung des Landschaftsbildes aus den Bewertungen der Kriterien „Eigenart“, „Vielfalt“</w:t>
      </w:r>
      <w:r w:rsidR="00A47F10" w:rsidRPr="00A47F10">
        <w:rPr>
          <w:b/>
        </w:rPr>
        <w:t xml:space="preserve"> </w:t>
      </w:r>
      <w:r w:rsidRPr="00A47F10">
        <w:rPr>
          <w:b/>
        </w:rPr>
        <w:t>und „Schönheit“.</w:t>
      </w:r>
    </w:p>
    <w:tbl>
      <w:tblPr>
        <w:tblStyle w:val="Tabellenraster"/>
        <w:tblW w:w="0" w:type="auto"/>
        <w:tblLook w:val="04A0" w:firstRow="1" w:lastRow="0" w:firstColumn="1" w:lastColumn="0" w:noHBand="0" w:noVBand="1"/>
      </w:tblPr>
      <w:tblGrid>
        <w:gridCol w:w="1139"/>
        <w:gridCol w:w="763"/>
        <w:gridCol w:w="1139"/>
        <w:gridCol w:w="752"/>
        <w:gridCol w:w="1139"/>
        <w:gridCol w:w="752"/>
        <w:gridCol w:w="1768"/>
        <w:gridCol w:w="752"/>
        <w:gridCol w:w="1650"/>
      </w:tblGrid>
      <w:tr w:rsidR="0023487F" w:rsidRPr="0023487F" w:rsidTr="00F649D3">
        <w:trPr>
          <w:tblHeader/>
        </w:trPr>
        <w:tc>
          <w:tcPr>
            <w:tcW w:w="1862" w:type="dxa"/>
            <w:gridSpan w:val="2"/>
            <w:shd w:val="clear" w:color="auto" w:fill="FFFF00"/>
          </w:tcPr>
          <w:p w:rsidR="0023487F" w:rsidRPr="0023487F" w:rsidRDefault="0023487F" w:rsidP="0023487F">
            <w:pPr>
              <w:pStyle w:val="GesAbsatz"/>
              <w:tabs>
                <w:tab w:val="clear" w:pos="425"/>
              </w:tabs>
              <w:jc w:val="center"/>
              <w:rPr>
                <w:b/>
              </w:rPr>
            </w:pPr>
            <w:r w:rsidRPr="0023487F">
              <w:rPr>
                <w:b/>
              </w:rPr>
              <w:lastRenderedPageBreak/>
              <w:t>Eigenart</w:t>
            </w:r>
          </w:p>
        </w:tc>
        <w:tc>
          <w:tcPr>
            <w:tcW w:w="1889" w:type="dxa"/>
            <w:gridSpan w:val="2"/>
            <w:shd w:val="clear" w:color="auto" w:fill="FFFF00"/>
          </w:tcPr>
          <w:p w:rsidR="0023487F" w:rsidRPr="0023487F" w:rsidRDefault="0023487F" w:rsidP="0023487F">
            <w:pPr>
              <w:pStyle w:val="GesAbsatz"/>
              <w:tabs>
                <w:tab w:val="clear" w:pos="425"/>
              </w:tabs>
              <w:jc w:val="center"/>
              <w:rPr>
                <w:b/>
              </w:rPr>
            </w:pPr>
            <w:r w:rsidRPr="0023487F">
              <w:rPr>
                <w:b/>
              </w:rPr>
              <w:t>Vielfalt</w:t>
            </w:r>
          </w:p>
        </w:tc>
        <w:tc>
          <w:tcPr>
            <w:tcW w:w="1910" w:type="dxa"/>
            <w:gridSpan w:val="2"/>
            <w:shd w:val="clear" w:color="auto" w:fill="FFFF00"/>
          </w:tcPr>
          <w:p w:rsidR="0023487F" w:rsidRPr="0023487F" w:rsidRDefault="0023487F" w:rsidP="0023487F">
            <w:pPr>
              <w:pStyle w:val="GesAbsatz"/>
              <w:tabs>
                <w:tab w:val="clear" w:pos="425"/>
              </w:tabs>
              <w:jc w:val="center"/>
              <w:rPr>
                <w:b/>
              </w:rPr>
            </w:pPr>
            <w:r w:rsidRPr="0023487F">
              <w:rPr>
                <w:b/>
              </w:rPr>
              <w:t>Schönheit</w:t>
            </w:r>
          </w:p>
        </w:tc>
        <w:tc>
          <w:tcPr>
            <w:tcW w:w="4193" w:type="dxa"/>
            <w:gridSpan w:val="3"/>
            <w:shd w:val="clear" w:color="auto" w:fill="FFFF00"/>
          </w:tcPr>
          <w:p w:rsidR="0023487F" w:rsidRPr="0023487F" w:rsidRDefault="0023487F" w:rsidP="0023487F">
            <w:pPr>
              <w:pStyle w:val="GesAbsatz"/>
              <w:tabs>
                <w:tab w:val="clear" w:pos="425"/>
              </w:tabs>
              <w:jc w:val="center"/>
              <w:rPr>
                <w:b/>
              </w:rPr>
            </w:pPr>
            <w:r w:rsidRPr="0023487F">
              <w:rPr>
                <w:b/>
              </w:rPr>
              <w:t>Gesamtbewertung</w:t>
            </w:r>
          </w:p>
        </w:tc>
      </w:tr>
      <w:tr w:rsidR="0023487F" w:rsidRPr="0023487F" w:rsidTr="00F649D3">
        <w:trPr>
          <w:tblHeader/>
        </w:trPr>
        <w:tc>
          <w:tcPr>
            <w:tcW w:w="1072" w:type="dxa"/>
          </w:tcPr>
          <w:p w:rsidR="0023487F" w:rsidRPr="0023487F" w:rsidRDefault="0023487F" w:rsidP="0023487F">
            <w:pPr>
              <w:pStyle w:val="GesAbsatz"/>
              <w:tabs>
                <w:tab w:val="clear" w:pos="425"/>
              </w:tabs>
              <w:jc w:val="center"/>
              <w:rPr>
                <w:b/>
              </w:rPr>
            </w:pPr>
            <w:r w:rsidRPr="0023487F">
              <w:rPr>
                <w:b/>
              </w:rPr>
              <w:t>Wertstufe</w:t>
            </w:r>
          </w:p>
        </w:tc>
        <w:tc>
          <w:tcPr>
            <w:tcW w:w="790" w:type="dxa"/>
          </w:tcPr>
          <w:p w:rsidR="0023487F" w:rsidRPr="0023487F" w:rsidRDefault="0023487F" w:rsidP="0023487F">
            <w:pPr>
              <w:pStyle w:val="GesAbsatz"/>
              <w:tabs>
                <w:tab w:val="clear" w:pos="425"/>
              </w:tabs>
              <w:jc w:val="center"/>
              <w:rPr>
                <w:b/>
              </w:rPr>
            </w:pPr>
            <w:r w:rsidRPr="0023487F">
              <w:rPr>
                <w:b/>
              </w:rPr>
              <w:t>WP</w:t>
            </w:r>
          </w:p>
        </w:tc>
        <w:tc>
          <w:tcPr>
            <w:tcW w:w="1109" w:type="dxa"/>
          </w:tcPr>
          <w:p w:rsidR="0023487F" w:rsidRPr="0023487F" w:rsidRDefault="0023487F" w:rsidP="0023487F">
            <w:pPr>
              <w:pStyle w:val="GesAbsatz"/>
              <w:tabs>
                <w:tab w:val="clear" w:pos="425"/>
              </w:tabs>
              <w:jc w:val="center"/>
              <w:rPr>
                <w:b/>
              </w:rPr>
            </w:pPr>
            <w:r w:rsidRPr="0023487F">
              <w:rPr>
                <w:b/>
              </w:rPr>
              <w:t>Wertstufe</w:t>
            </w:r>
          </w:p>
        </w:tc>
        <w:tc>
          <w:tcPr>
            <w:tcW w:w="780" w:type="dxa"/>
          </w:tcPr>
          <w:p w:rsidR="0023487F" w:rsidRPr="0023487F" w:rsidRDefault="0023487F" w:rsidP="0023487F">
            <w:pPr>
              <w:pStyle w:val="GesAbsatz"/>
              <w:tabs>
                <w:tab w:val="clear" w:pos="425"/>
              </w:tabs>
              <w:jc w:val="center"/>
              <w:rPr>
                <w:b/>
              </w:rPr>
            </w:pPr>
            <w:r w:rsidRPr="0023487F">
              <w:rPr>
                <w:b/>
              </w:rPr>
              <w:t>WP</w:t>
            </w:r>
          </w:p>
        </w:tc>
        <w:tc>
          <w:tcPr>
            <w:tcW w:w="1130" w:type="dxa"/>
          </w:tcPr>
          <w:p w:rsidR="0023487F" w:rsidRPr="0023487F" w:rsidRDefault="0023487F" w:rsidP="0023487F">
            <w:pPr>
              <w:pStyle w:val="GesAbsatz"/>
              <w:tabs>
                <w:tab w:val="clear" w:pos="425"/>
              </w:tabs>
              <w:jc w:val="center"/>
              <w:rPr>
                <w:b/>
              </w:rPr>
            </w:pPr>
            <w:r w:rsidRPr="0023487F">
              <w:rPr>
                <w:b/>
              </w:rPr>
              <w:t>Wertstufe</w:t>
            </w:r>
          </w:p>
        </w:tc>
        <w:tc>
          <w:tcPr>
            <w:tcW w:w="780" w:type="dxa"/>
          </w:tcPr>
          <w:p w:rsidR="0023487F" w:rsidRPr="0023487F" w:rsidRDefault="0023487F" w:rsidP="0023487F">
            <w:pPr>
              <w:pStyle w:val="GesAbsatz"/>
              <w:tabs>
                <w:tab w:val="clear" w:pos="425"/>
              </w:tabs>
              <w:jc w:val="center"/>
              <w:rPr>
                <w:b/>
              </w:rPr>
            </w:pPr>
            <w:r w:rsidRPr="0023487F">
              <w:rPr>
                <w:b/>
              </w:rPr>
              <w:t>WP</w:t>
            </w:r>
          </w:p>
        </w:tc>
        <w:tc>
          <w:tcPr>
            <w:tcW w:w="1851" w:type="dxa"/>
            <w:shd w:val="clear" w:color="auto" w:fill="A6A6A6" w:themeFill="background1" w:themeFillShade="A6"/>
          </w:tcPr>
          <w:p w:rsidR="0023487F" w:rsidRPr="00F649D3" w:rsidRDefault="0023487F" w:rsidP="0023487F">
            <w:pPr>
              <w:pStyle w:val="GesAbsatz"/>
              <w:tabs>
                <w:tab w:val="clear" w:pos="425"/>
              </w:tabs>
              <w:jc w:val="center"/>
              <w:rPr>
                <w:b/>
              </w:rPr>
            </w:pPr>
            <w:r w:rsidRPr="00F649D3">
              <w:rPr>
                <w:b/>
              </w:rPr>
              <w:t>Wertstufe</w:t>
            </w:r>
          </w:p>
        </w:tc>
        <w:tc>
          <w:tcPr>
            <w:tcW w:w="780" w:type="dxa"/>
            <w:shd w:val="clear" w:color="auto" w:fill="D9D9D9" w:themeFill="background1" w:themeFillShade="D9"/>
          </w:tcPr>
          <w:p w:rsidR="0023487F" w:rsidRPr="00F649D3" w:rsidRDefault="0023487F" w:rsidP="0023487F">
            <w:pPr>
              <w:pStyle w:val="GesAbsatz"/>
              <w:tabs>
                <w:tab w:val="clear" w:pos="425"/>
              </w:tabs>
              <w:jc w:val="center"/>
              <w:rPr>
                <w:b/>
              </w:rPr>
            </w:pPr>
            <w:r w:rsidRPr="00F649D3">
              <w:rPr>
                <w:b/>
              </w:rPr>
              <w:t>WP</w:t>
            </w:r>
          </w:p>
        </w:tc>
        <w:tc>
          <w:tcPr>
            <w:tcW w:w="1562" w:type="dxa"/>
            <w:shd w:val="clear" w:color="auto" w:fill="D9D9D9" w:themeFill="background1" w:themeFillShade="D9"/>
          </w:tcPr>
          <w:p w:rsidR="0023487F" w:rsidRPr="00F649D3" w:rsidRDefault="0023487F" w:rsidP="0023487F">
            <w:pPr>
              <w:pStyle w:val="GesAbsatz"/>
              <w:tabs>
                <w:tab w:val="clear" w:pos="425"/>
              </w:tabs>
              <w:jc w:val="center"/>
              <w:rPr>
                <w:b/>
              </w:rPr>
            </w:pPr>
            <w:r w:rsidRPr="00F649D3">
              <w:rPr>
                <w:b/>
              </w:rPr>
              <w:t>Bedeutung</w:t>
            </w:r>
          </w:p>
        </w:tc>
      </w:tr>
      <w:tr w:rsidR="0023487F" w:rsidRPr="0023487F" w:rsidTr="00F649D3">
        <w:tc>
          <w:tcPr>
            <w:tcW w:w="1072" w:type="dxa"/>
          </w:tcPr>
          <w:p w:rsidR="0023487F" w:rsidRPr="0023487F" w:rsidRDefault="0023487F" w:rsidP="009D209D">
            <w:pPr>
              <w:pStyle w:val="GesAbsatz"/>
              <w:tabs>
                <w:tab w:val="clear" w:pos="425"/>
              </w:tabs>
            </w:pPr>
            <w:r w:rsidRPr="0023487F">
              <w:t>2 x gering</w:t>
            </w:r>
          </w:p>
        </w:tc>
        <w:tc>
          <w:tcPr>
            <w:tcW w:w="790" w:type="dxa"/>
          </w:tcPr>
          <w:p w:rsidR="0023487F" w:rsidRPr="0023487F" w:rsidRDefault="0023487F" w:rsidP="009D209D">
            <w:pPr>
              <w:pStyle w:val="GesAbsatz"/>
              <w:tabs>
                <w:tab w:val="clear" w:pos="425"/>
              </w:tabs>
            </w:pPr>
            <w:r w:rsidRPr="0023487F">
              <w:t>1+1</w:t>
            </w:r>
          </w:p>
        </w:tc>
        <w:tc>
          <w:tcPr>
            <w:tcW w:w="1109"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130"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851" w:type="dxa"/>
            <w:shd w:val="clear" w:color="auto" w:fill="A6A6A6" w:themeFill="background1" w:themeFillShade="A6"/>
          </w:tcPr>
          <w:p w:rsidR="0023487F" w:rsidRPr="00F649D3" w:rsidRDefault="0023487F" w:rsidP="008C06B6">
            <w:pPr>
              <w:pStyle w:val="GesAbsatz"/>
              <w:tabs>
                <w:tab w:val="clear" w:pos="425"/>
              </w:tabs>
              <w:jc w:val="left"/>
              <w:rPr>
                <w:b/>
              </w:rPr>
            </w:pPr>
            <w:r w:rsidRPr="00F649D3">
              <w:rPr>
                <w:b/>
              </w:rPr>
              <w:t>sehr gering / gering</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4</w:t>
            </w:r>
          </w:p>
        </w:tc>
        <w:tc>
          <w:tcPr>
            <w:tcW w:w="1562" w:type="dxa"/>
            <w:shd w:val="clear" w:color="auto" w:fill="D9D9D9" w:themeFill="background1" w:themeFillShade="D9"/>
          </w:tcPr>
          <w:p w:rsidR="0023487F" w:rsidRPr="00F649D3" w:rsidRDefault="0023487F" w:rsidP="00A801AA">
            <w:pPr>
              <w:pStyle w:val="GesAbsatz"/>
              <w:tabs>
                <w:tab w:val="clear" w:pos="425"/>
              </w:tabs>
              <w:jc w:val="center"/>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gering</w:t>
            </w:r>
          </w:p>
        </w:tc>
        <w:tc>
          <w:tcPr>
            <w:tcW w:w="790" w:type="dxa"/>
          </w:tcPr>
          <w:p w:rsidR="0023487F" w:rsidRPr="0023487F" w:rsidRDefault="0023487F" w:rsidP="009D209D">
            <w:pPr>
              <w:pStyle w:val="GesAbsatz"/>
              <w:tabs>
                <w:tab w:val="clear" w:pos="425"/>
              </w:tabs>
            </w:pPr>
            <w:r w:rsidRPr="0023487F">
              <w:t>1+1</w:t>
            </w:r>
          </w:p>
        </w:tc>
        <w:tc>
          <w:tcPr>
            <w:tcW w:w="1109"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130"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851" w:type="dxa"/>
            <w:shd w:val="clear" w:color="auto" w:fill="A6A6A6" w:themeFill="background1" w:themeFillShade="A6"/>
          </w:tcPr>
          <w:p w:rsidR="0023487F" w:rsidRPr="00F649D3" w:rsidRDefault="0023487F" w:rsidP="008C06B6">
            <w:pPr>
              <w:pStyle w:val="GesAbsatz"/>
              <w:tabs>
                <w:tab w:val="clear" w:pos="425"/>
              </w:tabs>
              <w:jc w:val="left"/>
              <w:rPr>
                <w:b/>
              </w:rPr>
            </w:pPr>
            <w:r w:rsidRPr="00F649D3">
              <w:rPr>
                <w:b/>
              </w:rPr>
              <w:t>sehr gering / gering</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5</w:t>
            </w:r>
          </w:p>
        </w:tc>
        <w:tc>
          <w:tcPr>
            <w:tcW w:w="1562" w:type="dxa"/>
            <w:shd w:val="clear" w:color="auto" w:fill="D9D9D9" w:themeFill="background1" w:themeFillShade="D9"/>
          </w:tcPr>
          <w:p w:rsidR="0023487F" w:rsidRPr="00F649D3" w:rsidRDefault="0023487F" w:rsidP="00A801AA">
            <w:pPr>
              <w:pStyle w:val="GesAbsatz"/>
              <w:tabs>
                <w:tab w:val="clear" w:pos="425"/>
              </w:tabs>
              <w:jc w:val="center"/>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gering</w:t>
            </w:r>
          </w:p>
        </w:tc>
        <w:tc>
          <w:tcPr>
            <w:tcW w:w="790" w:type="dxa"/>
          </w:tcPr>
          <w:p w:rsidR="0023487F" w:rsidRPr="0023487F" w:rsidRDefault="0023487F" w:rsidP="009D209D">
            <w:pPr>
              <w:pStyle w:val="GesAbsatz"/>
              <w:tabs>
                <w:tab w:val="clear" w:pos="425"/>
              </w:tabs>
            </w:pPr>
            <w:r w:rsidRPr="0023487F">
              <w:t>1+1</w:t>
            </w:r>
          </w:p>
        </w:tc>
        <w:tc>
          <w:tcPr>
            <w:tcW w:w="1109"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130"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851" w:type="dxa"/>
            <w:shd w:val="clear" w:color="auto" w:fill="A6A6A6" w:themeFill="background1" w:themeFillShade="A6"/>
          </w:tcPr>
          <w:p w:rsidR="0023487F" w:rsidRPr="00F649D3" w:rsidRDefault="0023487F" w:rsidP="008C06B6">
            <w:pPr>
              <w:pStyle w:val="GesAbsatz"/>
              <w:tabs>
                <w:tab w:val="clear" w:pos="425"/>
              </w:tabs>
              <w:jc w:val="left"/>
              <w:rPr>
                <w:b/>
              </w:rPr>
            </w:pPr>
            <w:r w:rsidRPr="00F649D3">
              <w:rPr>
                <w:b/>
              </w:rPr>
              <w:t>sehr gering / gering</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6</w:t>
            </w:r>
          </w:p>
        </w:tc>
        <w:tc>
          <w:tcPr>
            <w:tcW w:w="1562" w:type="dxa"/>
            <w:shd w:val="clear" w:color="auto" w:fill="D9D9D9" w:themeFill="background1" w:themeFillShade="D9"/>
          </w:tcPr>
          <w:p w:rsidR="0023487F" w:rsidRPr="00F649D3" w:rsidRDefault="0023487F" w:rsidP="00A801AA">
            <w:pPr>
              <w:pStyle w:val="GesAbsatz"/>
              <w:tabs>
                <w:tab w:val="clear" w:pos="425"/>
              </w:tabs>
              <w:jc w:val="center"/>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gering</w:t>
            </w:r>
          </w:p>
        </w:tc>
        <w:tc>
          <w:tcPr>
            <w:tcW w:w="790" w:type="dxa"/>
          </w:tcPr>
          <w:p w:rsidR="0023487F" w:rsidRPr="0023487F" w:rsidRDefault="0023487F" w:rsidP="009D209D">
            <w:pPr>
              <w:pStyle w:val="GesAbsatz"/>
              <w:tabs>
                <w:tab w:val="clear" w:pos="425"/>
              </w:tabs>
            </w:pPr>
            <w:r w:rsidRPr="0023487F">
              <w:t>1+1</w:t>
            </w:r>
          </w:p>
        </w:tc>
        <w:tc>
          <w:tcPr>
            <w:tcW w:w="1109"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130"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851" w:type="dxa"/>
            <w:shd w:val="clear" w:color="auto" w:fill="A6A6A6" w:themeFill="background1" w:themeFillShade="A6"/>
          </w:tcPr>
          <w:p w:rsidR="0023487F" w:rsidRPr="00F649D3" w:rsidRDefault="0023487F" w:rsidP="008C06B6">
            <w:pPr>
              <w:pStyle w:val="GesAbsatz"/>
              <w:tabs>
                <w:tab w:val="clear" w:pos="425"/>
              </w:tabs>
              <w:jc w:val="left"/>
              <w:rPr>
                <w:b/>
              </w:rPr>
            </w:pPr>
            <w:r w:rsidRPr="00F649D3">
              <w:rPr>
                <w:b/>
              </w:rPr>
              <w:t>sehr gering / gering</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5</w:t>
            </w:r>
          </w:p>
        </w:tc>
        <w:tc>
          <w:tcPr>
            <w:tcW w:w="1562" w:type="dxa"/>
            <w:shd w:val="clear" w:color="auto" w:fill="D9D9D9" w:themeFill="background1" w:themeFillShade="D9"/>
          </w:tcPr>
          <w:p w:rsidR="0023487F" w:rsidRPr="00F649D3" w:rsidRDefault="0023487F" w:rsidP="00A801AA">
            <w:pPr>
              <w:pStyle w:val="GesAbsatz"/>
              <w:tabs>
                <w:tab w:val="clear" w:pos="425"/>
              </w:tabs>
              <w:jc w:val="center"/>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gering</w:t>
            </w:r>
          </w:p>
        </w:tc>
        <w:tc>
          <w:tcPr>
            <w:tcW w:w="790" w:type="dxa"/>
          </w:tcPr>
          <w:p w:rsidR="0023487F" w:rsidRPr="0023487F" w:rsidRDefault="0023487F" w:rsidP="009D209D">
            <w:pPr>
              <w:pStyle w:val="GesAbsatz"/>
              <w:tabs>
                <w:tab w:val="clear" w:pos="425"/>
              </w:tabs>
            </w:pPr>
            <w:r w:rsidRPr="0023487F">
              <w:t>1+1</w:t>
            </w:r>
          </w:p>
        </w:tc>
        <w:tc>
          <w:tcPr>
            <w:tcW w:w="1109"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130"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851" w:type="dxa"/>
            <w:shd w:val="clear" w:color="auto" w:fill="A6A6A6" w:themeFill="background1" w:themeFillShade="A6"/>
          </w:tcPr>
          <w:p w:rsidR="0023487F" w:rsidRPr="00F649D3" w:rsidRDefault="0023487F" w:rsidP="008C06B6">
            <w:pPr>
              <w:pStyle w:val="GesAbsatz"/>
              <w:tabs>
                <w:tab w:val="clear" w:pos="425"/>
              </w:tabs>
              <w:jc w:val="left"/>
              <w:rPr>
                <w:b/>
              </w:rPr>
            </w:pPr>
            <w:r w:rsidRPr="00F649D3">
              <w:rPr>
                <w:b/>
              </w:rPr>
              <w:t>sehr gering / gering</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6</w:t>
            </w:r>
          </w:p>
        </w:tc>
        <w:tc>
          <w:tcPr>
            <w:tcW w:w="1562" w:type="dxa"/>
            <w:shd w:val="clear" w:color="auto" w:fill="D9D9D9" w:themeFill="background1" w:themeFillShade="D9"/>
          </w:tcPr>
          <w:p w:rsidR="0023487F" w:rsidRPr="00F649D3" w:rsidRDefault="0023487F" w:rsidP="00A801AA">
            <w:pPr>
              <w:pStyle w:val="GesAbsatz"/>
              <w:tabs>
                <w:tab w:val="clear" w:pos="425"/>
              </w:tabs>
              <w:jc w:val="center"/>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gering</w:t>
            </w:r>
          </w:p>
        </w:tc>
        <w:tc>
          <w:tcPr>
            <w:tcW w:w="790" w:type="dxa"/>
          </w:tcPr>
          <w:p w:rsidR="0023487F" w:rsidRPr="0023487F" w:rsidRDefault="0023487F" w:rsidP="009D209D">
            <w:pPr>
              <w:pStyle w:val="GesAbsatz"/>
              <w:tabs>
                <w:tab w:val="clear" w:pos="425"/>
              </w:tabs>
            </w:pPr>
            <w:r w:rsidRPr="0023487F">
              <w:t>1+1</w:t>
            </w:r>
          </w:p>
        </w:tc>
        <w:tc>
          <w:tcPr>
            <w:tcW w:w="1109"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130"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851" w:type="dxa"/>
            <w:shd w:val="clear" w:color="auto" w:fill="A6A6A6" w:themeFill="background1" w:themeFillShade="A6"/>
          </w:tcPr>
          <w:p w:rsidR="0023487F" w:rsidRPr="00F649D3" w:rsidRDefault="0023487F" w:rsidP="008C06B6">
            <w:pPr>
              <w:pStyle w:val="GesAbsatz"/>
              <w:tabs>
                <w:tab w:val="clear" w:pos="425"/>
              </w:tabs>
              <w:jc w:val="left"/>
              <w:rPr>
                <w:b/>
              </w:rPr>
            </w:pPr>
            <w:r w:rsidRPr="00F649D3">
              <w:rPr>
                <w:b/>
              </w:rPr>
              <w:t>sehr gering / gering</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7</w:t>
            </w:r>
          </w:p>
        </w:tc>
        <w:tc>
          <w:tcPr>
            <w:tcW w:w="1562" w:type="dxa"/>
            <w:shd w:val="clear" w:color="auto" w:fill="D9D9D9" w:themeFill="background1" w:themeFillShade="D9"/>
          </w:tcPr>
          <w:p w:rsidR="0023487F" w:rsidRPr="00F649D3" w:rsidRDefault="0023487F" w:rsidP="00A801AA">
            <w:pPr>
              <w:pStyle w:val="GesAbsatz"/>
              <w:tabs>
                <w:tab w:val="clear" w:pos="425"/>
              </w:tabs>
              <w:jc w:val="center"/>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gering</w:t>
            </w:r>
          </w:p>
        </w:tc>
        <w:tc>
          <w:tcPr>
            <w:tcW w:w="790" w:type="dxa"/>
          </w:tcPr>
          <w:p w:rsidR="0023487F" w:rsidRPr="0023487F" w:rsidRDefault="0023487F" w:rsidP="009D209D">
            <w:pPr>
              <w:pStyle w:val="GesAbsatz"/>
              <w:tabs>
                <w:tab w:val="clear" w:pos="425"/>
              </w:tabs>
            </w:pPr>
            <w:r w:rsidRPr="0023487F">
              <w:t>1+1</w:t>
            </w:r>
          </w:p>
        </w:tc>
        <w:tc>
          <w:tcPr>
            <w:tcW w:w="1109"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130"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851" w:type="dxa"/>
            <w:shd w:val="clear" w:color="auto" w:fill="A6A6A6" w:themeFill="background1" w:themeFillShade="A6"/>
          </w:tcPr>
          <w:p w:rsidR="0023487F" w:rsidRPr="00F649D3" w:rsidRDefault="0023487F" w:rsidP="008C06B6">
            <w:pPr>
              <w:pStyle w:val="GesAbsatz"/>
              <w:tabs>
                <w:tab w:val="clear" w:pos="425"/>
              </w:tabs>
              <w:jc w:val="left"/>
              <w:rPr>
                <w:b/>
              </w:rPr>
            </w:pPr>
            <w:r w:rsidRPr="00F649D3">
              <w:rPr>
                <w:b/>
              </w:rPr>
              <w:t>sehr gering / gering</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6</w:t>
            </w:r>
          </w:p>
        </w:tc>
        <w:tc>
          <w:tcPr>
            <w:tcW w:w="1562" w:type="dxa"/>
            <w:shd w:val="clear" w:color="auto" w:fill="D9D9D9" w:themeFill="background1" w:themeFillShade="D9"/>
          </w:tcPr>
          <w:p w:rsidR="0023487F" w:rsidRPr="00F649D3" w:rsidRDefault="0023487F" w:rsidP="00A801AA">
            <w:pPr>
              <w:pStyle w:val="GesAbsatz"/>
              <w:tabs>
                <w:tab w:val="clear" w:pos="425"/>
              </w:tabs>
              <w:jc w:val="center"/>
              <w:rPr>
                <w:b/>
              </w:rPr>
            </w:pPr>
            <w:r w:rsidRPr="00F649D3">
              <w:rPr>
                <w:b/>
              </w:rPr>
              <w:t>-</w:t>
            </w:r>
          </w:p>
        </w:tc>
      </w:tr>
      <w:tr w:rsidR="0023487F" w:rsidRPr="0023487F" w:rsidTr="00A801AA">
        <w:tc>
          <w:tcPr>
            <w:tcW w:w="1072" w:type="dxa"/>
            <w:tcBorders>
              <w:bottom w:val="single" w:sz="4" w:space="0" w:color="auto"/>
            </w:tcBorders>
          </w:tcPr>
          <w:p w:rsidR="0023487F" w:rsidRPr="0023487F" w:rsidRDefault="0023487F" w:rsidP="009D209D">
            <w:pPr>
              <w:pStyle w:val="GesAbsatz"/>
              <w:tabs>
                <w:tab w:val="clear" w:pos="425"/>
              </w:tabs>
            </w:pPr>
            <w:r w:rsidRPr="0023487F">
              <w:t>2 x gering</w:t>
            </w:r>
          </w:p>
        </w:tc>
        <w:tc>
          <w:tcPr>
            <w:tcW w:w="790" w:type="dxa"/>
            <w:tcBorders>
              <w:bottom w:val="single" w:sz="4" w:space="0" w:color="auto"/>
            </w:tcBorders>
          </w:tcPr>
          <w:p w:rsidR="0023487F" w:rsidRPr="0023487F" w:rsidRDefault="0023487F" w:rsidP="009D209D">
            <w:pPr>
              <w:pStyle w:val="GesAbsatz"/>
              <w:tabs>
                <w:tab w:val="clear" w:pos="425"/>
              </w:tabs>
            </w:pPr>
            <w:r w:rsidRPr="0023487F">
              <w:t>1+1</w:t>
            </w:r>
          </w:p>
        </w:tc>
        <w:tc>
          <w:tcPr>
            <w:tcW w:w="1109" w:type="dxa"/>
            <w:tcBorders>
              <w:bottom w:val="single" w:sz="4" w:space="0" w:color="auto"/>
            </w:tcBorders>
          </w:tcPr>
          <w:p w:rsidR="0023487F" w:rsidRPr="0023487F" w:rsidRDefault="0023487F" w:rsidP="009D209D">
            <w:pPr>
              <w:pStyle w:val="GesAbsatz"/>
              <w:tabs>
                <w:tab w:val="clear" w:pos="425"/>
              </w:tabs>
            </w:pPr>
            <w:r w:rsidRPr="0023487F">
              <w:t>hoch</w:t>
            </w:r>
          </w:p>
        </w:tc>
        <w:tc>
          <w:tcPr>
            <w:tcW w:w="780" w:type="dxa"/>
            <w:tcBorders>
              <w:bottom w:val="single" w:sz="4" w:space="0" w:color="auto"/>
            </w:tcBorders>
          </w:tcPr>
          <w:p w:rsidR="0023487F" w:rsidRPr="0023487F" w:rsidRDefault="0023487F" w:rsidP="009D209D">
            <w:pPr>
              <w:pStyle w:val="GesAbsatz"/>
              <w:tabs>
                <w:tab w:val="clear" w:pos="425"/>
              </w:tabs>
            </w:pPr>
            <w:r w:rsidRPr="0023487F">
              <w:t>3</w:t>
            </w:r>
          </w:p>
        </w:tc>
        <w:tc>
          <w:tcPr>
            <w:tcW w:w="1130" w:type="dxa"/>
            <w:tcBorders>
              <w:bottom w:val="single" w:sz="4" w:space="0" w:color="auto"/>
            </w:tcBorders>
          </w:tcPr>
          <w:p w:rsidR="0023487F" w:rsidRPr="0023487F" w:rsidRDefault="0023487F" w:rsidP="009D209D">
            <w:pPr>
              <w:pStyle w:val="GesAbsatz"/>
              <w:tabs>
                <w:tab w:val="clear" w:pos="425"/>
              </w:tabs>
            </w:pPr>
            <w:r w:rsidRPr="0023487F">
              <w:t>mittel</w:t>
            </w:r>
          </w:p>
        </w:tc>
        <w:tc>
          <w:tcPr>
            <w:tcW w:w="780" w:type="dxa"/>
            <w:tcBorders>
              <w:bottom w:val="single" w:sz="4" w:space="0" w:color="auto"/>
            </w:tcBorders>
          </w:tcPr>
          <w:p w:rsidR="0023487F" w:rsidRPr="0023487F" w:rsidRDefault="0023487F" w:rsidP="009D209D">
            <w:pPr>
              <w:pStyle w:val="GesAbsatz"/>
              <w:tabs>
                <w:tab w:val="clear" w:pos="425"/>
              </w:tabs>
            </w:pPr>
            <w:r w:rsidRPr="0023487F">
              <w:t>2</w:t>
            </w:r>
          </w:p>
        </w:tc>
        <w:tc>
          <w:tcPr>
            <w:tcW w:w="1851" w:type="dxa"/>
            <w:tcBorders>
              <w:bottom w:val="single" w:sz="4" w:space="0" w:color="auto"/>
            </w:tcBorders>
            <w:shd w:val="clear" w:color="auto" w:fill="A6A6A6" w:themeFill="background1" w:themeFillShade="A6"/>
          </w:tcPr>
          <w:p w:rsidR="0023487F" w:rsidRPr="00F649D3" w:rsidRDefault="0023487F" w:rsidP="008C06B6">
            <w:pPr>
              <w:pStyle w:val="GesAbsatz"/>
              <w:tabs>
                <w:tab w:val="clear" w:pos="425"/>
              </w:tabs>
              <w:jc w:val="left"/>
              <w:rPr>
                <w:b/>
              </w:rPr>
            </w:pPr>
            <w:r w:rsidRPr="00F649D3">
              <w:rPr>
                <w:b/>
              </w:rPr>
              <w:t>sehr gering / gering</w:t>
            </w:r>
          </w:p>
        </w:tc>
        <w:tc>
          <w:tcPr>
            <w:tcW w:w="780" w:type="dxa"/>
            <w:tcBorders>
              <w:bottom w:val="single" w:sz="4" w:space="0" w:color="auto"/>
            </w:tcBorders>
            <w:shd w:val="clear" w:color="auto" w:fill="D9D9D9" w:themeFill="background1" w:themeFillShade="D9"/>
          </w:tcPr>
          <w:p w:rsidR="0023487F" w:rsidRPr="00F649D3" w:rsidRDefault="0023487F" w:rsidP="009D209D">
            <w:pPr>
              <w:pStyle w:val="GesAbsatz"/>
              <w:tabs>
                <w:tab w:val="clear" w:pos="425"/>
              </w:tabs>
              <w:rPr>
                <w:b/>
              </w:rPr>
            </w:pPr>
            <w:r w:rsidRPr="00F649D3">
              <w:rPr>
                <w:b/>
              </w:rPr>
              <w:t>7</w:t>
            </w:r>
          </w:p>
        </w:tc>
        <w:tc>
          <w:tcPr>
            <w:tcW w:w="1562" w:type="dxa"/>
            <w:tcBorders>
              <w:bottom w:val="single" w:sz="4" w:space="0" w:color="auto"/>
            </w:tcBorders>
            <w:shd w:val="clear" w:color="auto" w:fill="D9D9D9" w:themeFill="background1" w:themeFillShade="D9"/>
          </w:tcPr>
          <w:p w:rsidR="0023487F" w:rsidRPr="00F649D3" w:rsidRDefault="0023487F" w:rsidP="00A801AA">
            <w:pPr>
              <w:pStyle w:val="GesAbsatz"/>
              <w:tabs>
                <w:tab w:val="clear" w:pos="425"/>
              </w:tabs>
              <w:jc w:val="center"/>
              <w:rPr>
                <w:b/>
              </w:rPr>
            </w:pPr>
            <w:r w:rsidRPr="00F649D3">
              <w:rPr>
                <w:b/>
              </w:rPr>
              <w:t>-</w:t>
            </w:r>
          </w:p>
        </w:tc>
      </w:tr>
      <w:tr w:rsidR="0023487F" w:rsidRPr="0023487F" w:rsidTr="00A801AA">
        <w:tc>
          <w:tcPr>
            <w:tcW w:w="1072" w:type="dxa"/>
            <w:tcBorders>
              <w:bottom w:val="single" w:sz="12" w:space="0" w:color="auto"/>
            </w:tcBorders>
          </w:tcPr>
          <w:p w:rsidR="0023487F" w:rsidRPr="0023487F" w:rsidRDefault="0023487F" w:rsidP="009D209D">
            <w:pPr>
              <w:pStyle w:val="GesAbsatz"/>
              <w:tabs>
                <w:tab w:val="clear" w:pos="425"/>
              </w:tabs>
            </w:pPr>
            <w:r w:rsidRPr="0023487F">
              <w:t>2 x gering</w:t>
            </w:r>
          </w:p>
        </w:tc>
        <w:tc>
          <w:tcPr>
            <w:tcW w:w="790" w:type="dxa"/>
            <w:tcBorders>
              <w:bottom w:val="single" w:sz="12" w:space="0" w:color="auto"/>
            </w:tcBorders>
          </w:tcPr>
          <w:p w:rsidR="0023487F" w:rsidRPr="0023487F" w:rsidRDefault="0023487F" w:rsidP="009D209D">
            <w:pPr>
              <w:pStyle w:val="GesAbsatz"/>
              <w:tabs>
                <w:tab w:val="clear" w:pos="425"/>
              </w:tabs>
            </w:pPr>
            <w:r w:rsidRPr="0023487F">
              <w:t>1+1</w:t>
            </w:r>
          </w:p>
        </w:tc>
        <w:tc>
          <w:tcPr>
            <w:tcW w:w="1109" w:type="dxa"/>
            <w:tcBorders>
              <w:bottom w:val="single" w:sz="12" w:space="0" w:color="auto"/>
            </w:tcBorders>
          </w:tcPr>
          <w:p w:rsidR="0023487F" w:rsidRPr="0023487F" w:rsidRDefault="0023487F" w:rsidP="009D209D">
            <w:pPr>
              <w:pStyle w:val="GesAbsatz"/>
              <w:tabs>
                <w:tab w:val="clear" w:pos="425"/>
              </w:tabs>
            </w:pPr>
            <w:r w:rsidRPr="0023487F">
              <w:t>hoch</w:t>
            </w:r>
          </w:p>
        </w:tc>
        <w:tc>
          <w:tcPr>
            <w:tcW w:w="780" w:type="dxa"/>
            <w:tcBorders>
              <w:bottom w:val="single" w:sz="12" w:space="0" w:color="auto"/>
            </w:tcBorders>
          </w:tcPr>
          <w:p w:rsidR="0023487F" w:rsidRPr="0023487F" w:rsidRDefault="0023487F" w:rsidP="009D209D">
            <w:pPr>
              <w:pStyle w:val="GesAbsatz"/>
              <w:tabs>
                <w:tab w:val="clear" w:pos="425"/>
              </w:tabs>
            </w:pPr>
            <w:r w:rsidRPr="0023487F">
              <w:t>3</w:t>
            </w:r>
          </w:p>
        </w:tc>
        <w:tc>
          <w:tcPr>
            <w:tcW w:w="1130" w:type="dxa"/>
            <w:tcBorders>
              <w:bottom w:val="single" w:sz="12" w:space="0" w:color="auto"/>
            </w:tcBorders>
          </w:tcPr>
          <w:p w:rsidR="0023487F" w:rsidRPr="0023487F" w:rsidRDefault="0023487F" w:rsidP="009D209D">
            <w:pPr>
              <w:pStyle w:val="GesAbsatz"/>
              <w:tabs>
                <w:tab w:val="clear" w:pos="425"/>
              </w:tabs>
            </w:pPr>
            <w:r w:rsidRPr="0023487F">
              <w:t>hoch</w:t>
            </w:r>
          </w:p>
        </w:tc>
        <w:tc>
          <w:tcPr>
            <w:tcW w:w="780" w:type="dxa"/>
            <w:tcBorders>
              <w:bottom w:val="single" w:sz="12" w:space="0" w:color="auto"/>
            </w:tcBorders>
          </w:tcPr>
          <w:p w:rsidR="0023487F" w:rsidRPr="0023487F" w:rsidRDefault="0023487F" w:rsidP="009D209D">
            <w:pPr>
              <w:pStyle w:val="GesAbsatz"/>
              <w:tabs>
                <w:tab w:val="clear" w:pos="425"/>
              </w:tabs>
            </w:pPr>
            <w:r w:rsidRPr="0023487F">
              <w:t>3</w:t>
            </w:r>
          </w:p>
        </w:tc>
        <w:tc>
          <w:tcPr>
            <w:tcW w:w="1851" w:type="dxa"/>
            <w:tcBorders>
              <w:bottom w:val="single" w:sz="12" w:space="0" w:color="auto"/>
            </w:tcBorders>
            <w:shd w:val="clear" w:color="auto" w:fill="A6A6A6" w:themeFill="background1" w:themeFillShade="A6"/>
          </w:tcPr>
          <w:p w:rsidR="0023487F" w:rsidRPr="00F649D3" w:rsidRDefault="0023487F" w:rsidP="008C06B6">
            <w:pPr>
              <w:pStyle w:val="GesAbsatz"/>
              <w:tabs>
                <w:tab w:val="clear" w:pos="425"/>
              </w:tabs>
              <w:jc w:val="left"/>
              <w:rPr>
                <w:b/>
              </w:rPr>
            </w:pPr>
            <w:r w:rsidRPr="00F649D3">
              <w:rPr>
                <w:b/>
              </w:rPr>
              <w:t>mittel</w:t>
            </w:r>
          </w:p>
        </w:tc>
        <w:tc>
          <w:tcPr>
            <w:tcW w:w="780" w:type="dxa"/>
            <w:tcBorders>
              <w:bottom w:val="single" w:sz="12" w:space="0" w:color="auto"/>
            </w:tcBorders>
            <w:shd w:val="clear" w:color="auto" w:fill="D9D9D9" w:themeFill="background1" w:themeFillShade="D9"/>
          </w:tcPr>
          <w:p w:rsidR="0023487F" w:rsidRPr="00F649D3" w:rsidRDefault="0023487F" w:rsidP="009D209D">
            <w:pPr>
              <w:pStyle w:val="GesAbsatz"/>
              <w:tabs>
                <w:tab w:val="clear" w:pos="425"/>
              </w:tabs>
              <w:rPr>
                <w:b/>
              </w:rPr>
            </w:pPr>
            <w:r w:rsidRPr="00F649D3">
              <w:rPr>
                <w:b/>
              </w:rPr>
              <w:t>8</w:t>
            </w:r>
          </w:p>
        </w:tc>
        <w:tc>
          <w:tcPr>
            <w:tcW w:w="1562" w:type="dxa"/>
            <w:tcBorders>
              <w:bottom w:val="single" w:sz="12" w:space="0" w:color="auto"/>
            </w:tcBorders>
            <w:shd w:val="clear" w:color="auto" w:fill="D9D9D9" w:themeFill="background1" w:themeFillShade="D9"/>
          </w:tcPr>
          <w:p w:rsidR="0023487F" w:rsidRPr="00F649D3" w:rsidRDefault="0023487F" w:rsidP="00A801AA">
            <w:pPr>
              <w:pStyle w:val="GesAbsatz"/>
              <w:tabs>
                <w:tab w:val="clear" w:pos="425"/>
              </w:tabs>
              <w:jc w:val="center"/>
              <w:rPr>
                <w:b/>
              </w:rPr>
            </w:pPr>
            <w:r w:rsidRPr="00F649D3">
              <w:rPr>
                <w:b/>
              </w:rPr>
              <w:t>-</w:t>
            </w:r>
          </w:p>
        </w:tc>
      </w:tr>
      <w:tr w:rsidR="0023487F" w:rsidRPr="0023487F" w:rsidTr="00A801AA">
        <w:tc>
          <w:tcPr>
            <w:tcW w:w="1072" w:type="dxa"/>
            <w:tcBorders>
              <w:top w:val="single" w:sz="12" w:space="0" w:color="auto"/>
            </w:tcBorders>
          </w:tcPr>
          <w:p w:rsidR="0023487F" w:rsidRPr="0023487F" w:rsidRDefault="0023487F" w:rsidP="009D209D">
            <w:pPr>
              <w:pStyle w:val="GesAbsatz"/>
              <w:tabs>
                <w:tab w:val="clear" w:pos="425"/>
              </w:tabs>
            </w:pPr>
            <w:r w:rsidRPr="0023487F">
              <w:t>2 x mittel</w:t>
            </w:r>
          </w:p>
        </w:tc>
        <w:tc>
          <w:tcPr>
            <w:tcW w:w="790" w:type="dxa"/>
            <w:tcBorders>
              <w:top w:val="single" w:sz="12" w:space="0" w:color="auto"/>
            </w:tcBorders>
          </w:tcPr>
          <w:p w:rsidR="0023487F" w:rsidRPr="0023487F" w:rsidRDefault="0023487F" w:rsidP="009D209D">
            <w:pPr>
              <w:pStyle w:val="GesAbsatz"/>
              <w:tabs>
                <w:tab w:val="clear" w:pos="425"/>
              </w:tabs>
            </w:pPr>
            <w:r w:rsidRPr="0023487F">
              <w:t>2+2</w:t>
            </w:r>
          </w:p>
        </w:tc>
        <w:tc>
          <w:tcPr>
            <w:tcW w:w="1109" w:type="dxa"/>
            <w:tcBorders>
              <w:top w:val="single" w:sz="12" w:space="0" w:color="auto"/>
            </w:tcBorders>
          </w:tcPr>
          <w:p w:rsidR="0023487F" w:rsidRPr="0023487F" w:rsidRDefault="0023487F" w:rsidP="009D209D">
            <w:pPr>
              <w:pStyle w:val="GesAbsatz"/>
              <w:tabs>
                <w:tab w:val="clear" w:pos="425"/>
              </w:tabs>
            </w:pPr>
            <w:r w:rsidRPr="0023487F">
              <w:t>gering</w:t>
            </w:r>
          </w:p>
        </w:tc>
        <w:tc>
          <w:tcPr>
            <w:tcW w:w="780" w:type="dxa"/>
            <w:tcBorders>
              <w:top w:val="single" w:sz="12" w:space="0" w:color="auto"/>
            </w:tcBorders>
          </w:tcPr>
          <w:p w:rsidR="0023487F" w:rsidRPr="0023487F" w:rsidRDefault="0023487F" w:rsidP="009D209D">
            <w:pPr>
              <w:pStyle w:val="GesAbsatz"/>
              <w:tabs>
                <w:tab w:val="clear" w:pos="425"/>
              </w:tabs>
            </w:pPr>
            <w:r w:rsidRPr="0023487F">
              <w:t>1</w:t>
            </w:r>
          </w:p>
        </w:tc>
        <w:tc>
          <w:tcPr>
            <w:tcW w:w="1130" w:type="dxa"/>
            <w:tcBorders>
              <w:top w:val="single" w:sz="12" w:space="0" w:color="auto"/>
            </w:tcBorders>
          </w:tcPr>
          <w:p w:rsidR="0023487F" w:rsidRPr="0023487F" w:rsidRDefault="0023487F" w:rsidP="009D209D">
            <w:pPr>
              <w:pStyle w:val="GesAbsatz"/>
              <w:tabs>
                <w:tab w:val="clear" w:pos="425"/>
              </w:tabs>
            </w:pPr>
            <w:r w:rsidRPr="0023487F">
              <w:t>gering</w:t>
            </w:r>
          </w:p>
        </w:tc>
        <w:tc>
          <w:tcPr>
            <w:tcW w:w="780" w:type="dxa"/>
            <w:tcBorders>
              <w:top w:val="single" w:sz="12" w:space="0" w:color="auto"/>
            </w:tcBorders>
          </w:tcPr>
          <w:p w:rsidR="0023487F" w:rsidRPr="0023487F" w:rsidRDefault="0023487F" w:rsidP="009D209D">
            <w:pPr>
              <w:pStyle w:val="GesAbsatz"/>
              <w:tabs>
                <w:tab w:val="clear" w:pos="425"/>
              </w:tabs>
            </w:pPr>
            <w:r w:rsidRPr="0023487F">
              <w:t>1</w:t>
            </w:r>
          </w:p>
        </w:tc>
        <w:tc>
          <w:tcPr>
            <w:tcW w:w="1851" w:type="dxa"/>
            <w:tcBorders>
              <w:top w:val="single" w:sz="12" w:space="0" w:color="auto"/>
            </w:tcBorders>
            <w:shd w:val="clear" w:color="auto" w:fill="A6A6A6" w:themeFill="background1" w:themeFillShade="A6"/>
          </w:tcPr>
          <w:p w:rsidR="0023487F" w:rsidRPr="00F649D3" w:rsidRDefault="0023487F" w:rsidP="008C06B6">
            <w:pPr>
              <w:pStyle w:val="GesAbsatz"/>
              <w:tabs>
                <w:tab w:val="clear" w:pos="425"/>
              </w:tabs>
              <w:jc w:val="left"/>
              <w:rPr>
                <w:b/>
              </w:rPr>
            </w:pPr>
            <w:r w:rsidRPr="00F649D3">
              <w:rPr>
                <w:b/>
              </w:rPr>
              <w:t>sehr gering / gering</w:t>
            </w:r>
          </w:p>
        </w:tc>
        <w:tc>
          <w:tcPr>
            <w:tcW w:w="780" w:type="dxa"/>
            <w:tcBorders>
              <w:top w:val="single" w:sz="12" w:space="0" w:color="auto"/>
            </w:tcBorders>
            <w:shd w:val="clear" w:color="auto" w:fill="D9D9D9" w:themeFill="background1" w:themeFillShade="D9"/>
          </w:tcPr>
          <w:p w:rsidR="0023487F" w:rsidRPr="00F649D3" w:rsidRDefault="0023487F" w:rsidP="009D209D">
            <w:pPr>
              <w:pStyle w:val="GesAbsatz"/>
              <w:tabs>
                <w:tab w:val="clear" w:pos="425"/>
              </w:tabs>
              <w:rPr>
                <w:b/>
              </w:rPr>
            </w:pPr>
            <w:r w:rsidRPr="00F649D3">
              <w:rPr>
                <w:b/>
              </w:rPr>
              <w:t>6</w:t>
            </w:r>
          </w:p>
        </w:tc>
        <w:tc>
          <w:tcPr>
            <w:tcW w:w="1562" w:type="dxa"/>
            <w:tcBorders>
              <w:top w:val="single" w:sz="12" w:space="0" w:color="auto"/>
            </w:tcBorders>
            <w:shd w:val="clear" w:color="auto" w:fill="D9D9D9" w:themeFill="background1" w:themeFillShade="D9"/>
          </w:tcPr>
          <w:p w:rsidR="0023487F" w:rsidRPr="00F649D3" w:rsidRDefault="0023487F" w:rsidP="009D209D">
            <w:pPr>
              <w:pStyle w:val="GesAbsatz"/>
              <w:tabs>
                <w:tab w:val="clear" w:pos="425"/>
              </w:tabs>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mittel</w:t>
            </w:r>
          </w:p>
        </w:tc>
        <w:tc>
          <w:tcPr>
            <w:tcW w:w="790" w:type="dxa"/>
          </w:tcPr>
          <w:p w:rsidR="0023487F" w:rsidRPr="0023487F" w:rsidRDefault="0023487F" w:rsidP="009D209D">
            <w:pPr>
              <w:pStyle w:val="GesAbsatz"/>
              <w:tabs>
                <w:tab w:val="clear" w:pos="425"/>
              </w:tabs>
            </w:pPr>
            <w:r w:rsidRPr="0023487F">
              <w:t>2+2</w:t>
            </w:r>
          </w:p>
        </w:tc>
        <w:tc>
          <w:tcPr>
            <w:tcW w:w="1109"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130"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mittel</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7</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mittel</w:t>
            </w:r>
          </w:p>
        </w:tc>
        <w:tc>
          <w:tcPr>
            <w:tcW w:w="790" w:type="dxa"/>
          </w:tcPr>
          <w:p w:rsidR="0023487F" w:rsidRPr="0023487F" w:rsidRDefault="0023487F" w:rsidP="009D209D">
            <w:pPr>
              <w:pStyle w:val="GesAbsatz"/>
              <w:tabs>
                <w:tab w:val="clear" w:pos="425"/>
              </w:tabs>
            </w:pPr>
            <w:r w:rsidRPr="0023487F">
              <w:t>2+2</w:t>
            </w:r>
          </w:p>
        </w:tc>
        <w:tc>
          <w:tcPr>
            <w:tcW w:w="1109"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130"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mittel</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8</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mittel</w:t>
            </w:r>
          </w:p>
        </w:tc>
        <w:tc>
          <w:tcPr>
            <w:tcW w:w="790" w:type="dxa"/>
          </w:tcPr>
          <w:p w:rsidR="0023487F" w:rsidRPr="0023487F" w:rsidRDefault="0023487F" w:rsidP="009D209D">
            <w:pPr>
              <w:pStyle w:val="GesAbsatz"/>
              <w:tabs>
                <w:tab w:val="clear" w:pos="425"/>
              </w:tabs>
            </w:pPr>
            <w:r w:rsidRPr="0023487F">
              <w:t>2+2</w:t>
            </w:r>
          </w:p>
        </w:tc>
        <w:tc>
          <w:tcPr>
            <w:tcW w:w="1109"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130"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mittel</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7</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mittel</w:t>
            </w:r>
          </w:p>
        </w:tc>
        <w:tc>
          <w:tcPr>
            <w:tcW w:w="790" w:type="dxa"/>
          </w:tcPr>
          <w:p w:rsidR="0023487F" w:rsidRPr="0023487F" w:rsidRDefault="0023487F" w:rsidP="009D209D">
            <w:pPr>
              <w:pStyle w:val="GesAbsatz"/>
              <w:tabs>
                <w:tab w:val="clear" w:pos="425"/>
              </w:tabs>
            </w:pPr>
            <w:r w:rsidRPr="0023487F">
              <w:t>2+2</w:t>
            </w:r>
          </w:p>
        </w:tc>
        <w:tc>
          <w:tcPr>
            <w:tcW w:w="1109"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130"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mittel</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8</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mittel</w:t>
            </w:r>
          </w:p>
        </w:tc>
        <w:tc>
          <w:tcPr>
            <w:tcW w:w="790" w:type="dxa"/>
          </w:tcPr>
          <w:p w:rsidR="0023487F" w:rsidRPr="0023487F" w:rsidRDefault="0023487F" w:rsidP="009D209D">
            <w:pPr>
              <w:pStyle w:val="GesAbsatz"/>
              <w:tabs>
                <w:tab w:val="clear" w:pos="425"/>
              </w:tabs>
            </w:pPr>
            <w:r w:rsidRPr="0023487F">
              <w:t>2+2</w:t>
            </w:r>
          </w:p>
        </w:tc>
        <w:tc>
          <w:tcPr>
            <w:tcW w:w="1109"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130"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mittel</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9</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mittel</w:t>
            </w:r>
          </w:p>
        </w:tc>
        <w:tc>
          <w:tcPr>
            <w:tcW w:w="790" w:type="dxa"/>
          </w:tcPr>
          <w:p w:rsidR="0023487F" w:rsidRPr="0023487F" w:rsidRDefault="0023487F" w:rsidP="009D209D">
            <w:pPr>
              <w:pStyle w:val="GesAbsatz"/>
              <w:tabs>
                <w:tab w:val="clear" w:pos="425"/>
              </w:tabs>
            </w:pPr>
            <w:r w:rsidRPr="0023487F">
              <w:t>2+2</w:t>
            </w:r>
          </w:p>
        </w:tc>
        <w:tc>
          <w:tcPr>
            <w:tcW w:w="1109"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130"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mittel</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8</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w:t>
            </w:r>
          </w:p>
        </w:tc>
      </w:tr>
      <w:tr w:rsidR="0023487F" w:rsidRPr="0023487F" w:rsidTr="000109A8">
        <w:tc>
          <w:tcPr>
            <w:tcW w:w="1072" w:type="dxa"/>
            <w:tcBorders>
              <w:bottom w:val="single" w:sz="4" w:space="0" w:color="auto"/>
            </w:tcBorders>
          </w:tcPr>
          <w:p w:rsidR="0023487F" w:rsidRPr="0023487F" w:rsidRDefault="0023487F" w:rsidP="009D209D">
            <w:pPr>
              <w:pStyle w:val="GesAbsatz"/>
              <w:tabs>
                <w:tab w:val="clear" w:pos="425"/>
              </w:tabs>
            </w:pPr>
            <w:r w:rsidRPr="0023487F">
              <w:t>2 x mittel</w:t>
            </w:r>
          </w:p>
        </w:tc>
        <w:tc>
          <w:tcPr>
            <w:tcW w:w="790" w:type="dxa"/>
            <w:tcBorders>
              <w:bottom w:val="single" w:sz="4" w:space="0" w:color="auto"/>
            </w:tcBorders>
          </w:tcPr>
          <w:p w:rsidR="0023487F" w:rsidRPr="0023487F" w:rsidRDefault="0023487F" w:rsidP="009D209D">
            <w:pPr>
              <w:pStyle w:val="GesAbsatz"/>
              <w:tabs>
                <w:tab w:val="clear" w:pos="425"/>
              </w:tabs>
            </w:pPr>
            <w:r w:rsidRPr="0023487F">
              <w:t>2+2</w:t>
            </w:r>
          </w:p>
        </w:tc>
        <w:tc>
          <w:tcPr>
            <w:tcW w:w="1109" w:type="dxa"/>
            <w:tcBorders>
              <w:bottom w:val="single" w:sz="4" w:space="0" w:color="auto"/>
            </w:tcBorders>
          </w:tcPr>
          <w:p w:rsidR="0023487F" w:rsidRPr="0023487F" w:rsidRDefault="0023487F" w:rsidP="009D209D">
            <w:pPr>
              <w:pStyle w:val="GesAbsatz"/>
              <w:tabs>
                <w:tab w:val="clear" w:pos="425"/>
              </w:tabs>
            </w:pPr>
            <w:r w:rsidRPr="0023487F">
              <w:t>hoch</w:t>
            </w:r>
          </w:p>
        </w:tc>
        <w:tc>
          <w:tcPr>
            <w:tcW w:w="780" w:type="dxa"/>
            <w:tcBorders>
              <w:bottom w:val="single" w:sz="4" w:space="0" w:color="auto"/>
            </w:tcBorders>
          </w:tcPr>
          <w:p w:rsidR="0023487F" w:rsidRPr="0023487F" w:rsidRDefault="0023487F" w:rsidP="009D209D">
            <w:pPr>
              <w:pStyle w:val="GesAbsatz"/>
              <w:tabs>
                <w:tab w:val="clear" w:pos="425"/>
              </w:tabs>
            </w:pPr>
            <w:r w:rsidRPr="0023487F">
              <w:t>3</w:t>
            </w:r>
          </w:p>
        </w:tc>
        <w:tc>
          <w:tcPr>
            <w:tcW w:w="1130" w:type="dxa"/>
            <w:tcBorders>
              <w:bottom w:val="single" w:sz="4" w:space="0" w:color="auto"/>
            </w:tcBorders>
          </w:tcPr>
          <w:p w:rsidR="0023487F" w:rsidRPr="0023487F" w:rsidRDefault="0023487F" w:rsidP="009D209D">
            <w:pPr>
              <w:pStyle w:val="GesAbsatz"/>
              <w:tabs>
                <w:tab w:val="clear" w:pos="425"/>
              </w:tabs>
            </w:pPr>
            <w:r w:rsidRPr="0023487F">
              <w:t>mittel</w:t>
            </w:r>
          </w:p>
        </w:tc>
        <w:tc>
          <w:tcPr>
            <w:tcW w:w="780" w:type="dxa"/>
            <w:tcBorders>
              <w:bottom w:val="single" w:sz="4" w:space="0" w:color="auto"/>
            </w:tcBorders>
          </w:tcPr>
          <w:p w:rsidR="0023487F" w:rsidRPr="0023487F" w:rsidRDefault="0023487F" w:rsidP="009D209D">
            <w:pPr>
              <w:pStyle w:val="GesAbsatz"/>
              <w:tabs>
                <w:tab w:val="clear" w:pos="425"/>
              </w:tabs>
            </w:pPr>
            <w:r w:rsidRPr="0023487F">
              <w:t>2</w:t>
            </w:r>
          </w:p>
        </w:tc>
        <w:tc>
          <w:tcPr>
            <w:tcW w:w="1851" w:type="dxa"/>
            <w:tcBorders>
              <w:bottom w:val="single" w:sz="4" w:space="0" w:color="auto"/>
            </w:tcBorders>
            <w:shd w:val="clear" w:color="auto" w:fill="A6A6A6" w:themeFill="background1" w:themeFillShade="A6"/>
          </w:tcPr>
          <w:p w:rsidR="0023487F" w:rsidRPr="00F649D3" w:rsidRDefault="0023487F" w:rsidP="009D209D">
            <w:pPr>
              <w:pStyle w:val="GesAbsatz"/>
              <w:tabs>
                <w:tab w:val="clear" w:pos="425"/>
              </w:tabs>
              <w:rPr>
                <w:b/>
              </w:rPr>
            </w:pPr>
            <w:r w:rsidRPr="00F649D3">
              <w:rPr>
                <w:b/>
              </w:rPr>
              <w:t>mittel</w:t>
            </w:r>
          </w:p>
        </w:tc>
        <w:tc>
          <w:tcPr>
            <w:tcW w:w="780" w:type="dxa"/>
            <w:tcBorders>
              <w:bottom w:val="single" w:sz="4" w:space="0" w:color="auto"/>
            </w:tcBorders>
            <w:shd w:val="clear" w:color="auto" w:fill="D9D9D9" w:themeFill="background1" w:themeFillShade="D9"/>
          </w:tcPr>
          <w:p w:rsidR="0023487F" w:rsidRPr="00F649D3" w:rsidRDefault="0023487F" w:rsidP="009D209D">
            <w:pPr>
              <w:pStyle w:val="GesAbsatz"/>
              <w:tabs>
                <w:tab w:val="clear" w:pos="425"/>
              </w:tabs>
              <w:rPr>
                <w:b/>
              </w:rPr>
            </w:pPr>
            <w:r w:rsidRPr="00F649D3">
              <w:rPr>
                <w:b/>
              </w:rPr>
              <w:t>9</w:t>
            </w:r>
          </w:p>
        </w:tc>
        <w:tc>
          <w:tcPr>
            <w:tcW w:w="1562" w:type="dxa"/>
            <w:tcBorders>
              <w:bottom w:val="single" w:sz="4" w:space="0" w:color="auto"/>
            </w:tcBorders>
            <w:shd w:val="clear" w:color="auto" w:fill="D9D9D9" w:themeFill="background1" w:themeFillShade="D9"/>
          </w:tcPr>
          <w:p w:rsidR="0023487F" w:rsidRPr="00F649D3" w:rsidRDefault="0023487F" w:rsidP="009D209D">
            <w:pPr>
              <w:pStyle w:val="GesAbsatz"/>
              <w:tabs>
                <w:tab w:val="clear" w:pos="425"/>
              </w:tabs>
              <w:rPr>
                <w:b/>
              </w:rPr>
            </w:pPr>
            <w:r w:rsidRPr="00F649D3">
              <w:rPr>
                <w:b/>
              </w:rPr>
              <w:t>-</w:t>
            </w:r>
          </w:p>
        </w:tc>
      </w:tr>
      <w:tr w:rsidR="0023487F" w:rsidRPr="0023487F" w:rsidTr="000109A8">
        <w:tc>
          <w:tcPr>
            <w:tcW w:w="1072" w:type="dxa"/>
            <w:tcBorders>
              <w:bottom w:val="single" w:sz="12" w:space="0" w:color="auto"/>
            </w:tcBorders>
          </w:tcPr>
          <w:p w:rsidR="0023487F" w:rsidRPr="0023487F" w:rsidRDefault="0023487F" w:rsidP="009D209D">
            <w:pPr>
              <w:pStyle w:val="GesAbsatz"/>
              <w:tabs>
                <w:tab w:val="clear" w:pos="425"/>
              </w:tabs>
            </w:pPr>
            <w:r w:rsidRPr="0023487F">
              <w:t>2 x mittel</w:t>
            </w:r>
          </w:p>
        </w:tc>
        <w:tc>
          <w:tcPr>
            <w:tcW w:w="790" w:type="dxa"/>
            <w:tcBorders>
              <w:bottom w:val="single" w:sz="12" w:space="0" w:color="auto"/>
            </w:tcBorders>
          </w:tcPr>
          <w:p w:rsidR="0023487F" w:rsidRPr="0023487F" w:rsidRDefault="0023487F" w:rsidP="009D209D">
            <w:pPr>
              <w:pStyle w:val="GesAbsatz"/>
              <w:tabs>
                <w:tab w:val="clear" w:pos="425"/>
              </w:tabs>
            </w:pPr>
            <w:r w:rsidRPr="0023487F">
              <w:t>2+2</w:t>
            </w:r>
          </w:p>
        </w:tc>
        <w:tc>
          <w:tcPr>
            <w:tcW w:w="1109" w:type="dxa"/>
            <w:tcBorders>
              <w:bottom w:val="single" w:sz="12" w:space="0" w:color="auto"/>
            </w:tcBorders>
          </w:tcPr>
          <w:p w:rsidR="0023487F" w:rsidRPr="0023487F" w:rsidRDefault="0023487F" w:rsidP="009D209D">
            <w:pPr>
              <w:pStyle w:val="GesAbsatz"/>
              <w:tabs>
                <w:tab w:val="clear" w:pos="425"/>
              </w:tabs>
            </w:pPr>
            <w:r w:rsidRPr="0023487F">
              <w:t>hoch</w:t>
            </w:r>
          </w:p>
        </w:tc>
        <w:tc>
          <w:tcPr>
            <w:tcW w:w="780" w:type="dxa"/>
            <w:tcBorders>
              <w:bottom w:val="single" w:sz="12" w:space="0" w:color="auto"/>
            </w:tcBorders>
          </w:tcPr>
          <w:p w:rsidR="0023487F" w:rsidRPr="0023487F" w:rsidRDefault="0023487F" w:rsidP="009D209D">
            <w:pPr>
              <w:pStyle w:val="GesAbsatz"/>
              <w:tabs>
                <w:tab w:val="clear" w:pos="425"/>
              </w:tabs>
            </w:pPr>
            <w:r w:rsidRPr="0023487F">
              <w:t>3</w:t>
            </w:r>
          </w:p>
        </w:tc>
        <w:tc>
          <w:tcPr>
            <w:tcW w:w="1130" w:type="dxa"/>
            <w:tcBorders>
              <w:bottom w:val="single" w:sz="12" w:space="0" w:color="auto"/>
            </w:tcBorders>
          </w:tcPr>
          <w:p w:rsidR="0023487F" w:rsidRPr="0023487F" w:rsidRDefault="0023487F" w:rsidP="009D209D">
            <w:pPr>
              <w:pStyle w:val="GesAbsatz"/>
              <w:tabs>
                <w:tab w:val="clear" w:pos="425"/>
              </w:tabs>
            </w:pPr>
            <w:r w:rsidRPr="0023487F">
              <w:t>hoch</w:t>
            </w:r>
          </w:p>
        </w:tc>
        <w:tc>
          <w:tcPr>
            <w:tcW w:w="780" w:type="dxa"/>
            <w:tcBorders>
              <w:bottom w:val="single" w:sz="12" w:space="0" w:color="auto"/>
            </w:tcBorders>
          </w:tcPr>
          <w:p w:rsidR="0023487F" w:rsidRPr="0023487F" w:rsidRDefault="0023487F" w:rsidP="009D209D">
            <w:pPr>
              <w:pStyle w:val="GesAbsatz"/>
              <w:tabs>
                <w:tab w:val="clear" w:pos="425"/>
              </w:tabs>
            </w:pPr>
            <w:r w:rsidRPr="0023487F">
              <w:t>3</w:t>
            </w:r>
          </w:p>
        </w:tc>
        <w:tc>
          <w:tcPr>
            <w:tcW w:w="1851" w:type="dxa"/>
            <w:tcBorders>
              <w:bottom w:val="single" w:sz="12" w:space="0" w:color="auto"/>
            </w:tcBorders>
            <w:shd w:val="clear" w:color="auto" w:fill="A6A6A6" w:themeFill="background1" w:themeFillShade="A6"/>
          </w:tcPr>
          <w:p w:rsidR="0023487F" w:rsidRPr="00F649D3" w:rsidRDefault="0023487F" w:rsidP="009D209D">
            <w:pPr>
              <w:pStyle w:val="GesAbsatz"/>
              <w:tabs>
                <w:tab w:val="clear" w:pos="425"/>
              </w:tabs>
              <w:rPr>
                <w:b/>
              </w:rPr>
            </w:pPr>
            <w:r w:rsidRPr="00F649D3">
              <w:rPr>
                <w:b/>
              </w:rPr>
              <w:t>hoch</w:t>
            </w:r>
          </w:p>
        </w:tc>
        <w:tc>
          <w:tcPr>
            <w:tcW w:w="780" w:type="dxa"/>
            <w:tcBorders>
              <w:bottom w:val="single" w:sz="12" w:space="0" w:color="auto"/>
            </w:tcBorders>
            <w:shd w:val="clear" w:color="auto" w:fill="D9D9D9" w:themeFill="background1" w:themeFillShade="D9"/>
          </w:tcPr>
          <w:p w:rsidR="0023487F" w:rsidRPr="00F649D3" w:rsidRDefault="0023487F" w:rsidP="009D209D">
            <w:pPr>
              <w:pStyle w:val="GesAbsatz"/>
              <w:tabs>
                <w:tab w:val="clear" w:pos="425"/>
              </w:tabs>
              <w:rPr>
                <w:b/>
              </w:rPr>
            </w:pPr>
            <w:r w:rsidRPr="00F649D3">
              <w:rPr>
                <w:b/>
              </w:rPr>
              <w:t>10</w:t>
            </w:r>
          </w:p>
        </w:tc>
        <w:tc>
          <w:tcPr>
            <w:tcW w:w="1562" w:type="dxa"/>
            <w:tcBorders>
              <w:bottom w:val="single" w:sz="12" w:space="0" w:color="auto"/>
            </w:tcBorders>
            <w:shd w:val="clear" w:color="auto" w:fill="D9D9D9" w:themeFill="background1" w:themeFillShade="D9"/>
          </w:tcPr>
          <w:p w:rsidR="0023487F" w:rsidRPr="00F649D3" w:rsidRDefault="0023487F" w:rsidP="009D209D">
            <w:pPr>
              <w:pStyle w:val="GesAbsatz"/>
              <w:tabs>
                <w:tab w:val="clear" w:pos="425"/>
              </w:tabs>
              <w:rPr>
                <w:b/>
              </w:rPr>
            </w:pPr>
            <w:r w:rsidRPr="00F649D3">
              <w:rPr>
                <w:b/>
              </w:rPr>
              <w:t>besondere</w:t>
            </w:r>
          </w:p>
        </w:tc>
      </w:tr>
      <w:tr w:rsidR="0023487F" w:rsidRPr="0023487F" w:rsidTr="000109A8">
        <w:tc>
          <w:tcPr>
            <w:tcW w:w="1072" w:type="dxa"/>
            <w:tcBorders>
              <w:top w:val="single" w:sz="12" w:space="0" w:color="auto"/>
            </w:tcBorders>
          </w:tcPr>
          <w:p w:rsidR="0023487F" w:rsidRPr="0023487F" w:rsidRDefault="0023487F" w:rsidP="009D209D">
            <w:pPr>
              <w:pStyle w:val="GesAbsatz"/>
              <w:tabs>
                <w:tab w:val="clear" w:pos="425"/>
              </w:tabs>
            </w:pPr>
            <w:r w:rsidRPr="0023487F">
              <w:t>2 x hoch</w:t>
            </w:r>
          </w:p>
        </w:tc>
        <w:tc>
          <w:tcPr>
            <w:tcW w:w="790" w:type="dxa"/>
            <w:tcBorders>
              <w:top w:val="single" w:sz="12" w:space="0" w:color="auto"/>
            </w:tcBorders>
          </w:tcPr>
          <w:p w:rsidR="0023487F" w:rsidRPr="0023487F" w:rsidRDefault="0023487F" w:rsidP="009D209D">
            <w:pPr>
              <w:pStyle w:val="GesAbsatz"/>
              <w:tabs>
                <w:tab w:val="clear" w:pos="425"/>
              </w:tabs>
            </w:pPr>
            <w:r w:rsidRPr="0023487F">
              <w:t>3+3</w:t>
            </w:r>
          </w:p>
        </w:tc>
        <w:tc>
          <w:tcPr>
            <w:tcW w:w="1109" w:type="dxa"/>
            <w:tcBorders>
              <w:top w:val="single" w:sz="12" w:space="0" w:color="auto"/>
            </w:tcBorders>
          </w:tcPr>
          <w:p w:rsidR="0023487F" w:rsidRPr="0023487F" w:rsidRDefault="0023487F" w:rsidP="009D209D">
            <w:pPr>
              <w:pStyle w:val="GesAbsatz"/>
              <w:tabs>
                <w:tab w:val="clear" w:pos="425"/>
              </w:tabs>
            </w:pPr>
            <w:r w:rsidRPr="0023487F">
              <w:t>gering</w:t>
            </w:r>
          </w:p>
        </w:tc>
        <w:tc>
          <w:tcPr>
            <w:tcW w:w="780" w:type="dxa"/>
            <w:tcBorders>
              <w:top w:val="single" w:sz="12" w:space="0" w:color="auto"/>
            </w:tcBorders>
          </w:tcPr>
          <w:p w:rsidR="0023487F" w:rsidRPr="0023487F" w:rsidRDefault="0023487F" w:rsidP="009D209D">
            <w:pPr>
              <w:pStyle w:val="GesAbsatz"/>
              <w:tabs>
                <w:tab w:val="clear" w:pos="425"/>
              </w:tabs>
            </w:pPr>
            <w:r w:rsidRPr="0023487F">
              <w:t>1</w:t>
            </w:r>
          </w:p>
        </w:tc>
        <w:tc>
          <w:tcPr>
            <w:tcW w:w="1130" w:type="dxa"/>
            <w:tcBorders>
              <w:top w:val="single" w:sz="12" w:space="0" w:color="auto"/>
            </w:tcBorders>
          </w:tcPr>
          <w:p w:rsidR="0023487F" w:rsidRPr="0023487F" w:rsidRDefault="0023487F" w:rsidP="009D209D">
            <w:pPr>
              <w:pStyle w:val="GesAbsatz"/>
              <w:tabs>
                <w:tab w:val="clear" w:pos="425"/>
              </w:tabs>
            </w:pPr>
            <w:r w:rsidRPr="0023487F">
              <w:t>gering</w:t>
            </w:r>
          </w:p>
        </w:tc>
        <w:tc>
          <w:tcPr>
            <w:tcW w:w="780" w:type="dxa"/>
            <w:tcBorders>
              <w:top w:val="single" w:sz="12" w:space="0" w:color="auto"/>
            </w:tcBorders>
          </w:tcPr>
          <w:p w:rsidR="0023487F" w:rsidRPr="0023487F" w:rsidRDefault="0023487F" w:rsidP="009D209D">
            <w:pPr>
              <w:pStyle w:val="GesAbsatz"/>
              <w:tabs>
                <w:tab w:val="clear" w:pos="425"/>
              </w:tabs>
            </w:pPr>
            <w:r w:rsidRPr="0023487F">
              <w:t>1</w:t>
            </w:r>
          </w:p>
        </w:tc>
        <w:tc>
          <w:tcPr>
            <w:tcW w:w="1851" w:type="dxa"/>
            <w:tcBorders>
              <w:top w:val="single" w:sz="12" w:space="0" w:color="auto"/>
            </w:tcBorders>
            <w:shd w:val="clear" w:color="auto" w:fill="A6A6A6" w:themeFill="background1" w:themeFillShade="A6"/>
          </w:tcPr>
          <w:p w:rsidR="0023487F" w:rsidRPr="00F649D3" w:rsidRDefault="0023487F" w:rsidP="009D209D">
            <w:pPr>
              <w:pStyle w:val="GesAbsatz"/>
              <w:tabs>
                <w:tab w:val="clear" w:pos="425"/>
              </w:tabs>
              <w:rPr>
                <w:b/>
              </w:rPr>
            </w:pPr>
            <w:r w:rsidRPr="00F649D3">
              <w:rPr>
                <w:b/>
              </w:rPr>
              <w:t>mittel</w:t>
            </w:r>
          </w:p>
        </w:tc>
        <w:tc>
          <w:tcPr>
            <w:tcW w:w="780" w:type="dxa"/>
            <w:tcBorders>
              <w:top w:val="single" w:sz="12" w:space="0" w:color="auto"/>
            </w:tcBorders>
            <w:shd w:val="clear" w:color="auto" w:fill="D9D9D9" w:themeFill="background1" w:themeFillShade="D9"/>
          </w:tcPr>
          <w:p w:rsidR="0023487F" w:rsidRPr="00F649D3" w:rsidRDefault="0023487F" w:rsidP="009D209D">
            <w:pPr>
              <w:pStyle w:val="GesAbsatz"/>
              <w:tabs>
                <w:tab w:val="clear" w:pos="425"/>
              </w:tabs>
              <w:rPr>
                <w:b/>
              </w:rPr>
            </w:pPr>
            <w:r w:rsidRPr="00F649D3">
              <w:rPr>
                <w:b/>
              </w:rPr>
              <w:t>8</w:t>
            </w:r>
          </w:p>
        </w:tc>
        <w:tc>
          <w:tcPr>
            <w:tcW w:w="1562" w:type="dxa"/>
            <w:tcBorders>
              <w:top w:val="single" w:sz="12" w:space="0" w:color="auto"/>
            </w:tcBorders>
            <w:shd w:val="clear" w:color="auto" w:fill="D9D9D9" w:themeFill="background1" w:themeFillShade="D9"/>
          </w:tcPr>
          <w:p w:rsidR="0023487F" w:rsidRPr="00F649D3" w:rsidRDefault="0023487F" w:rsidP="009D209D">
            <w:pPr>
              <w:pStyle w:val="GesAbsatz"/>
              <w:tabs>
                <w:tab w:val="clear" w:pos="425"/>
              </w:tabs>
              <w:rPr>
                <w:b/>
              </w:rPr>
            </w:pPr>
            <w:r w:rsidRPr="00F649D3">
              <w:rPr>
                <w:b/>
              </w:rPr>
              <w:t>-</w:t>
            </w:r>
          </w:p>
        </w:tc>
      </w:tr>
      <w:tr w:rsidR="0023487F" w:rsidRPr="0023487F" w:rsidTr="00F649D3">
        <w:tc>
          <w:tcPr>
            <w:tcW w:w="1072" w:type="dxa"/>
          </w:tcPr>
          <w:p w:rsidR="0023487F" w:rsidRPr="0023487F" w:rsidRDefault="0023487F" w:rsidP="009D209D">
            <w:pPr>
              <w:pStyle w:val="GesAbsatz"/>
              <w:tabs>
                <w:tab w:val="clear" w:pos="425"/>
              </w:tabs>
            </w:pPr>
            <w:r w:rsidRPr="0023487F">
              <w:t>2 x hoch</w:t>
            </w:r>
          </w:p>
        </w:tc>
        <w:tc>
          <w:tcPr>
            <w:tcW w:w="790" w:type="dxa"/>
          </w:tcPr>
          <w:p w:rsidR="0023487F" w:rsidRPr="0023487F" w:rsidRDefault="0023487F" w:rsidP="009D209D">
            <w:pPr>
              <w:pStyle w:val="GesAbsatz"/>
              <w:tabs>
                <w:tab w:val="clear" w:pos="425"/>
              </w:tabs>
            </w:pPr>
            <w:r w:rsidRPr="0023487F">
              <w:t>3+3</w:t>
            </w:r>
          </w:p>
        </w:tc>
        <w:tc>
          <w:tcPr>
            <w:tcW w:w="1109"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130"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hoch</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9</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besondere</w:t>
            </w:r>
          </w:p>
        </w:tc>
      </w:tr>
      <w:tr w:rsidR="0023487F" w:rsidRPr="0023487F" w:rsidTr="00F649D3">
        <w:tc>
          <w:tcPr>
            <w:tcW w:w="1072" w:type="dxa"/>
          </w:tcPr>
          <w:p w:rsidR="0023487F" w:rsidRPr="0023487F" w:rsidRDefault="0023487F" w:rsidP="009D209D">
            <w:pPr>
              <w:pStyle w:val="GesAbsatz"/>
              <w:tabs>
                <w:tab w:val="clear" w:pos="425"/>
              </w:tabs>
            </w:pPr>
            <w:r w:rsidRPr="0023487F">
              <w:t>2 x hoch</w:t>
            </w:r>
          </w:p>
        </w:tc>
        <w:tc>
          <w:tcPr>
            <w:tcW w:w="790" w:type="dxa"/>
          </w:tcPr>
          <w:p w:rsidR="0023487F" w:rsidRPr="0023487F" w:rsidRDefault="0023487F" w:rsidP="009D209D">
            <w:pPr>
              <w:pStyle w:val="GesAbsatz"/>
              <w:tabs>
                <w:tab w:val="clear" w:pos="425"/>
              </w:tabs>
            </w:pPr>
            <w:r w:rsidRPr="0023487F">
              <w:t>3+3</w:t>
            </w:r>
          </w:p>
        </w:tc>
        <w:tc>
          <w:tcPr>
            <w:tcW w:w="1109"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130"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hoch</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10</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besondere</w:t>
            </w:r>
          </w:p>
        </w:tc>
      </w:tr>
      <w:tr w:rsidR="0023487F" w:rsidRPr="0023487F" w:rsidTr="00F649D3">
        <w:tc>
          <w:tcPr>
            <w:tcW w:w="1072" w:type="dxa"/>
          </w:tcPr>
          <w:p w:rsidR="0023487F" w:rsidRPr="0023487F" w:rsidRDefault="0023487F" w:rsidP="009D209D">
            <w:pPr>
              <w:pStyle w:val="GesAbsatz"/>
              <w:tabs>
                <w:tab w:val="clear" w:pos="425"/>
              </w:tabs>
            </w:pPr>
            <w:r w:rsidRPr="0023487F">
              <w:t>2 x hoch</w:t>
            </w:r>
          </w:p>
        </w:tc>
        <w:tc>
          <w:tcPr>
            <w:tcW w:w="790" w:type="dxa"/>
          </w:tcPr>
          <w:p w:rsidR="0023487F" w:rsidRPr="0023487F" w:rsidRDefault="0023487F" w:rsidP="009D209D">
            <w:pPr>
              <w:pStyle w:val="GesAbsatz"/>
              <w:tabs>
                <w:tab w:val="clear" w:pos="425"/>
              </w:tabs>
            </w:pPr>
            <w:r w:rsidRPr="0023487F">
              <w:t>3+3</w:t>
            </w:r>
          </w:p>
        </w:tc>
        <w:tc>
          <w:tcPr>
            <w:tcW w:w="1109"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130"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hoch</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9</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besondere</w:t>
            </w:r>
          </w:p>
        </w:tc>
      </w:tr>
      <w:tr w:rsidR="0023487F" w:rsidRPr="0023487F" w:rsidTr="00F649D3">
        <w:tc>
          <w:tcPr>
            <w:tcW w:w="1072" w:type="dxa"/>
          </w:tcPr>
          <w:p w:rsidR="0023487F" w:rsidRPr="0023487F" w:rsidRDefault="0023487F" w:rsidP="009D209D">
            <w:pPr>
              <w:pStyle w:val="GesAbsatz"/>
              <w:tabs>
                <w:tab w:val="clear" w:pos="425"/>
              </w:tabs>
            </w:pPr>
            <w:r w:rsidRPr="0023487F">
              <w:t>2 x hoch</w:t>
            </w:r>
          </w:p>
        </w:tc>
        <w:tc>
          <w:tcPr>
            <w:tcW w:w="790" w:type="dxa"/>
          </w:tcPr>
          <w:p w:rsidR="0023487F" w:rsidRPr="0023487F" w:rsidRDefault="0023487F" w:rsidP="009D209D">
            <w:pPr>
              <w:pStyle w:val="GesAbsatz"/>
              <w:tabs>
                <w:tab w:val="clear" w:pos="425"/>
              </w:tabs>
            </w:pPr>
            <w:r w:rsidRPr="0023487F">
              <w:t>3+3</w:t>
            </w:r>
          </w:p>
        </w:tc>
        <w:tc>
          <w:tcPr>
            <w:tcW w:w="1109"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130"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hoch</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10</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besondere</w:t>
            </w:r>
          </w:p>
        </w:tc>
      </w:tr>
      <w:tr w:rsidR="0023487F" w:rsidRPr="0023487F" w:rsidTr="00F649D3">
        <w:tc>
          <w:tcPr>
            <w:tcW w:w="1072" w:type="dxa"/>
          </w:tcPr>
          <w:p w:rsidR="0023487F" w:rsidRPr="0023487F" w:rsidRDefault="0023487F" w:rsidP="009D209D">
            <w:pPr>
              <w:pStyle w:val="GesAbsatz"/>
              <w:tabs>
                <w:tab w:val="clear" w:pos="425"/>
              </w:tabs>
            </w:pPr>
            <w:r w:rsidRPr="0023487F">
              <w:t>2 x hoch</w:t>
            </w:r>
          </w:p>
        </w:tc>
        <w:tc>
          <w:tcPr>
            <w:tcW w:w="790" w:type="dxa"/>
          </w:tcPr>
          <w:p w:rsidR="0023487F" w:rsidRPr="0023487F" w:rsidRDefault="0023487F" w:rsidP="009D209D">
            <w:pPr>
              <w:pStyle w:val="GesAbsatz"/>
              <w:tabs>
                <w:tab w:val="clear" w:pos="425"/>
              </w:tabs>
            </w:pPr>
            <w:r w:rsidRPr="0023487F">
              <w:t>3+3</w:t>
            </w:r>
          </w:p>
        </w:tc>
        <w:tc>
          <w:tcPr>
            <w:tcW w:w="1109"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130"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sehr hoch</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11</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herausragende</w:t>
            </w:r>
          </w:p>
        </w:tc>
      </w:tr>
      <w:tr w:rsidR="0023487F" w:rsidRPr="0023487F" w:rsidTr="00F649D3">
        <w:tc>
          <w:tcPr>
            <w:tcW w:w="1072" w:type="dxa"/>
          </w:tcPr>
          <w:p w:rsidR="0023487F" w:rsidRPr="0023487F" w:rsidRDefault="0023487F" w:rsidP="009D209D">
            <w:pPr>
              <w:pStyle w:val="GesAbsatz"/>
              <w:tabs>
                <w:tab w:val="clear" w:pos="425"/>
              </w:tabs>
            </w:pPr>
            <w:r w:rsidRPr="0023487F">
              <w:t>2 x hoch</w:t>
            </w:r>
          </w:p>
        </w:tc>
        <w:tc>
          <w:tcPr>
            <w:tcW w:w="790" w:type="dxa"/>
          </w:tcPr>
          <w:p w:rsidR="0023487F" w:rsidRPr="0023487F" w:rsidRDefault="0023487F" w:rsidP="009D209D">
            <w:pPr>
              <w:pStyle w:val="GesAbsatz"/>
              <w:tabs>
                <w:tab w:val="clear" w:pos="425"/>
              </w:tabs>
            </w:pPr>
            <w:r w:rsidRPr="0023487F">
              <w:t>3+3</w:t>
            </w:r>
          </w:p>
        </w:tc>
        <w:tc>
          <w:tcPr>
            <w:tcW w:w="1109"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130" w:type="dxa"/>
          </w:tcPr>
          <w:p w:rsidR="0023487F" w:rsidRPr="0023487F" w:rsidRDefault="0023487F" w:rsidP="009D209D">
            <w:pPr>
              <w:pStyle w:val="GesAbsatz"/>
              <w:tabs>
                <w:tab w:val="clear" w:pos="425"/>
              </w:tabs>
            </w:pPr>
            <w:r w:rsidRPr="0023487F">
              <w:t>gering</w:t>
            </w:r>
          </w:p>
        </w:tc>
        <w:tc>
          <w:tcPr>
            <w:tcW w:w="780" w:type="dxa"/>
          </w:tcPr>
          <w:p w:rsidR="0023487F" w:rsidRPr="0023487F" w:rsidRDefault="0023487F" w:rsidP="009D209D">
            <w:pPr>
              <w:pStyle w:val="GesAbsatz"/>
              <w:tabs>
                <w:tab w:val="clear" w:pos="425"/>
              </w:tabs>
            </w:pPr>
            <w:r w:rsidRPr="0023487F">
              <w:t>1</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hoch</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10</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besondere</w:t>
            </w:r>
          </w:p>
        </w:tc>
      </w:tr>
      <w:tr w:rsidR="0023487F" w:rsidRPr="0023487F" w:rsidTr="00F649D3">
        <w:tc>
          <w:tcPr>
            <w:tcW w:w="1072" w:type="dxa"/>
          </w:tcPr>
          <w:p w:rsidR="0023487F" w:rsidRPr="0023487F" w:rsidRDefault="0023487F" w:rsidP="009D209D">
            <w:pPr>
              <w:pStyle w:val="GesAbsatz"/>
              <w:tabs>
                <w:tab w:val="clear" w:pos="425"/>
              </w:tabs>
            </w:pPr>
            <w:r w:rsidRPr="0023487F">
              <w:t>2 x hoch</w:t>
            </w:r>
          </w:p>
        </w:tc>
        <w:tc>
          <w:tcPr>
            <w:tcW w:w="790" w:type="dxa"/>
          </w:tcPr>
          <w:p w:rsidR="0023487F" w:rsidRPr="0023487F" w:rsidRDefault="0023487F" w:rsidP="009D209D">
            <w:pPr>
              <w:pStyle w:val="GesAbsatz"/>
              <w:tabs>
                <w:tab w:val="clear" w:pos="425"/>
              </w:tabs>
            </w:pPr>
            <w:r w:rsidRPr="0023487F">
              <w:t>3+3</w:t>
            </w:r>
          </w:p>
        </w:tc>
        <w:tc>
          <w:tcPr>
            <w:tcW w:w="1109"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130" w:type="dxa"/>
          </w:tcPr>
          <w:p w:rsidR="0023487F" w:rsidRPr="0023487F" w:rsidRDefault="0023487F" w:rsidP="009D209D">
            <w:pPr>
              <w:pStyle w:val="GesAbsatz"/>
              <w:tabs>
                <w:tab w:val="clear" w:pos="425"/>
              </w:tabs>
            </w:pPr>
            <w:r w:rsidRPr="0023487F">
              <w:t>mittel</w:t>
            </w:r>
          </w:p>
        </w:tc>
        <w:tc>
          <w:tcPr>
            <w:tcW w:w="780" w:type="dxa"/>
          </w:tcPr>
          <w:p w:rsidR="0023487F" w:rsidRPr="0023487F" w:rsidRDefault="0023487F" w:rsidP="009D209D">
            <w:pPr>
              <w:pStyle w:val="GesAbsatz"/>
              <w:tabs>
                <w:tab w:val="clear" w:pos="425"/>
              </w:tabs>
            </w:pPr>
            <w:r w:rsidRPr="0023487F">
              <w:t>2</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sehr hoch</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11</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herausragende</w:t>
            </w:r>
          </w:p>
        </w:tc>
      </w:tr>
      <w:tr w:rsidR="0023487F" w:rsidRPr="0023487F" w:rsidTr="00F649D3">
        <w:tc>
          <w:tcPr>
            <w:tcW w:w="1072" w:type="dxa"/>
          </w:tcPr>
          <w:p w:rsidR="0023487F" w:rsidRPr="0023487F" w:rsidRDefault="0023487F" w:rsidP="009D209D">
            <w:pPr>
              <w:pStyle w:val="GesAbsatz"/>
              <w:tabs>
                <w:tab w:val="clear" w:pos="425"/>
              </w:tabs>
            </w:pPr>
            <w:r w:rsidRPr="0023487F">
              <w:t>2 x hoch</w:t>
            </w:r>
          </w:p>
        </w:tc>
        <w:tc>
          <w:tcPr>
            <w:tcW w:w="790" w:type="dxa"/>
          </w:tcPr>
          <w:p w:rsidR="0023487F" w:rsidRPr="0023487F" w:rsidRDefault="0023487F" w:rsidP="009D209D">
            <w:pPr>
              <w:pStyle w:val="GesAbsatz"/>
              <w:tabs>
                <w:tab w:val="clear" w:pos="425"/>
              </w:tabs>
            </w:pPr>
            <w:r w:rsidRPr="0023487F">
              <w:t>3+3</w:t>
            </w:r>
          </w:p>
        </w:tc>
        <w:tc>
          <w:tcPr>
            <w:tcW w:w="1109"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130" w:type="dxa"/>
          </w:tcPr>
          <w:p w:rsidR="0023487F" w:rsidRPr="0023487F" w:rsidRDefault="0023487F" w:rsidP="009D209D">
            <w:pPr>
              <w:pStyle w:val="GesAbsatz"/>
              <w:tabs>
                <w:tab w:val="clear" w:pos="425"/>
              </w:tabs>
            </w:pPr>
            <w:r w:rsidRPr="0023487F">
              <w:t>hoch</w:t>
            </w:r>
          </w:p>
        </w:tc>
        <w:tc>
          <w:tcPr>
            <w:tcW w:w="780" w:type="dxa"/>
          </w:tcPr>
          <w:p w:rsidR="0023487F" w:rsidRPr="0023487F" w:rsidRDefault="0023487F" w:rsidP="009D209D">
            <w:pPr>
              <w:pStyle w:val="GesAbsatz"/>
              <w:tabs>
                <w:tab w:val="clear" w:pos="425"/>
              </w:tabs>
            </w:pPr>
            <w:r w:rsidRPr="0023487F">
              <w:t>3</w:t>
            </w:r>
          </w:p>
        </w:tc>
        <w:tc>
          <w:tcPr>
            <w:tcW w:w="1851" w:type="dxa"/>
            <w:shd w:val="clear" w:color="auto" w:fill="A6A6A6" w:themeFill="background1" w:themeFillShade="A6"/>
          </w:tcPr>
          <w:p w:rsidR="0023487F" w:rsidRPr="00F649D3" w:rsidRDefault="0023487F" w:rsidP="009D209D">
            <w:pPr>
              <w:pStyle w:val="GesAbsatz"/>
              <w:tabs>
                <w:tab w:val="clear" w:pos="425"/>
              </w:tabs>
              <w:rPr>
                <w:b/>
              </w:rPr>
            </w:pPr>
            <w:r w:rsidRPr="00F649D3">
              <w:rPr>
                <w:b/>
              </w:rPr>
              <w:t>sehr hoch</w:t>
            </w:r>
          </w:p>
        </w:tc>
        <w:tc>
          <w:tcPr>
            <w:tcW w:w="780"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12</w:t>
            </w:r>
          </w:p>
        </w:tc>
        <w:tc>
          <w:tcPr>
            <w:tcW w:w="1562" w:type="dxa"/>
            <w:shd w:val="clear" w:color="auto" w:fill="D9D9D9" w:themeFill="background1" w:themeFillShade="D9"/>
          </w:tcPr>
          <w:p w:rsidR="0023487F" w:rsidRPr="00F649D3" w:rsidRDefault="0023487F" w:rsidP="009D209D">
            <w:pPr>
              <w:pStyle w:val="GesAbsatz"/>
              <w:tabs>
                <w:tab w:val="clear" w:pos="425"/>
              </w:tabs>
              <w:rPr>
                <w:b/>
              </w:rPr>
            </w:pPr>
            <w:r w:rsidRPr="00F649D3">
              <w:rPr>
                <w:b/>
              </w:rPr>
              <w:t>herausragende</w:t>
            </w:r>
          </w:p>
        </w:tc>
      </w:tr>
    </w:tbl>
    <w:p w:rsidR="0023487F" w:rsidRDefault="0023487F" w:rsidP="00A47F10">
      <w:pPr>
        <w:pStyle w:val="GesAbsatz"/>
      </w:pPr>
    </w:p>
    <w:p w:rsidR="00A47F10" w:rsidRDefault="0023487F" w:rsidP="00A47F10">
      <w:pPr>
        <w:pStyle w:val="GesAbsatz"/>
      </w:pPr>
      <w:r>
        <w:lastRenderedPageBreak/>
        <w:sym w:font="Symbol" w:char="F0AE"/>
      </w:r>
      <w:r w:rsidR="00A47F10">
        <w:t xml:space="preserve"> Die Wertstufe der Gesamtbewertung ist für die Ermittlung des Preises pro Meter</w:t>
      </w:r>
      <w:r>
        <w:t xml:space="preserve"> </w:t>
      </w:r>
      <w:r w:rsidR="00A47F10">
        <w:t>Anlagenhöhe (dunke</w:t>
      </w:r>
      <w:r w:rsidR="00A47F10">
        <w:t>l</w:t>
      </w:r>
      <w:r w:rsidR="00A47F10">
        <w:t>grau hinterlegte Spalte in Tab. 4) relevant.</w:t>
      </w:r>
    </w:p>
    <w:p w:rsidR="00B62D98" w:rsidRPr="0023487F" w:rsidRDefault="00B62D98" w:rsidP="00B62D98">
      <w:pPr>
        <w:pStyle w:val="GesAbsatz"/>
        <w:rPr>
          <w:b/>
        </w:rPr>
      </w:pPr>
      <w:r w:rsidRPr="0023487F">
        <w:rPr>
          <w:b/>
        </w:rPr>
        <w:t>Literatur</w:t>
      </w:r>
    </w:p>
    <w:p w:rsidR="00B62D98" w:rsidRDefault="00B62D98" w:rsidP="00B62D98">
      <w:pPr>
        <w:pStyle w:val="GesAbsatz"/>
      </w:pPr>
      <w:r>
        <w:t>Adam, Nohl &amp; Valentin (1986): Bewertungsgrundlagen bei Kompensationsmaßnahmen bei</w:t>
      </w:r>
      <w:r w:rsidR="0023487F">
        <w:t xml:space="preserve"> </w:t>
      </w:r>
      <w:r>
        <w:t>Eingriffen in die Landschaft. MURL.</w:t>
      </w:r>
    </w:p>
    <w:p w:rsidR="00B62D98" w:rsidRDefault="00B62D98" w:rsidP="00B62D98">
      <w:pPr>
        <w:pStyle w:val="GesAbsatz"/>
      </w:pPr>
      <w:r>
        <w:t>Nohl (2001): Ästhetische und rekreative Belange in der Landschaftsplanung, Teile 1 und 2.</w:t>
      </w:r>
    </w:p>
    <w:p w:rsidR="00E754B7" w:rsidRDefault="00B62D98" w:rsidP="00B62D98">
      <w:pPr>
        <w:pStyle w:val="GesAbsatz"/>
      </w:pPr>
      <w:r>
        <w:t>Teil 2 unveröffentlicht. erarbeitet im Auftrag des MUNLV NRW.</w:t>
      </w:r>
    </w:p>
    <w:p w:rsidR="000109A8" w:rsidRDefault="000109A8">
      <w:pPr>
        <w:tabs>
          <w:tab w:val="clear" w:pos="425"/>
        </w:tabs>
        <w:overflowPunct/>
        <w:autoSpaceDE/>
        <w:autoSpaceDN/>
        <w:adjustRightInd/>
        <w:spacing w:before="0" w:after="0"/>
        <w:jc w:val="left"/>
        <w:textAlignment w:val="auto"/>
        <w:rPr>
          <w:color w:val="000000"/>
        </w:rPr>
      </w:pPr>
      <w:r>
        <w:br w:type="page"/>
      </w:r>
    </w:p>
    <w:p w:rsidR="00300A9A" w:rsidRDefault="0023487F" w:rsidP="0023487F">
      <w:pPr>
        <w:pStyle w:val="berschrift2"/>
        <w:jc w:val="left"/>
      </w:pPr>
      <w:bookmarkStart w:id="38" w:name="_Toc451849540"/>
      <w:r>
        <w:lastRenderedPageBreak/>
        <w:t>Anlage 2</w:t>
      </w:r>
      <w:bookmarkEnd w:id="38"/>
    </w:p>
    <w:p w:rsidR="00300A9A" w:rsidRPr="00434F96" w:rsidRDefault="00300A9A" w:rsidP="00434F96">
      <w:pPr>
        <w:pStyle w:val="GesAbsatz"/>
        <w:jc w:val="center"/>
        <w:rPr>
          <w:b/>
        </w:rPr>
      </w:pPr>
      <w:r w:rsidRPr="00434F96">
        <w:rPr>
          <w:b/>
        </w:rPr>
        <w:t>Fiktives Beispiel zum</w:t>
      </w:r>
      <w:r w:rsidR="00434F96">
        <w:rPr>
          <w:b/>
        </w:rPr>
        <w:t xml:space="preserve"> </w:t>
      </w:r>
      <w:r w:rsidRPr="00434F96">
        <w:rPr>
          <w:b/>
        </w:rPr>
        <w:t>Verfahren der Landschaftsbildbewertung</w:t>
      </w:r>
      <w:r w:rsidR="00434F96">
        <w:rPr>
          <w:b/>
        </w:rPr>
        <w:br/>
      </w:r>
      <w:r w:rsidRPr="00434F96">
        <w:rPr>
          <w:b/>
        </w:rPr>
        <w:t>im Zuge der Ersatzgeldermittlung</w:t>
      </w:r>
      <w:r w:rsidR="00434F96">
        <w:rPr>
          <w:b/>
        </w:rPr>
        <w:t xml:space="preserve"> </w:t>
      </w:r>
      <w:r w:rsidRPr="00434F96">
        <w:rPr>
          <w:b/>
        </w:rPr>
        <w:t>für Eingriffe in das Landschaftsbild</w:t>
      </w:r>
      <w:r w:rsidR="00434F96">
        <w:rPr>
          <w:b/>
        </w:rPr>
        <w:br/>
      </w:r>
      <w:r w:rsidRPr="00434F96">
        <w:rPr>
          <w:b/>
        </w:rPr>
        <w:t>durch den Bau von Windenergieanlagen</w:t>
      </w:r>
    </w:p>
    <w:tbl>
      <w:tblPr>
        <w:tblStyle w:val="Tabellenraster"/>
        <w:tblW w:w="0" w:type="auto"/>
        <w:tblLook w:val="04A0" w:firstRow="1" w:lastRow="0" w:firstColumn="1" w:lastColumn="0" w:noHBand="0" w:noVBand="1"/>
      </w:tblPr>
      <w:tblGrid>
        <w:gridCol w:w="9778"/>
      </w:tblGrid>
      <w:tr w:rsidR="00434F96" w:rsidRPr="00434F96" w:rsidTr="00434F96">
        <w:tc>
          <w:tcPr>
            <w:tcW w:w="9778" w:type="dxa"/>
          </w:tcPr>
          <w:p w:rsidR="00434F96" w:rsidRPr="00434F96" w:rsidRDefault="00434F96" w:rsidP="009D209D">
            <w:pPr>
              <w:pStyle w:val="GesAbsatz"/>
            </w:pPr>
            <w:r w:rsidRPr="00434F96">
              <w:rPr>
                <w:b/>
              </w:rPr>
              <w:t>Hinweis:</w:t>
            </w:r>
            <w:r w:rsidRPr="00434F96">
              <w:t xml:space="preserve"> Dieses Verfahren ist Grundlage, sofern für den Bereich mit einem Radius der 15-fachen Anlage</w:t>
            </w:r>
            <w:r w:rsidRPr="00434F96">
              <w:t>n</w:t>
            </w:r>
            <w:r w:rsidRPr="00434F96">
              <w:t>höhe um den geplanten Standort einer Windenergieanlage noch keine Landschaftsbildbewertung im Ra</w:t>
            </w:r>
            <w:r w:rsidRPr="00434F96">
              <w:t>h</w:t>
            </w:r>
            <w:r w:rsidRPr="00434F96">
              <w:t>men des Fachbeitrages des Naturschutzes und der Landschaftspflege vorhanden ist. Liegt eine Lan</w:t>
            </w:r>
            <w:r w:rsidRPr="00434F96">
              <w:t>d</w:t>
            </w:r>
            <w:r w:rsidRPr="00434F96">
              <w:t>schaftsbildbewertung aus dem Fachbeitrag vor, sind die vorliegenden Abgrenzungen der Landschaftsbil</w:t>
            </w:r>
            <w:r w:rsidRPr="00434F96">
              <w:t>d</w:t>
            </w:r>
            <w:r w:rsidRPr="00434F96">
              <w:t>einheiten und die Wertstufen zu übernehmen. Die Daten können in Form einer Shape-Datei vom LANUV bereitgestellt werden.</w:t>
            </w:r>
          </w:p>
        </w:tc>
      </w:tr>
    </w:tbl>
    <w:p w:rsidR="00300A9A" w:rsidRPr="00434F96" w:rsidRDefault="00300A9A" w:rsidP="00300A9A">
      <w:pPr>
        <w:pStyle w:val="GesAbsatz"/>
        <w:rPr>
          <w:b/>
        </w:rPr>
      </w:pPr>
      <w:r w:rsidRPr="00434F96">
        <w:rPr>
          <w:b/>
        </w:rPr>
        <w:t>Annahme</w:t>
      </w:r>
    </w:p>
    <w:p w:rsidR="00300A9A" w:rsidRDefault="00300A9A" w:rsidP="00300A9A">
      <w:pPr>
        <w:pStyle w:val="GesAbsatz"/>
      </w:pPr>
      <w:r>
        <w:t>Im Kreis Höxter soll eine Windenergieanlage von 200 Metern Höhe errichtet werden (Einzelanlage).</w:t>
      </w:r>
      <w:r w:rsidR="00434F96">
        <w:t xml:space="preserve"> </w:t>
      </w:r>
      <w:r>
        <w:t>Eine Landschaftsbildbewertung aus dem Fachbeitrag für diesen Bereich steht noch</w:t>
      </w:r>
      <w:r w:rsidR="00434F96">
        <w:t xml:space="preserve"> </w:t>
      </w:r>
      <w:r>
        <w:t>nicht zur Verfügung.</w:t>
      </w:r>
    </w:p>
    <w:p w:rsidR="00300A9A" w:rsidRPr="00434F96" w:rsidRDefault="00300A9A" w:rsidP="00300A9A">
      <w:pPr>
        <w:pStyle w:val="GesAbsatz"/>
        <w:rPr>
          <w:b/>
        </w:rPr>
      </w:pPr>
      <w:r w:rsidRPr="00434F96">
        <w:rPr>
          <w:b/>
        </w:rPr>
        <w:t>Schritt 1: Abgrenzung des Untersuchungsraumes</w:t>
      </w:r>
    </w:p>
    <w:p w:rsidR="00300A9A" w:rsidRDefault="00300A9A" w:rsidP="00300A9A">
      <w:pPr>
        <w:pStyle w:val="GesAbsatz"/>
      </w:pPr>
      <w:r>
        <w:t>Der Untersuchungsraum ist der Bereich um die Windenergieanlage mit dem Radius der 15-fachen Anlage</w:t>
      </w:r>
      <w:r>
        <w:t>n</w:t>
      </w:r>
      <w:r>
        <w:t>höhe. Der Radius des Untersuchungsraumes beträgt also 15 * 200 m = 3 km</w:t>
      </w:r>
    </w:p>
    <w:p w:rsidR="00300A9A" w:rsidRDefault="00300A9A" w:rsidP="00300A9A">
      <w:pPr>
        <w:pStyle w:val="GesAbsatz"/>
      </w:pPr>
      <w:r>
        <w:t>(Abb. 1).</w:t>
      </w:r>
    </w:p>
    <w:p w:rsidR="00434F96" w:rsidRDefault="00434F96" w:rsidP="00434F96">
      <w:pPr>
        <w:pStyle w:val="Listenabsatz"/>
        <w:kinsoku w:val="0"/>
        <w:overflowPunct w:val="0"/>
        <w:rPr>
          <w:sz w:val="7"/>
          <w:szCs w:val="7"/>
        </w:rPr>
      </w:pPr>
    </w:p>
    <w:p w:rsidR="00434F96" w:rsidRDefault="00434F96" w:rsidP="00434F96">
      <w:pPr>
        <w:pStyle w:val="Listenabsatz"/>
        <w:kinsoku w:val="0"/>
        <w:overflowPunct w:val="0"/>
        <w:spacing w:line="200" w:lineRule="atLeast"/>
        <w:ind w:left="116"/>
        <w:jc w:val="center"/>
        <w:rPr>
          <w:sz w:val="20"/>
          <w:szCs w:val="20"/>
        </w:rPr>
      </w:pPr>
      <w:r>
        <w:rPr>
          <w:noProof/>
          <w:sz w:val="20"/>
          <w:szCs w:val="20"/>
        </w:rPr>
        <w:drawing>
          <wp:inline distT="0" distB="0" distL="0" distR="0">
            <wp:extent cx="4328160" cy="303276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8160" cy="3032760"/>
                    </a:xfrm>
                    <a:prstGeom prst="rect">
                      <a:avLst/>
                    </a:prstGeom>
                    <a:noFill/>
                    <a:ln>
                      <a:noFill/>
                    </a:ln>
                  </pic:spPr>
                </pic:pic>
              </a:graphicData>
            </a:graphic>
          </wp:inline>
        </w:drawing>
      </w:r>
    </w:p>
    <w:p w:rsidR="00300A9A" w:rsidRDefault="00300A9A" w:rsidP="00300A9A">
      <w:pPr>
        <w:pStyle w:val="GesAbsatz"/>
      </w:pPr>
      <w:r>
        <w:t>Abb. 1: Geplanter Standort einer Windkraftanlage (fiktive Planung) und Untersuchungsraum mit</w:t>
      </w:r>
      <w:r w:rsidR="00434F96">
        <w:t xml:space="preserve"> </w:t>
      </w:r>
      <w:r>
        <w:t>Radius der 15-fachen Anlagenhöhe (3 km). © Geobasisdaten, Bez.-Reg. Köln Abt. GEObasis.nrw, Bonn 2014).</w:t>
      </w:r>
    </w:p>
    <w:p w:rsidR="00300A9A" w:rsidRPr="00434F96" w:rsidRDefault="00300A9A" w:rsidP="00300A9A">
      <w:pPr>
        <w:pStyle w:val="GesAbsatz"/>
        <w:rPr>
          <w:b/>
        </w:rPr>
      </w:pPr>
      <w:r w:rsidRPr="00434F96">
        <w:rPr>
          <w:b/>
        </w:rPr>
        <w:t>Schritt 2: Abgrenzung von Landschaftsbildeinheiten</w:t>
      </w:r>
    </w:p>
    <w:p w:rsidR="00300A9A" w:rsidRDefault="00300A9A" w:rsidP="00300A9A">
      <w:pPr>
        <w:pStyle w:val="GesAbsatz"/>
      </w:pPr>
      <w:r>
        <w:t>Räumliche Bezugseinheit für die Erfassung und Bewertung des Landschaftsbildes bilden die</w:t>
      </w:r>
      <w:r w:rsidR="00434F96">
        <w:t xml:space="preserve"> </w:t>
      </w:r>
      <w:r>
        <w:t xml:space="preserve">ausgegrenzten </w:t>
      </w:r>
      <w:r w:rsidRPr="00434F96">
        <w:rPr>
          <w:b/>
          <w:i/>
        </w:rPr>
        <w:t>Landschaftsräume</w:t>
      </w:r>
      <w:r>
        <w:t xml:space="preserve"> (Darstellung im Internetfachinformationssystem</w:t>
      </w:r>
      <w:r w:rsidR="00434F96">
        <w:t xml:space="preserve"> </w:t>
      </w:r>
      <w:hyperlink r:id="rId24" w:history="1">
        <w:r w:rsidRPr="000109A8">
          <w:rPr>
            <w:rStyle w:val="Hyperlink"/>
          </w:rPr>
          <w:t>http://www.naturschutzinformationen-nrw.de/bk/de/karten/bk</w:t>
        </w:r>
      </w:hyperlink>
      <w:r>
        <w:t xml:space="preserve"> in der Themenrubrik „Landschaftsinformationen“</w:t>
      </w:r>
      <w:r w:rsidR="00434F96">
        <w:t xml:space="preserve"> </w:t>
      </w:r>
      <w:r>
        <w:t>sowie Downloadmöglichkeit). Der Untersuchungsraum liegt</w:t>
      </w:r>
      <w:r w:rsidR="00434F96">
        <w:t xml:space="preserve"> </w:t>
      </w:r>
      <w:r>
        <w:t>überwiegend in Landschaftsraum LR-IV-035 (Oberwälder Bergland). Von Osten reicht der</w:t>
      </w:r>
      <w:r w:rsidR="00434F96">
        <w:t xml:space="preserve"> </w:t>
      </w:r>
      <w:r>
        <w:t>Landschaftsraum LR-IV-037 (Holzmindener Wesertal) in den Untersuchungsraum hinein.</w:t>
      </w:r>
    </w:p>
    <w:p w:rsidR="00434F96" w:rsidRDefault="00434F96" w:rsidP="00434F96">
      <w:pPr>
        <w:pStyle w:val="GesAbsatz"/>
        <w:jc w:val="center"/>
      </w:pPr>
      <w:r>
        <w:rPr>
          <w:noProof/>
        </w:rPr>
        <w:lastRenderedPageBreak/>
        <w:drawing>
          <wp:inline distT="0" distB="0" distL="0" distR="0">
            <wp:extent cx="4259580" cy="2910840"/>
            <wp:effectExtent l="0" t="0" r="762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9580" cy="2910840"/>
                    </a:xfrm>
                    <a:prstGeom prst="rect">
                      <a:avLst/>
                    </a:prstGeom>
                    <a:noFill/>
                    <a:ln>
                      <a:noFill/>
                    </a:ln>
                  </pic:spPr>
                </pic:pic>
              </a:graphicData>
            </a:graphic>
          </wp:inline>
        </w:drawing>
      </w:r>
    </w:p>
    <w:p w:rsidR="00300A9A" w:rsidRDefault="00300A9A" w:rsidP="00300A9A">
      <w:pPr>
        <w:pStyle w:val="GesAbsatz"/>
      </w:pPr>
      <w:r>
        <w:t>Abb. 2: Landschaftsräume im Untersuchungsraum.</w:t>
      </w:r>
      <w:r w:rsidR="000109A8">
        <w:br/>
      </w:r>
      <w:r>
        <w:t>© Geobasisdaten, Bezirksregierung Köln Abteilung GEObasis.nrw, Bonn 2014.</w:t>
      </w:r>
    </w:p>
    <w:p w:rsidR="000109A8" w:rsidRDefault="000109A8" w:rsidP="00300A9A">
      <w:pPr>
        <w:pStyle w:val="GesAbsatz"/>
      </w:pPr>
    </w:p>
    <w:p w:rsidR="00300A9A" w:rsidRDefault="00300A9A" w:rsidP="00300A9A">
      <w:pPr>
        <w:pStyle w:val="GesAbsatz"/>
      </w:pPr>
      <w:r>
        <w:t xml:space="preserve">Die Eignung der Landschaftsräume für die Abgrenzung als </w:t>
      </w:r>
      <w:r w:rsidRPr="00434F96">
        <w:rPr>
          <w:b/>
          <w:i/>
        </w:rPr>
        <w:t>Landschaftsbildeinheiten</w:t>
      </w:r>
      <w:r>
        <w:t xml:space="preserve"> für</w:t>
      </w:r>
      <w:r w:rsidR="00434F96">
        <w:t xml:space="preserve"> </w:t>
      </w:r>
      <w:r>
        <w:t>eine nachvol</w:t>
      </w:r>
      <w:r>
        <w:t>l</w:t>
      </w:r>
      <w:r>
        <w:t>ziehbare Bewertung des Landschaftsbildes wird geprüft. In diesem Beispiel ist</w:t>
      </w:r>
      <w:r w:rsidR="00434F96">
        <w:t xml:space="preserve"> </w:t>
      </w:r>
      <w:r>
        <w:t>eine weitere Binnendiffere</w:t>
      </w:r>
      <w:r>
        <w:t>n</w:t>
      </w:r>
      <w:r>
        <w:t>zierung der Landschaftsräume sinnvoll (Abb. 3).</w:t>
      </w:r>
    </w:p>
    <w:p w:rsidR="00434F96" w:rsidRDefault="00434F96" w:rsidP="00434F96">
      <w:pPr>
        <w:pStyle w:val="GesAbsatz"/>
        <w:jc w:val="center"/>
      </w:pPr>
      <w:r>
        <w:rPr>
          <w:noProof/>
        </w:rPr>
        <w:drawing>
          <wp:inline distT="0" distB="0" distL="0" distR="0">
            <wp:extent cx="4198620" cy="291846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8620" cy="2918460"/>
                    </a:xfrm>
                    <a:prstGeom prst="rect">
                      <a:avLst/>
                    </a:prstGeom>
                    <a:noFill/>
                    <a:ln>
                      <a:noFill/>
                    </a:ln>
                  </pic:spPr>
                </pic:pic>
              </a:graphicData>
            </a:graphic>
          </wp:inline>
        </w:drawing>
      </w:r>
    </w:p>
    <w:p w:rsidR="00300A9A" w:rsidRDefault="00300A9A" w:rsidP="00300A9A">
      <w:pPr>
        <w:pStyle w:val="GesAbsatz"/>
      </w:pPr>
      <w:r>
        <w:t>Abb. 3: Binnendifferenzierung der Landschaftsräume in Landschaftsbildeinheiten (LBE).</w:t>
      </w:r>
      <w:r w:rsidR="000109A8">
        <w:br/>
      </w:r>
      <w:r>
        <w:t>© Geobasisdaten, Bezirksregierung Köln Abteilung GEObasis.nrw, Bonn 2014.</w:t>
      </w:r>
    </w:p>
    <w:p w:rsidR="000109A8" w:rsidRDefault="000109A8" w:rsidP="00300A9A">
      <w:pPr>
        <w:pStyle w:val="GesAbsatz"/>
        <w:rPr>
          <w:b/>
        </w:rPr>
      </w:pPr>
    </w:p>
    <w:p w:rsidR="00300A9A" w:rsidRPr="00434F96" w:rsidRDefault="00300A9A" w:rsidP="00300A9A">
      <w:pPr>
        <w:pStyle w:val="GesAbsatz"/>
        <w:rPr>
          <w:b/>
        </w:rPr>
      </w:pPr>
      <w:r w:rsidRPr="00434F96">
        <w:rPr>
          <w:b/>
        </w:rPr>
        <w:t>Schritt 3: Bewertung des Landschaftsbildes innerhalb der Landschaftsbildeinheiten</w:t>
      </w:r>
    </w:p>
    <w:p w:rsidR="00300A9A" w:rsidRDefault="00300A9A" w:rsidP="00300A9A">
      <w:pPr>
        <w:pStyle w:val="GesAbsatz"/>
      </w:pPr>
      <w:r>
        <w:t>Bei der Landschaftsbildbewertung wird ein Vergleich des derzeitigen Zustandes mit dem</w:t>
      </w:r>
      <w:r w:rsidR="00434F96">
        <w:t xml:space="preserve"> </w:t>
      </w:r>
      <w:r>
        <w:t>Sollzustand (Lei</w:t>
      </w:r>
      <w:r>
        <w:t>t</w:t>
      </w:r>
      <w:r>
        <w:t>bild) vorgenommen.</w:t>
      </w:r>
    </w:p>
    <w:p w:rsidR="00300A9A" w:rsidRDefault="00300A9A" w:rsidP="00300A9A">
      <w:pPr>
        <w:pStyle w:val="GesAbsatz"/>
      </w:pPr>
      <w:r>
        <w:t>Der Soll-Ist-Vergleich erfolgt anhand der Kriterien „Eigenart“, „Vielfalt“ und „Schönheit“.</w:t>
      </w:r>
    </w:p>
    <w:p w:rsidR="00300A9A" w:rsidRDefault="00300A9A" w:rsidP="00300A9A">
      <w:pPr>
        <w:pStyle w:val="GesAbsatz"/>
      </w:pPr>
      <w:r>
        <w:t xml:space="preserve">Die Formulierung des </w:t>
      </w:r>
      <w:r w:rsidRPr="00434F96">
        <w:rPr>
          <w:b/>
        </w:rPr>
        <w:t>Soll-Zustandes bzw. Leitbildes</w:t>
      </w:r>
      <w:r>
        <w:t xml:space="preserve"> sollte sich eng an der Beschreibung</w:t>
      </w:r>
      <w:r w:rsidR="00434F96">
        <w:t xml:space="preserve"> </w:t>
      </w:r>
      <w:r>
        <w:t>der Lan</w:t>
      </w:r>
      <w:r>
        <w:t>d</w:t>
      </w:r>
      <w:r>
        <w:t>schaftsräume, insbesondere dem darin formulierten Leitbild orientieren. Da nur ein</w:t>
      </w:r>
      <w:r w:rsidR="00434F96">
        <w:t xml:space="preserve"> </w:t>
      </w:r>
      <w:r>
        <w:t>Teilbereich des jeweil</w:t>
      </w:r>
      <w:r>
        <w:t>i</w:t>
      </w:r>
      <w:r>
        <w:t>gen Landschaftsraumes betrachtet wird, sind ggf. nur Teile der Landschaftsraumbeschreibung</w:t>
      </w:r>
      <w:r w:rsidR="00434F96">
        <w:t xml:space="preserve"> </w:t>
      </w:r>
      <w:r>
        <w:t>relevant.</w:t>
      </w:r>
    </w:p>
    <w:p w:rsidR="00300A9A" w:rsidRPr="00434F96" w:rsidRDefault="00300A9A" w:rsidP="00300A9A">
      <w:pPr>
        <w:pStyle w:val="GesAbsatz"/>
        <w:rPr>
          <w:b/>
        </w:rPr>
      </w:pPr>
      <w:r w:rsidRPr="00434F96">
        <w:rPr>
          <w:b/>
        </w:rPr>
        <w:t>Tab. 1: Abschnitt „Leitbild“ aus den Beschreibungen des Landschaftsraumes LR-IV-035 (Oberwälder Bergland).</w:t>
      </w:r>
    </w:p>
    <w:tbl>
      <w:tblPr>
        <w:tblStyle w:val="Tabellenraster"/>
        <w:tblW w:w="0" w:type="auto"/>
        <w:tblLook w:val="04A0" w:firstRow="1" w:lastRow="0" w:firstColumn="1" w:lastColumn="0" w:noHBand="0" w:noVBand="1"/>
      </w:tblPr>
      <w:tblGrid>
        <w:gridCol w:w="9778"/>
      </w:tblGrid>
      <w:tr w:rsidR="00434F96" w:rsidRPr="00434F96" w:rsidTr="00AC3F46">
        <w:trPr>
          <w:trHeight w:val="4328"/>
        </w:trPr>
        <w:tc>
          <w:tcPr>
            <w:tcW w:w="9778" w:type="dxa"/>
          </w:tcPr>
          <w:p w:rsidR="00434F96" w:rsidRPr="00434F96" w:rsidRDefault="00434F96" w:rsidP="009D209D">
            <w:pPr>
              <w:pStyle w:val="GesAbsatz"/>
              <w:rPr>
                <w:b/>
              </w:rPr>
            </w:pPr>
            <w:r w:rsidRPr="00434F96">
              <w:rPr>
                <w:b/>
              </w:rPr>
              <w:lastRenderedPageBreak/>
              <w:t>Leitbild</w:t>
            </w:r>
          </w:p>
          <w:p w:rsidR="00434F96" w:rsidRPr="00434F96" w:rsidRDefault="00434F96" w:rsidP="00AC3F46">
            <w:pPr>
              <w:pStyle w:val="GesAbsatz"/>
              <w:rPr>
                <w:b/>
              </w:rPr>
            </w:pPr>
            <w:r w:rsidRPr="00434F96">
              <w:t>Das Oberw</w:t>
            </w:r>
            <w:r w:rsidR="00AC3F46">
              <w:t>ä</w:t>
            </w:r>
            <w:r w:rsidRPr="00434F96">
              <w:t>lder Bergland wird durch strukturierte Kulturlandschaftskomplexe im Wechsel mit ausgedeh</w:t>
            </w:r>
            <w:r w:rsidRPr="00434F96">
              <w:t>n</w:t>
            </w:r>
            <w:r w:rsidRPr="00434F96">
              <w:t>ten, buchenreichen Laubw</w:t>
            </w:r>
            <w:r w:rsidR="00AC3F46">
              <w:t>ä</w:t>
            </w:r>
            <w:r w:rsidRPr="00434F96">
              <w:t>ldern gepr</w:t>
            </w:r>
            <w:r w:rsidR="00AC3F46">
              <w:t>ä</w:t>
            </w:r>
            <w:r w:rsidRPr="00434F96">
              <w:t>gt. Innerhalb der Kulturlandschaft kommt den Resten der Magerwi</w:t>
            </w:r>
            <w:r w:rsidRPr="00434F96">
              <w:t>e</w:t>
            </w:r>
            <w:r w:rsidRPr="00434F96">
              <w:t>sen, Magerweiden und Kalkhalbtrockenrasen eine zentrale Bedeutung zu, die durch extensive Bewirtscha</w:t>
            </w:r>
            <w:r w:rsidRPr="00434F96">
              <w:t>f</w:t>
            </w:r>
            <w:r w:rsidRPr="00434F96">
              <w:t xml:space="preserve">tungsformen und </w:t>
            </w:r>
            <w:proofErr w:type="spellStart"/>
            <w:r w:rsidRPr="00434F96">
              <w:t>H</w:t>
            </w:r>
            <w:r w:rsidR="00AC3F46">
              <w:t>ü</w:t>
            </w:r>
            <w:r w:rsidRPr="00434F96">
              <w:t>teschafhaltung</w:t>
            </w:r>
            <w:proofErr w:type="spellEnd"/>
            <w:r w:rsidRPr="00434F96">
              <w:t xml:space="preserve"> sowie geeignete Pflege- und Entwicklungsma</w:t>
            </w:r>
            <w:r w:rsidR="00AC3F46">
              <w:t>ß</w:t>
            </w:r>
            <w:r w:rsidRPr="00434F96">
              <w:t>nahmen zu einem m</w:t>
            </w:r>
            <w:r w:rsidR="00AC3F46">
              <w:t>ö</w:t>
            </w:r>
            <w:r w:rsidRPr="00434F96">
              <w:t>g</w:t>
            </w:r>
            <w:r w:rsidRPr="00434F96">
              <w:t>lichst engmaschigen Biotopnetz aus kleineren Trittsteinfl</w:t>
            </w:r>
            <w:r w:rsidR="00AC3F46">
              <w:t>ä</w:t>
            </w:r>
            <w:r w:rsidRPr="00434F96">
              <w:t>chen und gro</w:t>
            </w:r>
            <w:r w:rsidR="00AC3F46">
              <w:t>ß</w:t>
            </w:r>
            <w:r w:rsidRPr="00434F96">
              <w:t>r</w:t>
            </w:r>
            <w:r w:rsidR="00AC3F46">
              <w:t>ä</w:t>
            </w:r>
            <w:r w:rsidRPr="00434F96">
              <w:t>umigeren Kernfl</w:t>
            </w:r>
            <w:r w:rsidR="00AC3F46">
              <w:t>ä</w:t>
            </w:r>
            <w:r w:rsidRPr="00434F96">
              <w:t>chen miteina</w:t>
            </w:r>
            <w:r w:rsidRPr="00434F96">
              <w:t>n</w:t>
            </w:r>
            <w:r w:rsidRPr="00434F96">
              <w:t>der verbunden werden. Strukturreiche Gr</w:t>
            </w:r>
            <w:r w:rsidR="00AC3F46">
              <w:t>ü</w:t>
            </w:r>
            <w:r w:rsidRPr="00434F96">
              <w:t>nland- und Acker-Gr</w:t>
            </w:r>
            <w:r w:rsidR="00AC3F46">
              <w:t>ü</w:t>
            </w:r>
            <w:r w:rsidRPr="00434F96">
              <w:t>nlandkomplexe mit Obstweiden, Feld- und Flurgeh</w:t>
            </w:r>
            <w:r w:rsidR="00AC3F46">
              <w:t>ö</w:t>
            </w:r>
            <w:r w:rsidRPr="00434F96">
              <w:t>lzen, S</w:t>
            </w:r>
            <w:r w:rsidR="00AC3F46">
              <w:t>ä</w:t>
            </w:r>
            <w:r w:rsidRPr="00434F96">
              <w:t>umen sowie kleineren Waldbereichen werden bewahrt und gef</w:t>
            </w:r>
            <w:r w:rsidR="00AC3F46">
              <w:t>ö</w:t>
            </w:r>
            <w:r w:rsidRPr="00434F96">
              <w:t>rdert, heckenreiche Gr</w:t>
            </w:r>
            <w:r w:rsidR="00AC3F46">
              <w:t>ü</w:t>
            </w:r>
            <w:r w:rsidRPr="00434F96">
              <w:t>n</w:t>
            </w:r>
            <w:r w:rsidRPr="00434F96">
              <w:t>landgebiete gepflegt und insbesondere auf staunassen Standorten wiederentwickelt. In der ansonsten nachhaltig genutzten Kulturlandschaft bleiben kulturhistorische Landschaftselemente wie Hangterrassen erhalten, artenreiche Kalk</w:t>
            </w:r>
            <w:r w:rsidR="00AC3F46">
              <w:t>ä</w:t>
            </w:r>
            <w:r w:rsidRPr="00434F96">
              <w:t>cker werden naturschutzorientiert bewirtschaftet. Unverbaute und naturnahe, von Ufergeh</w:t>
            </w:r>
            <w:r w:rsidR="00AC3F46">
              <w:t>ö</w:t>
            </w:r>
            <w:r w:rsidRPr="00434F96">
              <w:t>lzen ges</w:t>
            </w:r>
            <w:r w:rsidR="00AC3F46">
              <w:t>ä</w:t>
            </w:r>
            <w:r w:rsidRPr="00434F96">
              <w:t>umte Bachl</w:t>
            </w:r>
            <w:r w:rsidR="00AC3F46">
              <w:t>ä</w:t>
            </w:r>
            <w:r w:rsidRPr="00434F96">
              <w:t>ufe durchflie</w:t>
            </w:r>
            <w:r w:rsidR="00AC3F46">
              <w:t>ß</w:t>
            </w:r>
            <w:r w:rsidRPr="00434F96">
              <w:t>en extensiv genutzte, mit Feuchtwiesen angereicherte Gr</w:t>
            </w:r>
            <w:r w:rsidR="00AC3F46">
              <w:t>ü</w:t>
            </w:r>
            <w:r w:rsidRPr="00434F96">
              <w:t>n</w:t>
            </w:r>
            <w:r w:rsidRPr="00434F96">
              <w:t>landt</w:t>
            </w:r>
            <w:r w:rsidR="00AC3F46">
              <w:t>ä</w:t>
            </w:r>
            <w:r w:rsidRPr="00434F96">
              <w:t>ler. Kalk-Quells</w:t>
            </w:r>
            <w:r w:rsidR="00AC3F46">
              <w:t>ü</w:t>
            </w:r>
            <w:r w:rsidRPr="00434F96">
              <w:t xml:space="preserve">mpfe und -Flachmoore unterliegen keiner wirtschaftlich orientierten Nutzung. Der Entwicklungsschwerpunkt liegt im landesweit bedeutsamen Verbundkorridor der </w:t>
            </w:r>
            <w:proofErr w:type="spellStart"/>
            <w:r w:rsidRPr="00434F96">
              <w:t>Netheaue</w:t>
            </w:r>
            <w:proofErr w:type="spellEnd"/>
            <w:r w:rsidRPr="00434F96">
              <w:t xml:space="preserve"> einschlie</w:t>
            </w:r>
            <w:r w:rsidR="00AC3F46">
              <w:t>ß</w:t>
            </w:r>
            <w:r w:rsidRPr="00434F96">
              <w:t>lich der einm</w:t>
            </w:r>
            <w:r w:rsidR="00AC3F46">
              <w:t>ü</w:t>
            </w:r>
            <w:r w:rsidRPr="00434F96">
              <w:t xml:space="preserve">ndenden </w:t>
            </w:r>
            <w:proofErr w:type="spellStart"/>
            <w:r w:rsidRPr="00434F96">
              <w:t>Driburger</w:t>
            </w:r>
            <w:proofErr w:type="spellEnd"/>
            <w:r w:rsidRPr="00434F96">
              <w:t xml:space="preserve"> Aa. Naturnah bewirtschaftete Buchen- und Buchenmischw</w:t>
            </w:r>
            <w:r w:rsidR="00AC3F46">
              <w:t>ä</w:t>
            </w:r>
            <w:r w:rsidRPr="00434F96">
              <w:t>lder mit erh</w:t>
            </w:r>
            <w:r w:rsidR="00AC3F46">
              <w:t>ö</w:t>
            </w:r>
            <w:r w:rsidRPr="00434F96">
              <w:t>htem Alt- und Totholzanteil pr</w:t>
            </w:r>
            <w:r w:rsidR="00AC3F46">
              <w:t>ä</w:t>
            </w:r>
            <w:r w:rsidRPr="00434F96">
              <w:t>gen die Waldgebiete. Xerophile Waldtypen wie der Orchideen- und Platterbsen-Buchenwald sowie der Eichen-Elsbeeren-Wald bleiben als landesweit gef</w:t>
            </w:r>
            <w:r w:rsidR="00AC3F46">
              <w:t>ä</w:t>
            </w:r>
            <w:r w:rsidRPr="00434F96">
              <w:t>hrdete Waldgesellschaften erha</w:t>
            </w:r>
            <w:r w:rsidRPr="00434F96">
              <w:t>l</w:t>
            </w:r>
            <w:r w:rsidRPr="00434F96">
              <w:t>ten. Naturnahe Quellb</w:t>
            </w:r>
            <w:r w:rsidR="00AC3F46">
              <w:t>ä</w:t>
            </w:r>
            <w:r w:rsidRPr="00434F96">
              <w:t>che werden von standortgem</w:t>
            </w:r>
            <w:r w:rsidR="00AC3F46">
              <w:t>äß</w:t>
            </w:r>
            <w:r w:rsidRPr="00434F96">
              <w:t>er Laubholzvegetation beschattet.</w:t>
            </w:r>
          </w:p>
        </w:tc>
      </w:tr>
    </w:tbl>
    <w:p w:rsidR="00434F96" w:rsidRDefault="00434F96" w:rsidP="00300A9A">
      <w:pPr>
        <w:pStyle w:val="GesAbsatz"/>
      </w:pPr>
    </w:p>
    <w:p w:rsidR="00300A9A" w:rsidRPr="00434F96" w:rsidRDefault="00300A9A" w:rsidP="00300A9A">
      <w:pPr>
        <w:pStyle w:val="GesAbsatz"/>
        <w:rPr>
          <w:b/>
        </w:rPr>
      </w:pPr>
      <w:r w:rsidRPr="00434F96">
        <w:rPr>
          <w:b/>
        </w:rPr>
        <w:t>Tab. 2: Abschnitt „Leitbild“ aus den Beschreibungen des Landschaftsraumes LR-IV-037 (Holzmind</w:t>
      </w:r>
      <w:r w:rsidRPr="00434F96">
        <w:rPr>
          <w:b/>
        </w:rPr>
        <w:t>e</w:t>
      </w:r>
      <w:r w:rsidRPr="00434F96">
        <w:rPr>
          <w:b/>
        </w:rPr>
        <w:t>ner Wesertal).</w:t>
      </w:r>
    </w:p>
    <w:tbl>
      <w:tblPr>
        <w:tblStyle w:val="Tabellenraster"/>
        <w:tblW w:w="0" w:type="auto"/>
        <w:tblLook w:val="04A0" w:firstRow="1" w:lastRow="0" w:firstColumn="1" w:lastColumn="0" w:noHBand="0" w:noVBand="1"/>
      </w:tblPr>
      <w:tblGrid>
        <w:gridCol w:w="9778"/>
      </w:tblGrid>
      <w:tr w:rsidR="00434F96" w:rsidRPr="00434F96" w:rsidTr="00AC3F46">
        <w:trPr>
          <w:trHeight w:val="2220"/>
        </w:trPr>
        <w:tc>
          <w:tcPr>
            <w:tcW w:w="9778" w:type="dxa"/>
          </w:tcPr>
          <w:p w:rsidR="00434F96" w:rsidRPr="00434F96" w:rsidRDefault="00434F96" w:rsidP="009D209D">
            <w:pPr>
              <w:pStyle w:val="GesAbsatz"/>
              <w:rPr>
                <w:b/>
              </w:rPr>
            </w:pPr>
            <w:r w:rsidRPr="00434F96">
              <w:rPr>
                <w:b/>
              </w:rPr>
              <w:t>Leitbild</w:t>
            </w:r>
          </w:p>
          <w:p w:rsidR="00434F96" w:rsidRPr="00434F96" w:rsidRDefault="00434F96" w:rsidP="00AC3F46">
            <w:pPr>
              <w:pStyle w:val="GesAbsatz"/>
              <w:rPr>
                <w:b/>
              </w:rPr>
            </w:pPr>
            <w:r w:rsidRPr="00434F96">
              <w:t xml:space="preserve">Die teilweise episodisch </w:t>
            </w:r>
            <w:r w:rsidR="00AC3F46">
              <w:t>ü</w:t>
            </w:r>
            <w:r w:rsidRPr="00434F96">
              <w:t>berflutete Weseraue ist au</w:t>
            </w:r>
            <w:r w:rsidR="00AC3F46">
              <w:t>ß</w:t>
            </w:r>
            <w:r w:rsidRPr="00434F96">
              <w:t>erhalb der Siedlungsgebiete durch nachhaltig genut</w:t>
            </w:r>
            <w:r w:rsidRPr="00434F96">
              <w:t>z</w:t>
            </w:r>
            <w:r w:rsidRPr="00434F96">
              <w:t>tes Gr</w:t>
            </w:r>
            <w:r w:rsidR="00AC3F46">
              <w:t>ü</w:t>
            </w:r>
            <w:r w:rsidRPr="00434F96">
              <w:t>nland gepr</w:t>
            </w:r>
            <w:r w:rsidR="00AC3F46">
              <w:t>ä</w:t>
            </w:r>
            <w:r w:rsidRPr="00434F96">
              <w:t>gt. Sie wird durch naturbetonte und naturnahe Landschaftselemente der Aue wie Flu</w:t>
            </w:r>
            <w:r w:rsidRPr="00434F96">
              <w:t>t</w:t>
            </w:r>
            <w:r w:rsidRPr="00434F96">
              <w:t>mulden, Hecken und wachsende Auenwaldanteile belebt und gegliedert. Eine naturvertr</w:t>
            </w:r>
            <w:r w:rsidR="00AC3F46">
              <w:t>ä</w:t>
            </w:r>
            <w:r w:rsidRPr="00434F96">
              <w:t>gliche Ackernu</w:t>
            </w:r>
            <w:r w:rsidRPr="00434F96">
              <w:t>t</w:t>
            </w:r>
            <w:r w:rsidRPr="00434F96">
              <w:t xml:space="preserve">zung bleibt auf nicht </w:t>
            </w:r>
            <w:r w:rsidR="00AC3F46">
              <w:t>ü</w:t>
            </w:r>
            <w:r w:rsidRPr="00434F96">
              <w:t>berflutete Terrassenbereiche beschr</w:t>
            </w:r>
            <w:r w:rsidR="00AC3F46">
              <w:t>ä</w:t>
            </w:r>
            <w:r w:rsidRPr="00434F96">
              <w:t>nkt. Der Kiesabbau und die Folgenutzung eh</w:t>
            </w:r>
            <w:r w:rsidRPr="00434F96">
              <w:t>e</w:t>
            </w:r>
            <w:r w:rsidRPr="00434F96">
              <w:t>maliger Abgrabungen werden mit den Zielen des Biotop- und Artenschutzes abgestimmt. Der funktionalen Trennung zwischen Bereichen mit und ohne intensive Freizeitnutzung kommt hierbei eine zentrale Bede</w:t>
            </w:r>
            <w:r w:rsidRPr="00434F96">
              <w:t>u</w:t>
            </w:r>
            <w:r w:rsidRPr="00434F96">
              <w:t>tung zu. Weitergehende fl</w:t>
            </w:r>
            <w:r w:rsidR="00AC3F46">
              <w:t>ä</w:t>
            </w:r>
            <w:r w:rsidRPr="00434F96">
              <w:t>chenintensive Bauvorhaben sollten im bereits stark beanspruchten Raum unte</w:t>
            </w:r>
            <w:r w:rsidRPr="00434F96">
              <w:t>r</w:t>
            </w:r>
            <w:r w:rsidRPr="00434F96">
              <w:t>bleiben.</w:t>
            </w:r>
          </w:p>
        </w:tc>
      </w:tr>
    </w:tbl>
    <w:p w:rsidR="00300A9A" w:rsidRDefault="00300A9A" w:rsidP="00300A9A">
      <w:pPr>
        <w:pStyle w:val="GesAbsatz"/>
      </w:pPr>
    </w:p>
    <w:p w:rsidR="00300A9A" w:rsidRDefault="00300A9A" w:rsidP="00300A9A">
      <w:pPr>
        <w:pStyle w:val="GesAbsatz"/>
      </w:pPr>
      <w:r>
        <w:t>Die Beschreibung von Soll- und Istzustand erfolgt verbal in Stichpunktform.</w:t>
      </w:r>
      <w:r w:rsidR="009D209D">
        <w:t xml:space="preserve"> </w:t>
      </w:r>
      <w:r>
        <w:t xml:space="preserve">Die </w:t>
      </w:r>
      <w:r w:rsidRPr="009D209D">
        <w:rPr>
          <w:b/>
          <w:i/>
        </w:rPr>
        <w:t>Übereinstimmung zw</w:t>
      </w:r>
      <w:r w:rsidRPr="009D209D">
        <w:rPr>
          <w:b/>
          <w:i/>
        </w:rPr>
        <w:t>i</w:t>
      </w:r>
      <w:r w:rsidRPr="009D209D">
        <w:rPr>
          <w:b/>
          <w:i/>
        </w:rPr>
        <w:t>schen Soll- und Istzustand</w:t>
      </w:r>
      <w:r>
        <w:t xml:space="preserve"> wird für die (Teil-)Kriterien in den</w:t>
      </w:r>
      <w:r w:rsidR="009D209D">
        <w:t xml:space="preserve"> </w:t>
      </w:r>
      <w:r>
        <w:t>Klassen „gering“, „mittel“ oder „hoch“ bewe</w:t>
      </w:r>
      <w:r>
        <w:t>r</w:t>
      </w:r>
      <w:r>
        <w:t>tet. Tab. 3 enthält ein Beispiel.</w:t>
      </w:r>
    </w:p>
    <w:p w:rsidR="00300A9A" w:rsidRPr="009D209D" w:rsidRDefault="00300A9A" w:rsidP="00300A9A">
      <w:pPr>
        <w:pStyle w:val="GesAbsatz"/>
        <w:rPr>
          <w:b/>
        </w:rPr>
      </w:pPr>
      <w:r w:rsidRPr="009D209D">
        <w:rPr>
          <w:b/>
        </w:rPr>
        <w:t>Tab. 3: Tabelle mit dem Soll-Ist-Vergleich für die Landschaftsbildeinheit LBE-1.</w:t>
      </w:r>
    </w:p>
    <w:tbl>
      <w:tblPr>
        <w:tblStyle w:val="Tabellenraster"/>
        <w:tblW w:w="0" w:type="auto"/>
        <w:tblLook w:val="04A0" w:firstRow="1" w:lastRow="0" w:firstColumn="1" w:lastColumn="0" w:noHBand="0" w:noVBand="1"/>
      </w:tblPr>
      <w:tblGrid>
        <w:gridCol w:w="2251"/>
        <w:gridCol w:w="2385"/>
        <w:gridCol w:w="3077"/>
        <w:gridCol w:w="2141"/>
      </w:tblGrid>
      <w:tr w:rsidR="009D209D" w:rsidRPr="00650908" w:rsidTr="009D209D">
        <w:tc>
          <w:tcPr>
            <w:tcW w:w="9854" w:type="dxa"/>
            <w:gridSpan w:val="4"/>
            <w:shd w:val="clear" w:color="auto" w:fill="A6A6A6" w:themeFill="background1" w:themeFillShade="A6"/>
          </w:tcPr>
          <w:p w:rsidR="009D209D" w:rsidRPr="00650908" w:rsidRDefault="009D209D" w:rsidP="009D209D">
            <w:pPr>
              <w:pStyle w:val="GesAbsatz"/>
              <w:tabs>
                <w:tab w:val="clear" w:pos="425"/>
              </w:tabs>
              <w:rPr>
                <w:b/>
              </w:rPr>
            </w:pPr>
            <w:r w:rsidRPr="00650908">
              <w:rPr>
                <w:b/>
              </w:rPr>
              <w:t>Landschaftsbildeinheit: LBE-1 – Kategorie: Flusstal</w:t>
            </w:r>
          </w:p>
        </w:tc>
      </w:tr>
      <w:tr w:rsidR="009D209D" w:rsidRPr="00650908" w:rsidTr="009D209D">
        <w:tc>
          <w:tcPr>
            <w:tcW w:w="9854" w:type="dxa"/>
            <w:gridSpan w:val="4"/>
            <w:shd w:val="clear" w:color="auto" w:fill="A6A6A6" w:themeFill="background1" w:themeFillShade="A6"/>
          </w:tcPr>
          <w:p w:rsidR="009D209D" w:rsidRPr="00650908" w:rsidRDefault="009D209D" w:rsidP="009D209D">
            <w:pPr>
              <w:pStyle w:val="GesAbsatz"/>
              <w:tabs>
                <w:tab w:val="clear" w:pos="425"/>
              </w:tabs>
              <w:rPr>
                <w:b/>
              </w:rPr>
            </w:pPr>
            <w:r w:rsidRPr="00650908">
              <w:rPr>
                <w:b/>
              </w:rPr>
              <w:t>Landschaftsbildeinheit: Flusstal</w:t>
            </w:r>
          </w:p>
        </w:tc>
      </w:tr>
      <w:tr w:rsidR="009D209D" w:rsidRPr="00650908" w:rsidTr="00650908">
        <w:tc>
          <w:tcPr>
            <w:tcW w:w="2251" w:type="dxa"/>
            <w:shd w:val="clear" w:color="auto" w:fill="A6A6A6" w:themeFill="background1" w:themeFillShade="A6"/>
            <w:vAlign w:val="center"/>
          </w:tcPr>
          <w:p w:rsidR="009D209D" w:rsidRPr="00650908" w:rsidRDefault="009D209D" w:rsidP="00650908">
            <w:pPr>
              <w:pStyle w:val="GesAbsatz"/>
              <w:tabs>
                <w:tab w:val="clear" w:pos="425"/>
              </w:tabs>
              <w:jc w:val="left"/>
              <w:rPr>
                <w:b/>
              </w:rPr>
            </w:pPr>
            <w:r w:rsidRPr="00650908">
              <w:rPr>
                <w:b/>
              </w:rPr>
              <w:t>Merkmal</w:t>
            </w:r>
          </w:p>
        </w:tc>
        <w:tc>
          <w:tcPr>
            <w:tcW w:w="2385" w:type="dxa"/>
            <w:shd w:val="clear" w:color="auto" w:fill="A6A6A6" w:themeFill="background1" w:themeFillShade="A6"/>
            <w:vAlign w:val="center"/>
          </w:tcPr>
          <w:p w:rsidR="009D209D" w:rsidRPr="00650908" w:rsidRDefault="009D209D" w:rsidP="00650908">
            <w:pPr>
              <w:pStyle w:val="GesAbsatz"/>
              <w:tabs>
                <w:tab w:val="clear" w:pos="425"/>
              </w:tabs>
              <w:jc w:val="left"/>
              <w:rPr>
                <w:b/>
              </w:rPr>
            </w:pPr>
            <w:r w:rsidRPr="00650908">
              <w:rPr>
                <w:b/>
              </w:rPr>
              <w:t>charakteristische Ausprägung (Soll-Zustand)</w:t>
            </w:r>
          </w:p>
        </w:tc>
        <w:tc>
          <w:tcPr>
            <w:tcW w:w="3077" w:type="dxa"/>
            <w:shd w:val="clear" w:color="auto" w:fill="A6A6A6" w:themeFill="background1" w:themeFillShade="A6"/>
            <w:vAlign w:val="center"/>
          </w:tcPr>
          <w:p w:rsidR="009D209D" w:rsidRPr="00650908" w:rsidRDefault="009D209D" w:rsidP="00650908">
            <w:pPr>
              <w:pStyle w:val="GesAbsatz"/>
              <w:tabs>
                <w:tab w:val="clear" w:pos="425"/>
              </w:tabs>
              <w:jc w:val="left"/>
              <w:rPr>
                <w:b/>
              </w:rPr>
            </w:pPr>
            <w:r w:rsidRPr="00650908">
              <w:rPr>
                <w:b/>
              </w:rPr>
              <w:t>Ist-Zustand</w:t>
            </w:r>
          </w:p>
        </w:tc>
        <w:tc>
          <w:tcPr>
            <w:tcW w:w="2141" w:type="dxa"/>
            <w:shd w:val="clear" w:color="auto" w:fill="A6A6A6" w:themeFill="background1" w:themeFillShade="A6"/>
            <w:vAlign w:val="center"/>
          </w:tcPr>
          <w:p w:rsidR="009D209D" w:rsidRPr="00650908" w:rsidRDefault="009D209D" w:rsidP="00650908">
            <w:pPr>
              <w:pStyle w:val="GesAbsatz"/>
              <w:tabs>
                <w:tab w:val="clear" w:pos="425"/>
              </w:tabs>
              <w:jc w:val="left"/>
              <w:rPr>
                <w:b/>
              </w:rPr>
            </w:pPr>
            <w:r w:rsidRPr="00650908">
              <w:rPr>
                <w:b/>
              </w:rPr>
              <w:t>Übereinstimmung zwischen Ist- und Sollzustand</w:t>
            </w:r>
          </w:p>
        </w:tc>
      </w:tr>
      <w:tr w:rsidR="009D209D" w:rsidRPr="009D209D" w:rsidTr="009D209D">
        <w:tc>
          <w:tcPr>
            <w:tcW w:w="9854" w:type="dxa"/>
            <w:gridSpan w:val="4"/>
            <w:shd w:val="clear" w:color="auto" w:fill="D9D9D9" w:themeFill="background1" w:themeFillShade="D9"/>
          </w:tcPr>
          <w:p w:rsidR="009D209D" w:rsidRPr="009D209D" w:rsidRDefault="009D209D" w:rsidP="009D209D">
            <w:pPr>
              <w:pStyle w:val="GesAbsatz"/>
              <w:tabs>
                <w:tab w:val="clear" w:pos="425"/>
              </w:tabs>
            </w:pPr>
            <w:r w:rsidRPr="009D209D">
              <w:t>Eigenart</w:t>
            </w:r>
          </w:p>
        </w:tc>
      </w:tr>
      <w:tr w:rsidR="009D209D" w:rsidRPr="009D209D" w:rsidTr="009D209D">
        <w:tc>
          <w:tcPr>
            <w:tcW w:w="2251" w:type="dxa"/>
          </w:tcPr>
          <w:p w:rsidR="009D209D" w:rsidRPr="009D209D" w:rsidRDefault="009D209D" w:rsidP="009D209D">
            <w:pPr>
              <w:pStyle w:val="GesAbsatz"/>
              <w:tabs>
                <w:tab w:val="clear" w:pos="425"/>
              </w:tabs>
            </w:pPr>
            <w:r w:rsidRPr="009D209D">
              <w:t>Relief</w:t>
            </w:r>
          </w:p>
        </w:tc>
        <w:tc>
          <w:tcPr>
            <w:tcW w:w="2385" w:type="dxa"/>
          </w:tcPr>
          <w:p w:rsidR="009D209D" w:rsidRPr="009D209D" w:rsidRDefault="009D209D" w:rsidP="009D209D">
            <w:pPr>
              <w:pStyle w:val="GesAbsatz"/>
              <w:tabs>
                <w:tab w:val="clear" w:pos="425"/>
              </w:tabs>
            </w:pPr>
            <w:r w:rsidRPr="009D209D">
              <w:t>relativ weites Flusstal; naturnahe Aueneleme</w:t>
            </w:r>
            <w:r w:rsidRPr="009D209D">
              <w:t>n</w:t>
            </w:r>
            <w:r w:rsidRPr="009D209D">
              <w:t>te wie Flutmulden und Altwasserrinnen;</w:t>
            </w:r>
          </w:p>
        </w:tc>
        <w:tc>
          <w:tcPr>
            <w:tcW w:w="3077" w:type="dxa"/>
          </w:tcPr>
          <w:p w:rsidR="009D209D" w:rsidRPr="009D209D" w:rsidRDefault="009D209D" w:rsidP="009D209D">
            <w:pPr>
              <w:pStyle w:val="GesAbsatz"/>
              <w:tabs>
                <w:tab w:val="clear" w:pos="425"/>
              </w:tabs>
            </w:pPr>
            <w:r w:rsidRPr="009D209D">
              <w:t>im Untersuchungsgebiet keine nennenswerten Veränderungen des Reliefs; Fluss mäandriert; typische Auenstrukturen wie Altwässer und Flutrinnen sind kaum mehr vorhanden; Bah</w:t>
            </w:r>
            <w:r w:rsidRPr="009D209D">
              <w:t>n</w:t>
            </w:r>
            <w:r w:rsidRPr="009D209D">
              <w:t>damm quert Aue im östlichen Bereich</w:t>
            </w:r>
          </w:p>
        </w:tc>
        <w:tc>
          <w:tcPr>
            <w:tcW w:w="2141" w:type="dxa"/>
          </w:tcPr>
          <w:p w:rsidR="009D209D" w:rsidRPr="009D209D" w:rsidRDefault="009D209D" w:rsidP="009D209D">
            <w:pPr>
              <w:pStyle w:val="GesAbsatz"/>
              <w:tabs>
                <w:tab w:val="clear" w:pos="425"/>
              </w:tabs>
            </w:pPr>
            <w:r w:rsidRPr="009D209D">
              <w:t>hoch</w:t>
            </w:r>
          </w:p>
        </w:tc>
      </w:tr>
      <w:tr w:rsidR="009D209D" w:rsidRPr="009D209D" w:rsidTr="009D209D">
        <w:tc>
          <w:tcPr>
            <w:tcW w:w="2251" w:type="dxa"/>
          </w:tcPr>
          <w:p w:rsidR="009D209D" w:rsidRPr="009D209D" w:rsidRDefault="009D209D" w:rsidP="009D209D">
            <w:pPr>
              <w:pStyle w:val="GesAbsatz"/>
              <w:tabs>
                <w:tab w:val="clear" w:pos="425"/>
              </w:tabs>
            </w:pPr>
            <w:r w:rsidRPr="009D209D">
              <w:t>Gewässer</w:t>
            </w:r>
          </w:p>
        </w:tc>
        <w:tc>
          <w:tcPr>
            <w:tcW w:w="2385" w:type="dxa"/>
          </w:tcPr>
          <w:p w:rsidR="009D209D" w:rsidRPr="009D209D" w:rsidRDefault="009D209D" w:rsidP="009D209D">
            <w:pPr>
              <w:pStyle w:val="GesAbsatz"/>
              <w:tabs>
                <w:tab w:val="clear" w:pos="425"/>
              </w:tabs>
            </w:pPr>
            <w:r w:rsidRPr="009D209D">
              <w:t xml:space="preserve">naturnah ausgebildeter, mäandrierender Fluss mit natürlichen Ufer- und Auenstrukturen und </w:t>
            </w:r>
            <w:r w:rsidRPr="009D209D">
              <w:lastRenderedPageBreak/>
              <w:t>Ufergehölzen;</w:t>
            </w:r>
          </w:p>
        </w:tc>
        <w:tc>
          <w:tcPr>
            <w:tcW w:w="3077" w:type="dxa"/>
          </w:tcPr>
          <w:p w:rsidR="009D209D" w:rsidRPr="009D209D" w:rsidRDefault="009D209D" w:rsidP="009D209D">
            <w:pPr>
              <w:pStyle w:val="GesAbsatz"/>
              <w:tabs>
                <w:tab w:val="clear" w:pos="425"/>
              </w:tabs>
            </w:pPr>
            <w:r w:rsidRPr="009D209D">
              <w:lastRenderedPageBreak/>
              <w:t xml:space="preserve">mäandrierender Fluss, teils mit Ufergehölzen bewachsen; sehr kleinflächig Auenwald; gemäß Gewässerstrukturgütekartierung </w:t>
            </w:r>
            <w:r w:rsidRPr="009D209D">
              <w:lastRenderedPageBreak/>
              <w:t>überwiegend stark verändert; einige Abschnitte haben Status gesetzlich geschützter Biotope oder FFH-Lebensraumtypen;</w:t>
            </w:r>
          </w:p>
        </w:tc>
        <w:tc>
          <w:tcPr>
            <w:tcW w:w="2141" w:type="dxa"/>
          </w:tcPr>
          <w:p w:rsidR="009D209D" w:rsidRPr="009D209D" w:rsidRDefault="009D209D" w:rsidP="009D209D">
            <w:pPr>
              <w:pStyle w:val="GesAbsatz"/>
              <w:tabs>
                <w:tab w:val="clear" w:pos="425"/>
              </w:tabs>
            </w:pPr>
            <w:r w:rsidRPr="009D209D">
              <w:lastRenderedPageBreak/>
              <w:t>hoch</w:t>
            </w:r>
          </w:p>
        </w:tc>
      </w:tr>
      <w:tr w:rsidR="009D209D" w:rsidRPr="009D209D" w:rsidTr="009D209D">
        <w:tc>
          <w:tcPr>
            <w:tcW w:w="2251" w:type="dxa"/>
          </w:tcPr>
          <w:p w:rsidR="009D209D" w:rsidRPr="009D209D" w:rsidRDefault="009D209D" w:rsidP="00A60B51">
            <w:pPr>
              <w:pStyle w:val="GesAbsatz"/>
              <w:tabs>
                <w:tab w:val="clear" w:pos="425"/>
              </w:tabs>
              <w:jc w:val="left"/>
            </w:pPr>
            <w:r w:rsidRPr="009D209D">
              <w:lastRenderedPageBreak/>
              <w:t>Qualitatives Nu</w:t>
            </w:r>
            <w:r w:rsidRPr="009D209D">
              <w:t>t</w:t>
            </w:r>
            <w:r w:rsidRPr="009D209D">
              <w:t>zungsmuster</w:t>
            </w:r>
          </w:p>
        </w:tc>
        <w:tc>
          <w:tcPr>
            <w:tcW w:w="2385" w:type="dxa"/>
          </w:tcPr>
          <w:p w:rsidR="009D209D" w:rsidRPr="009D209D" w:rsidRDefault="009D209D" w:rsidP="00A60B51">
            <w:pPr>
              <w:pStyle w:val="GesAbsatz"/>
              <w:tabs>
                <w:tab w:val="clear" w:pos="425"/>
              </w:tabs>
              <w:jc w:val="left"/>
            </w:pPr>
            <w:r w:rsidRPr="009D209D">
              <w:t>nachhaltige Grünlan</w:t>
            </w:r>
            <w:r w:rsidRPr="009D209D">
              <w:t>d</w:t>
            </w:r>
            <w:r w:rsidRPr="009D209D">
              <w:t xml:space="preserve">nutzung dominiert in der </w:t>
            </w:r>
            <w:proofErr w:type="spellStart"/>
            <w:r w:rsidRPr="009D209D">
              <w:t>Netheaue</w:t>
            </w:r>
            <w:proofErr w:type="spellEnd"/>
            <w:r w:rsidRPr="009D209D">
              <w:t>; Mosaik aus Tal-Glatthaferwiesen, Weidelgras-Weißklee</w:t>
            </w:r>
            <w:r w:rsidR="00A60B51">
              <w:softHyphen/>
            </w:r>
            <w:r w:rsidRPr="009D209D">
              <w:t>weiden und Feuchtgrü</w:t>
            </w:r>
            <w:r w:rsidRPr="009D209D">
              <w:t>n</w:t>
            </w:r>
            <w:r w:rsidRPr="009D209D">
              <w:t>land; durch naturbetonte und naturnahe Lan</w:t>
            </w:r>
            <w:r w:rsidRPr="009D209D">
              <w:t>d</w:t>
            </w:r>
            <w:r w:rsidRPr="009D209D">
              <w:t>schaftselemente wie Hecken und wachsende Auenwaldanteile, natu</w:t>
            </w:r>
            <w:r w:rsidRPr="009D209D">
              <w:t>r</w:t>
            </w:r>
            <w:r w:rsidRPr="009D209D">
              <w:t>nahe Ufergehölze b</w:t>
            </w:r>
            <w:r w:rsidRPr="009D209D">
              <w:t>e</w:t>
            </w:r>
            <w:r w:rsidRPr="009D209D">
              <w:t>lebt und gegliedert; eine naturverträgliche Acker</w:t>
            </w:r>
            <w:r w:rsidR="00A60B51">
              <w:softHyphen/>
            </w:r>
            <w:r w:rsidRPr="009D209D">
              <w:t>nutzung bleibt auf nicht überflutete Terrasse</w:t>
            </w:r>
            <w:r w:rsidRPr="009D209D">
              <w:t>n</w:t>
            </w:r>
            <w:r w:rsidRPr="009D209D">
              <w:t>bereiche beschränkt; flächenintensive Ba</w:t>
            </w:r>
            <w:r w:rsidRPr="009D209D">
              <w:t>u</w:t>
            </w:r>
            <w:r w:rsidRPr="009D209D">
              <w:t>vorhaben unterbleiben;</w:t>
            </w:r>
          </w:p>
        </w:tc>
        <w:tc>
          <w:tcPr>
            <w:tcW w:w="3077" w:type="dxa"/>
          </w:tcPr>
          <w:p w:rsidR="009D209D" w:rsidRPr="009D209D" w:rsidRDefault="009D209D" w:rsidP="009D209D">
            <w:pPr>
              <w:pStyle w:val="GesAbsatz"/>
              <w:tabs>
                <w:tab w:val="clear" w:pos="425"/>
              </w:tabs>
            </w:pPr>
            <w:r w:rsidRPr="009D209D">
              <w:t>Auenwald nur sehr kleinflächig und relikthaft; Aue mit hohem Grünlandanteil; Grünlandnu</w:t>
            </w:r>
            <w:r w:rsidRPr="009D209D">
              <w:t>t</w:t>
            </w:r>
            <w:r w:rsidRPr="009D209D">
              <w:t>zung noch dominierend, aber größere Ackerflächen in der Aue; Grünland weitgehend i</w:t>
            </w:r>
            <w:r w:rsidRPr="009D209D">
              <w:t>n</w:t>
            </w:r>
            <w:r w:rsidRPr="009D209D">
              <w:t>tensiv genutzt; Ufergehölze vielerorts vorhanden; vor allem nahe der Ortschaften noch Streuobstbestände und andere Gehölzstrukturen; keine großen Bauvorhaben; Neubaugebiete im Bereiche der bestehenden Ortschaften;</w:t>
            </w:r>
          </w:p>
        </w:tc>
        <w:tc>
          <w:tcPr>
            <w:tcW w:w="2141" w:type="dxa"/>
          </w:tcPr>
          <w:p w:rsidR="009D209D" w:rsidRPr="009D209D" w:rsidRDefault="009D209D" w:rsidP="009D209D">
            <w:pPr>
              <w:pStyle w:val="GesAbsatz"/>
              <w:tabs>
                <w:tab w:val="clear" w:pos="425"/>
              </w:tabs>
            </w:pPr>
            <w:r w:rsidRPr="009D209D">
              <w:t>mittel</w:t>
            </w:r>
          </w:p>
        </w:tc>
      </w:tr>
      <w:tr w:rsidR="009D209D" w:rsidRPr="009D209D" w:rsidTr="009D209D">
        <w:tc>
          <w:tcPr>
            <w:tcW w:w="2251" w:type="dxa"/>
          </w:tcPr>
          <w:p w:rsidR="009D209D" w:rsidRPr="009D209D" w:rsidRDefault="009D209D" w:rsidP="009D209D">
            <w:pPr>
              <w:pStyle w:val="GesAbsatz"/>
              <w:tabs>
                <w:tab w:val="clear" w:pos="425"/>
              </w:tabs>
            </w:pPr>
            <w:r w:rsidRPr="009D209D">
              <w:t>Siedlungsausprägung</w:t>
            </w:r>
          </w:p>
        </w:tc>
        <w:tc>
          <w:tcPr>
            <w:tcW w:w="2385" w:type="dxa"/>
          </w:tcPr>
          <w:p w:rsidR="009D209D" w:rsidRPr="009D209D" w:rsidRDefault="009D209D" w:rsidP="009D209D">
            <w:pPr>
              <w:pStyle w:val="GesAbsatz"/>
              <w:tabs>
                <w:tab w:val="clear" w:pos="425"/>
              </w:tabs>
            </w:pPr>
            <w:r w:rsidRPr="009D209D">
              <w:t>landwirtschaftliche g</w:t>
            </w:r>
            <w:r w:rsidRPr="009D209D">
              <w:t>e</w:t>
            </w:r>
            <w:r w:rsidRPr="009D209D">
              <w:t>prägte dörfliche Sie</w:t>
            </w:r>
            <w:r w:rsidRPr="009D209D">
              <w:t>d</w:t>
            </w:r>
            <w:r w:rsidRPr="009D209D">
              <w:t>lungen mit historischen Ortskernen; durch ort</w:t>
            </w:r>
            <w:r w:rsidRPr="009D209D">
              <w:t>s</w:t>
            </w:r>
            <w:r w:rsidRPr="009D209D">
              <w:t>nahe Weideflächen und Obstgehölze in die Landschaft eingebu</w:t>
            </w:r>
            <w:r w:rsidRPr="009D209D">
              <w:t>n</w:t>
            </w:r>
            <w:r w:rsidRPr="009D209D">
              <w:t>den;</w:t>
            </w:r>
          </w:p>
        </w:tc>
        <w:tc>
          <w:tcPr>
            <w:tcW w:w="3077" w:type="dxa"/>
          </w:tcPr>
          <w:p w:rsidR="009D209D" w:rsidRPr="009D209D" w:rsidRDefault="009D209D" w:rsidP="009D209D">
            <w:pPr>
              <w:pStyle w:val="GesAbsatz"/>
              <w:tabs>
                <w:tab w:val="clear" w:pos="425"/>
              </w:tabs>
            </w:pPr>
            <w:r w:rsidRPr="009D209D">
              <w:t>Ortschaften haben weitgehend noch dörflichen Charakter; ein</w:t>
            </w:r>
            <w:r w:rsidRPr="009D209D">
              <w:t>i</w:t>
            </w:r>
            <w:r w:rsidRPr="009D209D">
              <w:t>ge historische Elemente vo</w:t>
            </w:r>
            <w:r w:rsidRPr="009D209D">
              <w:t>r</w:t>
            </w:r>
            <w:r w:rsidRPr="009D209D">
              <w:t xml:space="preserve">handen, z. B. Fachwerkhäuser, Kirche, Steinbrücke in </w:t>
            </w:r>
            <w:proofErr w:type="spellStart"/>
            <w:r w:rsidRPr="009D209D">
              <w:t>Ottbe</w:t>
            </w:r>
            <w:r w:rsidRPr="009D209D">
              <w:t>r</w:t>
            </w:r>
            <w:r w:rsidRPr="009D209D">
              <w:t>gen</w:t>
            </w:r>
            <w:proofErr w:type="spellEnd"/>
            <w:r w:rsidRPr="009D209D">
              <w:t>; störend wirken die stark befahrene Bundesstraße und die Neubaugebiete; hofnahe Weiden sind noch vorhanden und stellenweise auch Obstg</w:t>
            </w:r>
            <w:r w:rsidRPr="009D209D">
              <w:t>e</w:t>
            </w:r>
            <w:r w:rsidRPr="009D209D">
              <w:t>hölze;</w:t>
            </w:r>
          </w:p>
        </w:tc>
        <w:tc>
          <w:tcPr>
            <w:tcW w:w="2141" w:type="dxa"/>
          </w:tcPr>
          <w:p w:rsidR="009D209D" w:rsidRPr="009D209D" w:rsidRDefault="009D209D" w:rsidP="009D209D">
            <w:pPr>
              <w:pStyle w:val="GesAbsatz"/>
              <w:tabs>
                <w:tab w:val="clear" w:pos="425"/>
              </w:tabs>
            </w:pPr>
            <w:r w:rsidRPr="009D209D">
              <w:t>mittel</w:t>
            </w:r>
          </w:p>
        </w:tc>
      </w:tr>
      <w:tr w:rsidR="009D209D" w:rsidRPr="009D209D" w:rsidTr="009D209D">
        <w:tc>
          <w:tcPr>
            <w:tcW w:w="7713" w:type="dxa"/>
            <w:gridSpan w:val="3"/>
          </w:tcPr>
          <w:p w:rsidR="009D209D" w:rsidRPr="009D209D" w:rsidRDefault="00A60B51" w:rsidP="009D209D">
            <w:pPr>
              <w:pStyle w:val="GesAbsatz"/>
              <w:tabs>
                <w:tab w:val="clear" w:pos="425"/>
              </w:tabs>
            </w:pPr>
            <w:r>
              <w:rPr>
                <w:rFonts w:cs="Arial"/>
              </w:rPr>
              <w:t>→</w:t>
            </w:r>
            <w:r w:rsidR="009D209D" w:rsidRPr="009D209D">
              <w:t xml:space="preserve"> Gesamtbewertung Eigenart:</w:t>
            </w:r>
          </w:p>
        </w:tc>
        <w:tc>
          <w:tcPr>
            <w:tcW w:w="2141" w:type="dxa"/>
          </w:tcPr>
          <w:p w:rsidR="009D209D" w:rsidRPr="009D209D" w:rsidRDefault="009D209D" w:rsidP="009D209D">
            <w:pPr>
              <w:pStyle w:val="GesAbsatz"/>
              <w:tabs>
                <w:tab w:val="clear" w:pos="425"/>
              </w:tabs>
            </w:pPr>
            <w:r w:rsidRPr="009D209D">
              <w:t>hoch</w:t>
            </w:r>
          </w:p>
        </w:tc>
      </w:tr>
      <w:tr w:rsidR="009D209D" w:rsidRPr="009D209D" w:rsidTr="009D209D">
        <w:tc>
          <w:tcPr>
            <w:tcW w:w="9854" w:type="dxa"/>
            <w:gridSpan w:val="4"/>
            <w:shd w:val="clear" w:color="auto" w:fill="D9D9D9" w:themeFill="background1" w:themeFillShade="D9"/>
          </w:tcPr>
          <w:p w:rsidR="009D209D" w:rsidRPr="009D209D" w:rsidRDefault="009D209D" w:rsidP="009D209D">
            <w:pPr>
              <w:pStyle w:val="GesAbsatz"/>
              <w:tabs>
                <w:tab w:val="clear" w:pos="425"/>
              </w:tabs>
              <w:rPr>
                <w:b/>
              </w:rPr>
            </w:pPr>
            <w:r w:rsidRPr="009D209D">
              <w:rPr>
                <w:b/>
              </w:rPr>
              <w:t>Vielfalt</w:t>
            </w:r>
          </w:p>
        </w:tc>
      </w:tr>
      <w:tr w:rsidR="009D209D" w:rsidRPr="009D209D" w:rsidTr="009D209D">
        <w:tc>
          <w:tcPr>
            <w:tcW w:w="2251" w:type="dxa"/>
          </w:tcPr>
          <w:p w:rsidR="009D209D" w:rsidRPr="009D209D" w:rsidRDefault="009D209D" w:rsidP="00A60B51">
            <w:pPr>
              <w:pStyle w:val="GesAbsatz"/>
              <w:tabs>
                <w:tab w:val="clear" w:pos="425"/>
              </w:tabs>
              <w:jc w:val="left"/>
            </w:pPr>
            <w:r w:rsidRPr="009D209D">
              <w:t>Quantitatives Nu</w:t>
            </w:r>
            <w:r w:rsidRPr="009D209D">
              <w:t>t</w:t>
            </w:r>
            <w:r w:rsidRPr="009D209D">
              <w:t>zungsmuster</w:t>
            </w:r>
          </w:p>
        </w:tc>
        <w:tc>
          <w:tcPr>
            <w:tcW w:w="2385" w:type="dxa"/>
          </w:tcPr>
          <w:p w:rsidR="009D209D" w:rsidRPr="009D209D" w:rsidRDefault="009D209D" w:rsidP="00A60B51">
            <w:pPr>
              <w:pStyle w:val="GesAbsatz"/>
              <w:tabs>
                <w:tab w:val="clear" w:pos="425"/>
              </w:tabs>
              <w:jc w:val="left"/>
            </w:pPr>
            <w:r w:rsidRPr="009D209D">
              <w:t>vielfältig strukturierte Offenlandschaft mit Grünland und Gehöl</w:t>
            </w:r>
            <w:r w:rsidRPr="009D209D">
              <w:t>z</w:t>
            </w:r>
            <w:r w:rsidRPr="009D209D">
              <w:t>bereichen, ländlichen Siedlungen und natu</w:t>
            </w:r>
            <w:r w:rsidRPr="009D209D">
              <w:t>r</w:t>
            </w:r>
            <w:r w:rsidRPr="009D209D">
              <w:t>nahem Fließgewässer;</w:t>
            </w:r>
          </w:p>
        </w:tc>
        <w:tc>
          <w:tcPr>
            <w:tcW w:w="3077" w:type="dxa"/>
          </w:tcPr>
          <w:p w:rsidR="009D209D" w:rsidRPr="009D209D" w:rsidRDefault="009D209D" w:rsidP="009D209D">
            <w:pPr>
              <w:pStyle w:val="GesAbsatz"/>
              <w:tabs>
                <w:tab w:val="clear" w:pos="425"/>
              </w:tabs>
            </w:pPr>
            <w:r w:rsidRPr="009D209D">
              <w:t>der Grundcharakter der Lan</w:t>
            </w:r>
            <w:r w:rsidRPr="009D209D">
              <w:t>d</w:t>
            </w:r>
            <w:r w:rsidRPr="009D209D">
              <w:t>schaft ist noch erhalten gebli</w:t>
            </w:r>
            <w:r w:rsidRPr="009D209D">
              <w:t>e</w:t>
            </w:r>
            <w:r w:rsidRPr="009D209D">
              <w:t>ben; gebietsweise dominiert Ackernutzung und der Anteil von Gehölzstrukturen und n</w:t>
            </w:r>
            <w:r w:rsidRPr="009D209D">
              <w:t>a</w:t>
            </w:r>
            <w:r w:rsidRPr="009D209D">
              <w:t>turnahen Elementen ist zurüc</w:t>
            </w:r>
            <w:r w:rsidRPr="009D209D">
              <w:t>k</w:t>
            </w:r>
            <w:r w:rsidRPr="009D209D">
              <w:t>gegangen;</w:t>
            </w:r>
          </w:p>
        </w:tc>
        <w:tc>
          <w:tcPr>
            <w:tcW w:w="2141" w:type="dxa"/>
          </w:tcPr>
          <w:p w:rsidR="009D209D" w:rsidRPr="009D209D" w:rsidRDefault="009D209D" w:rsidP="009D209D">
            <w:pPr>
              <w:pStyle w:val="GesAbsatz"/>
              <w:tabs>
                <w:tab w:val="clear" w:pos="425"/>
              </w:tabs>
            </w:pPr>
            <w:r w:rsidRPr="009D209D">
              <w:t>mittel</w:t>
            </w:r>
          </w:p>
        </w:tc>
      </w:tr>
      <w:tr w:rsidR="009D209D" w:rsidRPr="009D209D" w:rsidTr="009D209D">
        <w:tc>
          <w:tcPr>
            <w:tcW w:w="7713" w:type="dxa"/>
            <w:gridSpan w:val="3"/>
          </w:tcPr>
          <w:p w:rsidR="009D209D" w:rsidRPr="009D209D" w:rsidRDefault="00A60B51" w:rsidP="009D209D">
            <w:pPr>
              <w:pStyle w:val="GesAbsatz"/>
              <w:tabs>
                <w:tab w:val="clear" w:pos="425"/>
              </w:tabs>
            </w:pPr>
            <w:r>
              <w:rPr>
                <w:rFonts w:cs="Arial"/>
              </w:rPr>
              <w:t>→</w:t>
            </w:r>
            <w:r w:rsidR="009D209D" w:rsidRPr="009D209D">
              <w:t xml:space="preserve"> Gesamtbewertung „Vielfalt“:</w:t>
            </w:r>
          </w:p>
        </w:tc>
        <w:tc>
          <w:tcPr>
            <w:tcW w:w="2141" w:type="dxa"/>
          </w:tcPr>
          <w:p w:rsidR="009D209D" w:rsidRPr="009D209D" w:rsidRDefault="009D209D" w:rsidP="009D209D">
            <w:pPr>
              <w:pStyle w:val="GesAbsatz"/>
              <w:tabs>
                <w:tab w:val="clear" w:pos="425"/>
              </w:tabs>
            </w:pPr>
            <w:r w:rsidRPr="009D209D">
              <w:t>mittel</w:t>
            </w:r>
          </w:p>
        </w:tc>
      </w:tr>
      <w:tr w:rsidR="009D209D" w:rsidRPr="009D209D" w:rsidTr="009D209D">
        <w:tc>
          <w:tcPr>
            <w:tcW w:w="9854" w:type="dxa"/>
            <w:gridSpan w:val="4"/>
            <w:shd w:val="clear" w:color="auto" w:fill="D9D9D9" w:themeFill="background1" w:themeFillShade="D9"/>
          </w:tcPr>
          <w:p w:rsidR="009D209D" w:rsidRPr="009D209D" w:rsidRDefault="009D209D" w:rsidP="009D209D">
            <w:pPr>
              <w:pStyle w:val="GesAbsatz"/>
              <w:tabs>
                <w:tab w:val="clear" w:pos="425"/>
              </w:tabs>
              <w:rPr>
                <w:b/>
              </w:rPr>
            </w:pPr>
            <w:r w:rsidRPr="009D209D">
              <w:rPr>
                <w:b/>
              </w:rPr>
              <w:t>Schönheit</w:t>
            </w:r>
          </w:p>
        </w:tc>
      </w:tr>
      <w:tr w:rsidR="009D209D" w:rsidRPr="009D209D" w:rsidTr="009D209D">
        <w:tc>
          <w:tcPr>
            <w:tcW w:w="2251" w:type="dxa"/>
          </w:tcPr>
          <w:p w:rsidR="009D209D" w:rsidRPr="009D209D" w:rsidRDefault="009D209D" w:rsidP="009D209D">
            <w:pPr>
              <w:pStyle w:val="GesAbsatz"/>
              <w:tabs>
                <w:tab w:val="clear" w:pos="425"/>
              </w:tabs>
            </w:pPr>
            <w:r w:rsidRPr="009D209D">
              <w:t>Naturnähe</w:t>
            </w:r>
          </w:p>
        </w:tc>
        <w:tc>
          <w:tcPr>
            <w:tcW w:w="2385" w:type="dxa"/>
          </w:tcPr>
          <w:p w:rsidR="009D209D" w:rsidRPr="009D209D" w:rsidRDefault="009D209D" w:rsidP="009D209D">
            <w:pPr>
              <w:pStyle w:val="GesAbsatz"/>
              <w:tabs>
                <w:tab w:val="clear" w:pos="425"/>
              </w:tabs>
            </w:pPr>
            <w:r w:rsidRPr="009D209D">
              <w:t>naturnaher Fluss, typ</w:t>
            </w:r>
            <w:r w:rsidRPr="009D209D">
              <w:t>i</w:t>
            </w:r>
            <w:r w:rsidRPr="009D209D">
              <w:t>sche Auenlebensräume wie Auenwälder, Hoc</w:t>
            </w:r>
            <w:r w:rsidRPr="009D209D">
              <w:t>h</w:t>
            </w:r>
            <w:r w:rsidRPr="009D209D">
              <w:t>staudensäume, Rö</w:t>
            </w:r>
            <w:r w:rsidRPr="009D209D">
              <w:t>h</w:t>
            </w:r>
            <w:r w:rsidRPr="009D209D">
              <w:t>richte, Rieder, Kleing</w:t>
            </w:r>
            <w:r w:rsidRPr="009D209D">
              <w:t>e</w:t>
            </w:r>
            <w:r w:rsidRPr="009D209D">
              <w:t>wässer, Altwasserri</w:t>
            </w:r>
            <w:r w:rsidRPr="009D209D">
              <w:t>n</w:t>
            </w:r>
            <w:r w:rsidRPr="009D209D">
              <w:t>nen, Flutmulden und naturnahe Uferstrukt</w:t>
            </w:r>
            <w:r w:rsidRPr="009D209D">
              <w:t>u</w:t>
            </w:r>
            <w:r w:rsidRPr="009D209D">
              <w:t>ren; Gehölzlebensrä</w:t>
            </w:r>
            <w:r w:rsidRPr="009D209D">
              <w:t>u</w:t>
            </w:r>
            <w:r w:rsidRPr="009D209D">
              <w:t>me: Hecken, Feldgehö</w:t>
            </w:r>
            <w:r w:rsidRPr="009D209D">
              <w:t>l</w:t>
            </w:r>
            <w:r w:rsidRPr="009D209D">
              <w:t>ze, Baumreihen, Stre</w:t>
            </w:r>
            <w:r w:rsidRPr="009D209D">
              <w:t>u</w:t>
            </w:r>
            <w:r w:rsidRPr="009D209D">
              <w:t>obstwiesen, Einzelbä</w:t>
            </w:r>
            <w:r w:rsidRPr="009D209D">
              <w:t>u</w:t>
            </w:r>
            <w:r w:rsidRPr="009D209D">
              <w:lastRenderedPageBreak/>
              <w:t xml:space="preserve">me, Saumstrukturen; landesweit bedeutsamer Verbundkorridor der </w:t>
            </w:r>
            <w:proofErr w:type="spellStart"/>
            <w:r w:rsidRPr="009D209D">
              <w:t>Netheaue</w:t>
            </w:r>
            <w:proofErr w:type="spellEnd"/>
            <w:r w:rsidRPr="009D209D">
              <w:t>;</w:t>
            </w:r>
          </w:p>
        </w:tc>
        <w:tc>
          <w:tcPr>
            <w:tcW w:w="3077" w:type="dxa"/>
          </w:tcPr>
          <w:p w:rsidR="009D209D" w:rsidRPr="009D209D" w:rsidRDefault="009D209D" w:rsidP="009D209D">
            <w:pPr>
              <w:pStyle w:val="GesAbsatz"/>
              <w:tabs>
                <w:tab w:val="clear" w:pos="425"/>
              </w:tabs>
            </w:pPr>
            <w:r w:rsidRPr="009D209D">
              <w:lastRenderedPageBreak/>
              <w:t>Gewässerdynamik eing</w:t>
            </w:r>
            <w:r w:rsidRPr="009D209D">
              <w:t>e</w:t>
            </w:r>
            <w:r w:rsidRPr="009D209D">
              <w:t>schränkt, aber Gewässer noch mäandrierend und naturnahe Abschnitte (gesetzliche g</w:t>
            </w:r>
            <w:r w:rsidRPr="009D209D">
              <w:t>e</w:t>
            </w:r>
            <w:r w:rsidRPr="009D209D">
              <w:t>schützte Biotope, FFH-Lebensraumtyp); Auenwaldre</w:t>
            </w:r>
            <w:r w:rsidRPr="009D209D">
              <w:t>s</w:t>
            </w:r>
            <w:r w:rsidRPr="009D209D">
              <w:t xml:space="preserve">te nur noch sehr </w:t>
            </w:r>
            <w:proofErr w:type="spellStart"/>
            <w:r w:rsidRPr="009D209D">
              <w:t>reliktisch</w:t>
            </w:r>
            <w:proofErr w:type="spellEnd"/>
            <w:r w:rsidRPr="009D209D">
              <w:t>; Grünland weitgehend intensiv;</w:t>
            </w:r>
          </w:p>
        </w:tc>
        <w:tc>
          <w:tcPr>
            <w:tcW w:w="2141" w:type="dxa"/>
          </w:tcPr>
          <w:p w:rsidR="009D209D" w:rsidRPr="009D209D" w:rsidRDefault="009D209D" w:rsidP="009D209D">
            <w:pPr>
              <w:pStyle w:val="GesAbsatz"/>
              <w:tabs>
                <w:tab w:val="clear" w:pos="425"/>
              </w:tabs>
            </w:pPr>
            <w:r w:rsidRPr="009D209D">
              <w:t>mittel</w:t>
            </w:r>
          </w:p>
        </w:tc>
      </w:tr>
      <w:tr w:rsidR="009D209D" w:rsidRPr="009D209D" w:rsidTr="009D209D">
        <w:tc>
          <w:tcPr>
            <w:tcW w:w="7713" w:type="dxa"/>
            <w:gridSpan w:val="3"/>
          </w:tcPr>
          <w:p w:rsidR="009D209D" w:rsidRPr="009D209D" w:rsidRDefault="00A60B51" w:rsidP="009D209D">
            <w:pPr>
              <w:pStyle w:val="GesAbsatz"/>
              <w:tabs>
                <w:tab w:val="clear" w:pos="425"/>
              </w:tabs>
            </w:pPr>
            <w:r>
              <w:rPr>
                <w:rFonts w:cs="Arial"/>
              </w:rPr>
              <w:lastRenderedPageBreak/>
              <w:t>→</w:t>
            </w:r>
            <w:r w:rsidR="009D209D" w:rsidRPr="009D209D">
              <w:t xml:space="preserve"> Gesamtbewertung: „Schönheit“:</w:t>
            </w:r>
          </w:p>
        </w:tc>
        <w:tc>
          <w:tcPr>
            <w:tcW w:w="2141" w:type="dxa"/>
          </w:tcPr>
          <w:p w:rsidR="009D209D" w:rsidRPr="009D209D" w:rsidRDefault="009D209D" w:rsidP="009D209D">
            <w:pPr>
              <w:pStyle w:val="GesAbsatz"/>
              <w:tabs>
                <w:tab w:val="clear" w:pos="425"/>
              </w:tabs>
            </w:pPr>
            <w:r w:rsidRPr="009D209D">
              <w:t>mittel</w:t>
            </w:r>
          </w:p>
        </w:tc>
      </w:tr>
      <w:tr w:rsidR="009D209D" w:rsidRPr="009D209D" w:rsidTr="00EA76F4">
        <w:tc>
          <w:tcPr>
            <w:tcW w:w="4636" w:type="dxa"/>
            <w:gridSpan w:val="2"/>
            <w:shd w:val="clear" w:color="auto" w:fill="A6A6A6" w:themeFill="background1" w:themeFillShade="A6"/>
          </w:tcPr>
          <w:p w:rsidR="009D209D" w:rsidRPr="009D209D" w:rsidRDefault="009D209D" w:rsidP="009D209D">
            <w:pPr>
              <w:pStyle w:val="GesAbsatz"/>
              <w:tabs>
                <w:tab w:val="clear" w:pos="425"/>
              </w:tabs>
              <w:rPr>
                <w:b/>
              </w:rPr>
            </w:pPr>
            <w:r w:rsidRPr="009D209D">
              <w:rPr>
                <w:b/>
              </w:rPr>
              <w:t>Gesamtbewertung Landschaftsbild für die Landschaftsbildeinheit:</w:t>
            </w:r>
          </w:p>
        </w:tc>
        <w:tc>
          <w:tcPr>
            <w:tcW w:w="5218" w:type="dxa"/>
            <w:gridSpan w:val="2"/>
            <w:shd w:val="clear" w:color="auto" w:fill="A6A6A6" w:themeFill="background1" w:themeFillShade="A6"/>
          </w:tcPr>
          <w:p w:rsidR="009D209D" w:rsidRPr="009D209D" w:rsidRDefault="009D209D" w:rsidP="009D209D">
            <w:pPr>
              <w:pStyle w:val="GesAbsatz"/>
              <w:tabs>
                <w:tab w:val="clear" w:pos="425"/>
              </w:tabs>
            </w:pPr>
            <w:r w:rsidRPr="009D209D">
              <w:t>hoch, 10 Wertpunkte, besondere Bedeutung</w:t>
            </w:r>
          </w:p>
        </w:tc>
      </w:tr>
    </w:tbl>
    <w:p w:rsidR="00300A9A" w:rsidRDefault="00300A9A" w:rsidP="00300A9A">
      <w:pPr>
        <w:pStyle w:val="GesAbsatz"/>
      </w:pPr>
    </w:p>
    <w:p w:rsidR="00300A9A" w:rsidRDefault="00300A9A" w:rsidP="00300A9A">
      <w:pPr>
        <w:pStyle w:val="GesAbsatz"/>
      </w:pPr>
      <w:r>
        <w:t>Das Kriterium „Eigenart“ ist in die vier Teilkriterien „Relief“, „Gewässer“, „qualitatives Nutzungsmuster“</w:t>
      </w:r>
      <w:r w:rsidR="001A3452">
        <w:t xml:space="preserve"> </w:t>
      </w:r>
      <w:r>
        <w:t>und „Siedlungsausprägung“ untergliedert. Die Gesamtbewertung für das Kriterium</w:t>
      </w:r>
      <w:r w:rsidR="001A3452">
        <w:t xml:space="preserve"> </w:t>
      </w:r>
      <w:r>
        <w:t>„Eigenart“ ergibt sich durch Mittelbildung aus den Teilkriterien. Dabei wird das Maß der</w:t>
      </w:r>
      <w:r w:rsidR="001A3452">
        <w:t xml:space="preserve"> </w:t>
      </w:r>
      <w:r>
        <w:t xml:space="preserve">Übereinstimmung der Teilkriterien wie folgt in Wertpunkte übersetzt: gering </w:t>
      </w:r>
      <w:r w:rsidR="008851A9">
        <w:rPr>
          <w:rFonts w:cs="Arial"/>
        </w:rPr>
        <w:t>→</w:t>
      </w:r>
      <w:r>
        <w:t xml:space="preserve"> 1 Wertpunkt,</w:t>
      </w:r>
      <w:r w:rsidR="001A3452">
        <w:t xml:space="preserve"> </w:t>
      </w:r>
      <w:r>
        <w:t xml:space="preserve">mittel </w:t>
      </w:r>
      <w:r w:rsidR="008851A9">
        <w:rPr>
          <w:rFonts w:cs="Arial"/>
        </w:rPr>
        <w:t>→</w:t>
      </w:r>
      <w:r>
        <w:t xml:space="preserve"> 2 Wertpunkte, hoch </w:t>
      </w:r>
      <w:r w:rsidR="008851A9">
        <w:rPr>
          <w:rFonts w:cs="Arial"/>
        </w:rPr>
        <w:t>→</w:t>
      </w:r>
      <w:r>
        <w:t xml:space="preserve"> 3 Wertpunkte. Im Beispiel (Tab.</w:t>
      </w:r>
      <w:r w:rsidR="00A06C5D">
        <w:t xml:space="preserve"> </w:t>
      </w:r>
      <w:r>
        <w:t>3) sind die Teilkriterien mit</w:t>
      </w:r>
      <w:r w:rsidR="001A3452">
        <w:t xml:space="preserve"> </w:t>
      </w:r>
      <w:r>
        <w:t>„hoch“, „hoch“, „mittel“ und „mittel“ bewertet. Übersetzt in Wertpunkte und arithmetisch gemittelt</w:t>
      </w:r>
      <w:r w:rsidR="001A3452">
        <w:t xml:space="preserve"> </w:t>
      </w:r>
      <w:r>
        <w:t>ergibt sich für das Kriterium „Eigenart“ damit die Gesamtbewertung von: (3+3+2+2)/4 =</w:t>
      </w:r>
      <w:r w:rsidR="001A3452">
        <w:t xml:space="preserve"> </w:t>
      </w:r>
      <w:r>
        <w:t>10/4 = 2,5. Dieser Wert wird aufgerundet auf 3. Die Gesamtbewertung des Kriteriums „Eigenart“</w:t>
      </w:r>
      <w:r w:rsidR="001A3452">
        <w:t xml:space="preserve"> </w:t>
      </w:r>
      <w:r>
        <w:t>ist damit „hoch“.</w:t>
      </w:r>
    </w:p>
    <w:p w:rsidR="00300A9A" w:rsidRDefault="00300A9A" w:rsidP="00300A9A">
      <w:pPr>
        <w:pStyle w:val="GesAbsatz"/>
      </w:pPr>
      <w:r>
        <w:t xml:space="preserve">Die </w:t>
      </w:r>
      <w:r w:rsidRPr="001A3452">
        <w:rPr>
          <w:b/>
          <w:i/>
        </w:rPr>
        <w:t>Gesamtbewertung</w:t>
      </w:r>
      <w:r>
        <w:t xml:space="preserve"> des Landschaftsbildes der Landschaftsbildeinheit LBE-1 (Tab. 3)</w:t>
      </w:r>
      <w:r w:rsidR="001A3452">
        <w:t xml:space="preserve"> </w:t>
      </w:r>
      <w:r>
        <w:t>wird aus den Ei</w:t>
      </w:r>
      <w:r>
        <w:t>n</w:t>
      </w:r>
      <w:r>
        <w:t>zelbewertungen der Kriterien „Eigenart“, „Vielfalt“ und „Schönheit“</w:t>
      </w:r>
      <w:r w:rsidR="001A3452">
        <w:t xml:space="preserve"> </w:t>
      </w:r>
      <w:r>
        <w:t>abgeleitet, wobei der „Eigenart“ ein b</w:t>
      </w:r>
      <w:r>
        <w:t>e</w:t>
      </w:r>
      <w:r>
        <w:t>sonderes Gewicht zukommt. Die Ableitungsregel wird</w:t>
      </w:r>
      <w:r w:rsidR="001A3452">
        <w:t xml:space="preserve"> </w:t>
      </w:r>
      <w:r>
        <w:t>durch die Bewertungsmatrix der Arbeitsanleitung vo</w:t>
      </w:r>
      <w:r>
        <w:t>r</w:t>
      </w:r>
      <w:r>
        <w:t>gegeben (Tab. 4). Die Kombination</w:t>
      </w:r>
      <w:r w:rsidR="001A3452">
        <w:t xml:space="preserve"> </w:t>
      </w:r>
      <w:r>
        <w:t>„hoch“, „mittel“, „mittel“ führt dabei zur Gesamtbewertung „hoch“ mit 10 Wertpunkten</w:t>
      </w:r>
      <w:r w:rsidR="001A3452">
        <w:t xml:space="preserve"> </w:t>
      </w:r>
      <w:r>
        <w:t>(besondere Bedeutung).</w:t>
      </w:r>
    </w:p>
    <w:p w:rsidR="00300A9A" w:rsidRPr="001A3452" w:rsidRDefault="00300A9A" w:rsidP="00300A9A">
      <w:pPr>
        <w:pStyle w:val="GesAbsatz"/>
        <w:rPr>
          <w:b/>
        </w:rPr>
      </w:pPr>
      <w:r w:rsidRPr="001A3452">
        <w:rPr>
          <w:b/>
        </w:rPr>
        <w:t>Tab. 4: Ableitung der Gesamtbewertung des Landschaftsbildes aus den Bewertungen der Kriterien „Eigenart“, „Vielfalt“</w:t>
      </w:r>
      <w:r w:rsidR="001A3452" w:rsidRPr="001A3452">
        <w:rPr>
          <w:b/>
        </w:rPr>
        <w:t xml:space="preserve"> </w:t>
      </w:r>
      <w:r w:rsidRPr="001A3452">
        <w:rPr>
          <w:b/>
        </w:rPr>
        <w:t>und „Schönheit“.</w:t>
      </w:r>
    </w:p>
    <w:tbl>
      <w:tblPr>
        <w:tblStyle w:val="Tabellenraster"/>
        <w:tblW w:w="0" w:type="auto"/>
        <w:tblLook w:val="04A0" w:firstRow="1" w:lastRow="0" w:firstColumn="1" w:lastColumn="0" w:noHBand="0" w:noVBand="1"/>
      </w:tblPr>
      <w:tblGrid>
        <w:gridCol w:w="1139"/>
        <w:gridCol w:w="763"/>
        <w:gridCol w:w="1139"/>
        <w:gridCol w:w="752"/>
        <w:gridCol w:w="1139"/>
        <w:gridCol w:w="752"/>
        <w:gridCol w:w="1768"/>
        <w:gridCol w:w="752"/>
        <w:gridCol w:w="1650"/>
      </w:tblGrid>
      <w:tr w:rsidR="00450C60" w:rsidRPr="00450C60" w:rsidTr="004E6B25">
        <w:trPr>
          <w:tblHeader/>
        </w:trPr>
        <w:tc>
          <w:tcPr>
            <w:tcW w:w="1862" w:type="dxa"/>
            <w:gridSpan w:val="2"/>
            <w:shd w:val="clear" w:color="auto" w:fill="FFFF00"/>
          </w:tcPr>
          <w:p w:rsidR="00450C60" w:rsidRPr="00450C60" w:rsidRDefault="00450C60" w:rsidP="004E6B25">
            <w:pPr>
              <w:pStyle w:val="GesAbsatz"/>
              <w:tabs>
                <w:tab w:val="clear" w:pos="425"/>
                <w:tab w:val="left" w:pos="264"/>
                <w:tab w:val="center" w:pos="843"/>
              </w:tabs>
              <w:jc w:val="left"/>
              <w:rPr>
                <w:b/>
              </w:rPr>
            </w:pPr>
            <w:r w:rsidRPr="00450C60">
              <w:rPr>
                <w:b/>
              </w:rPr>
              <w:t>Eigenart</w:t>
            </w:r>
          </w:p>
        </w:tc>
        <w:tc>
          <w:tcPr>
            <w:tcW w:w="1889" w:type="dxa"/>
            <w:gridSpan w:val="2"/>
            <w:shd w:val="clear" w:color="auto" w:fill="FFFF00"/>
          </w:tcPr>
          <w:p w:rsidR="00450C60" w:rsidRPr="00450C60" w:rsidRDefault="00450C60" w:rsidP="00450C60">
            <w:pPr>
              <w:pStyle w:val="GesAbsatz"/>
              <w:tabs>
                <w:tab w:val="clear" w:pos="425"/>
              </w:tabs>
              <w:jc w:val="center"/>
              <w:rPr>
                <w:b/>
              </w:rPr>
            </w:pPr>
            <w:r w:rsidRPr="00450C60">
              <w:rPr>
                <w:b/>
              </w:rPr>
              <w:t>Vielfalt</w:t>
            </w:r>
          </w:p>
        </w:tc>
        <w:tc>
          <w:tcPr>
            <w:tcW w:w="1910" w:type="dxa"/>
            <w:gridSpan w:val="2"/>
            <w:shd w:val="clear" w:color="auto" w:fill="FFFF00"/>
          </w:tcPr>
          <w:p w:rsidR="00450C60" w:rsidRPr="00450C60" w:rsidRDefault="00450C60" w:rsidP="00450C60">
            <w:pPr>
              <w:pStyle w:val="GesAbsatz"/>
              <w:tabs>
                <w:tab w:val="clear" w:pos="425"/>
              </w:tabs>
              <w:jc w:val="center"/>
              <w:rPr>
                <w:b/>
              </w:rPr>
            </w:pPr>
            <w:r w:rsidRPr="00450C60">
              <w:rPr>
                <w:b/>
              </w:rPr>
              <w:t>Schönheit</w:t>
            </w:r>
          </w:p>
        </w:tc>
        <w:tc>
          <w:tcPr>
            <w:tcW w:w="4193" w:type="dxa"/>
            <w:gridSpan w:val="3"/>
            <w:shd w:val="clear" w:color="auto" w:fill="FFFF00"/>
          </w:tcPr>
          <w:p w:rsidR="00450C60" w:rsidRPr="00450C60" w:rsidRDefault="00450C60" w:rsidP="00450C60">
            <w:pPr>
              <w:pStyle w:val="GesAbsatz"/>
              <w:tabs>
                <w:tab w:val="clear" w:pos="425"/>
              </w:tabs>
              <w:jc w:val="center"/>
              <w:rPr>
                <w:b/>
              </w:rPr>
            </w:pPr>
            <w:r w:rsidRPr="00450C60">
              <w:rPr>
                <w:b/>
              </w:rPr>
              <w:t>Gesamtbewertung</w:t>
            </w:r>
          </w:p>
        </w:tc>
      </w:tr>
      <w:tr w:rsidR="00450C60" w:rsidRPr="00450C60" w:rsidTr="004E6B25">
        <w:trPr>
          <w:tblHeader/>
        </w:trPr>
        <w:tc>
          <w:tcPr>
            <w:tcW w:w="1072" w:type="dxa"/>
          </w:tcPr>
          <w:p w:rsidR="00450C60" w:rsidRPr="00450C60" w:rsidRDefault="00450C60" w:rsidP="00450C60">
            <w:pPr>
              <w:pStyle w:val="GesAbsatz"/>
              <w:tabs>
                <w:tab w:val="clear" w:pos="425"/>
              </w:tabs>
              <w:jc w:val="center"/>
              <w:rPr>
                <w:b/>
              </w:rPr>
            </w:pPr>
            <w:r w:rsidRPr="00450C60">
              <w:rPr>
                <w:b/>
              </w:rPr>
              <w:t>Wertstufe</w:t>
            </w:r>
          </w:p>
        </w:tc>
        <w:tc>
          <w:tcPr>
            <w:tcW w:w="790" w:type="dxa"/>
          </w:tcPr>
          <w:p w:rsidR="00450C60" w:rsidRPr="00450C60" w:rsidRDefault="00450C60" w:rsidP="00450C60">
            <w:pPr>
              <w:pStyle w:val="GesAbsatz"/>
              <w:tabs>
                <w:tab w:val="clear" w:pos="425"/>
              </w:tabs>
              <w:jc w:val="center"/>
              <w:rPr>
                <w:b/>
              </w:rPr>
            </w:pPr>
            <w:r w:rsidRPr="00450C60">
              <w:rPr>
                <w:b/>
              </w:rPr>
              <w:t>WP</w:t>
            </w:r>
          </w:p>
        </w:tc>
        <w:tc>
          <w:tcPr>
            <w:tcW w:w="1109" w:type="dxa"/>
          </w:tcPr>
          <w:p w:rsidR="00450C60" w:rsidRPr="00450C60" w:rsidRDefault="00450C60" w:rsidP="00450C60">
            <w:pPr>
              <w:pStyle w:val="GesAbsatz"/>
              <w:tabs>
                <w:tab w:val="clear" w:pos="425"/>
              </w:tabs>
              <w:jc w:val="center"/>
              <w:rPr>
                <w:b/>
              </w:rPr>
            </w:pPr>
            <w:r w:rsidRPr="00450C60">
              <w:rPr>
                <w:b/>
              </w:rPr>
              <w:t>Wertstufe</w:t>
            </w:r>
          </w:p>
        </w:tc>
        <w:tc>
          <w:tcPr>
            <w:tcW w:w="780" w:type="dxa"/>
          </w:tcPr>
          <w:p w:rsidR="00450C60" w:rsidRPr="00450C60" w:rsidRDefault="00450C60" w:rsidP="00450C60">
            <w:pPr>
              <w:pStyle w:val="GesAbsatz"/>
              <w:tabs>
                <w:tab w:val="clear" w:pos="425"/>
              </w:tabs>
              <w:jc w:val="center"/>
              <w:rPr>
                <w:b/>
              </w:rPr>
            </w:pPr>
            <w:r w:rsidRPr="00450C60">
              <w:rPr>
                <w:b/>
              </w:rPr>
              <w:t>WP</w:t>
            </w:r>
          </w:p>
        </w:tc>
        <w:tc>
          <w:tcPr>
            <w:tcW w:w="1130" w:type="dxa"/>
          </w:tcPr>
          <w:p w:rsidR="00450C60" w:rsidRPr="00450C60" w:rsidRDefault="00450C60" w:rsidP="00450C60">
            <w:pPr>
              <w:pStyle w:val="GesAbsatz"/>
              <w:tabs>
                <w:tab w:val="clear" w:pos="425"/>
              </w:tabs>
              <w:jc w:val="center"/>
              <w:rPr>
                <w:b/>
              </w:rPr>
            </w:pPr>
            <w:r w:rsidRPr="00450C60">
              <w:rPr>
                <w:b/>
              </w:rPr>
              <w:t>Wertstufe</w:t>
            </w:r>
          </w:p>
        </w:tc>
        <w:tc>
          <w:tcPr>
            <w:tcW w:w="780" w:type="dxa"/>
          </w:tcPr>
          <w:p w:rsidR="00450C60" w:rsidRPr="00450C60" w:rsidRDefault="00450C60" w:rsidP="00450C60">
            <w:pPr>
              <w:pStyle w:val="GesAbsatz"/>
              <w:tabs>
                <w:tab w:val="clear" w:pos="425"/>
              </w:tabs>
              <w:jc w:val="center"/>
              <w:rPr>
                <w:b/>
              </w:rPr>
            </w:pPr>
            <w:r w:rsidRPr="00450C60">
              <w:rPr>
                <w:b/>
              </w:rPr>
              <w:t>WP</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Wertstufe</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WP</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Bedeutung</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gering</w:t>
            </w:r>
          </w:p>
        </w:tc>
        <w:tc>
          <w:tcPr>
            <w:tcW w:w="790" w:type="dxa"/>
          </w:tcPr>
          <w:p w:rsidR="00450C60" w:rsidRPr="00450C60" w:rsidRDefault="00450C60" w:rsidP="00450C60">
            <w:pPr>
              <w:pStyle w:val="GesAbsatz"/>
              <w:tabs>
                <w:tab w:val="clear" w:pos="425"/>
              </w:tabs>
              <w:jc w:val="center"/>
            </w:pPr>
            <w:r w:rsidRPr="00450C60">
              <w:t>1+1</w:t>
            </w:r>
          </w:p>
        </w:tc>
        <w:tc>
          <w:tcPr>
            <w:tcW w:w="1109"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130"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gering / gering</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4</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gering</w:t>
            </w:r>
          </w:p>
        </w:tc>
        <w:tc>
          <w:tcPr>
            <w:tcW w:w="790" w:type="dxa"/>
          </w:tcPr>
          <w:p w:rsidR="00450C60" w:rsidRPr="00450C60" w:rsidRDefault="00450C60" w:rsidP="00450C60">
            <w:pPr>
              <w:pStyle w:val="GesAbsatz"/>
              <w:tabs>
                <w:tab w:val="clear" w:pos="425"/>
              </w:tabs>
              <w:jc w:val="center"/>
            </w:pPr>
            <w:r w:rsidRPr="00450C60">
              <w:t>1+1</w:t>
            </w:r>
          </w:p>
        </w:tc>
        <w:tc>
          <w:tcPr>
            <w:tcW w:w="1109"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130"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gering / gering</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5</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gering</w:t>
            </w:r>
          </w:p>
        </w:tc>
        <w:tc>
          <w:tcPr>
            <w:tcW w:w="790" w:type="dxa"/>
          </w:tcPr>
          <w:p w:rsidR="00450C60" w:rsidRPr="00450C60" w:rsidRDefault="00450C60" w:rsidP="00450C60">
            <w:pPr>
              <w:pStyle w:val="GesAbsatz"/>
              <w:tabs>
                <w:tab w:val="clear" w:pos="425"/>
              </w:tabs>
              <w:jc w:val="center"/>
            </w:pPr>
            <w:r w:rsidRPr="00450C60">
              <w:t>1+1</w:t>
            </w:r>
          </w:p>
        </w:tc>
        <w:tc>
          <w:tcPr>
            <w:tcW w:w="1109"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130"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gering / gering</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6</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gering</w:t>
            </w:r>
          </w:p>
        </w:tc>
        <w:tc>
          <w:tcPr>
            <w:tcW w:w="790" w:type="dxa"/>
          </w:tcPr>
          <w:p w:rsidR="00450C60" w:rsidRPr="00450C60" w:rsidRDefault="00450C60" w:rsidP="00450C60">
            <w:pPr>
              <w:pStyle w:val="GesAbsatz"/>
              <w:tabs>
                <w:tab w:val="clear" w:pos="425"/>
              </w:tabs>
              <w:jc w:val="center"/>
            </w:pPr>
            <w:r w:rsidRPr="00450C60">
              <w:t>1+1</w:t>
            </w:r>
          </w:p>
        </w:tc>
        <w:tc>
          <w:tcPr>
            <w:tcW w:w="1109"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130"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gering / gering</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5</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gering</w:t>
            </w:r>
          </w:p>
        </w:tc>
        <w:tc>
          <w:tcPr>
            <w:tcW w:w="790" w:type="dxa"/>
          </w:tcPr>
          <w:p w:rsidR="00450C60" w:rsidRPr="00450C60" w:rsidRDefault="00450C60" w:rsidP="00450C60">
            <w:pPr>
              <w:pStyle w:val="GesAbsatz"/>
              <w:tabs>
                <w:tab w:val="clear" w:pos="425"/>
              </w:tabs>
              <w:jc w:val="center"/>
            </w:pPr>
            <w:r w:rsidRPr="00450C60">
              <w:t>1+1</w:t>
            </w:r>
          </w:p>
        </w:tc>
        <w:tc>
          <w:tcPr>
            <w:tcW w:w="1109"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130"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gering / gering</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6</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gering</w:t>
            </w:r>
          </w:p>
        </w:tc>
        <w:tc>
          <w:tcPr>
            <w:tcW w:w="790" w:type="dxa"/>
          </w:tcPr>
          <w:p w:rsidR="00450C60" w:rsidRPr="00450C60" w:rsidRDefault="00450C60" w:rsidP="00450C60">
            <w:pPr>
              <w:pStyle w:val="GesAbsatz"/>
              <w:tabs>
                <w:tab w:val="clear" w:pos="425"/>
              </w:tabs>
              <w:jc w:val="center"/>
            </w:pPr>
            <w:r w:rsidRPr="00450C60">
              <w:t>1+1</w:t>
            </w:r>
          </w:p>
        </w:tc>
        <w:tc>
          <w:tcPr>
            <w:tcW w:w="1109"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130"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gering / gering</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7</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gering</w:t>
            </w:r>
          </w:p>
        </w:tc>
        <w:tc>
          <w:tcPr>
            <w:tcW w:w="790" w:type="dxa"/>
          </w:tcPr>
          <w:p w:rsidR="00450C60" w:rsidRPr="00450C60" w:rsidRDefault="00450C60" w:rsidP="00450C60">
            <w:pPr>
              <w:pStyle w:val="GesAbsatz"/>
              <w:tabs>
                <w:tab w:val="clear" w:pos="425"/>
              </w:tabs>
              <w:jc w:val="center"/>
            </w:pPr>
            <w:r w:rsidRPr="00450C60">
              <w:t>1+1</w:t>
            </w:r>
          </w:p>
        </w:tc>
        <w:tc>
          <w:tcPr>
            <w:tcW w:w="1109"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130"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gering / gering</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6</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D23363">
        <w:tc>
          <w:tcPr>
            <w:tcW w:w="1072" w:type="dxa"/>
            <w:tcBorders>
              <w:bottom w:val="single" w:sz="4" w:space="0" w:color="auto"/>
            </w:tcBorders>
          </w:tcPr>
          <w:p w:rsidR="00450C60" w:rsidRPr="00450C60" w:rsidRDefault="00450C60" w:rsidP="00450C60">
            <w:pPr>
              <w:pStyle w:val="GesAbsatz"/>
              <w:tabs>
                <w:tab w:val="clear" w:pos="425"/>
              </w:tabs>
              <w:jc w:val="center"/>
            </w:pPr>
            <w:r w:rsidRPr="00450C60">
              <w:t>2 x gering</w:t>
            </w:r>
          </w:p>
        </w:tc>
        <w:tc>
          <w:tcPr>
            <w:tcW w:w="790" w:type="dxa"/>
            <w:tcBorders>
              <w:bottom w:val="single" w:sz="4" w:space="0" w:color="auto"/>
            </w:tcBorders>
          </w:tcPr>
          <w:p w:rsidR="00450C60" w:rsidRPr="00450C60" w:rsidRDefault="00450C60" w:rsidP="00450C60">
            <w:pPr>
              <w:pStyle w:val="GesAbsatz"/>
              <w:tabs>
                <w:tab w:val="clear" w:pos="425"/>
              </w:tabs>
              <w:jc w:val="center"/>
            </w:pPr>
            <w:r w:rsidRPr="00450C60">
              <w:t>1+1</w:t>
            </w:r>
          </w:p>
        </w:tc>
        <w:tc>
          <w:tcPr>
            <w:tcW w:w="1109" w:type="dxa"/>
            <w:tcBorders>
              <w:bottom w:val="single" w:sz="4" w:space="0" w:color="auto"/>
            </w:tcBorders>
          </w:tcPr>
          <w:p w:rsidR="00450C60" w:rsidRPr="00450C60" w:rsidRDefault="00450C60" w:rsidP="00450C60">
            <w:pPr>
              <w:pStyle w:val="GesAbsatz"/>
              <w:tabs>
                <w:tab w:val="clear" w:pos="425"/>
              </w:tabs>
              <w:jc w:val="center"/>
            </w:pPr>
            <w:r w:rsidRPr="00450C60">
              <w:t>hoch</w:t>
            </w:r>
          </w:p>
        </w:tc>
        <w:tc>
          <w:tcPr>
            <w:tcW w:w="780" w:type="dxa"/>
            <w:tcBorders>
              <w:bottom w:val="single" w:sz="4" w:space="0" w:color="auto"/>
            </w:tcBorders>
          </w:tcPr>
          <w:p w:rsidR="00450C60" w:rsidRPr="00450C60" w:rsidRDefault="00450C60" w:rsidP="00450C60">
            <w:pPr>
              <w:pStyle w:val="GesAbsatz"/>
              <w:tabs>
                <w:tab w:val="clear" w:pos="425"/>
              </w:tabs>
              <w:jc w:val="center"/>
            </w:pPr>
            <w:r w:rsidRPr="00450C60">
              <w:t>3</w:t>
            </w:r>
          </w:p>
        </w:tc>
        <w:tc>
          <w:tcPr>
            <w:tcW w:w="1130" w:type="dxa"/>
            <w:tcBorders>
              <w:bottom w:val="single" w:sz="4" w:space="0" w:color="auto"/>
            </w:tcBorders>
          </w:tcPr>
          <w:p w:rsidR="00450C60" w:rsidRPr="00450C60" w:rsidRDefault="00450C60" w:rsidP="00450C60">
            <w:pPr>
              <w:pStyle w:val="GesAbsatz"/>
              <w:tabs>
                <w:tab w:val="clear" w:pos="425"/>
              </w:tabs>
              <w:jc w:val="center"/>
            </w:pPr>
            <w:r w:rsidRPr="00450C60">
              <w:t>mittel</w:t>
            </w:r>
          </w:p>
        </w:tc>
        <w:tc>
          <w:tcPr>
            <w:tcW w:w="780" w:type="dxa"/>
            <w:tcBorders>
              <w:bottom w:val="single" w:sz="4" w:space="0" w:color="auto"/>
            </w:tcBorders>
          </w:tcPr>
          <w:p w:rsidR="00450C60" w:rsidRPr="00450C60" w:rsidRDefault="00450C60" w:rsidP="00450C60">
            <w:pPr>
              <w:pStyle w:val="GesAbsatz"/>
              <w:tabs>
                <w:tab w:val="clear" w:pos="425"/>
              </w:tabs>
              <w:jc w:val="center"/>
            </w:pPr>
            <w:r w:rsidRPr="00450C60">
              <w:t>2</w:t>
            </w:r>
          </w:p>
        </w:tc>
        <w:tc>
          <w:tcPr>
            <w:tcW w:w="1851" w:type="dxa"/>
            <w:tcBorders>
              <w:bottom w:val="single" w:sz="4" w:space="0" w:color="auto"/>
            </w:tcBorders>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gering / gering</w:t>
            </w:r>
          </w:p>
        </w:tc>
        <w:tc>
          <w:tcPr>
            <w:tcW w:w="780" w:type="dxa"/>
            <w:tcBorders>
              <w:bottom w:val="single" w:sz="4"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7</w:t>
            </w:r>
          </w:p>
        </w:tc>
        <w:tc>
          <w:tcPr>
            <w:tcW w:w="1562" w:type="dxa"/>
            <w:tcBorders>
              <w:bottom w:val="single" w:sz="4"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D23363">
        <w:tc>
          <w:tcPr>
            <w:tcW w:w="1072" w:type="dxa"/>
            <w:tcBorders>
              <w:bottom w:val="single" w:sz="12" w:space="0" w:color="auto"/>
            </w:tcBorders>
          </w:tcPr>
          <w:p w:rsidR="00450C60" w:rsidRPr="00450C60" w:rsidRDefault="00450C60" w:rsidP="00450C60">
            <w:pPr>
              <w:pStyle w:val="GesAbsatz"/>
              <w:tabs>
                <w:tab w:val="clear" w:pos="425"/>
              </w:tabs>
              <w:jc w:val="center"/>
            </w:pPr>
            <w:r w:rsidRPr="00450C60">
              <w:t>2 x gering</w:t>
            </w:r>
          </w:p>
        </w:tc>
        <w:tc>
          <w:tcPr>
            <w:tcW w:w="790" w:type="dxa"/>
            <w:tcBorders>
              <w:bottom w:val="single" w:sz="12" w:space="0" w:color="auto"/>
            </w:tcBorders>
          </w:tcPr>
          <w:p w:rsidR="00450C60" w:rsidRPr="00450C60" w:rsidRDefault="00450C60" w:rsidP="00450C60">
            <w:pPr>
              <w:pStyle w:val="GesAbsatz"/>
              <w:tabs>
                <w:tab w:val="clear" w:pos="425"/>
              </w:tabs>
              <w:jc w:val="center"/>
            </w:pPr>
            <w:r w:rsidRPr="00450C60">
              <w:t>1+1</w:t>
            </w:r>
          </w:p>
        </w:tc>
        <w:tc>
          <w:tcPr>
            <w:tcW w:w="1109" w:type="dxa"/>
            <w:tcBorders>
              <w:bottom w:val="single" w:sz="12" w:space="0" w:color="auto"/>
            </w:tcBorders>
          </w:tcPr>
          <w:p w:rsidR="00450C60" w:rsidRPr="00450C60" w:rsidRDefault="00450C60" w:rsidP="00450C60">
            <w:pPr>
              <w:pStyle w:val="GesAbsatz"/>
              <w:tabs>
                <w:tab w:val="clear" w:pos="425"/>
              </w:tabs>
              <w:jc w:val="center"/>
            </w:pPr>
            <w:r w:rsidRPr="00450C60">
              <w:t>hoch</w:t>
            </w:r>
          </w:p>
        </w:tc>
        <w:tc>
          <w:tcPr>
            <w:tcW w:w="780" w:type="dxa"/>
            <w:tcBorders>
              <w:bottom w:val="single" w:sz="12" w:space="0" w:color="auto"/>
            </w:tcBorders>
          </w:tcPr>
          <w:p w:rsidR="00450C60" w:rsidRPr="00450C60" w:rsidRDefault="00450C60" w:rsidP="00450C60">
            <w:pPr>
              <w:pStyle w:val="GesAbsatz"/>
              <w:tabs>
                <w:tab w:val="clear" w:pos="425"/>
              </w:tabs>
              <w:jc w:val="center"/>
            </w:pPr>
            <w:r w:rsidRPr="00450C60">
              <w:t>3</w:t>
            </w:r>
          </w:p>
        </w:tc>
        <w:tc>
          <w:tcPr>
            <w:tcW w:w="1130" w:type="dxa"/>
            <w:tcBorders>
              <w:bottom w:val="single" w:sz="12" w:space="0" w:color="auto"/>
            </w:tcBorders>
          </w:tcPr>
          <w:p w:rsidR="00450C60" w:rsidRPr="00450C60" w:rsidRDefault="00450C60" w:rsidP="00450C60">
            <w:pPr>
              <w:pStyle w:val="GesAbsatz"/>
              <w:tabs>
                <w:tab w:val="clear" w:pos="425"/>
              </w:tabs>
              <w:jc w:val="center"/>
            </w:pPr>
            <w:r w:rsidRPr="00450C60">
              <w:t>hoch</w:t>
            </w:r>
          </w:p>
        </w:tc>
        <w:tc>
          <w:tcPr>
            <w:tcW w:w="780" w:type="dxa"/>
            <w:tcBorders>
              <w:bottom w:val="single" w:sz="12" w:space="0" w:color="auto"/>
            </w:tcBorders>
          </w:tcPr>
          <w:p w:rsidR="00450C60" w:rsidRPr="00450C60" w:rsidRDefault="00450C60" w:rsidP="00450C60">
            <w:pPr>
              <w:pStyle w:val="GesAbsatz"/>
              <w:tabs>
                <w:tab w:val="clear" w:pos="425"/>
              </w:tabs>
              <w:jc w:val="center"/>
            </w:pPr>
            <w:r w:rsidRPr="00450C60">
              <w:t>3</w:t>
            </w:r>
          </w:p>
        </w:tc>
        <w:tc>
          <w:tcPr>
            <w:tcW w:w="1851" w:type="dxa"/>
            <w:tcBorders>
              <w:bottom w:val="single" w:sz="12" w:space="0" w:color="auto"/>
            </w:tcBorders>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mittel</w:t>
            </w:r>
          </w:p>
        </w:tc>
        <w:tc>
          <w:tcPr>
            <w:tcW w:w="780" w:type="dxa"/>
            <w:tcBorders>
              <w:bottom w:val="single" w:sz="12"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8</w:t>
            </w:r>
          </w:p>
        </w:tc>
        <w:tc>
          <w:tcPr>
            <w:tcW w:w="1562" w:type="dxa"/>
            <w:tcBorders>
              <w:bottom w:val="single" w:sz="12"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D23363">
        <w:tc>
          <w:tcPr>
            <w:tcW w:w="1072" w:type="dxa"/>
            <w:tcBorders>
              <w:top w:val="single" w:sz="12" w:space="0" w:color="auto"/>
            </w:tcBorders>
          </w:tcPr>
          <w:p w:rsidR="00450C60" w:rsidRPr="00450C60" w:rsidRDefault="00450C60" w:rsidP="00450C60">
            <w:pPr>
              <w:pStyle w:val="GesAbsatz"/>
              <w:tabs>
                <w:tab w:val="clear" w:pos="425"/>
              </w:tabs>
              <w:jc w:val="center"/>
            </w:pPr>
            <w:r w:rsidRPr="00450C60">
              <w:t>2 x mittel</w:t>
            </w:r>
          </w:p>
        </w:tc>
        <w:tc>
          <w:tcPr>
            <w:tcW w:w="790" w:type="dxa"/>
            <w:tcBorders>
              <w:top w:val="single" w:sz="12" w:space="0" w:color="auto"/>
            </w:tcBorders>
          </w:tcPr>
          <w:p w:rsidR="00450C60" w:rsidRPr="00450C60" w:rsidRDefault="00450C60" w:rsidP="00450C60">
            <w:pPr>
              <w:pStyle w:val="GesAbsatz"/>
              <w:tabs>
                <w:tab w:val="clear" w:pos="425"/>
              </w:tabs>
              <w:jc w:val="center"/>
            </w:pPr>
            <w:r w:rsidRPr="00450C60">
              <w:t>2+2</w:t>
            </w:r>
          </w:p>
        </w:tc>
        <w:tc>
          <w:tcPr>
            <w:tcW w:w="1109" w:type="dxa"/>
            <w:tcBorders>
              <w:top w:val="single" w:sz="12" w:space="0" w:color="auto"/>
            </w:tcBorders>
          </w:tcPr>
          <w:p w:rsidR="00450C60" w:rsidRPr="00450C60" w:rsidRDefault="00450C60" w:rsidP="00450C60">
            <w:pPr>
              <w:pStyle w:val="GesAbsatz"/>
              <w:tabs>
                <w:tab w:val="clear" w:pos="425"/>
              </w:tabs>
              <w:jc w:val="center"/>
            </w:pPr>
            <w:r w:rsidRPr="00450C60">
              <w:t>gering</w:t>
            </w:r>
          </w:p>
        </w:tc>
        <w:tc>
          <w:tcPr>
            <w:tcW w:w="780" w:type="dxa"/>
            <w:tcBorders>
              <w:top w:val="single" w:sz="12" w:space="0" w:color="auto"/>
            </w:tcBorders>
          </w:tcPr>
          <w:p w:rsidR="00450C60" w:rsidRPr="00450C60" w:rsidRDefault="00450C60" w:rsidP="00450C60">
            <w:pPr>
              <w:pStyle w:val="GesAbsatz"/>
              <w:tabs>
                <w:tab w:val="clear" w:pos="425"/>
              </w:tabs>
              <w:jc w:val="center"/>
            </w:pPr>
            <w:r w:rsidRPr="00450C60">
              <w:t>1</w:t>
            </w:r>
          </w:p>
        </w:tc>
        <w:tc>
          <w:tcPr>
            <w:tcW w:w="1130" w:type="dxa"/>
            <w:tcBorders>
              <w:top w:val="single" w:sz="12" w:space="0" w:color="auto"/>
            </w:tcBorders>
          </w:tcPr>
          <w:p w:rsidR="00450C60" w:rsidRPr="00450C60" w:rsidRDefault="00450C60" w:rsidP="00450C60">
            <w:pPr>
              <w:pStyle w:val="GesAbsatz"/>
              <w:tabs>
                <w:tab w:val="clear" w:pos="425"/>
              </w:tabs>
              <w:jc w:val="center"/>
            </w:pPr>
            <w:r w:rsidRPr="00450C60">
              <w:t>gering</w:t>
            </w:r>
          </w:p>
        </w:tc>
        <w:tc>
          <w:tcPr>
            <w:tcW w:w="780" w:type="dxa"/>
            <w:tcBorders>
              <w:top w:val="single" w:sz="12" w:space="0" w:color="auto"/>
            </w:tcBorders>
          </w:tcPr>
          <w:p w:rsidR="00450C60" w:rsidRPr="00450C60" w:rsidRDefault="00450C60" w:rsidP="00450C60">
            <w:pPr>
              <w:pStyle w:val="GesAbsatz"/>
              <w:tabs>
                <w:tab w:val="clear" w:pos="425"/>
              </w:tabs>
              <w:jc w:val="center"/>
            </w:pPr>
            <w:r w:rsidRPr="00450C60">
              <w:t>1</w:t>
            </w:r>
          </w:p>
        </w:tc>
        <w:tc>
          <w:tcPr>
            <w:tcW w:w="1851" w:type="dxa"/>
            <w:tcBorders>
              <w:top w:val="single" w:sz="12" w:space="0" w:color="auto"/>
            </w:tcBorders>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gering / gering</w:t>
            </w:r>
          </w:p>
        </w:tc>
        <w:tc>
          <w:tcPr>
            <w:tcW w:w="780" w:type="dxa"/>
            <w:tcBorders>
              <w:top w:val="single" w:sz="12"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6</w:t>
            </w:r>
          </w:p>
        </w:tc>
        <w:tc>
          <w:tcPr>
            <w:tcW w:w="1562" w:type="dxa"/>
            <w:tcBorders>
              <w:top w:val="single" w:sz="12"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mittel</w:t>
            </w:r>
          </w:p>
        </w:tc>
        <w:tc>
          <w:tcPr>
            <w:tcW w:w="790" w:type="dxa"/>
          </w:tcPr>
          <w:p w:rsidR="00450C60" w:rsidRPr="00450C60" w:rsidRDefault="00450C60" w:rsidP="00450C60">
            <w:pPr>
              <w:pStyle w:val="GesAbsatz"/>
              <w:tabs>
                <w:tab w:val="clear" w:pos="425"/>
              </w:tabs>
              <w:jc w:val="center"/>
            </w:pPr>
            <w:r w:rsidRPr="00450C60">
              <w:t>2+2</w:t>
            </w:r>
          </w:p>
        </w:tc>
        <w:tc>
          <w:tcPr>
            <w:tcW w:w="1109"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130"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mittel</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7</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mittel</w:t>
            </w:r>
          </w:p>
        </w:tc>
        <w:tc>
          <w:tcPr>
            <w:tcW w:w="790" w:type="dxa"/>
          </w:tcPr>
          <w:p w:rsidR="00450C60" w:rsidRPr="00450C60" w:rsidRDefault="00450C60" w:rsidP="00450C60">
            <w:pPr>
              <w:pStyle w:val="GesAbsatz"/>
              <w:tabs>
                <w:tab w:val="clear" w:pos="425"/>
              </w:tabs>
              <w:jc w:val="center"/>
            </w:pPr>
            <w:r w:rsidRPr="00450C60">
              <w:t>2+2</w:t>
            </w:r>
          </w:p>
        </w:tc>
        <w:tc>
          <w:tcPr>
            <w:tcW w:w="1109"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130"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mittel</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8</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mittel</w:t>
            </w:r>
          </w:p>
        </w:tc>
        <w:tc>
          <w:tcPr>
            <w:tcW w:w="790" w:type="dxa"/>
          </w:tcPr>
          <w:p w:rsidR="00450C60" w:rsidRPr="00450C60" w:rsidRDefault="00450C60" w:rsidP="00450C60">
            <w:pPr>
              <w:pStyle w:val="GesAbsatz"/>
              <w:tabs>
                <w:tab w:val="clear" w:pos="425"/>
              </w:tabs>
              <w:jc w:val="center"/>
            </w:pPr>
            <w:r w:rsidRPr="00450C60">
              <w:t>2+2</w:t>
            </w:r>
          </w:p>
        </w:tc>
        <w:tc>
          <w:tcPr>
            <w:tcW w:w="1109"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130"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mittel</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7</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lastRenderedPageBreak/>
              <w:t>2 x mittel</w:t>
            </w:r>
          </w:p>
        </w:tc>
        <w:tc>
          <w:tcPr>
            <w:tcW w:w="790" w:type="dxa"/>
          </w:tcPr>
          <w:p w:rsidR="00450C60" w:rsidRPr="00450C60" w:rsidRDefault="00450C60" w:rsidP="00450C60">
            <w:pPr>
              <w:pStyle w:val="GesAbsatz"/>
              <w:tabs>
                <w:tab w:val="clear" w:pos="425"/>
              </w:tabs>
              <w:jc w:val="center"/>
            </w:pPr>
            <w:r w:rsidRPr="00450C60">
              <w:t>2+2</w:t>
            </w:r>
          </w:p>
        </w:tc>
        <w:tc>
          <w:tcPr>
            <w:tcW w:w="1109"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130"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mittel</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8</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mittel</w:t>
            </w:r>
          </w:p>
        </w:tc>
        <w:tc>
          <w:tcPr>
            <w:tcW w:w="790" w:type="dxa"/>
          </w:tcPr>
          <w:p w:rsidR="00450C60" w:rsidRPr="00450C60" w:rsidRDefault="00450C60" w:rsidP="00450C60">
            <w:pPr>
              <w:pStyle w:val="GesAbsatz"/>
              <w:tabs>
                <w:tab w:val="clear" w:pos="425"/>
              </w:tabs>
              <w:jc w:val="center"/>
            </w:pPr>
            <w:r w:rsidRPr="00450C60">
              <w:t>2+2</w:t>
            </w:r>
          </w:p>
        </w:tc>
        <w:tc>
          <w:tcPr>
            <w:tcW w:w="1109"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130"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mittel</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9</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mittel</w:t>
            </w:r>
          </w:p>
        </w:tc>
        <w:tc>
          <w:tcPr>
            <w:tcW w:w="790" w:type="dxa"/>
          </w:tcPr>
          <w:p w:rsidR="00450C60" w:rsidRPr="00450C60" w:rsidRDefault="00450C60" w:rsidP="00450C60">
            <w:pPr>
              <w:pStyle w:val="GesAbsatz"/>
              <w:tabs>
                <w:tab w:val="clear" w:pos="425"/>
              </w:tabs>
              <w:jc w:val="center"/>
            </w:pPr>
            <w:r w:rsidRPr="00450C60">
              <w:t>2+2</w:t>
            </w:r>
          </w:p>
        </w:tc>
        <w:tc>
          <w:tcPr>
            <w:tcW w:w="1109"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130"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mittel</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8</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D23363">
        <w:tc>
          <w:tcPr>
            <w:tcW w:w="1072" w:type="dxa"/>
            <w:tcBorders>
              <w:bottom w:val="single" w:sz="4" w:space="0" w:color="auto"/>
            </w:tcBorders>
          </w:tcPr>
          <w:p w:rsidR="00450C60" w:rsidRPr="00450C60" w:rsidRDefault="00450C60" w:rsidP="00450C60">
            <w:pPr>
              <w:pStyle w:val="GesAbsatz"/>
              <w:tabs>
                <w:tab w:val="clear" w:pos="425"/>
              </w:tabs>
              <w:jc w:val="center"/>
            </w:pPr>
            <w:r w:rsidRPr="00450C60">
              <w:t>2 x mittel</w:t>
            </w:r>
          </w:p>
        </w:tc>
        <w:tc>
          <w:tcPr>
            <w:tcW w:w="790" w:type="dxa"/>
            <w:tcBorders>
              <w:bottom w:val="single" w:sz="4" w:space="0" w:color="auto"/>
            </w:tcBorders>
          </w:tcPr>
          <w:p w:rsidR="00450C60" w:rsidRPr="00450C60" w:rsidRDefault="00450C60" w:rsidP="00450C60">
            <w:pPr>
              <w:pStyle w:val="GesAbsatz"/>
              <w:tabs>
                <w:tab w:val="clear" w:pos="425"/>
              </w:tabs>
              <w:jc w:val="center"/>
            </w:pPr>
            <w:r w:rsidRPr="00450C60">
              <w:t>2+2</w:t>
            </w:r>
          </w:p>
        </w:tc>
        <w:tc>
          <w:tcPr>
            <w:tcW w:w="1109" w:type="dxa"/>
            <w:tcBorders>
              <w:bottom w:val="single" w:sz="4" w:space="0" w:color="auto"/>
            </w:tcBorders>
          </w:tcPr>
          <w:p w:rsidR="00450C60" w:rsidRPr="00450C60" w:rsidRDefault="00450C60" w:rsidP="00450C60">
            <w:pPr>
              <w:pStyle w:val="GesAbsatz"/>
              <w:tabs>
                <w:tab w:val="clear" w:pos="425"/>
              </w:tabs>
              <w:jc w:val="center"/>
            </w:pPr>
            <w:r w:rsidRPr="00450C60">
              <w:t>hoch</w:t>
            </w:r>
          </w:p>
        </w:tc>
        <w:tc>
          <w:tcPr>
            <w:tcW w:w="780" w:type="dxa"/>
            <w:tcBorders>
              <w:bottom w:val="single" w:sz="4" w:space="0" w:color="auto"/>
            </w:tcBorders>
          </w:tcPr>
          <w:p w:rsidR="00450C60" w:rsidRPr="00450C60" w:rsidRDefault="00450C60" w:rsidP="00450C60">
            <w:pPr>
              <w:pStyle w:val="GesAbsatz"/>
              <w:tabs>
                <w:tab w:val="clear" w:pos="425"/>
              </w:tabs>
              <w:jc w:val="center"/>
            </w:pPr>
            <w:r w:rsidRPr="00450C60">
              <w:t>3</w:t>
            </w:r>
          </w:p>
        </w:tc>
        <w:tc>
          <w:tcPr>
            <w:tcW w:w="1130" w:type="dxa"/>
            <w:tcBorders>
              <w:bottom w:val="single" w:sz="4" w:space="0" w:color="auto"/>
            </w:tcBorders>
          </w:tcPr>
          <w:p w:rsidR="00450C60" w:rsidRPr="00450C60" w:rsidRDefault="00450C60" w:rsidP="00450C60">
            <w:pPr>
              <w:pStyle w:val="GesAbsatz"/>
              <w:tabs>
                <w:tab w:val="clear" w:pos="425"/>
              </w:tabs>
              <w:jc w:val="center"/>
            </w:pPr>
            <w:r w:rsidRPr="00450C60">
              <w:t>mittel</w:t>
            </w:r>
          </w:p>
        </w:tc>
        <w:tc>
          <w:tcPr>
            <w:tcW w:w="780" w:type="dxa"/>
            <w:tcBorders>
              <w:bottom w:val="single" w:sz="4" w:space="0" w:color="auto"/>
            </w:tcBorders>
          </w:tcPr>
          <w:p w:rsidR="00450C60" w:rsidRPr="00450C60" w:rsidRDefault="00450C60" w:rsidP="00450C60">
            <w:pPr>
              <w:pStyle w:val="GesAbsatz"/>
              <w:tabs>
                <w:tab w:val="clear" w:pos="425"/>
              </w:tabs>
              <w:jc w:val="center"/>
            </w:pPr>
            <w:r w:rsidRPr="00450C60">
              <w:t>2</w:t>
            </w:r>
          </w:p>
        </w:tc>
        <w:tc>
          <w:tcPr>
            <w:tcW w:w="1851" w:type="dxa"/>
            <w:tcBorders>
              <w:bottom w:val="single" w:sz="4" w:space="0" w:color="auto"/>
            </w:tcBorders>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mittel</w:t>
            </w:r>
          </w:p>
        </w:tc>
        <w:tc>
          <w:tcPr>
            <w:tcW w:w="780" w:type="dxa"/>
            <w:tcBorders>
              <w:bottom w:val="single" w:sz="4"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9</w:t>
            </w:r>
          </w:p>
        </w:tc>
        <w:tc>
          <w:tcPr>
            <w:tcW w:w="1562" w:type="dxa"/>
            <w:tcBorders>
              <w:bottom w:val="single" w:sz="4"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D23363">
        <w:tc>
          <w:tcPr>
            <w:tcW w:w="1072" w:type="dxa"/>
            <w:tcBorders>
              <w:bottom w:val="single" w:sz="12" w:space="0" w:color="auto"/>
            </w:tcBorders>
          </w:tcPr>
          <w:p w:rsidR="00450C60" w:rsidRPr="00450C60" w:rsidRDefault="00450C60" w:rsidP="00450C60">
            <w:pPr>
              <w:pStyle w:val="GesAbsatz"/>
              <w:tabs>
                <w:tab w:val="clear" w:pos="425"/>
              </w:tabs>
              <w:jc w:val="center"/>
            </w:pPr>
            <w:r w:rsidRPr="00450C60">
              <w:t>2 x mittel</w:t>
            </w:r>
          </w:p>
        </w:tc>
        <w:tc>
          <w:tcPr>
            <w:tcW w:w="790" w:type="dxa"/>
            <w:tcBorders>
              <w:bottom w:val="single" w:sz="12" w:space="0" w:color="auto"/>
            </w:tcBorders>
          </w:tcPr>
          <w:p w:rsidR="00450C60" w:rsidRPr="00450C60" w:rsidRDefault="00450C60" w:rsidP="00450C60">
            <w:pPr>
              <w:pStyle w:val="GesAbsatz"/>
              <w:tabs>
                <w:tab w:val="clear" w:pos="425"/>
              </w:tabs>
              <w:jc w:val="center"/>
            </w:pPr>
            <w:r w:rsidRPr="00450C60">
              <w:t>2+2</w:t>
            </w:r>
          </w:p>
        </w:tc>
        <w:tc>
          <w:tcPr>
            <w:tcW w:w="1109" w:type="dxa"/>
            <w:tcBorders>
              <w:bottom w:val="single" w:sz="12" w:space="0" w:color="auto"/>
            </w:tcBorders>
          </w:tcPr>
          <w:p w:rsidR="00450C60" w:rsidRPr="00450C60" w:rsidRDefault="00450C60" w:rsidP="00450C60">
            <w:pPr>
              <w:pStyle w:val="GesAbsatz"/>
              <w:tabs>
                <w:tab w:val="clear" w:pos="425"/>
              </w:tabs>
              <w:jc w:val="center"/>
            </w:pPr>
            <w:r w:rsidRPr="00450C60">
              <w:t>hoch</w:t>
            </w:r>
          </w:p>
        </w:tc>
        <w:tc>
          <w:tcPr>
            <w:tcW w:w="780" w:type="dxa"/>
            <w:tcBorders>
              <w:bottom w:val="single" w:sz="12" w:space="0" w:color="auto"/>
            </w:tcBorders>
          </w:tcPr>
          <w:p w:rsidR="00450C60" w:rsidRPr="00450C60" w:rsidRDefault="00450C60" w:rsidP="00450C60">
            <w:pPr>
              <w:pStyle w:val="GesAbsatz"/>
              <w:tabs>
                <w:tab w:val="clear" w:pos="425"/>
              </w:tabs>
              <w:jc w:val="center"/>
            </w:pPr>
            <w:r w:rsidRPr="00450C60">
              <w:t>3</w:t>
            </w:r>
          </w:p>
        </w:tc>
        <w:tc>
          <w:tcPr>
            <w:tcW w:w="1130" w:type="dxa"/>
            <w:tcBorders>
              <w:bottom w:val="single" w:sz="12" w:space="0" w:color="auto"/>
            </w:tcBorders>
          </w:tcPr>
          <w:p w:rsidR="00450C60" w:rsidRPr="00450C60" w:rsidRDefault="00450C60" w:rsidP="00450C60">
            <w:pPr>
              <w:pStyle w:val="GesAbsatz"/>
              <w:tabs>
                <w:tab w:val="clear" w:pos="425"/>
              </w:tabs>
              <w:jc w:val="center"/>
            </w:pPr>
            <w:r w:rsidRPr="00450C60">
              <w:t>hoch</w:t>
            </w:r>
          </w:p>
        </w:tc>
        <w:tc>
          <w:tcPr>
            <w:tcW w:w="780" w:type="dxa"/>
            <w:tcBorders>
              <w:bottom w:val="single" w:sz="12" w:space="0" w:color="auto"/>
            </w:tcBorders>
          </w:tcPr>
          <w:p w:rsidR="00450C60" w:rsidRPr="00450C60" w:rsidRDefault="00450C60" w:rsidP="00450C60">
            <w:pPr>
              <w:pStyle w:val="GesAbsatz"/>
              <w:tabs>
                <w:tab w:val="clear" w:pos="425"/>
              </w:tabs>
              <w:jc w:val="center"/>
            </w:pPr>
            <w:r w:rsidRPr="00450C60">
              <w:t>3</w:t>
            </w:r>
          </w:p>
        </w:tc>
        <w:tc>
          <w:tcPr>
            <w:tcW w:w="1851" w:type="dxa"/>
            <w:tcBorders>
              <w:bottom w:val="single" w:sz="12" w:space="0" w:color="auto"/>
            </w:tcBorders>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hoch</w:t>
            </w:r>
          </w:p>
        </w:tc>
        <w:tc>
          <w:tcPr>
            <w:tcW w:w="780" w:type="dxa"/>
            <w:tcBorders>
              <w:bottom w:val="single" w:sz="12"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10</w:t>
            </w:r>
          </w:p>
        </w:tc>
        <w:tc>
          <w:tcPr>
            <w:tcW w:w="1562" w:type="dxa"/>
            <w:tcBorders>
              <w:bottom w:val="single" w:sz="12"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besondere</w:t>
            </w:r>
          </w:p>
        </w:tc>
      </w:tr>
      <w:tr w:rsidR="00450C60" w:rsidRPr="00450C60" w:rsidTr="00D23363">
        <w:tc>
          <w:tcPr>
            <w:tcW w:w="1072" w:type="dxa"/>
            <w:tcBorders>
              <w:top w:val="single" w:sz="12" w:space="0" w:color="auto"/>
            </w:tcBorders>
          </w:tcPr>
          <w:p w:rsidR="00450C60" w:rsidRPr="00450C60" w:rsidRDefault="00450C60" w:rsidP="00450C60">
            <w:pPr>
              <w:pStyle w:val="GesAbsatz"/>
              <w:tabs>
                <w:tab w:val="clear" w:pos="425"/>
              </w:tabs>
              <w:jc w:val="center"/>
            </w:pPr>
            <w:r w:rsidRPr="00450C60">
              <w:t>2 x hoch</w:t>
            </w:r>
          </w:p>
        </w:tc>
        <w:tc>
          <w:tcPr>
            <w:tcW w:w="790" w:type="dxa"/>
            <w:tcBorders>
              <w:top w:val="single" w:sz="12" w:space="0" w:color="auto"/>
            </w:tcBorders>
          </w:tcPr>
          <w:p w:rsidR="00450C60" w:rsidRPr="00450C60" w:rsidRDefault="00450C60" w:rsidP="00450C60">
            <w:pPr>
              <w:pStyle w:val="GesAbsatz"/>
              <w:tabs>
                <w:tab w:val="clear" w:pos="425"/>
              </w:tabs>
              <w:jc w:val="center"/>
            </w:pPr>
            <w:r w:rsidRPr="00450C60">
              <w:t>3+3</w:t>
            </w:r>
          </w:p>
        </w:tc>
        <w:tc>
          <w:tcPr>
            <w:tcW w:w="1109" w:type="dxa"/>
            <w:tcBorders>
              <w:top w:val="single" w:sz="12" w:space="0" w:color="auto"/>
            </w:tcBorders>
          </w:tcPr>
          <w:p w:rsidR="00450C60" w:rsidRPr="00450C60" w:rsidRDefault="00450C60" w:rsidP="00450C60">
            <w:pPr>
              <w:pStyle w:val="GesAbsatz"/>
              <w:tabs>
                <w:tab w:val="clear" w:pos="425"/>
              </w:tabs>
              <w:jc w:val="center"/>
            </w:pPr>
            <w:r w:rsidRPr="00450C60">
              <w:t>gering</w:t>
            </w:r>
          </w:p>
        </w:tc>
        <w:tc>
          <w:tcPr>
            <w:tcW w:w="780" w:type="dxa"/>
            <w:tcBorders>
              <w:top w:val="single" w:sz="12" w:space="0" w:color="auto"/>
            </w:tcBorders>
          </w:tcPr>
          <w:p w:rsidR="00450C60" w:rsidRPr="00450C60" w:rsidRDefault="00450C60" w:rsidP="00450C60">
            <w:pPr>
              <w:pStyle w:val="GesAbsatz"/>
              <w:tabs>
                <w:tab w:val="clear" w:pos="425"/>
              </w:tabs>
              <w:jc w:val="center"/>
            </w:pPr>
            <w:r w:rsidRPr="00450C60">
              <w:t>1</w:t>
            </w:r>
          </w:p>
        </w:tc>
        <w:tc>
          <w:tcPr>
            <w:tcW w:w="1130" w:type="dxa"/>
            <w:tcBorders>
              <w:top w:val="single" w:sz="12" w:space="0" w:color="auto"/>
            </w:tcBorders>
          </w:tcPr>
          <w:p w:rsidR="00450C60" w:rsidRPr="00450C60" w:rsidRDefault="00450C60" w:rsidP="00450C60">
            <w:pPr>
              <w:pStyle w:val="GesAbsatz"/>
              <w:tabs>
                <w:tab w:val="clear" w:pos="425"/>
              </w:tabs>
              <w:jc w:val="center"/>
            </w:pPr>
            <w:r w:rsidRPr="00450C60">
              <w:t>gering</w:t>
            </w:r>
          </w:p>
        </w:tc>
        <w:tc>
          <w:tcPr>
            <w:tcW w:w="780" w:type="dxa"/>
            <w:tcBorders>
              <w:top w:val="single" w:sz="12" w:space="0" w:color="auto"/>
            </w:tcBorders>
          </w:tcPr>
          <w:p w:rsidR="00450C60" w:rsidRPr="00450C60" w:rsidRDefault="00450C60" w:rsidP="00450C60">
            <w:pPr>
              <w:pStyle w:val="GesAbsatz"/>
              <w:tabs>
                <w:tab w:val="clear" w:pos="425"/>
              </w:tabs>
              <w:jc w:val="center"/>
            </w:pPr>
            <w:r w:rsidRPr="00450C60">
              <w:t>1</w:t>
            </w:r>
          </w:p>
        </w:tc>
        <w:tc>
          <w:tcPr>
            <w:tcW w:w="1851" w:type="dxa"/>
            <w:tcBorders>
              <w:top w:val="single" w:sz="12" w:space="0" w:color="auto"/>
            </w:tcBorders>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mittel</w:t>
            </w:r>
          </w:p>
        </w:tc>
        <w:tc>
          <w:tcPr>
            <w:tcW w:w="780" w:type="dxa"/>
            <w:tcBorders>
              <w:top w:val="single" w:sz="12"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8</w:t>
            </w:r>
          </w:p>
        </w:tc>
        <w:tc>
          <w:tcPr>
            <w:tcW w:w="1562" w:type="dxa"/>
            <w:tcBorders>
              <w:top w:val="single" w:sz="12" w:space="0" w:color="auto"/>
            </w:tcBorders>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hoch</w:t>
            </w:r>
          </w:p>
        </w:tc>
        <w:tc>
          <w:tcPr>
            <w:tcW w:w="790" w:type="dxa"/>
          </w:tcPr>
          <w:p w:rsidR="00450C60" w:rsidRPr="00450C60" w:rsidRDefault="00450C60" w:rsidP="00450C60">
            <w:pPr>
              <w:pStyle w:val="GesAbsatz"/>
              <w:tabs>
                <w:tab w:val="clear" w:pos="425"/>
              </w:tabs>
              <w:jc w:val="center"/>
            </w:pPr>
            <w:r w:rsidRPr="00450C60">
              <w:t>3+3</w:t>
            </w:r>
          </w:p>
        </w:tc>
        <w:tc>
          <w:tcPr>
            <w:tcW w:w="1109"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130"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hoch</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9</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besondere</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hoch</w:t>
            </w:r>
          </w:p>
        </w:tc>
        <w:tc>
          <w:tcPr>
            <w:tcW w:w="790" w:type="dxa"/>
          </w:tcPr>
          <w:p w:rsidR="00450C60" w:rsidRPr="00450C60" w:rsidRDefault="00450C60" w:rsidP="00450C60">
            <w:pPr>
              <w:pStyle w:val="GesAbsatz"/>
              <w:tabs>
                <w:tab w:val="clear" w:pos="425"/>
              </w:tabs>
              <w:jc w:val="center"/>
            </w:pPr>
            <w:r w:rsidRPr="00450C60">
              <w:t>3+3</w:t>
            </w:r>
          </w:p>
        </w:tc>
        <w:tc>
          <w:tcPr>
            <w:tcW w:w="1109"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130"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hoch</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10</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besondere</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hoch</w:t>
            </w:r>
          </w:p>
        </w:tc>
        <w:tc>
          <w:tcPr>
            <w:tcW w:w="790" w:type="dxa"/>
          </w:tcPr>
          <w:p w:rsidR="00450C60" w:rsidRPr="00450C60" w:rsidRDefault="00450C60" w:rsidP="00450C60">
            <w:pPr>
              <w:pStyle w:val="GesAbsatz"/>
              <w:tabs>
                <w:tab w:val="clear" w:pos="425"/>
              </w:tabs>
              <w:jc w:val="center"/>
            </w:pPr>
            <w:r w:rsidRPr="00450C60">
              <w:t>3+3</w:t>
            </w:r>
          </w:p>
        </w:tc>
        <w:tc>
          <w:tcPr>
            <w:tcW w:w="1109"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130"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hoch</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9</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besondere</w:t>
            </w:r>
          </w:p>
        </w:tc>
      </w:tr>
      <w:tr w:rsidR="00450C60" w:rsidRPr="00450C60" w:rsidTr="00450C60">
        <w:tc>
          <w:tcPr>
            <w:tcW w:w="1072" w:type="dxa"/>
          </w:tcPr>
          <w:p w:rsidR="00450C60" w:rsidRPr="00BB3FE5" w:rsidRDefault="00450C60" w:rsidP="00450C60">
            <w:pPr>
              <w:pStyle w:val="GesAbsatz"/>
              <w:tabs>
                <w:tab w:val="clear" w:pos="425"/>
              </w:tabs>
              <w:jc w:val="center"/>
              <w:rPr>
                <w:color w:val="FF0000"/>
              </w:rPr>
            </w:pPr>
            <w:r w:rsidRPr="00BB3FE5">
              <w:rPr>
                <w:color w:val="FF0000"/>
              </w:rPr>
              <w:t>2 x hoch</w:t>
            </w:r>
          </w:p>
        </w:tc>
        <w:tc>
          <w:tcPr>
            <w:tcW w:w="790" w:type="dxa"/>
          </w:tcPr>
          <w:p w:rsidR="00450C60" w:rsidRPr="00BB3FE5" w:rsidRDefault="00450C60" w:rsidP="00450C60">
            <w:pPr>
              <w:pStyle w:val="GesAbsatz"/>
              <w:tabs>
                <w:tab w:val="clear" w:pos="425"/>
              </w:tabs>
              <w:jc w:val="center"/>
              <w:rPr>
                <w:color w:val="FF0000"/>
              </w:rPr>
            </w:pPr>
            <w:r w:rsidRPr="00BB3FE5">
              <w:rPr>
                <w:color w:val="FF0000"/>
              </w:rPr>
              <w:t>3+3</w:t>
            </w:r>
          </w:p>
        </w:tc>
        <w:tc>
          <w:tcPr>
            <w:tcW w:w="1109" w:type="dxa"/>
          </w:tcPr>
          <w:p w:rsidR="00450C60" w:rsidRPr="00BB3FE5" w:rsidRDefault="00450C60" w:rsidP="00450C60">
            <w:pPr>
              <w:pStyle w:val="GesAbsatz"/>
              <w:tabs>
                <w:tab w:val="clear" w:pos="425"/>
              </w:tabs>
              <w:jc w:val="center"/>
              <w:rPr>
                <w:color w:val="FF0000"/>
              </w:rPr>
            </w:pPr>
            <w:r w:rsidRPr="00BB3FE5">
              <w:rPr>
                <w:color w:val="FF0000"/>
              </w:rPr>
              <w:t>mittel</w:t>
            </w:r>
          </w:p>
        </w:tc>
        <w:tc>
          <w:tcPr>
            <w:tcW w:w="780" w:type="dxa"/>
          </w:tcPr>
          <w:p w:rsidR="00450C60" w:rsidRPr="00BB3FE5" w:rsidRDefault="00450C60" w:rsidP="00450C60">
            <w:pPr>
              <w:pStyle w:val="GesAbsatz"/>
              <w:tabs>
                <w:tab w:val="clear" w:pos="425"/>
              </w:tabs>
              <w:jc w:val="center"/>
              <w:rPr>
                <w:color w:val="FF0000"/>
              </w:rPr>
            </w:pPr>
            <w:r w:rsidRPr="00BB3FE5">
              <w:rPr>
                <w:color w:val="FF0000"/>
              </w:rPr>
              <w:t>2</w:t>
            </w:r>
          </w:p>
        </w:tc>
        <w:tc>
          <w:tcPr>
            <w:tcW w:w="1130" w:type="dxa"/>
          </w:tcPr>
          <w:p w:rsidR="00450C60" w:rsidRPr="00BB3FE5" w:rsidRDefault="00450C60" w:rsidP="00450C60">
            <w:pPr>
              <w:pStyle w:val="GesAbsatz"/>
              <w:tabs>
                <w:tab w:val="clear" w:pos="425"/>
              </w:tabs>
              <w:jc w:val="center"/>
              <w:rPr>
                <w:color w:val="FF0000"/>
              </w:rPr>
            </w:pPr>
            <w:r w:rsidRPr="00BB3FE5">
              <w:rPr>
                <w:color w:val="FF0000"/>
              </w:rPr>
              <w:t>mittel</w:t>
            </w:r>
          </w:p>
        </w:tc>
        <w:tc>
          <w:tcPr>
            <w:tcW w:w="780" w:type="dxa"/>
          </w:tcPr>
          <w:p w:rsidR="00450C60" w:rsidRPr="00BB3FE5" w:rsidRDefault="00450C60" w:rsidP="00450C60">
            <w:pPr>
              <w:pStyle w:val="GesAbsatz"/>
              <w:tabs>
                <w:tab w:val="clear" w:pos="425"/>
              </w:tabs>
              <w:jc w:val="center"/>
              <w:rPr>
                <w:color w:val="FF0000"/>
              </w:rPr>
            </w:pPr>
            <w:r w:rsidRPr="00BB3FE5">
              <w:rPr>
                <w:color w:val="FF0000"/>
              </w:rPr>
              <w:t>2</w:t>
            </w:r>
          </w:p>
        </w:tc>
        <w:tc>
          <w:tcPr>
            <w:tcW w:w="1851" w:type="dxa"/>
            <w:shd w:val="clear" w:color="auto" w:fill="A6A6A6" w:themeFill="background1" w:themeFillShade="A6"/>
          </w:tcPr>
          <w:p w:rsidR="00450C60" w:rsidRPr="00BB3FE5" w:rsidRDefault="00450C60" w:rsidP="00450C60">
            <w:pPr>
              <w:pStyle w:val="GesAbsatz"/>
              <w:tabs>
                <w:tab w:val="clear" w:pos="425"/>
              </w:tabs>
              <w:jc w:val="center"/>
              <w:rPr>
                <w:b/>
                <w:color w:val="FF0000"/>
              </w:rPr>
            </w:pPr>
            <w:r w:rsidRPr="00BB3FE5">
              <w:rPr>
                <w:b/>
                <w:color w:val="FF0000"/>
              </w:rPr>
              <w:t>hoch</w:t>
            </w:r>
          </w:p>
        </w:tc>
        <w:tc>
          <w:tcPr>
            <w:tcW w:w="780" w:type="dxa"/>
            <w:shd w:val="clear" w:color="auto" w:fill="D9D9D9" w:themeFill="background1" w:themeFillShade="D9"/>
          </w:tcPr>
          <w:p w:rsidR="00450C60" w:rsidRPr="00BB3FE5" w:rsidRDefault="00450C60" w:rsidP="00450C60">
            <w:pPr>
              <w:pStyle w:val="GesAbsatz"/>
              <w:tabs>
                <w:tab w:val="clear" w:pos="425"/>
              </w:tabs>
              <w:jc w:val="center"/>
              <w:rPr>
                <w:b/>
                <w:color w:val="FF0000"/>
              </w:rPr>
            </w:pPr>
            <w:r w:rsidRPr="00BB3FE5">
              <w:rPr>
                <w:b/>
                <w:color w:val="FF0000"/>
              </w:rPr>
              <w:t>10</w:t>
            </w:r>
          </w:p>
        </w:tc>
        <w:tc>
          <w:tcPr>
            <w:tcW w:w="1562" w:type="dxa"/>
            <w:shd w:val="clear" w:color="auto" w:fill="D9D9D9" w:themeFill="background1" w:themeFillShade="D9"/>
          </w:tcPr>
          <w:p w:rsidR="00450C60" w:rsidRPr="00BB3FE5" w:rsidRDefault="00450C60" w:rsidP="00450C60">
            <w:pPr>
              <w:pStyle w:val="GesAbsatz"/>
              <w:tabs>
                <w:tab w:val="clear" w:pos="425"/>
              </w:tabs>
              <w:jc w:val="center"/>
              <w:rPr>
                <w:b/>
                <w:color w:val="FF0000"/>
              </w:rPr>
            </w:pPr>
            <w:r w:rsidRPr="00BB3FE5">
              <w:rPr>
                <w:b/>
                <w:color w:val="FF0000"/>
              </w:rPr>
              <w:t>besondere</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hoch</w:t>
            </w:r>
          </w:p>
        </w:tc>
        <w:tc>
          <w:tcPr>
            <w:tcW w:w="790" w:type="dxa"/>
          </w:tcPr>
          <w:p w:rsidR="00450C60" w:rsidRPr="00450C60" w:rsidRDefault="00450C60" w:rsidP="00450C60">
            <w:pPr>
              <w:pStyle w:val="GesAbsatz"/>
              <w:tabs>
                <w:tab w:val="clear" w:pos="425"/>
              </w:tabs>
              <w:jc w:val="center"/>
            </w:pPr>
            <w:r w:rsidRPr="00450C60">
              <w:t>3+3</w:t>
            </w:r>
          </w:p>
        </w:tc>
        <w:tc>
          <w:tcPr>
            <w:tcW w:w="1109"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130"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hoch</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11</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herausragende</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hoch</w:t>
            </w:r>
          </w:p>
        </w:tc>
        <w:tc>
          <w:tcPr>
            <w:tcW w:w="790" w:type="dxa"/>
          </w:tcPr>
          <w:p w:rsidR="00450C60" w:rsidRPr="00450C60" w:rsidRDefault="00450C60" w:rsidP="00450C60">
            <w:pPr>
              <w:pStyle w:val="GesAbsatz"/>
              <w:tabs>
                <w:tab w:val="clear" w:pos="425"/>
              </w:tabs>
              <w:jc w:val="center"/>
            </w:pPr>
            <w:r w:rsidRPr="00450C60">
              <w:t>3+3</w:t>
            </w:r>
          </w:p>
        </w:tc>
        <w:tc>
          <w:tcPr>
            <w:tcW w:w="1109"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130" w:type="dxa"/>
          </w:tcPr>
          <w:p w:rsidR="00450C60" w:rsidRPr="00450C60" w:rsidRDefault="00450C60" w:rsidP="00450C60">
            <w:pPr>
              <w:pStyle w:val="GesAbsatz"/>
              <w:tabs>
                <w:tab w:val="clear" w:pos="425"/>
              </w:tabs>
              <w:jc w:val="center"/>
            </w:pPr>
            <w:r w:rsidRPr="00450C60">
              <w:t>gering</w:t>
            </w:r>
          </w:p>
        </w:tc>
        <w:tc>
          <w:tcPr>
            <w:tcW w:w="780" w:type="dxa"/>
          </w:tcPr>
          <w:p w:rsidR="00450C60" w:rsidRPr="00450C60" w:rsidRDefault="00450C60" w:rsidP="00450C60">
            <w:pPr>
              <w:pStyle w:val="GesAbsatz"/>
              <w:tabs>
                <w:tab w:val="clear" w:pos="425"/>
              </w:tabs>
              <w:jc w:val="center"/>
            </w:pPr>
            <w:r w:rsidRPr="00450C60">
              <w:t>1</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hoch</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10</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besondere</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hoch</w:t>
            </w:r>
          </w:p>
        </w:tc>
        <w:tc>
          <w:tcPr>
            <w:tcW w:w="790" w:type="dxa"/>
          </w:tcPr>
          <w:p w:rsidR="00450C60" w:rsidRPr="00450C60" w:rsidRDefault="00450C60" w:rsidP="00450C60">
            <w:pPr>
              <w:pStyle w:val="GesAbsatz"/>
              <w:tabs>
                <w:tab w:val="clear" w:pos="425"/>
              </w:tabs>
              <w:jc w:val="center"/>
            </w:pPr>
            <w:r w:rsidRPr="00450C60">
              <w:t>3+3</w:t>
            </w:r>
          </w:p>
        </w:tc>
        <w:tc>
          <w:tcPr>
            <w:tcW w:w="1109"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130" w:type="dxa"/>
          </w:tcPr>
          <w:p w:rsidR="00450C60" w:rsidRPr="00450C60" w:rsidRDefault="00450C60" w:rsidP="00450C60">
            <w:pPr>
              <w:pStyle w:val="GesAbsatz"/>
              <w:tabs>
                <w:tab w:val="clear" w:pos="425"/>
              </w:tabs>
              <w:jc w:val="center"/>
            </w:pPr>
            <w:r w:rsidRPr="00450C60">
              <w:t>mittel</w:t>
            </w:r>
          </w:p>
        </w:tc>
        <w:tc>
          <w:tcPr>
            <w:tcW w:w="780" w:type="dxa"/>
          </w:tcPr>
          <w:p w:rsidR="00450C60" w:rsidRPr="00450C60" w:rsidRDefault="00450C60" w:rsidP="00450C60">
            <w:pPr>
              <w:pStyle w:val="GesAbsatz"/>
              <w:tabs>
                <w:tab w:val="clear" w:pos="425"/>
              </w:tabs>
              <w:jc w:val="center"/>
            </w:pPr>
            <w:r w:rsidRPr="00450C60">
              <w:t>2</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hoch</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11</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herausragende</w:t>
            </w:r>
          </w:p>
        </w:tc>
      </w:tr>
      <w:tr w:rsidR="00450C60" w:rsidRPr="00450C60" w:rsidTr="00450C60">
        <w:tc>
          <w:tcPr>
            <w:tcW w:w="1072" w:type="dxa"/>
          </w:tcPr>
          <w:p w:rsidR="00450C60" w:rsidRPr="00450C60" w:rsidRDefault="00450C60" w:rsidP="00450C60">
            <w:pPr>
              <w:pStyle w:val="GesAbsatz"/>
              <w:tabs>
                <w:tab w:val="clear" w:pos="425"/>
              </w:tabs>
              <w:jc w:val="center"/>
            </w:pPr>
            <w:r w:rsidRPr="00450C60">
              <w:t>2 x hoch</w:t>
            </w:r>
          </w:p>
        </w:tc>
        <w:tc>
          <w:tcPr>
            <w:tcW w:w="790" w:type="dxa"/>
          </w:tcPr>
          <w:p w:rsidR="00450C60" w:rsidRPr="00450C60" w:rsidRDefault="00450C60" w:rsidP="00450C60">
            <w:pPr>
              <w:pStyle w:val="GesAbsatz"/>
              <w:tabs>
                <w:tab w:val="clear" w:pos="425"/>
              </w:tabs>
              <w:jc w:val="center"/>
            </w:pPr>
            <w:r w:rsidRPr="00450C60">
              <w:t>3+3</w:t>
            </w:r>
          </w:p>
        </w:tc>
        <w:tc>
          <w:tcPr>
            <w:tcW w:w="1109"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130" w:type="dxa"/>
          </w:tcPr>
          <w:p w:rsidR="00450C60" w:rsidRPr="00450C60" w:rsidRDefault="00450C60" w:rsidP="00450C60">
            <w:pPr>
              <w:pStyle w:val="GesAbsatz"/>
              <w:tabs>
                <w:tab w:val="clear" w:pos="425"/>
              </w:tabs>
              <w:jc w:val="center"/>
            </w:pPr>
            <w:r w:rsidRPr="00450C60">
              <w:t>hoch</w:t>
            </w:r>
          </w:p>
        </w:tc>
        <w:tc>
          <w:tcPr>
            <w:tcW w:w="780" w:type="dxa"/>
          </w:tcPr>
          <w:p w:rsidR="00450C60" w:rsidRPr="00450C60" w:rsidRDefault="00450C60" w:rsidP="00450C60">
            <w:pPr>
              <w:pStyle w:val="GesAbsatz"/>
              <w:tabs>
                <w:tab w:val="clear" w:pos="425"/>
              </w:tabs>
              <w:jc w:val="center"/>
            </w:pPr>
            <w:r w:rsidRPr="00450C60">
              <w:t>3</w:t>
            </w:r>
          </w:p>
        </w:tc>
        <w:tc>
          <w:tcPr>
            <w:tcW w:w="1851" w:type="dxa"/>
            <w:shd w:val="clear" w:color="auto" w:fill="A6A6A6" w:themeFill="background1" w:themeFillShade="A6"/>
          </w:tcPr>
          <w:p w:rsidR="00450C60" w:rsidRPr="00450C60" w:rsidRDefault="00450C60" w:rsidP="00450C60">
            <w:pPr>
              <w:pStyle w:val="GesAbsatz"/>
              <w:tabs>
                <w:tab w:val="clear" w:pos="425"/>
              </w:tabs>
              <w:jc w:val="center"/>
              <w:rPr>
                <w:b/>
              </w:rPr>
            </w:pPr>
            <w:r w:rsidRPr="00450C60">
              <w:rPr>
                <w:b/>
              </w:rPr>
              <w:t>sehr hoch</w:t>
            </w:r>
          </w:p>
        </w:tc>
        <w:tc>
          <w:tcPr>
            <w:tcW w:w="780"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12</w:t>
            </w:r>
          </w:p>
        </w:tc>
        <w:tc>
          <w:tcPr>
            <w:tcW w:w="1562" w:type="dxa"/>
            <w:shd w:val="clear" w:color="auto" w:fill="D9D9D9" w:themeFill="background1" w:themeFillShade="D9"/>
          </w:tcPr>
          <w:p w:rsidR="00450C60" w:rsidRPr="00450C60" w:rsidRDefault="00450C60" w:rsidP="00450C60">
            <w:pPr>
              <w:pStyle w:val="GesAbsatz"/>
              <w:tabs>
                <w:tab w:val="clear" w:pos="425"/>
              </w:tabs>
              <w:jc w:val="center"/>
              <w:rPr>
                <w:b/>
              </w:rPr>
            </w:pPr>
            <w:r w:rsidRPr="00450C60">
              <w:rPr>
                <w:b/>
              </w:rPr>
              <w:t>herausragende</w:t>
            </w:r>
          </w:p>
        </w:tc>
      </w:tr>
    </w:tbl>
    <w:p w:rsidR="00F40DC1" w:rsidRDefault="00F40DC1" w:rsidP="001A3452">
      <w:pPr>
        <w:pStyle w:val="GesAbsatz"/>
      </w:pPr>
    </w:p>
    <w:p w:rsidR="001A3452" w:rsidRDefault="001A3452" w:rsidP="001A3452">
      <w:pPr>
        <w:pStyle w:val="GesAbsatz"/>
      </w:pPr>
      <w:r>
        <w:t>Die Wertstufe der Gesamtbewertung ist für die Ermittlung des Preises pro Meter</w:t>
      </w:r>
      <w:r w:rsidR="00F40DC1">
        <w:t xml:space="preserve"> </w:t>
      </w:r>
      <w:r>
        <w:t>Anlagenhöhe (dunkelgrau hinterlegte Spalte in Tab. 4) relevant.</w:t>
      </w:r>
    </w:p>
    <w:p w:rsidR="00300A9A" w:rsidRDefault="00300A9A" w:rsidP="00300A9A">
      <w:pPr>
        <w:pStyle w:val="GesAbsatz"/>
      </w:pPr>
      <w:r>
        <w:t>Nach demselben Muster wird auch im Falle der anderen zwei Landschaftsbildeinheiten</w:t>
      </w:r>
      <w:r w:rsidR="00876E23">
        <w:t xml:space="preserve"> </w:t>
      </w:r>
      <w:r>
        <w:t>vorgegangen:</w:t>
      </w:r>
    </w:p>
    <w:p w:rsidR="00300A9A" w:rsidRPr="00876E23" w:rsidRDefault="00300A9A" w:rsidP="00300A9A">
      <w:pPr>
        <w:pStyle w:val="GesAbsatz"/>
        <w:rPr>
          <w:b/>
        </w:rPr>
      </w:pPr>
      <w:r w:rsidRPr="00876E23">
        <w:rPr>
          <w:b/>
        </w:rPr>
        <w:t>Tab. 5: Tabellen mit dem Soll-Ist-Vergleich für die Landschaftsbildeinheit LBE-2.</w:t>
      </w:r>
    </w:p>
    <w:tbl>
      <w:tblPr>
        <w:tblStyle w:val="Tabellenraster"/>
        <w:tblW w:w="0" w:type="auto"/>
        <w:tblLook w:val="04A0" w:firstRow="1" w:lastRow="0" w:firstColumn="1" w:lastColumn="0" w:noHBand="0" w:noVBand="1"/>
      </w:tblPr>
      <w:tblGrid>
        <w:gridCol w:w="2462"/>
        <w:gridCol w:w="2722"/>
        <w:gridCol w:w="2632"/>
        <w:gridCol w:w="2038"/>
      </w:tblGrid>
      <w:tr w:rsidR="0018788A" w:rsidRPr="0018788A" w:rsidTr="004E6B25">
        <w:trPr>
          <w:tblHeader/>
        </w:trPr>
        <w:tc>
          <w:tcPr>
            <w:tcW w:w="9854" w:type="dxa"/>
            <w:gridSpan w:val="4"/>
            <w:shd w:val="clear" w:color="auto" w:fill="A6A6A6" w:themeFill="background1" w:themeFillShade="A6"/>
          </w:tcPr>
          <w:p w:rsidR="0018788A" w:rsidRPr="0018788A" w:rsidRDefault="0018788A" w:rsidP="0018788A">
            <w:pPr>
              <w:pStyle w:val="GesAbsatz"/>
              <w:tabs>
                <w:tab w:val="clear" w:pos="425"/>
              </w:tabs>
              <w:rPr>
                <w:b/>
              </w:rPr>
            </w:pPr>
            <w:r w:rsidRPr="0018788A">
              <w:rPr>
                <w:b/>
              </w:rPr>
              <w:t>Landschaftsbildeinheit: LBE-2 – Kategorie: Wald-Offenland-Mosaik</w:t>
            </w:r>
          </w:p>
        </w:tc>
      </w:tr>
      <w:tr w:rsidR="0018788A" w:rsidRPr="0018788A" w:rsidTr="004E6B25">
        <w:trPr>
          <w:tblHeader/>
        </w:trPr>
        <w:tc>
          <w:tcPr>
            <w:tcW w:w="9854" w:type="dxa"/>
            <w:gridSpan w:val="4"/>
            <w:shd w:val="clear" w:color="auto" w:fill="A6A6A6" w:themeFill="background1" w:themeFillShade="A6"/>
          </w:tcPr>
          <w:p w:rsidR="0018788A" w:rsidRPr="0018788A" w:rsidRDefault="0018788A" w:rsidP="0018788A">
            <w:pPr>
              <w:pStyle w:val="GesAbsatz"/>
              <w:tabs>
                <w:tab w:val="clear" w:pos="425"/>
              </w:tabs>
              <w:rPr>
                <w:b/>
              </w:rPr>
            </w:pPr>
            <w:r w:rsidRPr="0018788A">
              <w:rPr>
                <w:b/>
              </w:rPr>
              <w:t>Landschaftsbildeinheit: Wald-Offenland-Mosaik</w:t>
            </w:r>
          </w:p>
        </w:tc>
      </w:tr>
      <w:tr w:rsidR="0018788A" w:rsidRPr="0018788A" w:rsidTr="004E6B25">
        <w:trPr>
          <w:tblHeader/>
        </w:trPr>
        <w:tc>
          <w:tcPr>
            <w:tcW w:w="2462" w:type="dxa"/>
            <w:shd w:val="clear" w:color="auto" w:fill="A6A6A6" w:themeFill="background1" w:themeFillShade="A6"/>
            <w:vAlign w:val="center"/>
          </w:tcPr>
          <w:p w:rsidR="0018788A" w:rsidRPr="0018788A" w:rsidRDefault="0018788A" w:rsidP="004E6B25">
            <w:pPr>
              <w:pStyle w:val="GesAbsatz"/>
              <w:tabs>
                <w:tab w:val="clear" w:pos="425"/>
              </w:tabs>
              <w:jc w:val="left"/>
              <w:rPr>
                <w:b/>
              </w:rPr>
            </w:pPr>
            <w:r w:rsidRPr="0018788A">
              <w:rPr>
                <w:b/>
              </w:rPr>
              <w:t>Merkmal</w:t>
            </w:r>
          </w:p>
        </w:tc>
        <w:tc>
          <w:tcPr>
            <w:tcW w:w="2722" w:type="dxa"/>
            <w:shd w:val="clear" w:color="auto" w:fill="A6A6A6" w:themeFill="background1" w:themeFillShade="A6"/>
            <w:vAlign w:val="center"/>
          </w:tcPr>
          <w:p w:rsidR="0018788A" w:rsidRPr="0018788A" w:rsidRDefault="0018788A" w:rsidP="004E6B25">
            <w:pPr>
              <w:pStyle w:val="GesAbsatz"/>
              <w:tabs>
                <w:tab w:val="clear" w:pos="425"/>
              </w:tabs>
              <w:jc w:val="left"/>
              <w:rPr>
                <w:b/>
              </w:rPr>
            </w:pPr>
            <w:r w:rsidRPr="0018788A">
              <w:rPr>
                <w:b/>
              </w:rPr>
              <w:t>charakteristische Au</w:t>
            </w:r>
            <w:r w:rsidRPr="0018788A">
              <w:rPr>
                <w:b/>
              </w:rPr>
              <w:t>s</w:t>
            </w:r>
            <w:r w:rsidRPr="0018788A">
              <w:rPr>
                <w:b/>
              </w:rPr>
              <w:t>prägung (Soll-Zustand)</w:t>
            </w:r>
          </w:p>
        </w:tc>
        <w:tc>
          <w:tcPr>
            <w:tcW w:w="2632" w:type="dxa"/>
            <w:shd w:val="clear" w:color="auto" w:fill="A6A6A6" w:themeFill="background1" w:themeFillShade="A6"/>
            <w:vAlign w:val="center"/>
          </w:tcPr>
          <w:p w:rsidR="0018788A" w:rsidRPr="0018788A" w:rsidRDefault="0018788A" w:rsidP="004E6B25">
            <w:pPr>
              <w:pStyle w:val="GesAbsatz"/>
              <w:tabs>
                <w:tab w:val="clear" w:pos="425"/>
              </w:tabs>
              <w:jc w:val="left"/>
              <w:rPr>
                <w:b/>
              </w:rPr>
            </w:pPr>
            <w:r w:rsidRPr="0018788A">
              <w:rPr>
                <w:b/>
              </w:rPr>
              <w:t>Ist-Zustand</w:t>
            </w:r>
          </w:p>
        </w:tc>
        <w:tc>
          <w:tcPr>
            <w:tcW w:w="2038" w:type="dxa"/>
            <w:shd w:val="clear" w:color="auto" w:fill="A6A6A6" w:themeFill="background1" w:themeFillShade="A6"/>
            <w:vAlign w:val="center"/>
          </w:tcPr>
          <w:p w:rsidR="0018788A" w:rsidRPr="0018788A" w:rsidRDefault="0018788A" w:rsidP="004E6B25">
            <w:pPr>
              <w:pStyle w:val="GesAbsatz"/>
              <w:tabs>
                <w:tab w:val="clear" w:pos="425"/>
              </w:tabs>
              <w:jc w:val="left"/>
              <w:rPr>
                <w:b/>
              </w:rPr>
            </w:pPr>
            <w:r w:rsidRPr="0018788A">
              <w:rPr>
                <w:b/>
              </w:rPr>
              <w:t>Übereinstimmung zwischen Ist- und Sollzustand</w:t>
            </w:r>
          </w:p>
        </w:tc>
      </w:tr>
      <w:tr w:rsidR="0018788A" w:rsidRPr="0018788A" w:rsidTr="0018788A">
        <w:tc>
          <w:tcPr>
            <w:tcW w:w="9854" w:type="dxa"/>
            <w:gridSpan w:val="4"/>
            <w:shd w:val="clear" w:color="auto" w:fill="D9D9D9" w:themeFill="background1" w:themeFillShade="D9"/>
          </w:tcPr>
          <w:p w:rsidR="0018788A" w:rsidRPr="0018788A" w:rsidRDefault="0018788A" w:rsidP="0018788A">
            <w:pPr>
              <w:pStyle w:val="GesAbsatz"/>
              <w:tabs>
                <w:tab w:val="clear" w:pos="425"/>
              </w:tabs>
              <w:rPr>
                <w:b/>
              </w:rPr>
            </w:pPr>
            <w:r w:rsidRPr="0018788A">
              <w:rPr>
                <w:b/>
              </w:rPr>
              <w:t>Eigenart</w:t>
            </w:r>
          </w:p>
        </w:tc>
      </w:tr>
      <w:tr w:rsidR="0018788A" w:rsidRPr="0018788A" w:rsidTr="0018788A">
        <w:tc>
          <w:tcPr>
            <w:tcW w:w="2462" w:type="dxa"/>
          </w:tcPr>
          <w:p w:rsidR="0018788A" w:rsidRPr="0018788A" w:rsidRDefault="0018788A" w:rsidP="0018788A">
            <w:pPr>
              <w:pStyle w:val="GesAbsatz"/>
              <w:tabs>
                <w:tab w:val="clear" w:pos="425"/>
              </w:tabs>
            </w:pPr>
            <w:r w:rsidRPr="0018788A">
              <w:t>Relief</w:t>
            </w:r>
          </w:p>
        </w:tc>
        <w:tc>
          <w:tcPr>
            <w:tcW w:w="2722" w:type="dxa"/>
          </w:tcPr>
          <w:p w:rsidR="0018788A" w:rsidRPr="0018788A" w:rsidRDefault="0018788A" w:rsidP="0018788A">
            <w:pPr>
              <w:pStyle w:val="GesAbsatz"/>
              <w:tabs>
                <w:tab w:val="clear" w:pos="425"/>
              </w:tabs>
            </w:pPr>
            <w:r w:rsidRPr="0018788A">
              <w:t>flachhügelige Landschaft</w:t>
            </w:r>
          </w:p>
        </w:tc>
        <w:tc>
          <w:tcPr>
            <w:tcW w:w="2632" w:type="dxa"/>
          </w:tcPr>
          <w:p w:rsidR="0018788A" w:rsidRPr="0018788A" w:rsidRDefault="0018788A" w:rsidP="0018788A">
            <w:pPr>
              <w:pStyle w:val="GesAbsatz"/>
              <w:tabs>
                <w:tab w:val="clear" w:pos="425"/>
              </w:tabs>
            </w:pPr>
            <w:r w:rsidRPr="0018788A">
              <w:t>weitgehend unverändert</w:t>
            </w:r>
          </w:p>
        </w:tc>
        <w:tc>
          <w:tcPr>
            <w:tcW w:w="2038" w:type="dxa"/>
          </w:tcPr>
          <w:p w:rsidR="0018788A" w:rsidRPr="0018788A" w:rsidRDefault="0018788A" w:rsidP="0018788A">
            <w:pPr>
              <w:pStyle w:val="GesAbsatz"/>
              <w:tabs>
                <w:tab w:val="clear" w:pos="425"/>
              </w:tabs>
            </w:pPr>
            <w:r w:rsidRPr="0018788A">
              <w:t>hoch</w:t>
            </w:r>
          </w:p>
        </w:tc>
      </w:tr>
      <w:tr w:rsidR="0018788A" w:rsidRPr="0018788A" w:rsidTr="0018788A">
        <w:tc>
          <w:tcPr>
            <w:tcW w:w="2462" w:type="dxa"/>
          </w:tcPr>
          <w:p w:rsidR="0018788A" w:rsidRPr="0018788A" w:rsidRDefault="0018788A" w:rsidP="0018788A">
            <w:pPr>
              <w:pStyle w:val="GesAbsatz"/>
              <w:tabs>
                <w:tab w:val="clear" w:pos="425"/>
              </w:tabs>
            </w:pPr>
            <w:r w:rsidRPr="0018788A">
              <w:t>Gewässer</w:t>
            </w:r>
          </w:p>
        </w:tc>
        <w:tc>
          <w:tcPr>
            <w:tcW w:w="2722" w:type="dxa"/>
          </w:tcPr>
          <w:p w:rsidR="0018788A" w:rsidRPr="0018788A" w:rsidRDefault="0018788A" w:rsidP="0018788A">
            <w:pPr>
              <w:pStyle w:val="GesAbsatz"/>
              <w:tabs>
                <w:tab w:val="clear" w:pos="425"/>
              </w:tabs>
            </w:pPr>
            <w:r w:rsidRPr="0018788A">
              <w:t>unverbaute und naturnahe von Ufergehölzen gesäumte kleinere</w:t>
            </w:r>
            <w:r w:rsidR="00BB3FE5">
              <w:t xml:space="preserve"> </w:t>
            </w:r>
            <w:r w:rsidRPr="0018788A">
              <w:t>Bachläufe durc</w:t>
            </w:r>
            <w:r w:rsidRPr="0018788A">
              <w:t>h</w:t>
            </w:r>
            <w:r w:rsidRPr="0018788A">
              <w:t>fließen extensiv genutzte mit Feuchtwiesen angere</w:t>
            </w:r>
            <w:r w:rsidRPr="0018788A">
              <w:t>i</w:t>
            </w:r>
            <w:r w:rsidRPr="0018788A">
              <w:t>cherte Grünlandtäler;</w:t>
            </w:r>
          </w:p>
        </w:tc>
        <w:tc>
          <w:tcPr>
            <w:tcW w:w="2632" w:type="dxa"/>
          </w:tcPr>
          <w:p w:rsidR="0018788A" w:rsidRPr="0018788A" w:rsidRDefault="0018788A" w:rsidP="0018788A">
            <w:pPr>
              <w:pStyle w:val="GesAbsatz"/>
              <w:tabs>
                <w:tab w:val="clear" w:pos="425"/>
              </w:tabs>
            </w:pPr>
            <w:r w:rsidRPr="0018788A">
              <w:t>Gewässer spielen im B</w:t>
            </w:r>
            <w:r w:rsidRPr="0018788A">
              <w:t>e</w:t>
            </w:r>
            <w:r w:rsidRPr="0018788A">
              <w:t>trachtungsraum nur eine untergeordnete Rolle; oft begradigt oder mit wenig Raum zwischen intensiven Ackerflächen;</w:t>
            </w:r>
          </w:p>
        </w:tc>
        <w:tc>
          <w:tcPr>
            <w:tcW w:w="2038" w:type="dxa"/>
          </w:tcPr>
          <w:p w:rsidR="0018788A" w:rsidRPr="0018788A" w:rsidRDefault="0018788A" w:rsidP="0018788A">
            <w:pPr>
              <w:pStyle w:val="GesAbsatz"/>
              <w:tabs>
                <w:tab w:val="clear" w:pos="425"/>
              </w:tabs>
            </w:pPr>
            <w:r w:rsidRPr="0018788A">
              <w:t>gering</w:t>
            </w:r>
          </w:p>
        </w:tc>
      </w:tr>
      <w:tr w:rsidR="0018788A" w:rsidRPr="0018788A" w:rsidTr="0018788A">
        <w:tc>
          <w:tcPr>
            <w:tcW w:w="2462" w:type="dxa"/>
          </w:tcPr>
          <w:p w:rsidR="0018788A" w:rsidRPr="0018788A" w:rsidRDefault="0018788A" w:rsidP="00D31BD8">
            <w:pPr>
              <w:pStyle w:val="GesAbsatz"/>
              <w:tabs>
                <w:tab w:val="clear" w:pos="425"/>
              </w:tabs>
              <w:jc w:val="left"/>
            </w:pPr>
            <w:r w:rsidRPr="0018788A">
              <w:t>Qualitatives Nutzung</w:t>
            </w:r>
            <w:r w:rsidRPr="0018788A">
              <w:t>s</w:t>
            </w:r>
            <w:r w:rsidRPr="0018788A">
              <w:t>muster</w:t>
            </w:r>
          </w:p>
        </w:tc>
        <w:tc>
          <w:tcPr>
            <w:tcW w:w="2722" w:type="dxa"/>
          </w:tcPr>
          <w:p w:rsidR="0018788A" w:rsidRPr="0018788A" w:rsidRDefault="0018788A" w:rsidP="0018788A">
            <w:pPr>
              <w:pStyle w:val="GesAbsatz"/>
              <w:tabs>
                <w:tab w:val="clear" w:pos="425"/>
              </w:tabs>
            </w:pPr>
            <w:r w:rsidRPr="0018788A">
              <w:t>strukturierte Kulturlan</w:t>
            </w:r>
            <w:r w:rsidRPr="0018788A">
              <w:t>d</w:t>
            </w:r>
            <w:r w:rsidRPr="0018788A">
              <w:t>schaftsbereiche im Wechsel mit ausgedehnten, buche</w:t>
            </w:r>
            <w:r w:rsidRPr="0018788A">
              <w:t>n</w:t>
            </w:r>
            <w:r w:rsidRPr="0018788A">
              <w:t>reichen Laubwäldern; i</w:t>
            </w:r>
            <w:r w:rsidRPr="0018788A">
              <w:t>n</w:t>
            </w:r>
            <w:r w:rsidRPr="0018788A">
              <w:t>nerhalb der Kulturlandschaft kommt den Resten der M</w:t>
            </w:r>
            <w:r w:rsidRPr="0018788A">
              <w:t>a</w:t>
            </w:r>
            <w:r w:rsidRPr="0018788A">
              <w:t>gerwiesen, Magerweisen und Kalkhalbtrockenrasen eine zentrale Bedeutung zu, die durch extensive Bewir</w:t>
            </w:r>
            <w:r w:rsidRPr="0018788A">
              <w:t>t</w:t>
            </w:r>
            <w:r w:rsidRPr="0018788A">
              <w:lastRenderedPageBreak/>
              <w:t xml:space="preserve">schaftungsformen und </w:t>
            </w:r>
            <w:proofErr w:type="spellStart"/>
            <w:r w:rsidRPr="0018788A">
              <w:t>H</w:t>
            </w:r>
            <w:r w:rsidRPr="0018788A">
              <w:t>u</w:t>
            </w:r>
            <w:r w:rsidRPr="0018788A">
              <w:t>teschafhaltung</w:t>
            </w:r>
            <w:proofErr w:type="spellEnd"/>
            <w:r w:rsidRPr="0018788A">
              <w:t xml:space="preserve"> etc. zu e</w:t>
            </w:r>
            <w:r w:rsidRPr="0018788A">
              <w:t>i</w:t>
            </w:r>
            <w:r w:rsidRPr="0018788A">
              <w:t>nem möglichst, engmasch</w:t>
            </w:r>
            <w:r w:rsidRPr="0018788A">
              <w:t>i</w:t>
            </w:r>
            <w:r w:rsidRPr="0018788A">
              <w:t>gen Biotopnetz aus klein</w:t>
            </w:r>
            <w:r w:rsidRPr="0018788A">
              <w:t>e</w:t>
            </w:r>
            <w:r w:rsidRPr="0018788A">
              <w:t>ren Trittsteinflächen und großräumigen Kernflächen miteinander verbunden sind; strukturreiche Grü</w:t>
            </w:r>
            <w:r w:rsidRPr="0018788A">
              <w:t>n</w:t>
            </w:r>
            <w:r w:rsidRPr="0018788A">
              <w:t>land- und Acker-Grünland</w:t>
            </w:r>
            <w:r w:rsidR="00D31BD8">
              <w:softHyphen/>
            </w:r>
            <w:r w:rsidRPr="0018788A">
              <w:t>komplexe mit Obstweiden, Feld- und Flurgehölzen, Säumen und kleineren Waldbereichen; heckenre</w:t>
            </w:r>
            <w:r w:rsidRPr="0018788A">
              <w:t>i</w:t>
            </w:r>
            <w:r w:rsidRPr="0018788A">
              <w:t>che Grünlandgebiete b</w:t>
            </w:r>
            <w:r w:rsidRPr="0018788A">
              <w:t>e</w:t>
            </w:r>
            <w:r w:rsidRPr="0018788A">
              <w:t>sonders auf staunassen Standorten; Hangterrassen und Hohlwege und artenre</w:t>
            </w:r>
            <w:r w:rsidRPr="0018788A">
              <w:t>i</w:t>
            </w:r>
            <w:r w:rsidRPr="0018788A">
              <w:t>che Kalkäcker; diese natu</w:t>
            </w:r>
            <w:r w:rsidRPr="0018788A">
              <w:t>r</w:t>
            </w:r>
            <w:r w:rsidRPr="0018788A">
              <w:t>schutzorientiert bewirtscha</w:t>
            </w:r>
            <w:r w:rsidRPr="0018788A">
              <w:t>f</w:t>
            </w:r>
            <w:r w:rsidRPr="0018788A">
              <w:t>tet; Saum und Gehölzstru</w:t>
            </w:r>
            <w:r w:rsidRPr="0018788A">
              <w:t>k</w:t>
            </w:r>
            <w:r w:rsidRPr="0018788A">
              <w:t>turen Ackerkomplexe ang</w:t>
            </w:r>
            <w:r w:rsidRPr="0018788A">
              <w:t>e</w:t>
            </w:r>
            <w:r w:rsidRPr="0018788A">
              <w:t>reichert mit gliedernden und belebenden Elementen; örtlich strukturreiche H</w:t>
            </w:r>
            <w:r w:rsidRPr="0018788A">
              <w:t>e</w:t>
            </w:r>
            <w:r w:rsidRPr="0018788A">
              <w:t>cken-Grünlandkomplexe und reich gegliederte hal</w:t>
            </w:r>
            <w:r w:rsidRPr="0018788A">
              <w:t>b</w:t>
            </w:r>
            <w:r w:rsidRPr="0018788A">
              <w:t>offene Landschaft;</w:t>
            </w:r>
          </w:p>
        </w:tc>
        <w:tc>
          <w:tcPr>
            <w:tcW w:w="2632" w:type="dxa"/>
          </w:tcPr>
          <w:p w:rsidR="0018788A" w:rsidRPr="0018788A" w:rsidRDefault="0018788A" w:rsidP="0018788A">
            <w:pPr>
              <w:pStyle w:val="GesAbsatz"/>
              <w:tabs>
                <w:tab w:val="clear" w:pos="425"/>
              </w:tabs>
            </w:pPr>
            <w:r w:rsidRPr="0018788A">
              <w:lastRenderedPageBreak/>
              <w:t>buchenreiche, naturnahe Wälder vorhanden; Wald-Offenland-Mosaik; Kal</w:t>
            </w:r>
            <w:r w:rsidRPr="0018788A">
              <w:t>k</w:t>
            </w:r>
            <w:r w:rsidRPr="0018788A">
              <w:t xml:space="preserve">magerrasen und </w:t>
            </w:r>
            <w:proofErr w:type="spellStart"/>
            <w:r w:rsidRPr="0018788A">
              <w:t>Wacho</w:t>
            </w:r>
            <w:r w:rsidRPr="0018788A">
              <w:t>l</w:t>
            </w:r>
            <w:r w:rsidRPr="0018788A">
              <w:t>derheiden</w:t>
            </w:r>
            <w:proofErr w:type="spellEnd"/>
            <w:r w:rsidRPr="0018788A">
              <w:t xml:space="preserve"> bei </w:t>
            </w:r>
            <w:proofErr w:type="spellStart"/>
            <w:r w:rsidRPr="0018788A">
              <w:t>Ottbergen</w:t>
            </w:r>
            <w:proofErr w:type="spellEnd"/>
            <w:r w:rsidRPr="0018788A">
              <w:t xml:space="preserve"> (FFH-Gebiet, NSG); NSG </w:t>
            </w:r>
            <w:proofErr w:type="spellStart"/>
            <w:r w:rsidRPr="0018788A">
              <w:t>Wandelnsberg</w:t>
            </w:r>
            <w:proofErr w:type="spellEnd"/>
            <w:r w:rsidRPr="0018788A">
              <w:t xml:space="preserve"> mit ausg</w:t>
            </w:r>
            <w:r w:rsidRPr="0018788A">
              <w:t>e</w:t>
            </w:r>
            <w:r w:rsidRPr="0018788A">
              <w:t>dehntem, extensivem Mähwiesengebiet, Kal</w:t>
            </w:r>
            <w:r w:rsidRPr="0018788A">
              <w:t>k</w:t>
            </w:r>
            <w:r w:rsidRPr="0018788A">
              <w:t xml:space="preserve">magerrasenrelikten und </w:t>
            </w:r>
            <w:proofErr w:type="spellStart"/>
            <w:r w:rsidRPr="0018788A">
              <w:lastRenderedPageBreak/>
              <w:t>Wacholderheide</w:t>
            </w:r>
            <w:proofErr w:type="spellEnd"/>
            <w:r w:rsidRPr="0018788A">
              <w:t>; Löss-Hohlwege vorhanden;</w:t>
            </w:r>
          </w:p>
        </w:tc>
        <w:tc>
          <w:tcPr>
            <w:tcW w:w="2038" w:type="dxa"/>
          </w:tcPr>
          <w:p w:rsidR="0018788A" w:rsidRPr="0018788A" w:rsidRDefault="0018788A" w:rsidP="0018788A">
            <w:pPr>
              <w:pStyle w:val="GesAbsatz"/>
              <w:tabs>
                <w:tab w:val="clear" w:pos="425"/>
              </w:tabs>
            </w:pPr>
            <w:r w:rsidRPr="0018788A">
              <w:lastRenderedPageBreak/>
              <w:t>hoch</w:t>
            </w:r>
          </w:p>
        </w:tc>
      </w:tr>
      <w:tr w:rsidR="0018788A" w:rsidRPr="0018788A" w:rsidTr="0018788A">
        <w:tc>
          <w:tcPr>
            <w:tcW w:w="2462" w:type="dxa"/>
          </w:tcPr>
          <w:p w:rsidR="0018788A" w:rsidRPr="0018788A" w:rsidRDefault="0018788A" w:rsidP="0018788A">
            <w:pPr>
              <w:pStyle w:val="GesAbsatz"/>
              <w:tabs>
                <w:tab w:val="clear" w:pos="425"/>
              </w:tabs>
            </w:pPr>
            <w:r w:rsidRPr="0018788A">
              <w:lastRenderedPageBreak/>
              <w:t>Siedlungsausprägung</w:t>
            </w:r>
          </w:p>
        </w:tc>
        <w:tc>
          <w:tcPr>
            <w:tcW w:w="2722" w:type="dxa"/>
          </w:tcPr>
          <w:p w:rsidR="0018788A" w:rsidRPr="0018788A" w:rsidRDefault="0018788A" w:rsidP="0018788A">
            <w:pPr>
              <w:pStyle w:val="GesAbsatz"/>
              <w:tabs>
                <w:tab w:val="clear" w:pos="425"/>
              </w:tabs>
            </w:pPr>
            <w:r w:rsidRPr="0018788A">
              <w:t>ländlich geprägte Siedlu</w:t>
            </w:r>
            <w:r w:rsidRPr="0018788A">
              <w:t>n</w:t>
            </w:r>
            <w:r w:rsidRPr="0018788A">
              <w:t>gen mit historischen El</w:t>
            </w:r>
            <w:r w:rsidRPr="0018788A">
              <w:t>e</w:t>
            </w:r>
            <w:r w:rsidRPr="0018788A">
              <w:t>menten</w:t>
            </w:r>
          </w:p>
        </w:tc>
        <w:tc>
          <w:tcPr>
            <w:tcW w:w="2632" w:type="dxa"/>
          </w:tcPr>
          <w:p w:rsidR="0018788A" w:rsidRPr="0018788A" w:rsidRDefault="0018788A" w:rsidP="0018788A">
            <w:pPr>
              <w:pStyle w:val="GesAbsatz"/>
              <w:tabs>
                <w:tab w:val="clear" w:pos="425"/>
              </w:tabs>
            </w:pPr>
            <w:r w:rsidRPr="0018788A">
              <w:t>kaum Siedlungsstrukturen; stets dörflich/ländlich g</w:t>
            </w:r>
            <w:r w:rsidRPr="0018788A">
              <w:t>e</w:t>
            </w:r>
            <w:r w:rsidRPr="0018788A">
              <w:t>prägt;</w:t>
            </w:r>
          </w:p>
        </w:tc>
        <w:tc>
          <w:tcPr>
            <w:tcW w:w="2038" w:type="dxa"/>
          </w:tcPr>
          <w:p w:rsidR="0018788A" w:rsidRPr="0018788A" w:rsidRDefault="0018788A" w:rsidP="0018788A">
            <w:pPr>
              <w:pStyle w:val="GesAbsatz"/>
              <w:tabs>
                <w:tab w:val="clear" w:pos="425"/>
              </w:tabs>
            </w:pPr>
            <w:r w:rsidRPr="0018788A">
              <w:t>hoch</w:t>
            </w:r>
          </w:p>
        </w:tc>
      </w:tr>
      <w:tr w:rsidR="0018788A" w:rsidRPr="0018788A" w:rsidTr="0018788A">
        <w:tc>
          <w:tcPr>
            <w:tcW w:w="7816" w:type="dxa"/>
            <w:gridSpan w:val="3"/>
            <w:tcBorders>
              <w:bottom w:val="single" w:sz="4" w:space="0" w:color="auto"/>
            </w:tcBorders>
          </w:tcPr>
          <w:p w:rsidR="0018788A" w:rsidRPr="0018788A" w:rsidRDefault="00D31BD8" w:rsidP="0018788A">
            <w:pPr>
              <w:pStyle w:val="GesAbsatz"/>
              <w:tabs>
                <w:tab w:val="clear" w:pos="425"/>
              </w:tabs>
            </w:pPr>
            <w:r>
              <w:rPr>
                <w:rFonts w:cs="Arial"/>
              </w:rPr>
              <w:t>→</w:t>
            </w:r>
            <w:r w:rsidR="0018788A" w:rsidRPr="0018788A">
              <w:t xml:space="preserve"> Gesamtbewertung Eigenart:</w:t>
            </w:r>
          </w:p>
        </w:tc>
        <w:tc>
          <w:tcPr>
            <w:tcW w:w="2038" w:type="dxa"/>
            <w:tcBorders>
              <w:bottom w:val="single" w:sz="4" w:space="0" w:color="auto"/>
            </w:tcBorders>
          </w:tcPr>
          <w:p w:rsidR="0018788A" w:rsidRPr="0018788A" w:rsidRDefault="0018788A" w:rsidP="0018788A">
            <w:pPr>
              <w:pStyle w:val="GesAbsatz"/>
              <w:tabs>
                <w:tab w:val="clear" w:pos="425"/>
              </w:tabs>
            </w:pPr>
            <w:r w:rsidRPr="0018788A">
              <w:t>hoch</w:t>
            </w:r>
          </w:p>
        </w:tc>
      </w:tr>
      <w:tr w:rsidR="0018788A" w:rsidRPr="0018788A" w:rsidTr="0018788A">
        <w:tc>
          <w:tcPr>
            <w:tcW w:w="9854" w:type="dxa"/>
            <w:gridSpan w:val="4"/>
            <w:shd w:val="clear" w:color="auto" w:fill="D9D9D9" w:themeFill="background1" w:themeFillShade="D9"/>
          </w:tcPr>
          <w:p w:rsidR="0018788A" w:rsidRPr="0018788A" w:rsidRDefault="0018788A" w:rsidP="0018788A">
            <w:pPr>
              <w:pStyle w:val="GesAbsatz"/>
              <w:tabs>
                <w:tab w:val="clear" w:pos="425"/>
              </w:tabs>
              <w:rPr>
                <w:b/>
              </w:rPr>
            </w:pPr>
            <w:r w:rsidRPr="0018788A">
              <w:rPr>
                <w:b/>
              </w:rPr>
              <w:t>Vielfalt</w:t>
            </w:r>
          </w:p>
        </w:tc>
      </w:tr>
      <w:tr w:rsidR="0018788A" w:rsidRPr="0018788A" w:rsidTr="0018788A">
        <w:tc>
          <w:tcPr>
            <w:tcW w:w="2462" w:type="dxa"/>
          </w:tcPr>
          <w:p w:rsidR="0018788A" w:rsidRPr="0018788A" w:rsidRDefault="0018788A" w:rsidP="0018788A">
            <w:pPr>
              <w:pStyle w:val="GesAbsatz"/>
              <w:tabs>
                <w:tab w:val="clear" w:pos="425"/>
              </w:tabs>
            </w:pPr>
            <w:r w:rsidRPr="0018788A">
              <w:t>Quantitatives Nutzung</w:t>
            </w:r>
            <w:r w:rsidRPr="0018788A">
              <w:t>s</w:t>
            </w:r>
            <w:r w:rsidRPr="0018788A">
              <w:t>muster</w:t>
            </w:r>
          </w:p>
        </w:tc>
        <w:tc>
          <w:tcPr>
            <w:tcW w:w="2722" w:type="dxa"/>
          </w:tcPr>
          <w:p w:rsidR="0018788A" w:rsidRPr="0018788A" w:rsidRDefault="0018788A" w:rsidP="0018788A">
            <w:pPr>
              <w:pStyle w:val="GesAbsatz"/>
              <w:tabs>
                <w:tab w:val="clear" w:pos="425"/>
              </w:tabs>
            </w:pPr>
            <w:r w:rsidRPr="0018788A">
              <w:t>strukturierte Kulturlan</w:t>
            </w:r>
            <w:r w:rsidRPr="0018788A">
              <w:t>d</w:t>
            </w:r>
            <w:r w:rsidRPr="0018788A">
              <w:t>schaftskomplexe im Wec</w:t>
            </w:r>
            <w:r w:rsidRPr="0018788A">
              <w:t>h</w:t>
            </w:r>
            <w:r w:rsidRPr="0018788A">
              <w:t>sel mit ausgedehnten, b</w:t>
            </w:r>
            <w:r w:rsidRPr="0018788A">
              <w:t>u</w:t>
            </w:r>
            <w:r w:rsidRPr="0018788A">
              <w:t>chenreichen Laubwäldern; innerhalb der Kulturlan</w:t>
            </w:r>
            <w:r w:rsidRPr="0018788A">
              <w:t>d</w:t>
            </w:r>
            <w:r w:rsidRPr="0018788A">
              <w:t>schaft kommen in Resten Magerwiesen, Magerweiden und Kalkhalbtrockenrasen eine zentrale Bedeutung zu; strukturreiche Grünland- und Acker-Grünlandkom</w:t>
            </w:r>
            <w:r w:rsidR="00D31BD8">
              <w:softHyphen/>
            </w:r>
            <w:r w:rsidRPr="0018788A">
              <w:t>plexe mit Obstweiden, Feld- und Flurgehölzen, Säumen; in den Kulturlandschaftsb</w:t>
            </w:r>
            <w:r w:rsidRPr="0018788A">
              <w:t>e</w:t>
            </w:r>
            <w:r w:rsidRPr="0018788A">
              <w:t>reichen sind kulturhistor</w:t>
            </w:r>
            <w:r w:rsidRPr="0018788A">
              <w:t>i</w:t>
            </w:r>
            <w:r w:rsidRPr="0018788A">
              <w:t>sche Elemente wie Hoh</w:t>
            </w:r>
            <w:r w:rsidRPr="0018788A">
              <w:t>l</w:t>
            </w:r>
            <w:r w:rsidRPr="0018788A">
              <w:t>wege erhalten;</w:t>
            </w:r>
          </w:p>
        </w:tc>
        <w:tc>
          <w:tcPr>
            <w:tcW w:w="2632" w:type="dxa"/>
          </w:tcPr>
          <w:p w:rsidR="0018788A" w:rsidRPr="0018788A" w:rsidRDefault="0018788A" w:rsidP="0018788A">
            <w:pPr>
              <w:pStyle w:val="GesAbsatz"/>
              <w:tabs>
                <w:tab w:val="clear" w:pos="425"/>
              </w:tabs>
            </w:pPr>
            <w:r w:rsidRPr="0018788A">
              <w:t>recht vielfältiger Wechsel von Wald, Gehölzen und Offenland mit Hohlwegen und Magergrünland, Kal</w:t>
            </w:r>
            <w:r w:rsidRPr="0018788A">
              <w:t>k</w:t>
            </w:r>
            <w:r w:rsidRPr="0018788A">
              <w:t xml:space="preserve">magerrasen und </w:t>
            </w:r>
            <w:proofErr w:type="spellStart"/>
            <w:r w:rsidRPr="0018788A">
              <w:t>Wacho</w:t>
            </w:r>
            <w:r w:rsidRPr="0018788A">
              <w:t>l</w:t>
            </w:r>
            <w:r w:rsidRPr="0018788A">
              <w:t>derheiden</w:t>
            </w:r>
            <w:proofErr w:type="spellEnd"/>
            <w:r w:rsidRPr="0018788A">
              <w:t>;</w:t>
            </w:r>
          </w:p>
        </w:tc>
        <w:tc>
          <w:tcPr>
            <w:tcW w:w="2038" w:type="dxa"/>
          </w:tcPr>
          <w:p w:rsidR="0018788A" w:rsidRPr="0018788A" w:rsidRDefault="0018788A" w:rsidP="0018788A">
            <w:pPr>
              <w:pStyle w:val="GesAbsatz"/>
              <w:tabs>
                <w:tab w:val="clear" w:pos="425"/>
              </w:tabs>
            </w:pPr>
            <w:r w:rsidRPr="0018788A">
              <w:t>hoch</w:t>
            </w:r>
          </w:p>
        </w:tc>
      </w:tr>
      <w:tr w:rsidR="0018788A" w:rsidRPr="0018788A" w:rsidTr="0018788A">
        <w:tc>
          <w:tcPr>
            <w:tcW w:w="7816" w:type="dxa"/>
            <w:gridSpan w:val="3"/>
            <w:tcBorders>
              <w:bottom w:val="single" w:sz="4" w:space="0" w:color="auto"/>
            </w:tcBorders>
          </w:tcPr>
          <w:p w:rsidR="0018788A" w:rsidRPr="0018788A" w:rsidRDefault="00D31BD8" w:rsidP="0018788A">
            <w:pPr>
              <w:pStyle w:val="GesAbsatz"/>
              <w:tabs>
                <w:tab w:val="clear" w:pos="425"/>
              </w:tabs>
            </w:pPr>
            <w:r>
              <w:rPr>
                <w:rFonts w:cs="Arial"/>
              </w:rPr>
              <w:t>→</w:t>
            </w:r>
            <w:r w:rsidR="0018788A" w:rsidRPr="0018788A">
              <w:t xml:space="preserve"> Gesamtbewertung „Vielfalt“:</w:t>
            </w:r>
          </w:p>
        </w:tc>
        <w:tc>
          <w:tcPr>
            <w:tcW w:w="2038" w:type="dxa"/>
            <w:tcBorders>
              <w:bottom w:val="single" w:sz="4" w:space="0" w:color="auto"/>
            </w:tcBorders>
          </w:tcPr>
          <w:p w:rsidR="0018788A" w:rsidRPr="0018788A" w:rsidRDefault="0018788A" w:rsidP="0018788A">
            <w:pPr>
              <w:pStyle w:val="GesAbsatz"/>
              <w:tabs>
                <w:tab w:val="clear" w:pos="425"/>
              </w:tabs>
            </w:pPr>
            <w:r w:rsidRPr="0018788A">
              <w:t>hoch</w:t>
            </w:r>
          </w:p>
        </w:tc>
      </w:tr>
      <w:tr w:rsidR="0018788A" w:rsidRPr="0018788A" w:rsidTr="0018788A">
        <w:tc>
          <w:tcPr>
            <w:tcW w:w="9854" w:type="dxa"/>
            <w:gridSpan w:val="4"/>
            <w:shd w:val="clear" w:color="auto" w:fill="D9D9D9" w:themeFill="background1" w:themeFillShade="D9"/>
          </w:tcPr>
          <w:p w:rsidR="0018788A" w:rsidRPr="0018788A" w:rsidRDefault="0018788A" w:rsidP="0018788A">
            <w:pPr>
              <w:pStyle w:val="GesAbsatz"/>
              <w:tabs>
                <w:tab w:val="clear" w:pos="425"/>
              </w:tabs>
              <w:rPr>
                <w:b/>
              </w:rPr>
            </w:pPr>
            <w:r w:rsidRPr="0018788A">
              <w:rPr>
                <w:b/>
              </w:rPr>
              <w:t>Schönheit</w:t>
            </w:r>
          </w:p>
        </w:tc>
      </w:tr>
      <w:tr w:rsidR="0018788A" w:rsidRPr="0018788A" w:rsidTr="0018788A">
        <w:tc>
          <w:tcPr>
            <w:tcW w:w="2462" w:type="dxa"/>
          </w:tcPr>
          <w:p w:rsidR="0018788A" w:rsidRPr="0018788A" w:rsidRDefault="0018788A" w:rsidP="0018788A">
            <w:pPr>
              <w:pStyle w:val="GesAbsatz"/>
              <w:tabs>
                <w:tab w:val="clear" w:pos="425"/>
              </w:tabs>
            </w:pPr>
            <w:r w:rsidRPr="0018788A">
              <w:lastRenderedPageBreak/>
              <w:t>Naturnähe</w:t>
            </w:r>
          </w:p>
        </w:tc>
        <w:tc>
          <w:tcPr>
            <w:tcW w:w="2722" w:type="dxa"/>
          </w:tcPr>
          <w:p w:rsidR="0018788A" w:rsidRPr="0018788A" w:rsidRDefault="0018788A" w:rsidP="0018788A">
            <w:pPr>
              <w:pStyle w:val="GesAbsatz"/>
              <w:tabs>
                <w:tab w:val="clear" w:pos="425"/>
              </w:tabs>
            </w:pPr>
            <w:r w:rsidRPr="0018788A">
              <w:t>naturnahe Laubwälder, teils Magergrünland, Mähwi</w:t>
            </w:r>
            <w:r w:rsidRPr="0018788A">
              <w:t>e</w:t>
            </w:r>
            <w:r w:rsidRPr="0018788A">
              <w:t xml:space="preserve">sen, </w:t>
            </w:r>
            <w:proofErr w:type="spellStart"/>
            <w:r w:rsidRPr="0018788A">
              <w:t>Wacholderheide</w:t>
            </w:r>
            <w:proofErr w:type="spellEnd"/>
            <w:r w:rsidRPr="0018788A">
              <w:t>, stru</w:t>
            </w:r>
            <w:r w:rsidRPr="0018788A">
              <w:t>k</w:t>
            </w:r>
            <w:r w:rsidRPr="0018788A">
              <w:t>turreiche, kleinstrukturierte Kulturlandschaftsbereiche</w:t>
            </w:r>
          </w:p>
        </w:tc>
        <w:tc>
          <w:tcPr>
            <w:tcW w:w="2632" w:type="dxa"/>
          </w:tcPr>
          <w:p w:rsidR="0018788A" w:rsidRPr="0018788A" w:rsidRDefault="0018788A" w:rsidP="0018788A">
            <w:pPr>
              <w:pStyle w:val="GesAbsatz"/>
              <w:tabs>
                <w:tab w:val="clear" w:pos="425"/>
              </w:tabs>
            </w:pPr>
            <w:r w:rsidRPr="0018788A">
              <w:t>ausgedehnte Laubwälder (Kalkbuchenwald, Orc</w:t>
            </w:r>
            <w:r w:rsidRPr="0018788A">
              <w:t>h</w:t>
            </w:r>
            <w:r w:rsidRPr="0018788A">
              <w:t>ideenbuchenwald), Kal</w:t>
            </w:r>
            <w:r w:rsidRPr="0018788A">
              <w:t>k</w:t>
            </w:r>
            <w:r w:rsidRPr="0018788A">
              <w:t>halbtrockenrasen, Mage</w:t>
            </w:r>
            <w:r w:rsidRPr="0018788A">
              <w:t>r</w:t>
            </w:r>
            <w:r w:rsidRPr="0018788A">
              <w:t xml:space="preserve">grünland, </w:t>
            </w:r>
            <w:proofErr w:type="spellStart"/>
            <w:r w:rsidRPr="0018788A">
              <w:t>Wacholderhe</w:t>
            </w:r>
            <w:r w:rsidRPr="0018788A">
              <w:t>i</w:t>
            </w:r>
            <w:r w:rsidRPr="0018788A">
              <w:t>den</w:t>
            </w:r>
            <w:proofErr w:type="spellEnd"/>
            <w:r w:rsidRPr="0018788A">
              <w:t xml:space="preserve"> vorhanden, neben intensiver genutzten, agr</w:t>
            </w:r>
            <w:r w:rsidRPr="0018788A">
              <w:t>a</w:t>
            </w:r>
            <w:r w:rsidRPr="0018788A">
              <w:t>risch geprägten Bereichen; NSG; Kulturlandschaftsb</w:t>
            </w:r>
            <w:r w:rsidRPr="0018788A">
              <w:t>e</w:t>
            </w:r>
            <w:r w:rsidRPr="0018788A">
              <w:t xml:space="preserve">reiche nördlich </w:t>
            </w:r>
            <w:proofErr w:type="spellStart"/>
            <w:r w:rsidRPr="0018788A">
              <w:t>Dalhausen</w:t>
            </w:r>
            <w:proofErr w:type="spellEnd"/>
            <w:r w:rsidRPr="0018788A">
              <w:t>;</w:t>
            </w:r>
          </w:p>
        </w:tc>
        <w:tc>
          <w:tcPr>
            <w:tcW w:w="2038" w:type="dxa"/>
          </w:tcPr>
          <w:p w:rsidR="0018788A" w:rsidRPr="0018788A" w:rsidRDefault="0018788A" w:rsidP="0018788A">
            <w:pPr>
              <w:pStyle w:val="GesAbsatz"/>
              <w:tabs>
                <w:tab w:val="clear" w:pos="425"/>
              </w:tabs>
            </w:pPr>
            <w:r w:rsidRPr="0018788A">
              <w:t>hoch</w:t>
            </w:r>
          </w:p>
        </w:tc>
      </w:tr>
      <w:tr w:rsidR="0018788A" w:rsidRPr="0018788A" w:rsidTr="0018788A">
        <w:tc>
          <w:tcPr>
            <w:tcW w:w="7816" w:type="dxa"/>
            <w:gridSpan w:val="3"/>
            <w:tcBorders>
              <w:bottom w:val="single" w:sz="4" w:space="0" w:color="auto"/>
            </w:tcBorders>
          </w:tcPr>
          <w:p w:rsidR="0018788A" w:rsidRPr="0018788A" w:rsidRDefault="00D31BD8" w:rsidP="0018788A">
            <w:pPr>
              <w:pStyle w:val="GesAbsatz"/>
              <w:tabs>
                <w:tab w:val="clear" w:pos="425"/>
              </w:tabs>
            </w:pPr>
            <w:r>
              <w:rPr>
                <w:rFonts w:cs="Arial"/>
              </w:rPr>
              <w:t>→</w:t>
            </w:r>
            <w:r w:rsidR="0018788A" w:rsidRPr="0018788A">
              <w:t xml:space="preserve"> Gesamtbewertung: „Schönheit“:</w:t>
            </w:r>
          </w:p>
        </w:tc>
        <w:tc>
          <w:tcPr>
            <w:tcW w:w="2038" w:type="dxa"/>
            <w:tcBorders>
              <w:bottom w:val="single" w:sz="4" w:space="0" w:color="auto"/>
            </w:tcBorders>
          </w:tcPr>
          <w:p w:rsidR="0018788A" w:rsidRPr="0018788A" w:rsidRDefault="0018788A" w:rsidP="0018788A">
            <w:pPr>
              <w:pStyle w:val="GesAbsatz"/>
              <w:tabs>
                <w:tab w:val="clear" w:pos="425"/>
              </w:tabs>
            </w:pPr>
            <w:r w:rsidRPr="0018788A">
              <w:t>hoch</w:t>
            </w:r>
          </w:p>
        </w:tc>
      </w:tr>
      <w:tr w:rsidR="0018788A" w:rsidRPr="0018788A" w:rsidTr="0018788A">
        <w:tc>
          <w:tcPr>
            <w:tcW w:w="5184" w:type="dxa"/>
            <w:gridSpan w:val="2"/>
            <w:shd w:val="clear" w:color="auto" w:fill="A6A6A6" w:themeFill="background1" w:themeFillShade="A6"/>
          </w:tcPr>
          <w:p w:rsidR="0018788A" w:rsidRPr="0018788A" w:rsidRDefault="0018788A" w:rsidP="0018788A">
            <w:pPr>
              <w:pStyle w:val="GesAbsatz"/>
              <w:tabs>
                <w:tab w:val="clear" w:pos="425"/>
              </w:tabs>
              <w:rPr>
                <w:b/>
              </w:rPr>
            </w:pPr>
            <w:r w:rsidRPr="0018788A">
              <w:rPr>
                <w:b/>
              </w:rPr>
              <w:t>Gesamtbewertung Landschaftsbild für die Lan</w:t>
            </w:r>
            <w:r w:rsidRPr="0018788A">
              <w:rPr>
                <w:b/>
              </w:rPr>
              <w:t>d</w:t>
            </w:r>
            <w:r w:rsidRPr="0018788A">
              <w:rPr>
                <w:b/>
              </w:rPr>
              <w:t>schaftsbildeinheit:</w:t>
            </w:r>
          </w:p>
        </w:tc>
        <w:tc>
          <w:tcPr>
            <w:tcW w:w="4670" w:type="dxa"/>
            <w:gridSpan w:val="2"/>
            <w:shd w:val="clear" w:color="auto" w:fill="A6A6A6" w:themeFill="background1" w:themeFillShade="A6"/>
          </w:tcPr>
          <w:p w:rsidR="0018788A" w:rsidRPr="0018788A" w:rsidRDefault="0018788A" w:rsidP="0018788A">
            <w:pPr>
              <w:pStyle w:val="GesAbsatz"/>
              <w:tabs>
                <w:tab w:val="clear" w:pos="425"/>
              </w:tabs>
              <w:rPr>
                <w:b/>
              </w:rPr>
            </w:pPr>
            <w:r w:rsidRPr="0018788A">
              <w:rPr>
                <w:b/>
              </w:rPr>
              <w:t>sehr hoch, 12 Wertpunkte, herausragende Bedeutung</w:t>
            </w:r>
          </w:p>
        </w:tc>
      </w:tr>
    </w:tbl>
    <w:p w:rsidR="00300A9A" w:rsidRDefault="00300A9A" w:rsidP="00300A9A">
      <w:pPr>
        <w:pStyle w:val="GesAbsatz"/>
      </w:pPr>
    </w:p>
    <w:p w:rsidR="00300A9A" w:rsidRPr="0018788A" w:rsidRDefault="00300A9A" w:rsidP="00300A9A">
      <w:pPr>
        <w:pStyle w:val="GesAbsatz"/>
        <w:rPr>
          <w:b/>
        </w:rPr>
      </w:pPr>
      <w:r w:rsidRPr="0018788A">
        <w:rPr>
          <w:b/>
        </w:rPr>
        <w:t>Abb. 4: Tabellen mit dem Soll-Ist-Vergleich für die Landschaftsbildeinheit LBE-3.</w:t>
      </w:r>
    </w:p>
    <w:tbl>
      <w:tblPr>
        <w:tblStyle w:val="Tabellenraster"/>
        <w:tblW w:w="0" w:type="auto"/>
        <w:tblLook w:val="04A0" w:firstRow="1" w:lastRow="0" w:firstColumn="1" w:lastColumn="0" w:noHBand="0" w:noVBand="1"/>
      </w:tblPr>
      <w:tblGrid>
        <w:gridCol w:w="2251"/>
        <w:gridCol w:w="2750"/>
        <w:gridCol w:w="2553"/>
        <w:gridCol w:w="2300"/>
      </w:tblGrid>
      <w:tr w:rsidR="000D5538" w:rsidRPr="000D5538" w:rsidTr="004E6B25">
        <w:trPr>
          <w:tblHeader/>
        </w:trPr>
        <w:tc>
          <w:tcPr>
            <w:tcW w:w="9854" w:type="dxa"/>
            <w:gridSpan w:val="4"/>
            <w:shd w:val="clear" w:color="auto" w:fill="A6A6A6" w:themeFill="background1" w:themeFillShade="A6"/>
          </w:tcPr>
          <w:p w:rsidR="000D5538" w:rsidRPr="000D5538" w:rsidRDefault="000D5538" w:rsidP="00573570">
            <w:pPr>
              <w:pStyle w:val="GesAbsatz"/>
              <w:tabs>
                <w:tab w:val="clear" w:pos="425"/>
              </w:tabs>
              <w:rPr>
                <w:b/>
              </w:rPr>
            </w:pPr>
            <w:r w:rsidRPr="000D5538">
              <w:rPr>
                <w:b/>
              </w:rPr>
              <w:t>Landschaftsbildeinheit: LBE-3 – Kategorie: Offene Agrarlandschaft</w:t>
            </w:r>
          </w:p>
        </w:tc>
      </w:tr>
      <w:tr w:rsidR="000D5538" w:rsidRPr="000D5538" w:rsidTr="004E6B25">
        <w:trPr>
          <w:tblHeader/>
        </w:trPr>
        <w:tc>
          <w:tcPr>
            <w:tcW w:w="9854" w:type="dxa"/>
            <w:gridSpan w:val="4"/>
            <w:shd w:val="clear" w:color="auto" w:fill="A6A6A6" w:themeFill="background1" w:themeFillShade="A6"/>
          </w:tcPr>
          <w:p w:rsidR="000D5538" w:rsidRPr="000D5538" w:rsidRDefault="000D5538" w:rsidP="00573570">
            <w:pPr>
              <w:pStyle w:val="GesAbsatz"/>
              <w:tabs>
                <w:tab w:val="clear" w:pos="425"/>
              </w:tabs>
              <w:rPr>
                <w:b/>
              </w:rPr>
            </w:pPr>
            <w:r w:rsidRPr="000D5538">
              <w:rPr>
                <w:b/>
              </w:rPr>
              <w:t>Landschaftsbildeinheit: Offene Agrarlandschaft</w:t>
            </w:r>
          </w:p>
        </w:tc>
      </w:tr>
      <w:tr w:rsidR="000D5538" w:rsidRPr="000D5538" w:rsidTr="004E6B25">
        <w:trPr>
          <w:tblHeader/>
        </w:trPr>
        <w:tc>
          <w:tcPr>
            <w:tcW w:w="2251" w:type="dxa"/>
            <w:shd w:val="clear" w:color="auto" w:fill="A6A6A6" w:themeFill="background1" w:themeFillShade="A6"/>
            <w:vAlign w:val="center"/>
          </w:tcPr>
          <w:p w:rsidR="000D5538" w:rsidRPr="000D5538" w:rsidRDefault="000D5538" w:rsidP="004E6B25">
            <w:pPr>
              <w:pStyle w:val="GesAbsatz"/>
              <w:tabs>
                <w:tab w:val="clear" w:pos="425"/>
              </w:tabs>
              <w:jc w:val="left"/>
              <w:rPr>
                <w:b/>
              </w:rPr>
            </w:pPr>
            <w:r w:rsidRPr="000D5538">
              <w:rPr>
                <w:b/>
              </w:rPr>
              <w:t>Merkmal</w:t>
            </w:r>
          </w:p>
        </w:tc>
        <w:tc>
          <w:tcPr>
            <w:tcW w:w="2750" w:type="dxa"/>
            <w:shd w:val="clear" w:color="auto" w:fill="A6A6A6" w:themeFill="background1" w:themeFillShade="A6"/>
            <w:vAlign w:val="center"/>
          </w:tcPr>
          <w:p w:rsidR="000D5538" w:rsidRPr="000D5538" w:rsidRDefault="000D5538" w:rsidP="004E6B25">
            <w:pPr>
              <w:pStyle w:val="GesAbsatz"/>
              <w:tabs>
                <w:tab w:val="clear" w:pos="425"/>
              </w:tabs>
              <w:jc w:val="left"/>
              <w:rPr>
                <w:b/>
              </w:rPr>
            </w:pPr>
            <w:r w:rsidRPr="000D5538">
              <w:rPr>
                <w:b/>
              </w:rPr>
              <w:t>charakteristische Auspr</w:t>
            </w:r>
            <w:r w:rsidRPr="000D5538">
              <w:rPr>
                <w:b/>
              </w:rPr>
              <w:t>ä</w:t>
            </w:r>
            <w:r w:rsidRPr="000D5538">
              <w:rPr>
                <w:b/>
              </w:rPr>
              <w:t>gung (Soll-Zustand)</w:t>
            </w:r>
          </w:p>
        </w:tc>
        <w:tc>
          <w:tcPr>
            <w:tcW w:w="2553" w:type="dxa"/>
            <w:shd w:val="clear" w:color="auto" w:fill="A6A6A6" w:themeFill="background1" w:themeFillShade="A6"/>
            <w:vAlign w:val="center"/>
          </w:tcPr>
          <w:p w:rsidR="000D5538" w:rsidRPr="000D5538" w:rsidRDefault="000D5538" w:rsidP="004E6B25">
            <w:pPr>
              <w:pStyle w:val="GesAbsatz"/>
              <w:tabs>
                <w:tab w:val="clear" w:pos="425"/>
              </w:tabs>
              <w:jc w:val="left"/>
              <w:rPr>
                <w:b/>
              </w:rPr>
            </w:pPr>
            <w:r w:rsidRPr="000D5538">
              <w:rPr>
                <w:b/>
              </w:rPr>
              <w:t>Ist-Zustand</w:t>
            </w:r>
          </w:p>
        </w:tc>
        <w:tc>
          <w:tcPr>
            <w:tcW w:w="2300" w:type="dxa"/>
            <w:shd w:val="clear" w:color="auto" w:fill="A6A6A6" w:themeFill="background1" w:themeFillShade="A6"/>
            <w:vAlign w:val="center"/>
          </w:tcPr>
          <w:p w:rsidR="000D5538" w:rsidRPr="000D5538" w:rsidRDefault="000D5538" w:rsidP="004E6B25">
            <w:pPr>
              <w:pStyle w:val="GesAbsatz"/>
              <w:tabs>
                <w:tab w:val="clear" w:pos="425"/>
              </w:tabs>
              <w:jc w:val="left"/>
              <w:rPr>
                <w:b/>
              </w:rPr>
            </w:pPr>
            <w:r w:rsidRPr="000D5538">
              <w:rPr>
                <w:b/>
              </w:rPr>
              <w:t>Übereinstimmung zwischen Ist- und Sollzustand</w:t>
            </w:r>
          </w:p>
        </w:tc>
      </w:tr>
      <w:tr w:rsidR="000D5538" w:rsidRPr="000D5538" w:rsidTr="000D5538">
        <w:tc>
          <w:tcPr>
            <w:tcW w:w="9854" w:type="dxa"/>
            <w:gridSpan w:val="4"/>
            <w:shd w:val="clear" w:color="auto" w:fill="D9D9D9" w:themeFill="background1" w:themeFillShade="D9"/>
          </w:tcPr>
          <w:p w:rsidR="000D5538" w:rsidRPr="000D5538" w:rsidRDefault="000D5538" w:rsidP="00573570">
            <w:pPr>
              <w:pStyle w:val="GesAbsatz"/>
              <w:tabs>
                <w:tab w:val="clear" w:pos="425"/>
              </w:tabs>
              <w:rPr>
                <w:b/>
              </w:rPr>
            </w:pPr>
            <w:r w:rsidRPr="000D5538">
              <w:rPr>
                <w:b/>
              </w:rPr>
              <w:t>Eigenart</w:t>
            </w:r>
          </w:p>
        </w:tc>
      </w:tr>
      <w:tr w:rsidR="000D5538" w:rsidRPr="000D5538" w:rsidTr="000D5538">
        <w:tc>
          <w:tcPr>
            <w:tcW w:w="2251" w:type="dxa"/>
          </w:tcPr>
          <w:p w:rsidR="000D5538" w:rsidRPr="000D5538" w:rsidRDefault="000D5538" w:rsidP="00573570">
            <w:pPr>
              <w:pStyle w:val="GesAbsatz"/>
              <w:tabs>
                <w:tab w:val="clear" w:pos="425"/>
              </w:tabs>
            </w:pPr>
            <w:r w:rsidRPr="000D5538">
              <w:t>Relief</w:t>
            </w:r>
          </w:p>
        </w:tc>
        <w:tc>
          <w:tcPr>
            <w:tcW w:w="2750" w:type="dxa"/>
          </w:tcPr>
          <w:p w:rsidR="000D5538" w:rsidRPr="000D5538" w:rsidRDefault="000D5538" w:rsidP="00573570">
            <w:pPr>
              <w:pStyle w:val="GesAbsatz"/>
              <w:tabs>
                <w:tab w:val="clear" w:pos="425"/>
              </w:tabs>
            </w:pPr>
            <w:r w:rsidRPr="000D5538">
              <w:t>flachhügelige Landschaft</w:t>
            </w:r>
          </w:p>
        </w:tc>
        <w:tc>
          <w:tcPr>
            <w:tcW w:w="2553" w:type="dxa"/>
          </w:tcPr>
          <w:p w:rsidR="000D5538" w:rsidRPr="000D5538" w:rsidRDefault="000D5538" w:rsidP="00573570">
            <w:pPr>
              <w:pStyle w:val="GesAbsatz"/>
              <w:tabs>
                <w:tab w:val="clear" w:pos="425"/>
              </w:tabs>
            </w:pPr>
            <w:r w:rsidRPr="000D5538">
              <w:t>weitgehend unverändert</w:t>
            </w:r>
          </w:p>
        </w:tc>
        <w:tc>
          <w:tcPr>
            <w:tcW w:w="2300" w:type="dxa"/>
          </w:tcPr>
          <w:p w:rsidR="000D5538" w:rsidRPr="000D5538" w:rsidRDefault="000D5538" w:rsidP="00573570">
            <w:pPr>
              <w:pStyle w:val="GesAbsatz"/>
              <w:tabs>
                <w:tab w:val="clear" w:pos="425"/>
              </w:tabs>
            </w:pPr>
            <w:r w:rsidRPr="000D5538">
              <w:t>hoch</w:t>
            </w:r>
          </w:p>
        </w:tc>
      </w:tr>
      <w:tr w:rsidR="000D5538" w:rsidRPr="000D5538" w:rsidTr="000D5538">
        <w:tc>
          <w:tcPr>
            <w:tcW w:w="2251" w:type="dxa"/>
          </w:tcPr>
          <w:p w:rsidR="000D5538" w:rsidRPr="000D5538" w:rsidRDefault="000D5538" w:rsidP="00573570">
            <w:pPr>
              <w:pStyle w:val="GesAbsatz"/>
              <w:tabs>
                <w:tab w:val="clear" w:pos="425"/>
              </w:tabs>
            </w:pPr>
            <w:r w:rsidRPr="000D5538">
              <w:t>Gewässer</w:t>
            </w:r>
          </w:p>
        </w:tc>
        <w:tc>
          <w:tcPr>
            <w:tcW w:w="2750" w:type="dxa"/>
          </w:tcPr>
          <w:p w:rsidR="000D5538" w:rsidRPr="000D5538" w:rsidRDefault="000D5538" w:rsidP="00573570">
            <w:pPr>
              <w:pStyle w:val="GesAbsatz"/>
              <w:tabs>
                <w:tab w:val="clear" w:pos="425"/>
              </w:tabs>
            </w:pPr>
            <w:r w:rsidRPr="000D5538">
              <w:t>unverbaute und naturnahe von Ufergehölzen gesäumte kleinere Bachläufe durc</w:t>
            </w:r>
            <w:r w:rsidRPr="000D5538">
              <w:t>h</w:t>
            </w:r>
            <w:r w:rsidRPr="000D5538">
              <w:t>fließen extensiv genutzte mit Feuchtwiesen angere</w:t>
            </w:r>
            <w:r w:rsidRPr="000D5538">
              <w:t>i</w:t>
            </w:r>
            <w:r w:rsidRPr="000D5538">
              <w:t>cherte Grünlandtäler;</w:t>
            </w:r>
          </w:p>
        </w:tc>
        <w:tc>
          <w:tcPr>
            <w:tcW w:w="2553" w:type="dxa"/>
          </w:tcPr>
          <w:p w:rsidR="000D5538" w:rsidRPr="000D5538" w:rsidRDefault="000D5538" w:rsidP="00573570">
            <w:pPr>
              <w:pStyle w:val="GesAbsatz"/>
              <w:tabs>
                <w:tab w:val="clear" w:pos="425"/>
              </w:tabs>
            </w:pPr>
            <w:r w:rsidRPr="000D5538">
              <w:t>oft begradigt oder mit wenig Raum zwischen intensiven Ackerflächen; Gewässer spielen aber im Betrachtungsraum nur eine untergeordnete Ro</w:t>
            </w:r>
            <w:r w:rsidRPr="000D5538">
              <w:t>l</w:t>
            </w:r>
            <w:r w:rsidRPr="000D5538">
              <w:t>le;</w:t>
            </w:r>
          </w:p>
        </w:tc>
        <w:tc>
          <w:tcPr>
            <w:tcW w:w="2300" w:type="dxa"/>
          </w:tcPr>
          <w:p w:rsidR="000D5538" w:rsidRPr="000D5538" w:rsidRDefault="000D5538" w:rsidP="00573570">
            <w:pPr>
              <w:pStyle w:val="GesAbsatz"/>
              <w:tabs>
                <w:tab w:val="clear" w:pos="425"/>
              </w:tabs>
            </w:pPr>
            <w:r w:rsidRPr="000D5538">
              <w:t>gering</w:t>
            </w:r>
          </w:p>
        </w:tc>
      </w:tr>
      <w:tr w:rsidR="000D5538" w:rsidRPr="000D5538" w:rsidTr="000D5538">
        <w:tc>
          <w:tcPr>
            <w:tcW w:w="2251" w:type="dxa"/>
          </w:tcPr>
          <w:p w:rsidR="000D5538" w:rsidRPr="000D5538" w:rsidRDefault="000D5538" w:rsidP="00753A04">
            <w:pPr>
              <w:pStyle w:val="GesAbsatz"/>
              <w:tabs>
                <w:tab w:val="clear" w:pos="425"/>
              </w:tabs>
              <w:jc w:val="left"/>
            </w:pPr>
            <w:r w:rsidRPr="000D5538">
              <w:t>Qualitatives Nu</w:t>
            </w:r>
            <w:r w:rsidRPr="000D5538">
              <w:t>t</w:t>
            </w:r>
            <w:r w:rsidRPr="000D5538">
              <w:t>zungsmuster</w:t>
            </w:r>
          </w:p>
        </w:tc>
        <w:tc>
          <w:tcPr>
            <w:tcW w:w="2750" w:type="dxa"/>
          </w:tcPr>
          <w:p w:rsidR="000D5538" w:rsidRPr="000D5538" w:rsidRDefault="000D5538" w:rsidP="00573570">
            <w:pPr>
              <w:pStyle w:val="GesAbsatz"/>
              <w:tabs>
                <w:tab w:val="clear" w:pos="425"/>
              </w:tabs>
            </w:pPr>
            <w:r w:rsidRPr="000D5538">
              <w:t>strukturierte Kulturlan</w:t>
            </w:r>
            <w:r w:rsidRPr="000D5538">
              <w:t>d</w:t>
            </w:r>
            <w:r w:rsidRPr="000D5538">
              <w:t>schaftsbereiche im Wechsel mit ausgedehnten, buche</w:t>
            </w:r>
            <w:r w:rsidRPr="000D5538">
              <w:t>n</w:t>
            </w:r>
            <w:r w:rsidRPr="000D5538">
              <w:t>reichen Laubwäldern; inne</w:t>
            </w:r>
            <w:r w:rsidRPr="000D5538">
              <w:t>r</w:t>
            </w:r>
            <w:r w:rsidRPr="000D5538">
              <w:t>halb der Kulturlandschaft kommt den Resten der M</w:t>
            </w:r>
            <w:r w:rsidRPr="000D5538">
              <w:t>a</w:t>
            </w:r>
            <w:r w:rsidRPr="000D5538">
              <w:t>gerwiesen, Magerweisen und Kalkhalbtrockenrasen eine zentrale Bedeutung zu, die durch extensive Bewir</w:t>
            </w:r>
            <w:r w:rsidRPr="000D5538">
              <w:t>t</w:t>
            </w:r>
            <w:r w:rsidRPr="000D5538">
              <w:t xml:space="preserve">schaftungsformen und </w:t>
            </w:r>
            <w:proofErr w:type="spellStart"/>
            <w:r w:rsidRPr="000D5538">
              <w:t>H</w:t>
            </w:r>
            <w:r w:rsidRPr="000D5538">
              <w:t>u</w:t>
            </w:r>
            <w:r w:rsidRPr="000D5538">
              <w:t>teschafhaltung</w:t>
            </w:r>
            <w:proofErr w:type="spellEnd"/>
            <w:r w:rsidRPr="000D5538">
              <w:t xml:space="preserve"> etc. zu e</w:t>
            </w:r>
            <w:r w:rsidRPr="000D5538">
              <w:t>i</w:t>
            </w:r>
            <w:r w:rsidRPr="000D5538">
              <w:t>nem möglichst, engmasch</w:t>
            </w:r>
            <w:r w:rsidRPr="000D5538">
              <w:t>i</w:t>
            </w:r>
            <w:r w:rsidRPr="000D5538">
              <w:t>gen Biotopnetz aus klein</w:t>
            </w:r>
            <w:r w:rsidRPr="000D5538">
              <w:t>e</w:t>
            </w:r>
            <w:r w:rsidRPr="000D5538">
              <w:t xml:space="preserve">ren Trittsteinflächen und großräumigen Kernflächen miteinander verbunden sind; strukturreiche Grünland- </w:t>
            </w:r>
            <w:r w:rsidRPr="000D5538">
              <w:lastRenderedPageBreak/>
              <w:t>und Acker-Grünlandkomplexe mit Obstweiden, Feld- und Flu</w:t>
            </w:r>
            <w:r w:rsidRPr="000D5538">
              <w:t>r</w:t>
            </w:r>
            <w:r w:rsidRPr="000D5538">
              <w:t>gehölzen, Säumen und kleineren Waldbereichen; heckenreiche Grünlandg</w:t>
            </w:r>
            <w:r w:rsidRPr="000D5538">
              <w:t>e</w:t>
            </w:r>
            <w:r w:rsidRPr="000D5538">
              <w:t>biete besonders auf sta</w:t>
            </w:r>
            <w:r w:rsidRPr="000D5538">
              <w:t>u</w:t>
            </w:r>
            <w:r w:rsidRPr="000D5538">
              <w:t>nassen Standorten; Han</w:t>
            </w:r>
            <w:r w:rsidRPr="000D5538">
              <w:t>g</w:t>
            </w:r>
            <w:r w:rsidRPr="000D5538">
              <w:t>terrassen und Hohlwege und artenreiche Kalkäcker; diese naturschutzorientiert bewirtschaftet; Saum und Gehölzstrukturen; Acke</w:t>
            </w:r>
            <w:r w:rsidRPr="000D5538">
              <w:t>r</w:t>
            </w:r>
            <w:r w:rsidRPr="000D5538">
              <w:t>komplexe angereichert mit gliedernden und belebe</w:t>
            </w:r>
            <w:r w:rsidRPr="000D5538">
              <w:t>n</w:t>
            </w:r>
            <w:r w:rsidRPr="000D5538">
              <w:t>den Elementen; örtlich strukturreiche Hecken-Grünlandkomplexe und reich gegliederte halboffene Landschaft;</w:t>
            </w:r>
          </w:p>
        </w:tc>
        <w:tc>
          <w:tcPr>
            <w:tcW w:w="2553" w:type="dxa"/>
          </w:tcPr>
          <w:p w:rsidR="000D5538" w:rsidRPr="000D5538" w:rsidRDefault="000D5538" w:rsidP="00573570">
            <w:pPr>
              <w:pStyle w:val="GesAbsatz"/>
              <w:tabs>
                <w:tab w:val="clear" w:pos="425"/>
              </w:tabs>
            </w:pPr>
            <w:r w:rsidRPr="000D5538">
              <w:lastRenderedPageBreak/>
              <w:t>in weiten Teilen großfl</w:t>
            </w:r>
            <w:r w:rsidRPr="000D5538">
              <w:t>ä</w:t>
            </w:r>
            <w:r w:rsidRPr="000D5538">
              <w:t>chig ausgeräumte, inte</w:t>
            </w:r>
            <w:r w:rsidRPr="000D5538">
              <w:t>n</w:t>
            </w:r>
            <w:r w:rsidRPr="000D5538">
              <w:t>sive Agrarlandschaft; Obstgehölze teilweise im Umfeld ländlicher Sie</w:t>
            </w:r>
            <w:r w:rsidRPr="000D5538">
              <w:t>d</w:t>
            </w:r>
            <w:r w:rsidRPr="000D5538">
              <w:t>lung vorhanden; Gehöl</w:t>
            </w:r>
            <w:r w:rsidRPr="000D5538">
              <w:t>z</w:t>
            </w:r>
            <w:r w:rsidRPr="000D5538">
              <w:t>strukturen nur stellenwe</w:t>
            </w:r>
            <w:r w:rsidRPr="000D5538">
              <w:t>i</w:t>
            </w:r>
            <w:r w:rsidRPr="000D5538">
              <w:t>se in der Landschaft vo</w:t>
            </w:r>
            <w:r w:rsidRPr="000D5538">
              <w:t>r</w:t>
            </w:r>
            <w:r w:rsidRPr="000D5538">
              <w:t>handen; Agrarnutzung dominiert; Landschaft</w:t>
            </w:r>
            <w:r w:rsidRPr="000D5538">
              <w:t>s</w:t>
            </w:r>
            <w:r w:rsidRPr="000D5538">
              <w:t>bildeinheit umfasst die Offenlandschaft: zusa</w:t>
            </w:r>
            <w:r w:rsidRPr="000D5538">
              <w:t>m</w:t>
            </w:r>
            <w:r w:rsidRPr="000D5538">
              <w:t>men mit benachbarten Landschaftsbildeinheit ergibt sich durchaus ein Wechsel zwischen Wald und Offenland; wenig kulturhistorische Eleme</w:t>
            </w:r>
            <w:r w:rsidRPr="000D5538">
              <w:t>n</w:t>
            </w:r>
            <w:r w:rsidRPr="000D5538">
              <w:lastRenderedPageBreak/>
              <w:t>te und meist geringer Anteil gliedernder Lan</w:t>
            </w:r>
            <w:r w:rsidRPr="000D5538">
              <w:t>d</w:t>
            </w:r>
            <w:r w:rsidRPr="000D5538">
              <w:t>schaftselemente und Säume; Magergrünland nur in kleinsten Relikten vorhanden; Vorbelastung durch bestehendes Win</w:t>
            </w:r>
            <w:r w:rsidRPr="000D5538">
              <w:t>d</w:t>
            </w:r>
            <w:r w:rsidRPr="000D5538">
              <w:t>rad;</w:t>
            </w:r>
          </w:p>
        </w:tc>
        <w:tc>
          <w:tcPr>
            <w:tcW w:w="2300" w:type="dxa"/>
          </w:tcPr>
          <w:p w:rsidR="000D5538" w:rsidRPr="000D5538" w:rsidRDefault="000D5538" w:rsidP="00573570">
            <w:pPr>
              <w:pStyle w:val="GesAbsatz"/>
              <w:tabs>
                <w:tab w:val="clear" w:pos="425"/>
              </w:tabs>
            </w:pPr>
            <w:r w:rsidRPr="000D5538">
              <w:lastRenderedPageBreak/>
              <w:t>gering</w:t>
            </w:r>
          </w:p>
        </w:tc>
      </w:tr>
      <w:tr w:rsidR="000D5538" w:rsidRPr="000D5538" w:rsidTr="000D5538">
        <w:tc>
          <w:tcPr>
            <w:tcW w:w="2251" w:type="dxa"/>
          </w:tcPr>
          <w:p w:rsidR="000D5538" w:rsidRPr="000D5538" w:rsidRDefault="000D5538" w:rsidP="00573570">
            <w:pPr>
              <w:pStyle w:val="GesAbsatz"/>
              <w:tabs>
                <w:tab w:val="clear" w:pos="425"/>
              </w:tabs>
            </w:pPr>
            <w:r w:rsidRPr="000D5538">
              <w:lastRenderedPageBreak/>
              <w:t>Siedlungsausprägung</w:t>
            </w:r>
          </w:p>
        </w:tc>
        <w:tc>
          <w:tcPr>
            <w:tcW w:w="2750" w:type="dxa"/>
          </w:tcPr>
          <w:p w:rsidR="000D5538" w:rsidRPr="000D5538" w:rsidRDefault="000D5538" w:rsidP="00573570">
            <w:pPr>
              <w:pStyle w:val="GesAbsatz"/>
              <w:tabs>
                <w:tab w:val="clear" w:pos="425"/>
              </w:tabs>
            </w:pPr>
            <w:r w:rsidRPr="000D5538">
              <w:t>ländlich geprägte Siedlu</w:t>
            </w:r>
            <w:r w:rsidRPr="000D5538">
              <w:t>n</w:t>
            </w:r>
            <w:r w:rsidRPr="000D5538">
              <w:t>gen mit historischen El</w:t>
            </w:r>
            <w:r w:rsidRPr="000D5538">
              <w:t>e</w:t>
            </w:r>
            <w:r w:rsidRPr="000D5538">
              <w:t>menten</w:t>
            </w:r>
          </w:p>
        </w:tc>
        <w:tc>
          <w:tcPr>
            <w:tcW w:w="2553" w:type="dxa"/>
          </w:tcPr>
          <w:p w:rsidR="000D5538" w:rsidRPr="000D5538" w:rsidRDefault="000D5538" w:rsidP="00573570">
            <w:pPr>
              <w:pStyle w:val="GesAbsatz"/>
              <w:tabs>
                <w:tab w:val="clear" w:pos="425"/>
              </w:tabs>
            </w:pPr>
            <w:r w:rsidRPr="000D5538">
              <w:t>ländlich geprägte Sie</w:t>
            </w:r>
            <w:r w:rsidRPr="000D5538">
              <w:t>d</w:t>
            </w:r>
            <w:r w:rsidRPr="000D5538">
              <w:t>lungen, teils industrielle Landwirtschaft;</w:t>
            </w:r>
          </w:p>
        </w:tc>
        <w:tc>
          <w:tcPr>
            <w:tcW w:w="2300" w:type="dxa"/>
          </w:tcPr>
          <w:p w:rsidR="000D5538" w:rsidRPr="000D5538" w:rsidRDefault="000D5538" w:rsidP="00573570">
            <w:pPr>
              <w:pStyle w:val="GesAbsatz"/>
              <w:tabs>
                <w:tab w:val="clear" w:pos="425"/>
              </w:tabs>
            </w:pPr>
            <w:r w:rsidRPr="000D5538">
              <w:t>mittel</w:t>
            </w:r>
          </w:p>
        </w:tc>
      </w:tr>
      <w:tr w:rsidR="000D5538" w:rsidRPr="000D5538" w:rsidTr="00573570">
        <w:tc>
          <w:tcPr>
            <w:tcW w:w="7554" w:type="dxa"/>
            <w:gridSpan w:val="3"/>
          </w:tcPr>
          <w:p w:rsidR="000D5538" w:rsidRPr="000D5538" w:rsidRDefault="00753A04" w:rsidP="00573570">
            <w:pPr>
              <w:pStyle w:val="GesAbsatz"/>
              <w:tabs>
                <w:tab w:val="clear" w:pos="425"/>
              </w:tabs>
            </w:pPr>
            <w:r>
              <w:rPr>
                <w:rFonts w:cs="Arial"/>
              </w:rPr>
              <w:t>→</w:t>
            </w:r>
            <w:r w:rsidR="000D5538" w:rsidRPr="000D5538">
              <w:t xml:space="preserve"> Gesamtbewertung Eigenart:</w:t>
            </w:r>
          </w:p>
        </w:tc>
        <w:tc>
          <w:tcPr>
            <w:tcW w:w="2300" w:type="dxa"/>
          </w:tcPr>
          <w:p w:rsidR="000D5538" w:rsidRPr="000D5538" w:rsidRDefault="000D5538" w:rsidP="00573570">
            <w:pPr>
              <w:pStyle w:val="GesAbsatz"/>
              <w:tabs>
                <w:tab w:val="clear" w:pos="425"/>
              </w:tabs>
            </w:pPr>
            <w:r w:rsidRPr="000D5538">
              <w:t>mittel</w:t>
            </w:r>
          </w:p>
        </w:tc>
      </w:tr>
      <w:tr w:rsidR="000D5538" w:rsidRPr="000D5538" w:rsidTr="000D5538">
        <w:tc>
          <w:tcPr>
            <w:tcW w:w="9854" w:type="dxa"/>
            <w:gridSpan w:val="4"/>
            <w:shd w:val="clear" w:color="auto" w:fill="D9D9D9" w:themeFill="background1" w:themeFillShade="D9"/>
          </w:tcPr>
          <w:p w:rsidR="000D5538" w:rsidRPr="000D5538" w:rsidRDefault="000D5538" w:rsidP="00573570">
            <w:pPr>
              <w:pStyle w:val="GesAbsatz"/>
              <w:tabs>
                <w:tab w:val="clear" w:pos="425"/>
              </w:tabs>
            </w:pPr>
            <w:r w:rsidRPr="000D5538">
              <w:rPr>
                <w:b/>
              </w:rPr>
              <w:t>Vielfalt</w:t>
            </w:r>
          </w:p>
        </w:tc>
      </w:tr>
      <w:tr w:rsidR="000D5538" w:rsidRPr="000D5538" w:rsidTr="000D5538">
        <w:tc>
          <w:tcPr>
            <w:tcW w:w="2251" w:type="dxa"/>
          </w:tcPr>
          <w:p w:rsidR="000D5538" w:rsidRPr="000D5538" w:rsidRDefault="000D5538" w:rsidP="00573570">
            <w:pPr>
              <w:pStyle w:val="GesAbsatz"/>
              <w:tabs>
                <w:tab w:val="clear" w:pos="425"/>
              </w:tabs>
            </w:pPr>
            <w:r w:rsidRPr="000D5538">
              <w:t>Quantitatives Nu</w:t>
            </w:r>
            <w:r w:rsidRPr="000D5538">
              <w:t>t</w:t>
            </w:r>
            <w:r w:rsidRPr="000D5538">
              <w:t>zungsmuster</w:t>
            </w:r>
          </w:p>
        </w:tc>
        <w:tc>
          <w:tcPr>
            <w:tcW w:w="2750" w:type="dxa"/>
          </w:tcPr>
          <w:p w:rsidR="000D5538" w:rsidRPr="000D5538" w:rsidRDefault="000D5538" w:rsidP="00573570">
            <w:pPr>
              <w:pStyle w:val="GesAbsatz"/>
              <w:tabs>
                <w:tab w:val="clear" w:pos="425"/>
              </w:tabs>
            </w:pPr>
            <w:r w:rsidRPr="000D5538">
              <w:t>mit Säumen und Gehöl</w:t>
            </w:r>
            <w:r w:rsidRPr="000D5538">
              <w:t>z</w:t>
            </w:r>
            <w:r w:rsidRPr="000D5538">
              <w:t>strukturen angereicherte Agrarlandschaft; stellenwe</w:t>
            </w:r>
            <w:r w:rsidRPr="000D5538">
              <w:t>i</w:t>
            </w:r>
            <w:r w:rsidRPr="000D5538">
              <w:t>se Grünland;</w:t>
            </w:r>
          </w:p>
        </w:tc>
        <w:tc>
          <w:tcPr>
            <w:tcW w:w="2553" w:type="dxa"/>
          </w:tcPr>
          <w:p w:rsidR="000D5538" w:rsidRPr="000D5538" w:rsidRDefault="000D5538" w:rsidP="00573570">
            <w:pPr>
              <w:pStyle w:val="GesAbsatz"/>
              <w:tabs>
                <w:tab w:val="clear" w:pos="425"/>
              </w:tabs>
            </w:pPr>
            <w:r w:rsidRPr="000D5538">
              <w:t>Agrarnutzung dominiert; wenig gliedernde Eleme</w:t>
            </w:r>
            <w:r w:rsidRPr="000D5538">
              <w:t>n</w:t>
            </w:r>
            <w:r w:rsidRPr="000D5538">
              <w:t>te;</w:t>
            </w:r>
          </w:p>
        </w:tc>
        <w:tc>
          <w:tcPr>
            <w:tcW w:w="2300" w:type="dxa"/>
          </w:tcPr>
          <w:p w:rsidR="000D5538" w:rsidRPr="000D5538" w:rsidRDefault="000D5538" w:rsidP="00573570">
            <w:pPr>
              <w:pStyle w:val="GesAbsatz"/>
              <w:tabs>
                <w:tab w:val="clear" w:pos="425"/>
              </w:tabs>
            </w:pPr>
            <w:r w:rsidRPr="000D5538">
              <w:t>gering</w:t>
            </w:r>
          </w:p>
        </w:tc>
      </w:tr>
      <w:tr w:rsidR="000D5538" w:rsidRPr="000D5538" w:rsidTr="00573570">
        <w:tc>
          <w:tcPr>
            <w:tcW w:w="7554" w:type="dxa"/>
            <w:gridSpan w:val="3"/>
          </w:tcPr>
          <w:p w:rsidR="000D5538" w:rsidRPr="000D5538" w:rsidRDefault="00753A04" w:rsidP="00573570">
            <w:pPr>
              <w:pStyle w:val="GesAbsatz"/>
              <w:tabs>
                <w:tab w:val="clear" w:pos="425"/>
              </w:tabs>
            </w:pPr>
            <w:r>
              <w:rPr>
                <w:rFonts w:cs="Arial"/>
              </w:rPr>
              <w:t>→</w:t>
            </w:r>
            <w:r w:rsidR="000D5538" w:rsidRPr="000D5538">
              <w:t xml:space="preserve"> Gesamtbewertung „Vielfalt“:</w:t>
            </w:r>
          </w:p>
        </w:tc>
        <w:tc>
          <w:tcPr>
            <w:tcW w:w="2300" w:type="dxa"/>
          </w:tcPr>
          <w:p w:rsidR="000D5538" w:rsidRPr="000D5538" w:rsidRDefault="000D5538" w:rsidP="00573570">
            <w:pPr>
              <w:pStyle w:val="GesAbsatz"/>
              <w:tabs>
                <w:tab w:val="clear" w:pos="425"/>
              </w:tabs>
            </w:pPr>
            <w:r w:rsidRPr="000D5538">
              <w:t>gering</w:t>
            </w:r>
          </w:p>
        </w:tc>
      </w:tr>
      <w:tr w:rsidR="000D5538" w:rsidRPr="000D5538" w:rsidTr="000D5538">
        <w:tc>
          <w:tcPr>
            <w:tcW w:w="9854" w:type="dxa"/>
            <w:gridSpan w:val="4"/>
            <w:shd w:val="clear" w:color="auto" w:fill="D9D9D9" w:themeFill="background1" w:themeFillShade="D9"/>
          </w:tcPr>
          <w:p w:rsidR="000D5538" w:rsidRPr="000D5538" w:rsidRDefault="000D5538" w:rsidP="00573570">
            <w:pPr>
              <w:pStyle w:val="GesAbsatz"/>
              <w:tabs>
                <w:tab w:val="clear" w:pos="425"/>
              </w:tabs>
              <w:rPr>
                <w:b/>
              </w:rPr>
            </w:pPr>
            <w:r w:rsidRPr="000D5538">
              <w:rPr>
                <w:b/>
              </w:rPr>
              <w:t>Schönheit</w:t>
            </w:r>
          </w:p>
        </w:tc>
      </w:tr>
      <w:tr w:rsidR="000D5538" w:rsidRPr="000D5538" w:rsidTr="000D5538">
        <w:tc>
          <w:tcPr>
            <w:tcW w:w="2251" w:type="dxa"/>
          </w:tcPr>
          <w:p w:rsidR="000D5538" w:rsidRPr="000D5538" w:rsidRDefault="000D5538" w:rsidP="00573570">
            <w:pPr>
              <w:pStyle w:val="GesAbsatz"/>
              <w:tabs>
                <w:tab w:val="clear" w:pos="425"/>
              </w:tabs>
            </w:pPr>
            <w:r w:rsidRPr="000D5538">
              <w:t>Naturnähe</w:t>
            </w:r>
          </w:p>
        </w:tc>
        <w:tc>
          <w:tcPr>
            <w:tcW w:w="2750" w:type="dxa"/>
          </w:tcPr>
          <w:p w:rsidR="000D5538" w:rsidRPr="000D5538" w:rsidRDefault="000D5538" w:rsidP="00573570">
            <w:pPr>
              <w:pStyle w:val="GesAbsatz"/>
              <w:tabs>
                <w:tab w:val="clear" w:pos="425"/>
              </w:tabs>
            </w:pPr>
            <w:r w:rsidRPr="000D5538">
              <w:t>naturnahe Elemente: flac</w:t>
            </w:r>
            <w:r w:rsidRPr="000D5538">
              <w:t>h</w:t>
            </w:r>
            <w:r w:rsidRPr="000D5538">
              <w:t xml:space="preserve">gründige Kalkäcker mit Ackerwildkräutern, </w:t>
            </w:r>
            <w:proofErr w:type="spellStart"/>
            <w:r w:rsidRPr="000D5538">
              <w:t>tw</w:t>
            </w:r>
            <w:proofErr w:type="spellEnd"/>
            <w:r w:rsidRPr="000D5538">
              <w:t>. M</w:t>
            </w:r>
            <w:r w:rsidRPr="000D5538">
              <w:t>a</w:t>
            </w:r>
            <w:r w:rsidRPr="000D5538">
              <w:t>gergrünland, Gehölzstrukt</w:t>
            </w:r>
            <w:r w:rsidRPr="000D5538">
              <w:t>u</w:t>
            </w:r>
            <w:r w:rsidRPr="000D5538">
              <w:t>ren;</w:t>
            </w:r>
          </w:p>
        </w:tc>
        <w:tc>
          <w:tcPr>
            <w:tcW w:w="2553" w:type="dxa"/>
          </w:tcPr>
          <w:p w:rsidR="000D5538" w:rsidRPr="000D5538" w:rsidRDefault="000D5538" w:rsidP="00573570">
            <w:pPr>
              <w:pStyle w:val="GesAbsatz"/>
              <w:tabs>
                <w:tab w:val="clear" w:pos="425"/>
              </w:tabs>
            </w:pPr>
            <w:r w:rsidRPr="000D5538">
              <w:t>geringer Anteil naturnaher Biotope</w:t>
            </w:r>
          </w:p>
        </w:tc>
        <w:tc>
          <w:tcPr>
            <w:tcW w:w="2300" w:type="dxa"/>
          </w:tcPr>
          <w:p w:rsidR="000D5538" w:rsidRPr="000D5538" w:rsidRDefault="000D5538" w:rsidP="00573570">
            <w:pPr>
              <w:pStyle w:val="GesAbsatz"/>
              <w:tabs>
                <w:tab w:val="clear" w:pos="425"/>
              </w:tabs>
            </w:pPr>
            <w:r w:rsidRPr="000D5538">
              <w:t>gering</w:t>
            </w:r>
          </w:p>
        </w:tc>
      </w:tr>
      <w:tr w:rsidR="000D5538" w:rsidRPr="000D5538" w:rsidTr="00573570">
        <w:tc>
          <w:tcPr>
            <w:tcW w:w="7554" w:type="dxa"/>
            <w:gridSpan w:val="3"/>
          </w:tcPr>
          <w:p w:rsidR="000D5538" w:rsidRPr="000D5538" w:rsidRDefault="00753A04" w:rsidP="00573570">
            <w:pPr>
              <w:pStyle w:val="GesAbsatz"/>
              <w:tabs>
                <w:tab w:val="clear" w:pos="425"/>
              </w:tabs>
            </w:pPr>
            <w:r>
              <w:rPr>
                <w:rFonts w:cs="Arial"/>
              </w:rPr>
              <w:t xml:space="preserve">→ </w:t>
            </w:r>
            <w:r w:rsidR="000D5538" w:rsidRPr="000D5538">
              <w:t>Gesamtbewertung: „Schönheit“:</w:t>
            </w:r>
          </w:p>
        </w:tc>
        <w:tc>
          <w:tcPr>
            <w:tcW w:w="2300" w:type="dxa"/>
          </w:tcPr>
          <w:p w:rsidR="000D5538" w:rsidRPr="000D5538" w:rsidRDefault="000D5538" w:rsidP="00573570">
            <w:pPr>
              <w:pStyle w:val="GesAbsatz"/>
              <w:tabs>
                <w:tab w:val="clear" w:pos="425"/>
              </w:tabs>
            </w:pPr>
            <w:r w:rsidRPr="000D5538">
              <w:t>gering</w:t>
            </w:r>
          </w:p>
        </w:tc>
      </w:tr>
      <w:tr w:rsidR="000D5538" w:rsidRPr="000D5538" w:rsidTr="000D5538">
        <w:tc>
          <w:tcPr>
            <w:tcW w:w="5001" w:type="dxa"/>
            <w:gridSpan w:val="2"/>
            <w:shd w:val="clear" w:color="auto" w:fill="A6A6A6" w:themeFill="background1" w:themeFillShade="A6"/>
          </w:tcPr>
          <w:p w:rsidR="000D5538" w:rsidRPr="000D5538" w:rsidRDefault="000D5538" w:rsidP="00573570">
            <w:pPr>
              <w:pStyle w:val="GesAbsatz"/>
              <w:tabs>
                <w:tab w:val="clear" w:pos="425"/>
              </w:tabs>
              <w:rPr>
                <w:b/>
              </w:rPr>
            </w:pPr>
            <w:r w:rsidRPr="000D5538">
              <w:rPr>
                <w:b/>
              </w:rPr>
              <w:t>Gesamtbewertung Landschaftsbild für die Lan</w:t>
            </w:r>
            <w:r w:rsidRPr="000D5538">
              <w:rPr>
                <w:b/>
              </w:rPr>
              <w:t>d</w:t>
            </w:r>
            <w:r w:rsidRPr="000D5538">
              <w:rPr>
                <w:b/>
              </w:rPr>
              <w:t>schaftsbildeinheit:</w:t>
            </w:r>
          </w:p>
        </w:tc>
        <w:tc>
          <w:tcPr>
            <w:tcW w:w="4853" w:type="dxa"/>
            <w:gridSpan w:val="2"/>
            <w:shd w:val="clear" w:color="auto" w:fill="A6A6A6" w:themeFill="background1" w:themeFillShade="A6"/>
          </w:tcPr>
          <w:p w:rsidR="000D5538" w:rsidRPr="000D5538" w:rsidRDefault="000D5538" w:rsidP="00573570">
            <w:pPr>
              <w:pStyle w:val="GesAbsatz"/>
              <w:tabs>
                <w:tab w:val="clear" w:pos="425"/>
              </w:tabs>
              <w:rPr>
                <w:b/>
              </w:rPr>
            </w:pPr>
            <w:r w:rsidRPr="000D5538">
              <w:rPr>
                <w:b/>
              </w:rPr>
              <w:t>sehr gering / gering, 6 Wertpunkte</w:t>
            </w:r>
          </w:p>
        </w:tc>
      </w:tr>
    </w:tbl>
    <w:p w:rsidR="000D5538" w:rsidRDefault="000D5538" w:rsidP="00300A9A">
      <w:pPr>
        <w:pStyle w:val="GesAbsatz"/>
      </w:pPr>
    </w:p>
    <w:p w:rsidR="00300A9A" w:rsidRDefault="00300A9A" w:rsidP="00300A9A">
      <w:pPr>
        <w:pStyle w:val="GesAbsatz"/>
      </w:pPr>
      <w:r>
        <w:t>Eine kartographische Darstellung der Landschaftsbildeinheiten mit den ermittelten</w:t>
      </w:r>
      <w:r w:rsidR="008C2C9B">
        <w:t xml:space="preserve"> </w:t>
      </w:r>
      <w:r>
        <w:t>Wertstufen befindet sich in Abb. 5.</w:t>
      </w:r>
    </w:p>
    <w:p w:rsidR="00300A9A" w:rsidRDefault="002666D9" w:rsidP="002666D9">
      <w:pPr>
        <w:pStyle w:val="GesAbsatz"/>
        <w:jc w:val="center"/>
      </w:pPr>
      <w:r>
        <w:rPr>
          <w:noProof/>
        </w:rPr>
        <w:lastRenderedPageBreak/>
        <w:drawing>
          <wp:inline distT="0" distB="0" distL="0" distR="0">
            <wp:extent cx="5448300" cy="39319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3931920"/>
                    </a:xfrm>
                    <a:prstGeom prst="rect">
                      <a:avLst/>
                    </a:prstGeom>
                    <a:noFill/>
                    <a:ln>
                      <a:noFill/>
                    </a:ln>
                  </pic:spPr>
                </pic:pic>
              </a:graphicData>
            </a:graphic>
          </wp:inline>
        </w:drawing>
      </w:r>
    </w:p>
    <w:p w:rsidR="00300A9A" w:rsidRDefault="00300A9A" w:rsidP="00300A9A">
      <w:pPr>
        <w:pStyle w:val="GesAbsatz"/>
      </w:pPr>
      <w:r>
        <w:t>Abb. 5: Landschaftsbildbewertung im Untersuchungsraum (rot: Wertstufe „sehr gering / gering“, gelb: Wer</w:t>
      </w:r>
      <w:r>
        <w:t>t</w:t>
      </w:r>
      <w:r>
        <w:t>stufe</w:t>
      </w:r>
      <w:r w:rsidR="002666D9">
        <w:t xml:space="preserve"> </w:t>
      </w:r>
      <w:r>
        <w:t>„hoch, besondere Bedeutung“, grün: Wertstufe „sehr hoch, herausragende Bedeutung“).</w:t>
      </w:r>
      <w:r w:rsidR="00753A04">
        <w:br/>
      </w:r>
      <w:r>
        <w:t>© Geobasisdaten, Bezirksregierung Köln Abteilung GEObasis.nrw, Bonn 2014.</w:t>
      </w:r>
    </w:p>
    <w:p w:rsidR="00300A9A" w:rsidRPr="002666D9" w:rsidRDefault="00300A9A" w:rsidP="00300A9A">
      <w:pPr>
        <w:pStyle w:val="GesAbsatz"/>
        <w:rPr>
          <w:b/>
        </w:rPr>
      </w:pPr>
      <w:r w:rsidRPr="002666D9">
        <w:rPr>
          <w:b/>
        </w:rPr>
        <w:t>Schritt 4: Ersatzgeldermittlung</w:t>
      </w:r>
    </w:p>
    <w:p w:rsidR="00300A9A" w:rsidRPr="002666D9" w:rsidRDefault="00300A9A" w:rsidP="002666D9">
      <w:pPr>
        <w:pStyle w:val="GesAbsatz"/>
        <w:ind w:left="426" w:hanging="426"/>
        <w:rPr>
          <w:b/>
        </w:rPr>
      </w:pPr>
      <w:r w:rsidRPr="002666D9">
        <w:rPr>
          <w:b/>
        </w:rPr>
        <w:t>a.</w:t>
      </w:r>
      <w:r w:rsidR="002666D9" w:rsidRPr="002666D9">
        <w:rPr>
          <w:b/>
        </w:rPr>
        <w:tab/>
      </w:r>
      <w:r w:rsidRPr="002666D9">
        <w:rPr>
          <w:b/>
        </w:rPr>
        <w:t>Ermittlung der Flächenanteile der einzelnen Landschaftsbildeinheiten (LBE) am</w:t>
      </w:r>
      <w:r w:rsidR="002666D9" w:rsidRPr="002666D9">
        <w:rPr>
          <w:b/>
        </w:rPr>
        <w:t xml:space="preserve"> </w:t>
      </w:r>
      <w:r w:rsidRPr="002666D9">
        <w:rPr>
          <w:b/>
        </w:rPr>
        <w:t>Untersuchung</w:t>
      </w:r>
      <w:r w:rsidRPr="002666D9">
        <w:rPr>
          <w:b/>
        </w:rPr>
        <w:t>s</w:t>
      </w:r>
      <w:r w:rsidRPr="002666D9">
        <w:rPr>
          <w:b/>
        </w:rPr>
        <w:t>raum</w:t>
      </w:r>
    </w:p>
    <w:p w:rsidR="00300A9A" w:rsidRDefault="00300A9A" w:rsidP="002666D9">
      <w:pPr>
        <w:pStyle w:val="GesAbsatz"/>
        <w:tabs>
          <w:tab w:val="left" w:pos="3969"/>
        </w:tabs>
        <w:ind w:left="426"/>
      </w:pPr>
      <w:r>
        <w:t>Größe des Untersuchungsraumes:</w:t>
      </w:r>
      <w:r w:rsidR="002666D9">
        <w:tab/>
      </w:r>
      <w:r>
        <w:t>2827 ha</w:t>
      </w:r>
      <w:r w:rsidR="002666D9">
        <w:tab/>
      </w:r>
      <w:r>
        <w:t>(100 %)</w:t>
      </w:r>
    </w:p>
    <w:p w:rsidR="00300A9A" w:rsidRDefault="00300A9A" w:rsidP="002666D9">
      <w:pPr>
        <w:pStyle w:val="GesAbsatz"/>
        <w:ind w:left="1134"/>
      </w:pPr>
      <w:r>
        <w:t>davon</w:t>
      </w:r>
    </w:p>
    <w:p w:rsidR="00300A9A" w:rsidRDefault="00300A9A" w:rsidP="002666D9">
      <w:pPr>
        <w:pStyle w:val="GesAbsatz"/>
        <w:tabs>
          <w:tab w:val="left" w:pos="3969"/>
        </w:tabs>
        <w:ind w:left="1418"/>
      </w:pPr>
      <w:r>
        <w:t>LBE-1:</w:t>
      </w:r>
      <w:r w:rsidR="002666D9">
        <w:tab/>
      </w:r>
      <w:r>
        <w:t>297 ha</w:t>
      </w:r>
    </w:p>
    <w:p w:rsidR="00300A9A" w:rsidRDefault="00300A9A" w:rsidP="002666D9">
      <w:pPr>
        <w:pStyle w:val="GesAbsatz"/>
        <w:tabs>
          <w:tab w:val="left" w:pos="3969"/>
        </w:tabs>
        <w:ind w:left="1418"/>
      </w:pPr>
      <w:r>
        <w:t>LBE-2:</w:t>
      </w:r>
      <w:r w:rsidR="002666D9">
        <w:tab/>
      </w:r>
      <w:r>
        <w:t>1663 ha</w:t>
      </w:r>
    </w:p>
    <w:p w:rsidR="00300A9A" w:rsidRDefault="00300A9A" w:rsidP="002666D9">
      <w:pPr>
        <w:pStyle w:val="GesAbsatz"/>
        <w:tabs>
          <w:tab w:val="left" w:pos="3969"/>
        </w:tabs>
        <w:ind w:left="1418"/>
      </w:pPr>
      <w:r>
        <w:t>LBE-3:</w:t>
      </w:r>
      <w:r w:rsidR="002666D9">
        <w:tab/>
      </w:r>
      <w:r>
        <w:t>867 ha</w:t>
      </w:r>
    </w:p>
    <w:p w:rsidR="00300A9A" w:rsidRPr="002666D9" w:rsidRDefault="00300A9A" w:rsidP="00300A9A">
      <w:pPr>
        <w:pStyle w:val="GesAbsatz"/>
        <w:rPr>
          <w:b/>
        </w:rPr>
      </w:pPr>
      <w:r w:rsidRPr="002666D9">
        <w:rPr>
          <w:b/>
        </w:rPr>
        <w:t>b.</w:t>
      </w:r>
      <w:r w:rsidR="002666D9" w:rsidRPr="002666D9">
        <w:rPr>
          <w:b/>
        </w:rPr>
        <w:tab/>
      </w:r>
      <w:r w:rsidRPr="002666D9">
        <w:rPr>
          <w:b/>
        </w:rPr>
        <w:t>Zuordnung der Preise pro Meter Anlagenhöhe zu den LBE-Einheiten</w:t>
      </w:r>
    </w:p>
    <w:p w:rsidR="00300A9A" w:rsidRDefault="00300A9A" w:rsidP="00753A04">
      <w:pPr>
        <w:pStyle w:val="GesAbsatz"/>
        <w:tabs>
          <w:tab w:val="left" w:pos="2835"/>
          <w:tab w:val="left" w:pos="5670"/>
        </w:tabs>
        <w:ind w:left="426"/>
      </w:pPr>
      <w:r>
        <w:t>Landschaftsbildeinheit</w:t>
      </w:r>
      <w:r w:rsidR="002666D9">
        <w:tab/>
      </w:r>
      <w:r>
        <w:t>Wertstufe</w:t>
      </w:r>
      <w:r w:rsidR="002666D9">
        <w:tab/>
      </w:r>
      <w:r>
        <w:t>Preis</w:t>
      </w:r>
    </w:p>
    <w:p w:rsidR="00300A9A" w:rsidRDefault="00300A9A" w:rsidP="00753A04">
      <w:pPr>
        <w:pStyle w:val="GesAbsatz"/>
        <w:tabs>
          <w:tab w:val="left" w:pos="2835"/>
          <w:tab w:val="left" w:pos="5670"/>
        </w:tabs>
        <w:ind w:left="426"/>
      </w:pPr>
      <w:r>
        <w:t>LBE-1:</w:t>
      </w:r>
      <w:r w:rsidR="002666D9">
        <w:tab/>
      </w:r>
      <w:r>
        <w:t xml:space="preserve">hoch, bes. </w:t>
      </w:r>
      <w:proofErr w:type="spellStart"/>
      <w:r>
        <w:t>Bed</w:t>
      </w:r>
      <w:proofErr w:type="spellEnd"/>
      <w:r>
        <w:t>.</w:t>
      </w:r>
      <w:r w:rsidR="002666D9">
        <w:tab/>
      </w:r>
      <w:r>
        <w:t>400 € / m Anlagenhöhe</w:t>
      </w:r>
    </w:p>
    <w:p w:rsidR="00300A9A" w:rsidRDefault="00300A9A" w:rsidP="00753A04">
      <w:pPr>
        <w:pStyle w:val="GesAbsatz"/>
        <w:tabs>
          <w:tab w:val="left" w:pos="2835"/>
          <w:tab w:val="left" w:pos="5670"/>
        </w:tabs>
        <w:ind w:left="426"/>
      </w:pPr>
      <w:r>
        <w:t>LBE-2:</w:t>
      </w:r>
      <w:r w:rsidR="002666D9">
        <w:tab/>
      </w:r>
      <w:r>
        <w:t xml:space="preserve">sehr hoch, her. </w:t>
      </w:r>
      <w:proofErr w:type="spellStart"/>
      <w:r>
        <w:t>Bed</w:t>
      </w:r>
      <w:proofErr w:type="spellEnd"/>
      <w:r>
        <w:t>.</w:t>
      </w:r>
      <w:r w:rsidR="002666D9">
        <w:tab/>
      </w:r>
      <w:r>
        <w:t>800 € / m Anlagenhöhe</w:t>
      </w:r>
    </w:p>
    <w:p w:rsidR="00300A9A" w:rsidRDefault="00300A9A" w:rsidP="00753A04">
      <w:pPr>
        <w:pStyle w:val="GesAbsatz"/>
        <w:tabs>
          <w:tab w:val="left" w:pos="2835"/>
          <w:tab w:val="left" w:pos="5670"/>
        </w:tabs>
        <w:ind w:left="426"/>
      </w:pPr>
      <w:r>
        <w:t>LBE-3:</w:t>
      </w:r>
      <w:r w:rsidR="002666D9">
        <w:tab/>
      </w:r>
      <w:r>
        <w:t>sehr gering / gering</w:t>
      </w:r>
      <w:r w:rsidR="002666D9">
        <w:tab/>
      </w:r>
      <w:r>
        <w:t>100 € / m Anlagenhöhe</w:t>
      </w:r>
    </w:p>
    <w:p w:rsidR="00300A9A" w:rsidRPr="002666D9" w:rsidRDefault="00300A9A" w:rsidP="002666D9">
      <w:pPr>
        <w:pStyle w:val="GesAbsatz"/>
        <w:ind w:left="426" w:hanging="426"/>
        <w:rPr>
          <w:b/>
        </w:rPr>
      </w:pPr>
      <w:r w:rsidRPr="002666D9">
        <w:rPr>
          <w:b/>
        </w:rPr>
        <w:t>c.</w:t>
      </w:r>
      <w:r w:rsidR="002666D9" w:rsidRPr="002666D9">
        <w:rPr>
          <w:b/>
        </w:rPr>
        <w:tab/>
      </w:r>
      <w:r w:rsidRPr="002666D9">
        <w:rPr>
          <w:b/>
        </w:rPr>
        <w:t>Flächengewichtete Mittelung der Preise gemäß Anteil der</w:t>
      </w:r>
      <w:r w:rsidR="002666D9" w:rsidRPr="002666D9">
        <w:rPr>
          <w:b/>
        </w:rPr>
        <w:t xml:space="preserve"> </w:t>
      </w:r>
      <w:r w:rsidRPr="002666D9">
        <w:rPr>
          <w:b/>
        </w:rPr>
        <w:t>Landschaftsbildeinheiten am Unters</w:t>
      </w:r>
      <w:r w:rsidRPr="002666D9">
        <w:rPr>
          <w:b/>
        </w:rPr>
        <w:t>u</w:t>
      </w:r>
      <w:r w:rsidRPr="002666D9">
        <w:rPr>
          <w:b/>
        </w:rPr>
        <w:t>chungsraum</w:t>
      </w:r>
    </w:p>
    <w:p w:rsidR="00300A9A" w:rsidRDefault="00300A9A" w:rsidP="002666D9">
      <w:pPr>
        <w:pStyle w:val="GesAbsatz"/>
        <w:ind w:left="426"/>
      </w:pPr>
      <w:r>
        <w:t>297/2827 * 400 €/m + 1663/2827 * 800 €/m + 867/2827 * 100 €/m = 543,30 €/m</w:t>
      </w:r>
    </w:p>
    <w:p w:rsidR="00300A9A" w:rsidRPr="002666D9" w:rsidRDefault="00300A9A" w:rsidP="00300A9A">
      <w:pPr>
        <w:pStyle w:val="GesAbsatz"/>
        <w:rPr>
          <w:b/>
        </w:rPr>
      </w:pPr>
      <w:r w:rsidRPr="002666D9">
        <w:rPr>
          <w:b/>
        </w:rPr>
        <w:t>d.</w:t>
      </w:r>
      <w:r w:rsidR="002666D9" w:rsidRPr="002666D9">
        <w:rPr>
          <w:b/>
        </w:rPr>
        <w:tab/>
      </w:r>
      <w:r w:rsidRPr="002666D9">
        <w:rPr>
          <w:b/>
        </w:rPr>
        <w:t>Ersatzgeld</w:t>
      </w:r>
    </w:p>
    <w:p w:rsidR="00300A9A" w:rsidRDefault="00300A9A" w:rsidP="002666D9">
      <w:pPr>
        <w:pStyle w:val="GesAbsatz"/>
        <w:ind w:left="426"/>
      </w:pPr>
      <w:r>
        <w:t>Ersatzgeld = Preis pro Meter Anlagenhöhe * Anlagenhöhe</w:t>
      </w:r>
    </w:p>
    <w:p w:rsidR="00300A9A" w:rsidRDefault="00300A9A" w:rsidP="002666D9">
      <w:pPr>
        <w:pStyle w:val="GesAbsatz"/>
        <w:ind w:left="426"/>
      </w:pPr>
      <w:r>
        <w:t xml:space="preserve">Ersatzgeld: 543,30 €/m * 200 m = </w:t>
      </w:r>
      <w:r w:rsidRPr="002666D9">
        <w:rPr>
          <w:b/>
          <w:u w:val="single"/>
        </w:rPr>
        <w:t>108.660,00 €</w:t>
      </w:r>
    </w:p>
    <w:p w:rsidR="00753A04" w:rsidRDefault="00753A04">
      <w:pPr>
        <w:tabs>
          <w:tab w:val="clear" w:pos="425"/>
        </w:tabs>
        <w:overflowPunct/>
        <w:autoSpaceDE/>
        <w:autoSpaceDN/>
        <w:adjustRightInd/>
        <w:spacing w:before="0" w:after="0"/>
        <w:jc w:val="left"/>
        <w:textAlignment w:val="auto"/>
        <w:rPr>
          <w:color w:val="000000"/>
        </w:rPr>
      </w:pPr>
      <w:r>
        <w:br w:type="page"/>
      </w:r>
    </w:p>
    <w:p w:rsidR="00300A9A" w:rsidRDefault="00C2285B" w:rsidP="00C2285B">
      <w:pPr>
        <w:pStyle w:val="berschrift2"/>
        <w:jc w:val="left"/>
      </w:pPr>
      <w:bookmarkStart w:id="39" w:name="_Toc451849541"/>
      <w:r>
        <w:lastRenderedPageBreak/>
        <w:t>Anlage 3</w:t>
      </w:r>
      <w:bookmarkEnd w:id="39"/>
    </w:p>
    <w:p w:rsidR="00FF6953" w:rsidRPr="00C2285B" w:rsidRDefault="00FF6953" w:rsidP="00C2285B">
      <w:pPr>
        <w:pStyle w:val="GesAbsatz"/>
        <w:jc w:val="center"/>
        <w:rPr>
          <w:b/>
        </w:rPr>
      </w:pPr>
      <w:r w:rsidRPr="00C2285B">
        <w:rPr>
          <w:b/>
        </w:rPr>
        <w:t>Fiktives Beispiel 2</w:t>
      </w:r>
      <w:r w:rsidR="00C2285B" w:rsidRPr="00C2285B">
        <w:rPr>
          <w:b/>
        </w:rPr>
        <w:t xml:space="preserve"> </w:t>
      </w:r>
      <w:r w:rsidRPr="00C2285B">
        <w:rPr>
          <w:b/>
        </w:rPr>
        <w:t>zum Verfahren der Landschaftsbildbewertung</w:t>
      </w:r>
      <w:r w:rsidR="00C2285B" w:rsidRPr="00C2285B">
        <w:rPr>
          <w:b/>
        </w:rPr>
        <w:t xml:space="preserve"> </w:t>
      </w:r>
      <w:r w:rsidRPr="00C2285B">
        <w:rPr>
          <w:b/>
        </w:rPr>
        <w:t>im Zuge der Ersatzgeldermittlung</w:t>
      </w:r>
      <w:r w:rsidR="00C2285B" w:rsidRPr="00C2285B">
        <w:rPr>
          <w:b/>
        </w:rPr>
        <w:t xml:space="preserve"> </w:t>
      </w:r>
      <w:r w:rsidRPr="00C2285B">
        <w:rPr>
          <w:b/>
        </w:rPr>
        <w:t>für Eingriffe in das Landschaftsbild</w:t>
      </w:r>
      <w:r w:rsidR="00C2285B" w:rsidRPr="00C2285B">
        <w:rPr>
          <w:b/>
        </w:rPr>
        <w:t xml:space="preserve"> </w:t>
      </w:r>
      <w:r w:rsidRPr="00C2285B">
        <w:rPr>
          <w:b/>
        </w:rPr>
        <w:t>durch den Bau von Windenergieanlagen</w:t>
      </w:r>
    </w:p>
    <w:p w:rsidR="00FF6953" w:rsidRPr="00C2285B" w:rsidRDefault="00FF6953" w:rsidP="00C2285B">
      <w:pPr>
        <w:pStyle w:val="GesAbsatz"/>
        <w:jc w:val="center"/>
        <w:rPr>
          <w:b/>
        </w:rPr>
      </w:pPr>
      <w:r w:rsidRPr="00C2285B">
        <w:rPr>
          <w:b/>
        </w:rPr>
        <w:t>- Landschaftsbildeinheiten mittlerer Wertstufe -</w:t>
      </w:r>
    </w:p>
    <w:p w:rsidR="00FF6953" w:rsidRPr="00C2285B" w:rsidRDefault="00FF6953" w:rsidP="00FF6953">
      <w:pPr>
        <w:pStyle w:val="GesAbsatz"/>
        <w:rPr>
          <w:b/>
        </w:rPr>
      </w:pPr>
      <w:r w:rsidRPr="00C2285B">
        <w:rPr>
          <w:b/>
        </w:rPr>
        <w:t>Annahme</w:t>
      </w:r>
    </w:p>
    <w:p w:rsidR="00FF6953" w:rsidRDefault="00FF6953" w:rsidP="00FF6953">
      <w:pPr>
        <w:pStyle w:val="GesAbsatz"/>
      </w:pPr>
      <w:r>
        <w:t>Auf dem Gebiet des Kreises Steinfurt soll eine sehr hohe Windenergieanlage von 200 m Höhe</w:t>
      </w:r>
      <w:r w:rsidR="00C2285B">
        <w:t xml:space="preserve"> </w:t>
      </w:r>
      <w:r>
        <w:t>errichtet we</w:t>
      </w:r>
      <w:r>
        <w:t>r</w:t>
      </w:r>
      <w:r>
        <w:t>den. Die Anlage ist eine Einzelanlage und wird nicht zu einem schon bestehenden</w:t>
      </w:r>
      <w:r w:rsidR="00C2285B">
        <w:t xml:space="preserve"> </w:t>
      </w:r>
      <w:r>
        <w:t>Windpark hinzugefügt. (Der Wert des Landschaftsbildes wurde im Untersuchungsraum</w:t>
      </w:r>
      <w:r w:rsidR="00C2285B">
        <w:t xml:space="preserve"> </w:t>
      </w:r>
      <w:r>
        <w:t>als „mittel“ eingestuft. Dies ist typisch für weite Teile des Münsterlandes.)</w:t>
      </w:r>
    </w:p>
    <w:p w:rsidR="00FF6953" w:rsidRPr="00C2285B" w:rsidRDefault="00FF6953" w:rsidP="00FF6953">
      <w:pPr>
        <w:pStyle w:val="GesAbsatz"/>
        <w:rPr>
          <w:b/>
        </w:rPr>
      </w:pPr>
      <w:r w:rsidRPr="00C2285B">
        <w:rPr>
          <w:b/>
        </w:rPr>
        <w:t>1.)</w:t>
      </w:r>
      <w:r w:rsidR="00C2285B" w:rsidRPr="00C2285B">
        <w:rPr>
          <w:b/>
        </w:rPr>
        <w:tab/>
      </w:r>
      <w:r w:rsidRPr="00C2285B">
        <w:rPr>
          <w:b/>
        </w:rPr>
        <w:t>Abgrenzung des Untersuchungsraumes</w:t>
      </w:r>
    </w:p>
    <w:p w:rsidR="00FF6953" w:rsidRDefault="00FF6953" w:rsidP="00FF6953">
      <w:pPr>
        <w:pStyle w:val="GesAbsatz"/>
      </w:pPr>
      <w:r>
        <w:t>Der Untersuchungsraum zur Ermittlung des Ersatzgeldes (€/m Anlagenhöhe) ist der Bereich</w:t>
      </w:r>
      <w:r w:rsidR="00C2285B">
        <w:t xml:space="preserve"> </w:t>
      </w:r>
      <w:r>
        <w:t>um die Win</w:t>
      </w:r>
      <w:r>
        <w:t>d</w:t>
      </w:r>
      <w:r>
        <w:t>energieanlage mit dem Radius der 15-fachen Anlagenhöhe. Der Radius des</w:t>
      </w:r>
      <w:r w:rsidR="00C2285B">
        <w:t xml:space="preserve"> </w:t>
      </w:r>
      <w:r>
        <w:t>Untersuchungsraumes beträgt also 15 * 200 m = 3 km (Abb. 1).</w:t>
      </w:r>
    </w:p>
    <w:p w:rsidR="00C2285B" w:rsidRDefault="00C2285B" w:rsidP="0017636E">
      <w:pPr>
        <w:pStyle w:val="GesAbsatz"/>
        <w:jc w:val="center"/>
      </w:pPr>
      <w:r>
        <w:rPr>
          <w:noProof/>
        </w:rPr>
        <w:drawing>
          <wp:inline distT="0" distB="0" distL="0" distR="0">
            <wp:extent cx="4229100" cy="31623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9100" cy="3162300"/>
                    </a:xfrm>
                    <a:prstGeom prst="rect">
                      <a:avLst/>
                    </a:prstGeom>
                    <a:noFill/>
                    <a:ln>
                      <a:noFill/>
                    </a:ln>
                  </pic:spPr>
                </pic:pic>
              </a:graphicData>
            </a:graphic>
          </wp:inline>
        </w:drawing>
      </w:r>
    </w:p>
    <w:p w:rsidR="00FF6953" w:rsidRDefault="00FF6953" w:rsidP="00FF6953">
      <w:pPr>
        <w:pStyle w:val="GesAbsatz"/>
      </w:pPr>
      <w:r>
        <w:t>Abb. 1: Geplanter Standort einer Windkraftanlage (fiktive Planung) und Untersuchungsraum mit</w:t>
      </w:r>
      <w:r w:rsidR="0017636E">
        <w:t xml:space="preserve"> </w:t>
      </w:r>
      <w:r>
        <w:t>Radius der 15-fachen Anlagenhöhe (3 km). © Geobasisdaten, Bez.-Reg. Köln Abt. GEObasis.nrw, Bonn 2015).</w:t>
      </w:r>
    </w:p>
    <w:p w:rsidR="00753A04" w:rsidRDefault="00753A04">
      <w:pPr>
        <w:tabs>
          <w:tab w:val="clear" w:pos="425"/>
        </w:tabs>
        <w:overflowPunct/>
        <w:autoSpaceDE/>
        <w:autoSpaceDN/>
        <w:adjustRightInd/>
        <w:spacing w:before="0" w:after="0"/>
        <w:jc w:val="left"/>
        <w:textAlignment w:val="auto"/>
        <w:rPr>
          <w:b/>
          <w:color w:val="000000"/>
        </w:rPr>
      </w:pPr>
      <w:r>
        <w:rPr>
          <w:b/>
        </w:rPr>
        <w:br w:type="page"/>
      </w:r>
    </w:p>
    <w:p w:rsidR="00FF6953" w:rsidRPr="0017636E" w:rsidRDefault="00FF6953" w:rsidP="0017636E">
      <w:pPr>
        <w:pStyle w:val="GesAbsatz"/>
        <w:ind w:left="426" w:hanging="426"/>
        <w:rPr>
          <w:b/>
        </w:rPr>
      </w:pPr>
      <w:r w:rsidRPr="0017636E">
        <w:rPr>
          <w:b/>
        </w:rPr>
        <w:lastRenderedPageBreak/>
        <w:t>2.)</w:t>
      </w:r>
      <w:r w:rsidR="0017636E" w:rsidRPr="0017636E">
        <w:rPr>
          <w:b/>
        </w:rPr>
        <w:tab/>
      </w:r>
      <w:r w:rsidRPr="0017636E">
        <w:rPr>
          <w:b/>
        </w:rPr>
        <w:t>Für den Untersuchungsraum liegt bereits eine Landschaftsbildbewertung durch</w:t>
      </w:r>
      <w:r w:rsidR="0017636E" w:rsidRPr="0017636E">
        <w:rPr>
          <w:b/>
        </w:rPr>
        <w:t xml:space="preserve"> </w:t>
      </w:r>
      <w:r w:rsidRPr="0017636E">
        <w:rPr>
          <w:b/>
        </w:rPr>
        <w:t>das LANUV vor (Fachbeitrag zum Regionalplan Münsterland)</w:t>
      </w:r>
    </w:p>
    <w:p w:rsidR="0017636E" w:rsidRDefault="0017636E" w:rsidP="0017636E">
      <w:pPr>
        <w:pStyle w:val="GesAbsatz"/>
        <w:jc w:val="center"/>
      </w:pPr>
      <w:r>
        <w:rPr>
          <w:noProof/>
        </w:rPr>
        <w:drawing>
          <wp:inline distT="0" distB="0" distL="0" distR="0">
            <wp:extent cx="5387340" cy="3947160"/>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7340" cy="3947160"/>
                    </a:xfrm>
                    <a:prstGeom prst="rect">
                      <a:avLst/>
                    </a:prstGeom>
                    <a:noFill/>
                    <a:ln>
                      <a:noFill/>
                    </a:ln>
                  </pic:spPr>
                </pic:pic>
              </a:graphicData>
            </a:graphic>
          </wp:inline>
        </w:drawing>
      </w:r>
    </w:p>
    <w:p w:rsidR="00FF6953" w:rsidRDefault="00FF6953" w:rsidP="00FF6953">
      <w:pPr>
        <w:pStyle w:val="GesAbsatz"/>
      </w:pPr>
      <w:r>
        <w:t>Abb. 2: Landschaftsbildbewertung im Untersuchungsraum und in der weiteren Umgebung der fiktiv gepla</w:t>
      </w:r>
      <w:r>
        <w:t>n</w:t>
      </w:r>
      <w:r>
        <w:t>ten</w:t>
      </w:r>
      <w:r w:rsidR="0017636E">
        <w:t xml:space="preserve"> </w:t>
      </w:r>
      <w:r>
        <w:t>Windenergieanlage. © Geobasisdaten, Bezirksregierung Köln Abteilung GEObasis.nrw, Bonn 2015.</w:t>
      </w:r>
    </w:p>
    <w:p w:rsidR="00FF6953" w:rsidRPr="0017636E" w:rsidRDefault="00FF6953" w:rsidP="00FF6953">
      <w:pPr>
        <w:pStyle w:val="GesAbsatz"/>
        <w:rPr>
          <w:b/>
        </w:rPr>
      </w:pPr>
      <w:r w:rsidRPr="0017636E">
        <w:rPr>
          <w:b/>
        </w:rPr>
        <w:t>3.)</w:t>
      </w:r>
      <w:r w:rsidR="0017636E" w:rsidRPr="0017636E">
        <w:rPr>
          <w:b/>
        </w:rPr>
        <w:tab/>
      </w:r>
      <w:r w:rsidRPr="0017636E">
        <w:rPr>
          <w:b/>
        </w:rPr>
        <w:t>Ersatzgeldermittlung</w:t>
      </w:r>
    </w:p>
    <w:p w:rsidR="00FF6953" w:rsidRDefault="00FF6953" w:rsidP="00166E78">
      <w:pPr>
        <w:pStyle w:val="GesAbsatz"/>
        <w:tabs>
          <w:tab w:val="left" w:pos="4253"/>
          <w:tab w:val="left" w:pos="5670"/>
        </w:tabs>
        <w:ind w:left="426"/>
      </w:pPr>
      <w:r>
        <w:t>Größe des Untersuchungsraumes:</w:t>
      </w:r>
      <w:r w:rsidR="0017636E">
        <w:tab/>
      </w:r>
      <w:r>
        <w:t>2827 ha</w:t>
      </w:r>
      <w:r w:rsidR="0017636E">
        <w:tab/>
      </w:r>
      <w:r>
        <w:t>(100 %)</w:t>
      </w:r>
    </w:p>
    <w:p w:rsidR="00FF6953" w:rsidRDefault="00FF6953" w:rsidP="00166E78">
      <w:pPr>
        <w:pStyle w:val="GesAbsatz"/>
        <w:tabs>
          <w:tab w:val="left" w:pos="4253"/>
        </w:tabs>
        <w:ind w:left="851"/>
      </w:pPr>
      <w:r>
        <w:t>davon</w:t>
      </w:r>
    </w:p>
    <w:p w:rsidR="00FF6953" w:rsidRDefault="00FF6953" w:rsidP="00166E78">
      <w:pPr>
        <w:pStyle w:val="GesAbsatz"/>
        <w:tabs>
          <w:tab w:val="left" w:pos="4253"/>
        </w:tabs>
        <w:ind w:left="1560"/>
      </w:pPr>
      <w:r>
        <w:t>Landschaftsbildeinheiten</w:t>
      </w:r>
    </w:p>
    <w:p w:rsidR="00FF6953" w:rsidRDefault="00FF6953" w:rsidP="00166E78">
      <w:pPr>
        <w:pStyle w:val="GesAbsatz"/>
        <w:tabs>
          <w:tab w:val="left" w:pos="4253"/>
          <w:tab w:val="left" w:pos="5670"/>
        </w:tabs>
        <w:ind w:left="1560"/>
      </w:pPr>
      <w:r>
        <w:t>von mittlerer Wertstufe:</w:t>
      </w:r>
      <w:r w:rsidR="0017636E">
        <w:tab/>
      </w:r>
      <w:r>
        <w:t>2827 ha</w:t>
      </w:r>
      <w:r w:rsidR="0017636E">
        <w:tab/>
      </w:r>
      <w:r>
        <w:t>(100 %)</w:t>
      </w:r>
    </w:p>
    <w:p w:rsidR="00FF6953" w:rsidRDefault="00FF6953" w:rsidP="0017636E">
      <w:pPr>
        <w:pStyle w:val="GesAbsatz"/>
        <w:ind w:left="426"/>
      </w:pPr>
      <w:r>
        <w:t>Da der gesamte Untersuchungsraum in einer Wertstufe (mittel) liegt, entspricht das</w:t>
      </w:r>
      <w:r w:rsidR="0017636E">
        <w:t xml:space="preserve"> </w:t>
      </w:r>
      <w:r>
        <w:t>Ersatzgeld dem Wert 200 € pro Meter Anlagenhöhe.</w:t>
      </w:r>
    </w:p>
    <w:p w:rsidR="00FF6953" w:rsidRPr="0017636E" w:rsidRDefault="00FF6953" w:rsidP="0017636E">
      <w:pPr>
        <w:pStyle w:val="GesAbsatz"/>
        <w:ind w:left="426"/>
        <w:rPr>
          <w:u w:val="single"/>
        </w:rPr>
      </w:pPr>
      <w:r w:rsidRPr="0017636E">
        <w:rPr>
          <w:u w:val="single"/>
        </w:rPr>
        <w:t>Ersatzgeld:</w:t>
      </w:r>
    </w:p>
    <w:p w:rsidR="00FF6953" w:rsidRDefault="00FF6953" w:rsidP="0017636E">
      <w:pPr>
        <w:pStyle w:val="GesAbsatz"/>
        <w:ind w:left="851"/>
      </w:pPr>
      <w:r>
        <w:t>Ersatzgeld = Preis pro Meter Anlagehöhe * Anlagenhöhe</w:t>
      </w:r>
    </w:p>
    <w:p w:rsidR="00FF6953" w:rsidRDefault="00FF6953" w:rsidP="0017636E">
      <w:pPr>
        <w:pStyle w:val="GesAbsatz"/>
        <w:ind w:left="851"/>
      </w:pPr>
      <w:r>
        <w:t xml:space="preserve">Ersatzgeld: 200 €/m * 200 m = </w:t>
      </w:r>
      <w:r w:rsidRPr="0017636E">
        <w:rPr>
          <w:b/>
          <w:u w:val="single"/>
        </w:rPr>
        <w:t>40.000 €</w:t>
      </w:r>
    </w:p>
    <w:p w:rsidR="0017636E" w:rsidRDefault="0017636E" w:rsidP="0017636E">
      <w:pPr>
        <w:pStyle w:val="berschrift2"/>
        <w:jc w:val="left"/>
      </w:pPr>
      <w:bookmarkStart w:id="40" w:name="_Toc451849542"/>
      <w:r>
        <w:t>Anlage 4</w:t>
      </w:r>
      <w:bookmarkEnd w:id="40"/>
    </w:p>
    <w:p w:rsidR="00FF6953" w:rsidRPr="0017636E" w:rsidRDefault="00FF6953" w:rsidP="0017636E">
      <w:pPr>
        <w:pStyle w:val="GesAbsatz"/>
        <w:jc w:val="center"/>
        <w:rPr>
          <w:b/>
        </w:rPr>
      </w:pPr>
      <w:r w:rsidRPr="0017636E">
        <w:rPr>
          <w:b/>
        </w:rPr>
        <w:t>Fiktives Beispiel 3</w:t>
      </w:r>
      <w:r w:rsidR="0017636E">
        <w:rPr>
          <w:b/>
        </w:rPr>
        <w:t xml:space="preserve"> </w:t>
      </w:r>
      <w:r w:rsidRPr="0017636E">
        <w:rPr>
          <w:b/>
        </w:rPr>
        <w:t>zum Verfahren der Landschaftsbildbewertung</w:t>
      </w:r>
      <w:r w:rsidR="0017636E">
        <w:rPr>
          <w:b/>
        </w:rPr>
        <w:t xml:space="preserve"> </w:t>
      </w:r>
      <w:r w:rsidRPr="0017636E">
        <w:rPr>
          <w:b/>
        </w:rPr>
        <w:t>im Zuge der Ersatzgeldermittlung</w:t>
      </w:r>
      <w:r w:rsidR="0017636E">
        <w:rPr>
          <w:b/>
        </w:rPr>
        <w:br/>
      </w:r>
      <w:r w:rsidRPr="0017636E">
        <w:rPr>
          <w:b/>
        </w:rPr>
        <w:t>für Eingriffe in das Landschaftsbild</w:t>
      </w:r>
      <w:r w:rsidR="0017636E">
        <w:rPr>
          <w:b/>
        </w:rPr>
        <w:t xml:space="preserve"> </w:t>
      </w:r>
      <w:r w:rsidRPr="0017636E">
        <w:rPr>
          <w:b/>
        </w:rPr>
        <w:t>durch den Bau von Windenergieanlagen</w:t>
      </w:r>
    </w:p>
    <w:p w:rsidR="00FF6953" w:rsidRPr="0017636E" w:rsidRDefault="00FF6953" w:rsidP="0017636E">
      <w:pPr>
        <w:pStyle w:val="GesAbsatz"/>
        <w:jc w:val="center"/>
        <w:rPr>
          <w:b/>
        </w:rPr>
      </w:pPr>
      <w:r w:rsidRPr="0017636E">
        <w:rPr>
          <w:b/>
        </w:rPr>
        <w:t>- Landschaftsbildeinheiten der Wertstufe „sehr gering / gering“ -</w:t>
      </w:r>
    </w:p>
    <w:p w:rsidR="00FF6953" w:rsidRPr="0017636E" w:rsidRDefault="00FF6953" w:rsidP="00FF6953">
      <w:pPr>
        <w:pStyle w:val="GesAbsatz"/>
        <w:rPr>
          <w:b/>
        </w:rPr>
      </w:pPr>
      <w:r w:rsidRPr="0017636E">
        <w:rPr>
          <w:b/>
        </w:rPr>
        <w:t>Annahme</w:t>
      </w:r>
    </w:p>
    <w:p w:rsidR="00FF6953" w:rsidRDefault="00FF6953" w:rsidP="00FF6953">
      <w:pPr>
        <w:pStyle w:val="GesAbsatz"/>
      </w:pPr>
      <w:r>
        <w:t>Auf dem Gebiet des Rhein-Erft-Kreises soll eine sehr hohe Windenergieanlage von 200 m</w:t>
      </w:r>
      <w:r w:rsidR="0017636E">
        <w:t xml:space="preserve"> </w:t>
      </w:r>
      <w:r>
        <w:t>Höhe errichtet werden. Die Anlage ist eine Einzelanlage und wird nicht zu einem schon</w:t>
      </w:r>
      <w:r w:rsidR="0017636E">
        <w:t xml:space="preserve"> </w:t>
      </w:r>
      <w:r>
        <w:t>bestehenden Windpark hinzug</w:t>
      </w:r>
      <w:r>
        <w:t>e</w:t>
      </w:r>
      <w:r>
        <w:t>fügt. (Der Untersuchungsraum wird geprägt von</w:t>
      </w:r>
      <w:r w:rsidR="0017636E">
        <w:t xml:space="preserve"> </w:t>
      </w:r>
      <w:r>
        <w:t>Rekultivierungsflächen der Braunkohlentagebaue. Der Wert des Landschaftsbildes wurde in</w:t>
      </w:r>
      <w:r w:rsidR="0017636E">
        <w:t xml:space="preserve"> </w:t>
      </w:r>
      <w:r>
        <w:t>großen Bereichen des Untersuchungsraumes als „sehr gering / gering“ ei</w:t>
      </w:r>
      <w:r>
        <w:t>n</w:t>
      </w:r>
      <w:r>
        <w:t>gestuft.)</w:t>
      </w:r>
    </w:p>
    <w:p w:rsidR="00FF6953" w:rsidRPr="0017636E" w:rsidRDefault="00FF6953" w:rsidP="00FF6953">
      <w:pPr>
        <w:pStyle w:val="GesAbsatz"/>
        <w:rPr>
          <w:b/>
        </w:rPr>
      </w:pPr>
      <w:r w:rsidRPr="0017636E">
        <w:rPr>
          <w:b/>
        </w:rPr>
        <w:t>1.)</w:t>
      </w:r>
      <w:r w:rsidR="0017636E" w:rsidRPr="0017636E">
        <w:rPr>
          <w:b/>
        </w:rPr>
        <w:tab/>
      </w:r>
      <w:r w:rsidRPr="0017636E">
        <w:rPr>
          <w:b/>
        </w:rPr>
        <w:t>Abgrenzung des Untersuchungsraumes</w:t>
      </w:r>
    </w:p>
    <w:p w:rsidR="00FF6953" w:rsidRDefault="00FF6953" w:rsidP="00FF6953">
      <w:pPr>
        <w:pStyle w:val="GesAbsatz"/>
      </w:pPr>
      <w:r>
        <w:t>Der Untersuchungsraum ist der Bereich um die Windenergieanlage mit dem Radius der 15-fachen Anlage</w:t>
      </w:r>
      <w:r>
        <w:t>n</w:t>
      </w:r>
      <w:r>
        <w:t>höhe. Der Radius des Untersuchungsraumes beträgt also 15 * 200 m = 3 km</w:t>
      </w:r>
      <w:r w:rsidR="0017636E">
        <w:t xml:space="preserve"> </w:t>
      </w:r>
      <w:r>
        <w:t>(Abb. 1).</w:t>
      </w:r>
    </w:p>
    <w:p w:rsidR="0017636E" w:rsidRDefault="0017636E" w:rsidP="0017636E">
      <w:pPr>
        <w:pStyle w:val="GesAbsatz"/>
        <w:jc w:val="center"/>
      </w:pPr>
      <w:r>
        <w:rPr>
          <w:noProof/>
        </w:rPr>
        <w:lastRenderedPageBreak/>
        <w:drawing>
          <wp:inline distT="0" distB="0" distL="0" distR="0">
            <wp:extent cx="5509260" cy="36728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9260" cy="3672840"/>
                    </a:xfrm>
                    <a:prstGeom prst="rect">
                      <a:avLst/>
                    </a:prstGeom>
                    <a:noFill/>
                    <a:ln>
                      <a:noFill/>
                    </a:ln>
                  </pic:spPr>
                </pic:pic>
              </a:graphicData>
            </a:graphic>
          </wp:inline>
        </w:drawing>
      </w:r>
    </w:p>
    <w:p w:rsidR="00FF6953" w:rsidRDefault="00FF6953" w:rsidP="00FF6953">
      <w:pPr>
        <w:pStyle w:val="GesAbsatz"/>
      </w:pPr>
      <w:r>
        <w:t>Abb. 1: Geplanter Standort einer Windkraftanlage (fiktive Planung) und Untersuchungsraum mit</w:t>
      </w:r>
      <w:r w:rsidR="0017636E">
        <w:t xml:space="preserve"> </w:t>
      </w:r>
      <w:r>
        <w:t>Radius der 15-fachen Anlagenhöhe (3 km). © Geobasisdaten, Bez.-Reg. Köln Abt. GEObasis.nrw, Bonn 2015).</w:t>
      </w:r>
    </w:p>
    <w:p w:rsidR="00FF6953" w:rsidRPr="0017636E" w:rsidRDefault="00FF6953" w:rsidP="00166E78">
      <w:pPr>
        <w:pStyle w:val="GesAbsatz"/>
        <w:ind w:left="426" w:hanging="426"/>
        <w:rPr>
          <w:b/>
        </w:rPr>
      </w:pPr>
      <w:r w:rsidRPr="0017636E">
        <w:rPr>
          <w:b/>
        </w:rPr>
        <w:t>2.)</w:t>
      </w:r>
      <w:r w:rsidR="0017636E" w:rsidRPr="0017636E">
        <w:rPr>
          <w:b/>
        </w:rPr>
        <w:tab/>
      </w:r>
      <w:r w:rsidRPr="0017636E">
        <w:rPr>
          <w:b/>
        </w:rPr>
        <w:t>Für den Untersuchungsraum liegt bereits eine Landschaftsbildbewertung durch</w:t>
      </w:r>
      <w:r w:rsidR="0017636E">
        <w:rPr>
          <w:b/>
        </w:rPr>
        <w:t xml:space="preserve"> </w:t>
      </w:r>
      <w:r w:rsidRPr="0017636E">
        <w:rPr>
          <w:b/>
        </w:rPr>
        <w:t>das LANUV vor (Fachbeitrag zum Regionalplan Köln – in Aufstellung)</w:t>
      </w:r>
    </w:p>
    <w:p w:rsidR="0017636E" w:rsidRDefault="0017636E" w:rsidP="0017636E">
      <w:pPr>
        <w:pStyle w:val="GesAbsatz"/>
        <w:jc w:val="center"/>
      </w:pPr>
      <w:r>
        <w:rPr>
          <w:noProof/>
        </w:rPr>
        <w:drawing>
          <wp:inline distT="0" distB="0" distL="0" distR="0">
            <wp:extent cx="5417820" cy="34899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7820" cy="3489960"/>
                    </a:xfrm>
                    <a:prstGeom prst="rect">
                      <a:avLst/>
                    </a:prstGeom>
                    <a:noFill/>
                    <a:ln>
                      <a:noFill/>
                    </a:ln>
                  </pic:spPr>
                </pic:pic>
              </a:graphicData>
            </a:graphic>
          </wp:inline>
        </w:drawing>
      </w:r>
    </w:p>
    <w:p w:rsidR="00FF6953" w:rsidRDefault="00FF6953" w:rsidP="00FF6953">
      <w:pPr>
        <w:pStyle w:val="GesAbsatz"/>
      </w:pPr>
      <w:r>
        <w:t>Abb. 2: Landschaftsbildbewertung im Untersuchungsraum und in der weiteren Umgebung der fiktiv gepla</w:t>
      </w:r>
      <w:r>
        <w:t>n</w:t>
      </w:r>
      <w:r>
        <w:t>ten</w:t>
      </w:r>
      <w:r w:rsidR="0017636E">
        <w:t xml:space="preserve"> </w:t>
      </w:r>
      <w:r>
        <w:t>Windenergieanlage. © Geobasisdaten, Bezirksregierung Köln Abteilung GEObasis.nrw, Bonn 2015.</w:t>
      </w:r>
    </w:p>
    <w:p w:rsidR="00FF6953" w:rsidRPr="0017636E" w:rsidRDefault="00FF6953" w:rsidP="00FF6953">
      <w:pPr>
        <w:pStyle w:val="GesAbsatz"/>
        <w:rPr>
          <w:b/>
        </w:rPr>
      </w:pPr>
      <w:r w:rsidRPr="0017636E">
        <w:rPr>
          <w:b/>
        </w:rPr>
        <w:t>3.)</w:t>
      </w:r>
      <w:r w:rsidR="0017636E" w:rsidRPr="0017636E">
        <w:rPr>
          <w:b/>
        </w:rPr>
        <w:tab/>
      </w:r>
      <w:r w:rsidRPr="0017636E">
        <w:rPr>
          <w:b/>
        </w:rPr>
        <w:t>Ersatzgeldermittlung</w:t>
      </w:r>
    </w:p>
    <w:p w:rsidR="00FF6953" w:rsidRPr="00930895" w:rsidRDefault="00FF6953" w:rsidP="0017636E">
      <w:pPr>
        <w:pStyle w:val="GesAbsatz"/>
        <w:ind w:left="851" w:hanging="425"/>
        <w:rPr>
          <w:b/>
        </w:rPr>
      </w:pPr>
      <w:r w:rsidRPr="00930895">
        <w:rPr>
          <w:b/>
        </w:rPr>
        <w:t>a.</w:t>
      </w:r>
      <w:r w:rsidR="0017636E" w:rsidRPr="00930895">
        <w:rPr>
          <w:b/>
        </w:rPr>
        <w:tab/>
      </w:r>
      <w:r w:rsidRPr="00930895">
        <w:rPr>
          <w:b/>
        </w:rPr>
        <w:t>Ermittlung der Flächenanteile der einzelnen Landschaftsbildeinheiten (LBE)</w:t>
      </w:r>
      <w:r w:rsidR="0017636E" w:rsidRPr="00930895">
        <w:rPr>
          <w:b/>
        </w:rPr>
        <w:t xml:space="preserve"> </w:t>
      </w:r>
      <w:r w:rsidRPr="00930895">
        <w:rPr>
          <w:b/>
        </w:rPr>
        <w:t>am Unters</w:t>
      </w:r>
      <w:r w:rsidRPr="00930895">
        <w:rPr>
          <w:b/>
        </w:rPr>
        <w:t>u</w:t>
      </w:r>
      <w:r w:rsidRPr="00930895">
        <w:rPr>
          <w:b/>
        </w:rPr>
        <w:t>chungsraum (zusammengefasst nach Wertstufen)</w:t>
      </w:r>
    </w:p>
    <w:p w:rsidR="00FF6953" w:rsidRDefault="00FF6953" w:rsidP="0017636E">
      <w:pPr>
        <w:pStyle w:val="GesAbsatz"/>
        <w:tabs>
          <w:tab w:val="left" w:pos="5670"/>
          <w:tab w:val="left" w:pos="6946"/>
        </w:tabs>
        <w:ind w:left="851"/>
      </w:pPr>
      <w:r>
        <w:t>Größe des Untersuchungsraumes:</w:t>
      </w:r>
      <w:r w:rsidR="0017636E">
        <w:tab/>
      </w:r>
      <w:r>
        <w:t>2827 ha</w:t>
      </w:r>
      <w:r w:rsidR="0017636E">
        <w:tab/>
      </w:r>
      <w:r>
        <w:t>(100 %)</w:t>
      </w:r>
    </w:p>
    <w:p w:rsidR="00FF6953" w:rsidRDefault="00FF6953" w:rsidP="0017636E">
      <w:pPr>
        <w:pStyle w:val="GesAbsatz"/>
        <w:tabs>
          <w:tab w:val="left" w:pos="5670"/>
          <w:tab w:val="left" w:pos="6946"/>
        </w:tabs>
        <w:ind w:left="1276"/>
      </w:pPr>
      <w:r>
        <w:lastRenderedPageBreak/>
        <w:t>davon</w:t>
      </w:r>
    </w:p>
    <w:p w:rsidR="00FF6953" w:rsidRDefault="00FF6953" w:rsidP="0017636E">
      <w:pPr>
        <w:pStyle w:val="GesAbsatz"/>
        <w:tabs>
          <w:tab w:val="left" w:pos="5670"/>
          <w:tab w:val="left" w:pos="6946"/>
        </w:tabs>
        <w:ind w:left="1560"/>
      </w:pPr>
      <w:r>
        <w:t>LBE der Wertstufe „sehr gering / gering“:</w:t>
      </w:r>
      <w:r w:rsidR="0017636E">
        <w:tab/>
      </w:r>
      <w:r>
        <w:t>2692 ha</w:t>
      </w:r>
      <w:r w:rsidR="0017636E">
        <w:tab/>
      </w:r>
      <w:r>
        <w:t>( 95 %)</w:t>
      </w:r>
    </w:p>
    <w:p w:rsidR="00FF6953" w:rsidRPr="00573570" w:rsidRDefault="00FF6953" w:rsidP="0017636E">
      <w:pPr>
        <w:pStyle w:val="GesAbsatz"/>
        <w:tabs>
          <w:tab w:val="left" w:pos="5670"/>
          <w:tab w:val="left" w:pos="6946"/>
        </w:tabs>
        <w:ind w:left="1560"/>
        <w:rPr>
          <w:lang w:val="en-US"/>
        </w:rPr>
      </w:pPr>
      <w:r w:rsidRPr="00573570">
        <w:rPr>
          <w:lang w:val="en-US"/>
        </w:rPr>
        <w:t>(LBE-II-006-A, LBE-II-007-F1 und LBE-II-001-A10)</w:t>
      </w:r>
    </w:p>
    <w:p w:rsidR="00FF6953" w:rsidRDefault="00FF6953" w:rsidP="0017636E">
      <w:pPr>
        <w:pStyle w:val="GesAbsatz"/>
        <w:tabs>
          <w:tab w:val="left" w:pos="5670"/>
          <w:tab w:val="left" w:pos="6946"/>
        </w:tabs>
        <w:ind w:left="1560"/>
      </w:pPr>
      <w:r>
        <w:t>LBE von mittlerer Wertstufe:</w:t>
      </w:r>
      <w:r w:rsidR="0017636E">
        <w:tab/>
      </w:r>
      <w:r>
        <w:t>135 ha</w:t>
      </w:r>
      <w:r w:rsidR="0017636E">
        <w:tab/>
      </w:r>
      <w:r>
        <w:t>( 5 %)</w:t>
      </w:r>
    </w:p>
    <w:p w:rsidR="00FF6953" w:rsidRPr="00FF6953" w:rsidRDefault="00FF6953" w:rsidP="0017636E">
      <w:pPr>
        <w:pStyle w:val="GesAbsatz"/>
        <w:ind w:left="1560"/>
        <w:rPr>
          <w:lang w:val="en-US"/>
        </w:rPr>
      </w:pPr>
      <w:r w:rsidRPr="00FF6953">
        <w:rPr>
          <w:lang w:val="en-US"/>
        </w:rPr>
        <w:t>(LBE-II-001-A9, LBE-II-014-O1 und LBE-II-006-O)</w:t>
      </w:r>
    </w:p>
    <w:p w:rsidR="00252F52" w:rsidRPr="00252F52" w:rsidRDefault="00252F52" w:rsidP="00930895">
      <w:pPr>
        <w:pStyle w:val="GesAbsatz"/>
        <w:tabs>
          <w:tab w:val="clear" w:pos="425"/>
        </w:tabs>
        <w:ind w:left="851" w:hanging="426"/>
        <w:rPr>
          <w:b/>
        </w:rPr>
      </w:pPr>
      <w:r w:rsidRPr="00252F52">
        <w:rPr>
          <w:b/>
        </w:rPr>
        <w:t>b.</w:t>
      </w:r>
      <w:r>
        <w:rPr>
          <w:b/>
        </w:rPr>
        <w:tab/>
      </w:r>
      <w:r w:rsidRPr="00252F52">
        <w:rPr>
          <w:b/>
        </w:rPr>
        <w:t>Zuordnung der Preise pro Meter Anlagenhöhe zu den Wertstufen</w:t>
      </w:r>
    </w:p>
    <w:p w:rsidR="00252F52" w:rsidRPr="00252F52" w:rsidRDefault="00252F52" w:rsidP="00930895">
      <w:pPr>
        <w:pStyle w:val="GesAbsatz"/>
        <w:tabs>
          <w:tab w:val="clear" w:pos="425"/>
          <w:tab w:val="left" w:pos="2835"/>
        </w:tabs>
        <w:ind w:left="851"/>
        <w:rPr>
          <w:b/>
        </w:rPr>
      </w:pPr>
      <w:r w:rsidRPr="00252F52">
        <w:rPr>
          <w:b/>
        </w:rPr>
        <w:t>Wertstufe</w:t>
      </w:r>
      <w:r w:rsidRPr="00252F52">
        <w:rPr>
          <w:b/>
        </w:rPr>
        <w:tab/>
        <w:t>Preis pro m Anlagenhöhe</w:t>
      </w:r>
    </w:p>
    <w:p w:rsidR="00252F52" w:rsidRPr="00252F52" w:rsidRDefault="00252F52" w:rsidP="00930895">
      <w:pPr>
        <w:pStyle w:val="GesAbsatz"/>
        <w:tabs>
          <w:tab w:val="clear" w:pos="425"/>
          <w:tab w:val="left" w:pos="3686"/>
        </w:tabs>
        <w:ind w:left="851"/>
      </w:pPr>
      <w:r w:rsidRPr="00252F52">
        <w:t>sehr gering / gering</w:t>
      </w:r>
      <w:r>
        <w:tab/>
      </w:r>
      <w:r w:rsidRPr="00252F52">
        <w:t>100 €</w:t>
      </w:r>
    </w:p>
    <w:p w:rsidR="00252F52" w:rsidRPr="00252F52" w:rsidRDefault="00252F52" w:rsidP="00930895">
      <w:pPr>
        <w:pStyle w:val="GesAbsatz"/>
        <w:tabs>
          <w:tab w:val="clear" w:pos="425"/>
          <w:tab w:val="left" w:pos="3686"/>
        </w:tabs>
        <w:ind w:left="851"/>
      </w:pPr>
      <w:r w:rsidRPr="00252F52">
        <w:t>mittel</w:t>
      </w:r>
      <w:r>
        <w:tab/>
      </w:r>
      <w:r w:rsidRPr="00252F52">
        <w:t>200 €</w:t>
      </w:r>
    </w:p>
    <w:p w:rsidR="00FF6953" w:rsidRPr="0017636E" w:rsidRDefault="00FF6953" w:rsidP="00930895">
      <w:pPr>
        <w:pStyle w:val="GesAbsatz"/>
        <w:tabs>
          <w:tab w:val="clear" w:pos="425"/>
        </w:tabs>
        <w:ind w:left="851" w:hanging="426"/>
        <w:rPr>
          <w:b/>
        </w:rPr>
      </w:pPr>
      <w:r w:rsidRPr="0017636E">
        <w:rPr>
          <w:b/>
        </w:rPr>
        <w:t>c.</w:t>
      </w:r>
      <w:r w:rsidR="0017636E" w:rsidRPr="0017636E">
        <w:rPr>
          <w:b/>
        </w:rPr>
        <w:tab/>
      </w:r>
      <w:r w:rsidRPr="0017636E">
        <w:rPr>
          <w:b/>
        </w:rPr>
        <w:t>Flächengewichtete Mittelung der Preise gemäß Anteil der</w:t>
      </w:r>
      <w:r w:rsidR="0017636E" w:rsidRPr="0017636E">
        <w:rPr>
          <w:b/>
        </w:rPr>
        <w:t xml:space="preserve"> </w:t>
      </w:r>
      <w:r w:rsidRPr="0017636E">
        <w:rPr>
          <w:b/>
        </w:rPr>
        <w:t>La</w:t>
      </w:r>
      <w:r w:rsidR="0017636E" w:rsidRPr="0017636E">
        <w:rPr>
          <w:b/>
        </w:rPr>
        <w:t>n</w:t>
      </w:r>
      <w:r w:rsidRPr="0017636E">
        <w:rPr>
          <w:b/>
        </w:rPr>
        <w:t>dschaftsbildeinheiten am U</w:t>
      </w:r>
      <w:r w:rsidRPr="0017636E">
        <w:rPr>
          <w:b/>
        </w:rPr>
        <w:t>n</w:t>
      </w:r>
      <w:r w:rsidRPr="0017636E">
        <w:rPr>
          <w:b/>
        </w:rPr>
        <w:t>tersuchungsraum</w:t>
      </w:r>
    </w:p>
    <w:p w:rsidR="00FF6953" w:rsidRDefault="00FF6953" w:rsidP="00930895">
      <w:pPr>
        <w:pStyle w:val="GesAbsatz"/>
        <w:tabs>
          <w:tab w:val="clear" w:pos="425"/>
        </w:tabs>
        <w:ind w:left="851"/>
      </w:pPr>
      <w:r>
        <w:t>2692/2827 * 100 €/m + 135/2827 * 200 €/m</w:t>
      </w:r>
    </w:p>
    <w:p w:rsidR="00FF6953" w:rsidRDefault="00FF6953" w:rsidP="00930895">
      <w:pPr>
        <w:pStyle w:val="GesAbsatz"/>
        <w:tabs>
          <w:tab w:val="clear" w:pos="425"/>
        </w:tabs>
        <w:ind w:left="851"/>
      </w:pPr>
      <w:r>
        <w:t>= 104,78 €/m</w:t>
      </w:r>
    </w:p>
    <w:p w:rsidR="00FF6953" w:rsidRPr="0017636E" w:rsidRDefault="00FF6953" w:rsidP="00930895">
      <w:pPr>
        <w:pStyle w:val="GesAbsatz"/>
        <w:ind w:left="851" w:hanging="425"/>
        <w:rPr>
          <w:b/>
        </w:rPr>
      </w:pPr>
      <w:r w:rsidRPr="0017636E">
        <w:rPr>
          <w:b/>
        </w:rPr>
        <w:t>d.</w:t>
      </w:r>
      <w:r w:rsidR="0017636E" w:rsidRPr="0017636E">
        <w:rPr>
          <w:b/>
        </w:rPr>
        <w:tab/>
      </w:r>
      <w:r w:rsidRPr="0017636E">
        <w:rPr>
          <w:b/>
        </w:rPr>
        <w:t>Ersatzgeld</w:t>
      </w:r>
    </w:p>
    <w:p w:rsidR="00FF6953" w:rsidRDefault="00FF6953" w:rsidP="00930895">
      <w:pPr>
        <w:pStyle w:val="GesAbsatz"/>
        <w:tabs>
          <w:tab w:val="clear" w:pos="425"/>
        </w:tabs>
        <w:ind w:left="851"/>
      </w:pPr>
      <w:r>
        <w:t>Ersatzgeld = Preis pro Meter Anlagenhöhe * Anlagenhöhe</w:t>
      </w:r>
    </w:p>
    <w:p w:rsidR="00FF6953" w:rsidRDefault="00FF6953" w:rsidP="00930895">
      <w:pPr>
        <w:pStyle w:val="GesAbsatz"/>
        <w:tabs>
          <w:tab w:val="clear" w:pos="425"/>
        </w:tabs>
        <w:ind w:left="851"/>
        <w:rPr>
          <w:b/>
          <w:u w:val="single"/>
        </w:rPr>
      </w:pPr>
      <w:r>
        <w:t xml:space="preserve">Ersatzgeld: 104,78 €/m * 200 m = </w:t>
      </w:r>
      <w:r w:rsidRPr="00252F52">
        <w:rPr>
          <w:b/>
          <w:u w:val="single"/>
        </w:rPr>
        <w:t>20.956 €</w:t>
      </w:r>
    </w:p>
    <w:p w:rsidR="00753A04" w:rsidRPr="00753A04" w:rsidRDefault="00753A04" w:rsidP="00753A04">
      <w:pPr>
        <w:pStyle w:val="GesAbsatz"/>
      </w:pPr>
    </w:p>
    <w:p w:rsidR="00753A04" w:rsidRPr="00753A04" w:rsidRDefault="00753A04" w:rsidP="00753A04">
      <w:pPr>
        <w:pStyle w:val="GesAbsatz"/>
      </w:pPr>
    </w:p>
    <w:p w:rsidR="00753A04" w:rsidRPr="00753A04" w:rsidRDefault="00753A04" w:rsidP="00753A04">
      <w:pPr>
        <w:pStyle w:val="GesAbsatz"/>
      </w:pPr>
    </w:p>
    <w:p w:rsidR="00753A04" w:rsidRPr="00753A04" w:rsidRDefault="00753A04" w:rsidP="00753A04">
      <w:pPr>
        <w:pStyle w:val="GesAbsatz"/>
      </w:pPr>
    </w:p>
    <w:sectPr w:rsidR="00753A04" w:rsidRPr="00753A04">
      <w:headerReference w:type="default" r:id="rId32"/>
      <w:footerReference w:type="even" r:id="rId33"/>
      <w:footerReference w:type="default" r:id="rId34"/>
      <w:pgSz w:w="11907" w:h="16840" w:code="9"/>
      <w:pgMar w:top="1134" w:right="851" w:bottom="1134" w:left="1418" w:header="56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98B" w:rsidRDefault="001F098B">
      <w:r>
        <w:separator/>
      </w:r>
    </w:p>
  </w:endnote>
  <w:endnote w:type="continuationSeparator" w:id="0">
    <w:p w:rsidR="001F098B" w:rsidRDefault="001F0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8B" w:rsidRDefault="001F098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F098B" w:rsidRDefault="001F098B">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8B" w:rsidRDefault="001F098B" w:rsidP="003B2970">
    <w:pPr>
      <w:pStyle w:val="Fuzeile"/>
      <w:tabs>
        <w:tab w:val="clear" w:pos="9639"/>
        <w:tab w:val="right" w:pos="9638"/>
      </w:tabs>
      <w:ind w:right="-1"/>
    </w:pPr>
    <w:r>
      <w:tab/>
      <w:t>Stand 04.11.2015 (MBl. NRW. S. 322)</w:t>
    </w:r>
    <w:r>
      <w:tab/>
      <w:t xml:space="preserve">Seite </w:t>
    </w:r>
    <w:r>
      <w:fldChar w:fldCharType="begin"/>
    </w:r>
    <w:r>
      <w:instrText xml:space="preserve"> PAGE  \* MERGEFORMAT </w:instrText>
    </w:r>
    <w:r>
      <w:fldChar w:fldCharType="separate"/>
    </w:r>
    <w:r w:rsidR="00F674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98B" w:rsidRDefault="001F098B">
      <w:r>
        <w:separator/>
      </w:r>
    </w:p>
  </w:footnote>
  <w:footnote w:type="continuationSeparator" w:id="0">
    <w:p w:rsidR="001F098B" w:rsidRDefault="001F09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98B" w:rsidRDefault="00266C1D" w:rsidP="00A20CEE">
    <w:pPr>
      <w:pStyle w:val="Kopfzeile0"/>
    </w:pPr>
    <w:r>
      <w:t>Archiv10.45</w:t>
    </w:r>
  </w:p>
  <w:p w:rsidR="001F098B" w:rsidRDefault="001F098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8AA85BA"/>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0C2A25B2"/>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BAC6DDD0"/>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C4BCD632"/>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75327DA6"/>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stylePaneFormatFilter w:val="1A01" w:allStyles="1" w:customStyles="0" w:latentStyles="0" w:stylesInUse="0" w:headingStyles="0" w:numberingStyles="0" w:tableStyles="0" w:directFormattingOnRuns="0" w:directFormattingOnParagraphs="1" w:directFormattingOnNumbering="0" w:directFormattingOnTables="1" w:clearFormatting="1" w:top3HeadingStyles="0"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2C8"/>
    <w:rsid w:val="000109A8"/>
    <w:rsid w:val="0001451A"/>
    <w:rsid w:val="000211D8"/>
    <w:rsid w:val="00057D94"/>
    <w:rsid w:val="00077EF0"/>
    <w:rsid w:val="000811A2"/>
    <w:rsid w:val="00093D90"/>
    <w:rsid w:val="000B208E"/>
    <w:rsid w:val="000C491D"/>
    <w:rsid w:val="000D27F6"/>
    <w:rsid w:val="000D5538"/>
    <w:rsid w:val="000E5718"/>
    <w:rsid w:val="001066CA"/>
    <w:rsid w:val="0011400A"/>
    <w:rsid w:val="00150B0A"/>
    <w:rsid w:val="001555FF"/>
    <w:rsid w:val="00162761"/>
    <w:rsid w:val="00166E78"/>
    <w:rsid w:val="001715DF"/>
    <w:rsid w:val="0017636E"/>
    <w:rsid w:val="0018788A"/>
    <w:rsid w:val="001A3452"/>
    <w:rsid w:val="001C1083"/>
    <w:rsid w:val="001C22C8"/>
    <w:rsid w:val="001C2BEA"/>
    <w:rsid w:val="001E5DBB"/>
    <w:rsid w:val="001F098B"/>
    <w:rsid w:val="00205CD1"/>
    <w:rsid w:val="00231950"/>
    <w:rsid w:val="0023487F"/>
    <w:rsid w:val="00243AFC"/>
    <w:rsid w:val="00252F52"/>
    <w:rsid w:val="00254BEC"/>
    <w:rsid w:val="002666D9"/>
    <w:rsid w:val="00266C1D"/>
    <w:rsid w:val="002A388C"/>
    <w:rsid w:val="002B3267"/>
    <w:rsid w:val="002B6107"/>
    <w:rsid w:val="002D5542"/>
    <w:rsid w:val="002D6219"/>
    <w:rsid w:val="002F0C33"/>
    <w:rsid w:val="00300A9A"/>
    <w:rsid w:val="00302299"/>
    <w:rsid w:val="003114DF"/>
    <w:rsid w:val="00313F0C"/>
    <w:rsid w:val="00367177"/>
    <w:rsid w:val="003A6E25"/>
    <w:rsid w:val="003B24A9"/>
    <w:rsid w:val="003B2970"/>
    <w:rsid w:val="003D7766"/>
    <w:rsid w:val="00402CB3"/>
    <w:rsid w:val="00404262"/>
    <w:rsid w:val="00406F32"/>
    <w:rsid w:val="00412824"/>
    <w:rsid w:val="0043408F"/>
    <w:rsid w:val="00434F96"/>
    <w:rsid w:val="00447FEE"/>
    <w:rsid w:val="00450C60"/>
    <w:rsid w:val="00463CA4"/>
    <w:rsid w:val="00463F31"/>
    <w:rsid w:val="00482492"/>
    <w:rsid w:val="004964D0"/>
    <w:rsid w:val="004E5521"/>
    <w:rsid w:val="004E6B25"/>
    <w:rsid w:val="004F2A9F"/>
    <w:rsid w:val="00557465"/>
    <w:rsid w:val="00573570"/>
    <w:rsid w:val="005A6075"/>
    <w:rsid w:val="005B3597"/>
    <w:rsid w:val="005D0C74"/>
    <w:rsid w:val="005D7AA5"/>
    <w:rsid w:val="006242A7"/>
    <w:rsid w:val="0063668C"/>
    <w:rsid w:val="00650908"/>
    <w:rsid w:val="0065525D"/>
    <w:rsid w:val="00666321"/>
    <w:rsid w:val="00670234"/>
    <w:rsid w:val="00673B61"/>
    <w:rsid w:val="00697151"/>
    <w:rsid w:val="006D0AB0"/>
    <w:rsid w:val="006F7DCB"/>
    <w:rsid w:val="007518ED"/>
    <w:rsid w:val="00753A04"/>
    <w:rsid w:val="00782347"/>
    <w:rsid w:val="007C6D31"/>
    <w:rsid w:val="007E79CB"/>
    <w:rsid w:val="007F5C17"/>
    <w:rsid w:val="007F66EA"/>
    <w:rsid w:val="007F7B74"/>
    <w:rsid w:val="00801060"/>
    <w:rsid w:val="00823D13"/>
    <w:rsid w:val="00876E23"/>
    <w:rsid w:val="00882D9D"/>
    <w:rsid w:val="008851A9"/>
    <w:rsid w:val="00896485"/>
    <w:rsid w:val="008A1C04"/>
    <w:rsid w:val="008B789C"/>
    <w:rsid w:val="008C06B6"/>
    <w:rsid w:val="008C2C9B"/>
    <w:rsid w:val="008D6200"/>
    <w:rsid w:val="00930895"/>
    <w:rsid w:val="00963345"/>
    <w:rsid w:val="0098598C"/>
    <w:rsid w:val="009D209D"/>
    <w:rsid w:val="009E6507"/>
    <w:rsid w:val="00A06C5D"/>
    <w:rsid w:val="00A20CEE"/>
    <w:rsid w:val="00A42271"/>
    <w:rsid w:val="00A47F10"/>
    <w:rsid w:val="00A60B51"/>
    <w:rsid w:val="00A801AA"/>
    <w:rsid w:val="00A8643E"/>
    <w:rsid w:val="00A91F16"/>
    <w:rsid w:val="00A95D02"/>
    <w:rsid w:val="00A9793E"/>
    <w:rsid w:val="00AA7DB7"/>
    <w:rsid w:val="00AB20F7"/>
    <w:rsid w:val="00AB5C0D"/>
    <w:rsid w:val="00AC3F46"/>
    <w:rsid w:val="00AF0949"/>
    <w:rsid w:val="00B22FE1"/>
    <w:rsid w:val="00B274C9"/>
    <w:rsid w:val="00B403D8"/>
    <w:rsid w:val="00B466D3"/>
    <w:rsid w:val="00B57FA9"/>
    <w:rsid w:val="00B62D98"/>
    <w:rsid w:val="00BA5F8A"/>
    <w:rsid w:val="00BB3FE5"/>
    <w:rsid w:val="00BE469B"/>
    <w:rsid w:val="00BF766F"/>
    <w:rsid w:val="00C01129"/>
    <w:rsid w:val="00C2285B"/>
    <w:rsid w:val="00C35038"/>
    <w:rsid w:val="00C7480B"/>
    <w:rsid w:val="00C74F5A"/>
    <w:rsid w:val="00CA0534"/>
    <w:rsid w:val="00CA565E"/>
    <w:rsid w:val="00D17465"/>
    <w:rsid w:val="00D23363"/>
    <w:rsid w:val="00D30969"/>
    <w:rsid w:val="00D31BD8"/>
    <w:rsid w:val="00D32917"/>
    <w:rsid w:val="00D40E42"/>
    <w:rsid w:val="00D750EF"/>
    <w:rsid w:val="00D85046"/>
    <w:rsid w:val="00D86C52"/>
    <w:rsid w:val="00D96462"/>
    <w:rsid w:val="00DB2935"/>
    <w:rsid w:val="00DC1020"/>
    <w:rsid w:val="00DE7025"/>
    <w:rsid w:val="00E03BB2"/>
    <w:rsid w:val="00E3754C"/>
    <w:rsid w:val="00E46D1A"/>
    <w:rsid w:val="00E46F80"/>
    <w:rsid w:val="00E647CC"/>
    <w:rsid w:val="00E72535"/>
    <w:rsid w:val="00E751D6"/>
    <w:rsid w:val="00E754B7"/>
    <w:rsid w:val="00EA5DEC"/>
    <w:rsid w:val="00EA76F4"/>
    <w:rsid w:val="00EB1985"/>
    <w:rsid w:val="00EB5006"/>
    <w:rsid w:val="00EC637D"/>
    <w:rsid w:val="00ED3A60"/>
    <w:rsid w:val="00F200FB"/>
    <w:rsid w:val="00F40DC1"/>
    <w:rsid w:val="00F61E0B"/>
    <w:rsid w:val="00F649D3"/>
    <w:rsid w:val="00F674F0"/>
    <w:rsid w:val="00F762F4"/>
    <w:rsid w:val="00FA1FF3"/>
    <w:rsid w:val="00FA4DC2"/>
    <w:rsid w:val="00FF69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qFormat="1"/>
    <w:lsdException w:name="footer"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823D13"/>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rsid w:val="00A91F16"/>
    <w:pPr>
      <w:keepNext/>
      <w:spacing w:after="120"/>
      <w:jc w:val="center"/>
      <w:outlineLvl w:val="0"/>
    </w:pPr>
    <w:rPr>
      <w:b/>
      <w:kern w:val="28"/>
      <w:sz w:val="28"/>
    </w:rPr>
  </w:style>
  <w:style w:type="paragraph" w:styleId="berschrift2">
    <w:name w:val="heading 2"/>
    <w:basedOn w:val="Standard"/>
    <w:next w:val="GesAbsatz"/>
    <w:qFormat/>
    <w:rsid w:val="00ED3A60"/>
    <w:pPr>
      <w:keepNext/>
      <w:spacing w:before="240"/>
      <w:jc w:val="center"/>
      <w:outlineLvl w:val="1"/>
    </w:pPr>
    <w:rPr>
      <w:b/>
      <w:sz w:val="24"/>
    </w:rPr>
  </w:style>
  <w:style w:type="paragraph" w:styleId="berschrift3">
    <w:name w:val="heading 3"/>
    <w:basedOn w:val="Standard"/>
    <w:next w:val="GesAbsatz"/>
    <w:qFormat/>
    <w:rsid w:val="00ED3A60"/>
    <w:pPr>
      <w:keepNext/>
      <w:spacing w:before="240" w:after="180"/>
      <w:jc w:val="center"/>
      <w:outlineLvl w:val="2"/>
    </w:pPr>
    <w:rPr>
      <w:b/>
    </w:rPr>
  </w:style>
  <w:style w:type="paragraph" w:styleId="berschrift4">
    <w:name w:val="heading 4"/>
    <w:basedOn w:val="Standard"/>
    <w:next w:val="Standard"/>
    <w:rsid w:val="00ED3A60"/>
    <w:pPr>
      <w:keepNext/>
      <w:spacing w:before="240"/>
      <w:outlineLvl w:val="3"/>
    </w:pPr>
  </w:style>
  <w:style w:type="paragraph" w:styleId="berschrift5">
    <w:name w:val="heading 5"/>
    <w:basedOn w:val="Standard"/>
    <w:next w:val="Standard"/>
    <w:rsid w:val="00ED3A60"/>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rsid w:val="00A20CEE"/>
    <w:pPr>
      <w:tabs>
        <w:tab w:val="center" w:pos="4536"/>
        <w:tab w:val="right" w:pos="9072"/>
      </w:tabs>
      <w:spacing w:before="0" w:after="120"/>
      <w:jc w:val="right"/>
    </w:pPr>
  </w:style>
  <w:style w:type="paragraph" w:styleId="Fuzeile">
    <w:name w:val="footer"/>
    <w:basedOn w:val="Standard"/>
    <w:qFormat/>
    <w:rsid w:val="00666321"/>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rsid w:val="00404262"/>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paragraph" w:customStyle="1" w:styleId="GesAbsatz">
    <w:name w:val="GesAbsatz"/>
    <w:basedOn w:val="Standard"/>
    <w:qFormat/>
    <w:rsid w:val="00823D13"/>
    <w:pPr>
      <w:spacing w:before="100"/>
    </w:pPr>
    <w:rPr>
      <w:color w:val="000000"/>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character" w:styleId="Funotenzeichen">
    <w:name w:val="footnote reference"/>
    <w:qFormat/>
    <w:rsid w:val="002A388C"/>
    <w:rPr>
      <w:sz w:val="20"/>
      <w:szCs w:val="20"/>
      <w:vertAlign w:val="superscript"/>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character" w:styleId="Hyperlink">
    <w:name w:val="Hyperlink"/>
    <w:uiPriority w:val="99"/>
    <w:rPr>
      <w:color w:val="0000FF"/>
      <w:u w:val="single"/>
    </w:rPr>
  </w:style>
  <w:style w:type="paragraph" w:customStyle="1" w:styleId="Kopfzeile0">
    <w:name w:val="Kopfzeile0"/>
    <w:basedOn w:val="Standard"/>
    <w:next w:val="Kopfzeile"/>
    <w:qFormat/>
    <w:rsid w:val="00782347"/>
    <w:pPr>
      <w:spacing w:before="0" w:after="0"/>
      <w:jc w:val="right"/>
    </w:pPr>
    <w:rPr>
      <w:b/>
      <w:sz w:val="24"/>
    </w:rPr>
  </w:style>
  <w:style w:type="table" w:styleId="Tabellenraster">
    <w:name w:val="Table Grid"/>
    <w:basedOn w:val="NormaleTabelle"/>
    <w:rsid w:val="00E75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1"/>
    <w:qFormat/>
    <w:rsid w:val="00434F96"/>
    <w:pPr>
      <w:tabs>
        <w:tab w:val="clear" w:pos="425"/>
      </w:tabs>
      <w:overflowPunct/>
      <w:spacing w:before="0" w:after="0"/>
      <w:jc w:val="left"/>
      <w:textAlignment w:val="auto"/>
    </w:pPr>
    <w:rPr>
      <w:rFonts w:ascii="Times New Roman" w:hAnsi="Times New Roman"/>
      <w:sz w:val="24"/>
      <w:szCs w:val="24"/>
    </w:rPr>
  </w:style>
  <w:style w:type="character" w:styleId="BesuchterHyperlink">
    <w:name w:val="FollowedHyperlink"/>
    <w:basedOn w:val="Absatz-Standardschriftart"/>
    <w:rsid w:val="001E5D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qFormat="1"/>
    <w:lsdException w:name="footer"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823D13"/>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rsid w:val="00A91F16"/>
    <w:pPr>
      <w:keepNext/>
      <w:spacing w:after="120"/>
      <w:jc w:val="center"/>
      <w:outlineLvl w:val="0"/>
    </w:pPr>
    <w:rPr>
      <w:b/>
      <w:kern w:val="28"/>
      <w:sz w:val="28"/>
    </w:rPr>
  </w:style>
  <w:style w:type="paragraph" w:styleId="berschrift2">
    <w:name w:val="heading 2"/>
    <w:basedOn w:val="Standard"/>
    <w:next w:val="GesAbsatz"/>
    <w:qFormat/>
    <w:rsid w:val="00ED3A60"/>
    <w:pPr>
      <w:keepNext/>
      <w:spacing w:before="240"/>
      <w:jc w:val="center"/>
      <w:outlineLvl w:val="1"/>
    </w:pPr>
    <w:rPr>
      <w:b/>
      <w:sz w:val="24"/>
    </w:rPr>
  </w:style>
  <w:style w:type="paragraph" w:styleId="berschrift3">
    <w:name w:val="heading 3"/>
    <w:basedOn w:val="Standard"/>
    <w:next w:val="GesAbsatz"/>
    <w:qFormat/>
    <w:rsid w:val="00ED3A60"/>
    <w:pPr>
      <w:keepNext/>
      <w:spacing w:before="240" w:after="180"/>
      <w:jc w:val="center"/>
      <w:outlineLvl w:val="2"/>
    </w:pPr>
    <w:rPr>
      <w:b/>
    </w:rPr>
  </w:style>
  <w:style w:type="paragraph" w:styleId="berschrift4">
    <w:name w:val="heading 4"/>
    <w:basedOn w:val="Standard"/>
    <w:next w:val="Standard"/>
    <w:rsid w:val="00ED3A60"/>
    <w:pPr>
      <w:keepNext/>
      <w:spacing w:before="240"/>
      <w:outlineLvl w:val="3"/>
    </w:pPr>
  </w:style>
  <w:style w:type="paragraph" w:styleId="berschrift5">
    <w:name w:val="heading 5"/>
    <w:basedOn w:val="Standard"/>
    <w:next w:val="Standard"/>
    <w:rsid w:val="00ED3A60"/>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rsid w:val="00A20CEE"/>
    <w:pPr>
      <w:tabs>
        <w:tab w:val="center" w:pos="4536"/>
        <w:tab w:val="right" w:pos="9072"/>
      </w:tabs>
      <w:spacing w:before="0" w:after="120"/>
      <w:jc w:val="right"/>
    </w:pPr>
  </w:style>
  <w:style w:type="paragraph" w:styleId="Fuzeile">
    <w:name w:val="footer"/>
    <w:basedOn w:val="Standard"/>
    <w:qFormat/>
    <w:rsid w:val="00666321"/>
    <w:pPr>
      <w:tabs>
        <w:tab w:val="clear" w:pos="425"/>
        <w:tab w:val="right" w:pos="8505"/>
        <w:tab w:val="right" w:pos="9639"/>
      </w:tabs>
      <w:spacing w:before="0" w:after="0"/>
      <w:jc w:val="left"/>
    </w:pPr>
    <w:rPr>
      <w:sz w:val="16"/>
    </w:rPr>
  </w:style>
  <w:style w:type="character" w:styleId="Seitenzahl">
    <w:name w:val="page number"/>
    <w:semiHidden/>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rsid w:val="00404262"/>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paragraph" w:customStyle="1" w:styleId="GesAbsatz">
    <w:name w:val="GesAbsatz"/>
    <w:basedOn w:val="Standard"/>
    <w:qFormat/>
    <w:rsid w:val="00823D13"/>
    <w:pPr>
      <w:spacing w:before="100"/>
    </w:pPr>
    <w:rPr>
      <w:color w:val="000000"/>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character" w:styleId="Funotenzeichen">
    <w:name w:val="footnote reference"/>
    <w:qFormat/>
    <w:rsid w:val="002A388C"/>
    <w:rPr>
      <w:sz w:val="20"/>
      <w:szCs w:val="20"/>
      <w:vertAlign w:val="superscript"/>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character" w:styleId="Hyperlink">
    <w:name w:val="Hyperlink"/>
    <w:uiPriority w:val="99"/>
    <w:rPr>
      <w:color w:val="0000FF"/>
      <w:u w:val="single"/>
    </w:rPr>
  </w:style>
  <w:style w:type="paragraph" w:customStyle="1" w:styleId="Kopfzeile0">
    <w:name w:val="Kopfzeile0"/>
    <w:basedOn w:val="Standard"/>
    <w:next w:val="Kopfzeile"/>
    <w:qFormat/>
    <w:rsid w:val="00782347"/>
    <w:pPr>
      <w:spacing w:before="0" w:after="0"/>
      <w:jc w:val="right"/>
    </w:pPr>
    <w:rPr>
      <w:b/>
      <w:sz w:val="24"/>
    </w:rPr>
  </w:style>
  <w:style w:type="table" w:styleId="Tabellenraster">
    <w:name w:val="Table Grid"/>
    <w:basedOn w:val="NormaleTabelle"/>
    <w:rsid w:val="00E75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1"/>
    <w:qFormat/>
    <w:rsid w:val="00434F96"/>
    <w:pPr>
      <w:tabs>
        <w:tab w:val="clear" w:pos="425"/>
      </w:tabs>
      <w:overflowPunct/>
      <w:spacing w:before="0" w:after="0"/>
      <w:jc w:val="left"/>
      <w:textAlignment w:val="auto"/>
    </w:pPr>
    <w:rPr>
      <w:rFonts w:ascii="Times New Roman" w:hAnsi="Times New Roman"/>
      <w:sz w:val="24"/>
      <w:szCs w:val="24"/>
    </w:rPr>
  </w:style>
  <w:style w:type="character" w:styleId="BesuchterHyperlink">
    <w:name w:val="FollowedHyperlink"/>
    <w:basedOn w:val="Absatz-Standardschriftart"/>
    <w:rsid w:val="001E5D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mwelt.nrw.de/fileadmin/redaktion/PDFs/klima/leitfaden_wind_im_wald.pdf" TargetMode="External"/><Relationship Id="rId18" Type="http://schemas.openxmlformats.org/officeDocument/2006/relationships/hyperlink" Target="http://www.gd.nrw.de/gg_erdbebenstationsnetz.htm"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umwelt.nrw.de/fileadmin/redaktion/PDFs/klima/leitfaden_wind_im_wald.pdf" TargetMode="External"/><Relationship Id="rId17" Type="http://schemas.openxmlformats.org/officeDocument/2006/relationships/hyperlink" Target="http://www.anlagenschutz.baf.bund.de/mapapps/resources/apps/anlagenschutz_v2/index.html?lang=de" TargetMode="External"/><Relationship Id="rId25" Type="http://schemas.openxmlformats.org/officeDocument/2006/relationships/image" Target="media/image5.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umwelt.nrw.de/fileadmin/redaktion/PDFs/klima/leitfaden_wind_im_wald.pdf" TargetMode="External"/><Relationship Id="rId20" Type="http://schemas.openxmlformats.org/officeDocument/2006/relationships/image" Target="media/image2.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roschueren.nordrheinwestfalendirekt.de/broschuerenservice/energieagentur/branchenfuehrer-windenergie-in-nrw-2015/1959" TargetMode="External"/><Relationship Id="rId24" Type="http://schemas.openxmlformats.org/officeDocument/2006/relationships/hyperlink" Target="http://www.naturschutzinformationen-nrw.de/bk/de/karten/bk"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lanuv.nrw.de/umwelt/laerm/geraeusche/geraeuschquellen/windenergie-anlagen/" TargetMode="External"/><Relationship Id="rId23" Type="http://schemas.openxmlformats.org/officeDocument/2006/relationships/image" Target="media/image4.png"/><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hyperlink" Target="http://www.lee-nrw.de/wp-content/uploads/2015/10/20140628_diw_econ_oekonomische_bedeutung_windenergie_d_und_nrw.pdf)" TargetMode="External"/><Relationship Id="rId19" Type="http://schemas.openxmlformats.org/officeDocument/2006/relationships/image" Target="media/image1.emf"/><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yperlink" Target="https://recht.nrw.de/lmi/owa/br_bes_text?anw_nr=1&amp;gld_nr=2&amp;ugl_nr=2310&amp;bes_id=34684&amp;val=34684&amp;ver=7&amp;sg=0&amp;aufgehoben=N&amp;menu=1" TargetMode="External"/><Relationship Id="rId14" Type="http://schemas.openxmlformats.org/officeDocument/2006/relationships/hyperlink" Target="http://www.lanuv.nrw.de/geraeusche/pdf/RepoweringOkt2011.pdf" TargetMode="External"/><Relationship Id="rId22" Type="http://schemas.openxmlformats.org/officeDocument/2006/relationships/hyperlink" Target="https://www.lanuv.nrw.de/natur/landschaftsplanung/landschaftsraeume-in-nrw/"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nwendungsdaten\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A3B56-EEB6-495E-8DC3-949383084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76</Pages>
  <Words>37890</Words>
  <Characters>270312</Characters>
  <Application>Microsoft Office Word</Application>
  <DocSecurity>0</DocSecurity>
  <Lines>2252</Lines>
  <Paragraphs>615</Paragraphs>
  <ScaleCrop>false</ScaleCrop>
  <HeadingPairs>
    <vt:vector size="2" baseType="variant">
      <vt:variant>
        <vt:lpstr>Titel</vt:lpstr>
      </vt:variant>
      <vt:variant>
        <vt:i4>1</vt:i4>
      </vt:variant>
    </vt:vector>
  </HeadingPairs>
  <TitlesOfParts>
    <vt:vector size="1" baseType="lpstr">
      <vt:lpstr/>
    </vt:vector>
  </TitlesOfParts>
  <Company>LANUV NRW</Company>
  <LinksUpToDate>false</LinksUpToDate>
  <CharactersWithSpaces>307587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natrop</dc:creator>
  <cp:lastModifiedBy>rueter</cp:lastModifiedBy>
  <cp:revision>3</cp:revision>
  <cp:lastPrinted>2004-12-14T12:08:00Z</cp:lastPrinted>
  <dcterms:created xsi:type="dcterms:W3CDTF">2018-05-23T05:34:00Z</dcterms:created>
  <dcterms:modified xsi:type="dcterms:W3CDTF">2018-05-23T06:35:00Z</dcterms:modified>
</cp:coreProperties>
</file>