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20D0">
      <w:pPr>
        <w:pStyle w:val="GesAbsatz"/>
        <w:spacing w:before="0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URTEIL DES GERICHTSHOFES (Fünfte Kammer)</w:t>
      </w:r>
    </w:p>
    <w:p w:rsidR="00000000" w:rsidRDefault="001420D0">
      <w:pPr>
        <w:pStyle w:val="GesAbsatz"/>
        <w:jc w:val="center"/>
        <w:rPr>
          <w:rFonts w:cs="Arial"/>
        </w:rPr>
      </w:pPr>
      <w:r>
        <w:rPr>
          <w:rFonts w:cs="Arial"/>
        </w:rPr>
        <w:t>13. Februar 2003</w:t>
      </w:r>
      <w:r>
        <w:rPr>
          <w:rStyle w:val="Funotenzeichen"/>
          <w:rFonts w:cs="Arial"/>
        </w:rPr>
        <w:footnoteReference w:id="1"/>
      </w:r>
    </w:p>
    <w:p w:rsidR="00000000" w:rsidRDefault="001420D0">
      <w:pPr>
        <w:pStyle w:val="berschrift1"/>
      </w:pPr>
      <w:r>
        <w:t>Vertragsverletzung eines Mitgliedstaats - Artikel 7 Absätze 2 und 4 der Verordnung (EWG) Nr. 259/93 - Zuordnung des Zwecks einer Abfal</w:t>
      </w:r>
      <w:r>
        <w:t>l</w:t>
      </w:r>
      <w:r>
        <w:t>ve</w:t>
      </w:r>
      <w:r>
        <w:t>r</w:t>
      </w:r>
      <w:r>
        <w:t>bringung (Verwertung oder Beseit</w:t>
      </w:r>
      <w:r>
        <w:t>i</w:t>
      </w:r>
      <w:r>
        <w:t>gung) - Verbrennung von Ab</w:t>
      </w:r>
      <w:r>
        <w:t>fällen - R 1 des Anhangs II B der Richtlinie 75/442/EWG - "Hauptverwendung als Brennstoff oder andere Mittel der Energieerzeugung"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In der Rechtssache C-458/00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Kommission der Europäischen Gemeinschaften,</w:t>
      </w:r>
      <w:r>
        <w:rPr>
          <w:rFonts w:cs="Arial"/>
        </w:rPr>
        <w:t xml:space="preserve"> vertreten durch H. Støvlbaek und J. Adda als Bevol</w:t>
      </w:r>
      <w:r>
        <w:rPr>
          <w:rFonts w:cs="Arial"/>
        </w:rPr>
        <w:t>l</w:t>
      </w:r>
      <w:r>
        <w:rPr>
          <w:rFonts w:cs="Arial"/>
        </w:rPr>
        <w:t>mä</w:t>
      </w:r>
      <w:r>
        <w:rPr>
          <w:rFonts w:cs="Arial"/>
        </w:rPr>
        <w:t>chtigte, Zustellungsanschrift in Luxemburg,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Klägerin,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gegen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Großherzogtum Luxemburg,</w:t>
      </w:r>
      <w:r>
        <w:rPr>
          <w:rFonts w:cs="Arial"/>
        </w:rPr>
        <w:t xml:space="preserve"> vertreten durch J. Faltz als Bevollmächtigten,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Beklagter,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unterstützt durch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Republik Österreich,</w:t>
      </w:r>
      <w:r>
        <w:rPr>
          <w:rFonts w:cs="Arial"/>
        </w:rPr>
        <w:t xml:space="preserve"> vertreten durch C. Pesendorfer als Bevollmächtigte, Zustellungsanschrift i</w:t>
      </w:r>
      <w:r>
        <w:rPr>
          <w:rFonts w:cs="Arial"/>
        </w:rPr>
        <w:t>n Luxe</w:t>
      </w:r>
      <w:r>
        <w:rPr>
          <w:rFonts w:cs="Arial"/>
        </w:rPr>
        <w:t>m</w:t>
      </w:r>
      <w:r>
        <w:rPr>
          <w:rFonts w:cs="Arial"/>
        </w:rPr>
        <w:t>burg,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Streithelferin,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wegen Feststellung, dass das Großherzogtum Luxemburg dadurch gegen seine Verpflichtungen aus den Artikeln 2, 6 und 7 der Verordnung (EWG) Nr. 259/93 des Rates vom 1. Februar 1993 zur Überwachung und Kontrolle der Verbringung vo</w:t>
      </w:r>
      <w:r>
        <w:rPr>
          <w:rFonts w:cs="Arial"/>
        </w:rPr>
        <w:t>n Abfällen in der, in die und aus der Europäischen Gemeinschaft (ABl. L 30, S. 1) sowie aus Artikel 1 Buchstabe f in Verbindung mit R 1 des Anhangs II B der Richtlinie 75/442/EWG des Rates vom 15. Juli 1975 über Abfälle (ABl. L 194, S. 39) in der durch die</w:t>
      </w:r>
      <w:r>
        <w:rPr>
          <w:rFonts w:cs="Arial"/>
        </w:rPr>
        <w:t xml:space="preserve"> Entscheidung 96/350/EG der Ko</w:t>
      </w:r>
      <w:r>
        <w:rPr>
          <w:rFonts w:cs="Arial"/>
        </w:rPr>
        <w:t>m</w:t>
      </w:r>
      <w:r>
        <w:rPr>
          <w:rFonts w:cs="Arial"/>
        </w:rPr>
        <w:t>mission vom 24. Mai 1996 (ABl. L 135, S. 32) geänderten Fassung verstoßen hat, dass es unberechti</w:t>
      </w:r>
      <w:r>
        <w:rPr>
          <w:rFonts w:cs="Arial"/>
        </w:rPr>
        <w:t>g</w:t>
      </w:r>
      <w:r>
        <w:rPr>
          <w:rFonts w:cs="Arial"/>
        </w:rPr>
        <w:t>te, nicht mit Artikel 7 Absätze 2 und 4 der genannten Verordnung sowie mit Artikel 1 Buchstabe f in Verbi</w:t>
      </w:r>
      <w:r>
        <w:rPr>
          <w:rFonts w:cs="Arial"/>
        </w:rPr>
        <w:t>n</w:t>
      </w:r>
      <w:r>
        <w:rPr>
          <w:rFonts w:cs="Arial"/>
        </w:rPr>
        <w:t>dung mit R 1 des Anha</w:t>
      </w:r>
      <w:r>
        <w:rPr>
          <w:rFonts w:cs="Arial"/>
        </w:rPr>
        <w:t>ngs II B der genannten Richtlinie in Einklang stehende Einwände gegen bestimmte Verbri</w:t>
      </w:r>
      <w:r>
        <w:rPr>
          <w:rFonts w:cs="Arial"/>
        </w:rPr>
        <w:t>n</w:t>
      </w:r>
      <w:r>
        <w:rPr>
          <w:rFonts w:cs="Arial"/>
        </w:rPr>
        <w:t xml:space="preserve">gungen von Abfällen in einen anderen Mitgliedstaaten zur Hauptverwendung als Brennstoff erhoben hat, 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erlässt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DER GERICHTSHOF (Fünfte Kammer)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unter Mitwirkung des Kammer</w:t>
      </w:r>
      <w:r>
        <w:rPr>
          <w:rFonts w:cs="Arial"/>
        </w:rPr>
        <w:t>präsidenten M. Wathelet sowie der Richter C. W. A. Timmermans (Berichte</w:t>
      </w:r>
      <w:r>
        <w:rPr>
          <w:rFonts w:cs="Arial"/>
        </w:rPr>
        <w:t>r</w:t>
      </w:r>
      <w:r>
        <w:rPr>
          <w:rFonts w:cs="Arial"/>
        </w:rPr>
        <w:t>statter), D. A. O. Edward, P. Jann und S. von Bahr,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Generalanwalt: F. G. Jacobs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Kanzler: H. A. Rühl, Hauptverwaltungsrat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aufgrund des Sitzungsberichts,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nach Anhörung der Parteien in de</w:t>
      </w:r>
      <w:r>
        <w:rPr>
          <w:rFonts w:cs="Arial"/>
        </w:rPr>
        <w:t>r Sitzung vom 25. April 2002, in der die Kommission durch J. Adda, das Großherzogtum Luxemburg durch N. Mackel und R. Schmit als Bevollmächtigte und die Republik Öste</w:t>
      </w:r>
      <w:r>
        <w:rPr>
          <w:rFonts w:cs="Arial"/>
        </w:rPr>
        <w:t>r</w:t>
      </w:r>
      <w:r>
        <w:rPr>
          <w:rFonts w:cs="Arial"/>
        </w:rPr>
        <w:t>reich durch E. Riedl als Bevollmächtigten vertreten waren,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nach Anhörung der Schlussanträ</w:t>
      </w:r>
      <w:r>
        <w:rPr>
          <w:rFonts w:cs="Arial"/>
        </w:rPr>
        <w:t>ge des Generalanwalts in der Sitzung vom 26. Septe</w:t>
      </w:r>
      <w:r>
        <w:rPr>
          <w:rFonts w:cs="Arial"/>
        </w:rPr>
        <w:t>m</w:t>
      </w:r>
      <w:r>
        <w:rPr>
          <w:rFonts w:cs="Arial"/>
        </w:rPr>
        <w:t>ber 2002,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folgendes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Urteil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1. Die Kommission der Europäischen Gemeinschaften hat mit Klageschrift, die am 19. Dezember 2000 bei der Kanzlei des Gerichtshofes eingegangen ist, gemäß Artikel 226 EG Klage erh</w:t>
      </w:r>
      <w:r>
        <w:rPr>
          <w:rFonts w:cs="Arial"/>
        </w:rPr>
        <w:t>oben auf Fes</w:t>
      </w:r>
      <w:r>
        <w:rPr>
          <w:rFonts w:cs="Arial"/>
        </w:rPr>
        <w:t>t</w:t>
      </w:r>
      <w:r>
        <w:rPr>
          <w:rFonts w:cs="Arial"/>
        </w:rPr>
        <w:t>stellung, dass das Großherzogtum Luxemburg dadurch gegen seine Verpflichtungen aus den Artikeln 2, 6 und 7 der Ve</w:t>
      </w:r>
      <w:r>
        <w:rPr>
          <w:rFonts w:cs="Arial"/>
        </w:rPr>
        <w:t>r</w:t>
      </w:r>
      <w:r>
        <w:rPr>
          <w:rFonts w:cs="Arial"/>
        </w:rPr>
        <w:t>ordnung (EWG) Nr. 259/93 des Rates vom 1. Februar 1993 zur Überwachung und Kontrolle der Verbri</w:t>
      </w:r>
      <w:r>
        <w:rPr>
          <w:rFonts w:cs="Arial"/>
        </w:rPr>
        <w:t>n</w:t>
      </w:r>
      <w:r>
        <w:rPr>
          <w:rFonts w:cs="Arial"/>
        </w:rPr>
        <w:t xml:space="preserve">gung von Abfällen in der, in die </w:t>
      </w:r>
      <w:r>
        <w:rPr>
          <w:rFonts w:cs="Arial"/>
        </w:rPr>
        <w:t>und aus der Europäischen Gemeinschaft (ABl. L 30, S. 1, im Folgenden: Veror</w:t>
      </w:r>
      <w:r>
        <w:rPr>
          <w:rFonts w:cs="Arial"/>
        </w:rPr>
        <w:t>d</w:t>
      </w:r>
      <w:r>
        <w:rPr>
          <w:rFonts w:cs="Arial"/>
        </w:rPr>
        <w:t>nung) sowie aus Artikel 1 Buchstabe f in Verbindung mit R 1 des Anhangs II B der Richtlinie 75/442/EWG des Rates vom 15. Juli 1975 über Abfälle (ABl. L 194, S. 39) in der durch die</w:t>
      </w:r>
      <w:r>
        <w:rPr>
          <w:rFonts w:cs="Arial"/>
        </w:rPr>
        <w:t xml:space="preserve"> Entscheidung 96/350/EG der Kommission vom 24. Mai 1996 (ABl. L 135, S. 32) geänderten Fassung (im Folgenden: Richtlinie) verstoßen </w:t>
      </w:r>
      <w:r>
        <w:rPr>
          <w:rFonts w:cs="Arial"/>
        </w:rPr>
        <w:lastRenderedPageBreak/>
        <w:t>hat, dass es unberechtigte, nicht mit Artikel 7 Absätze 2 und 4 der Verordnung sowie mit Artikel 1 Buchst</w:t>
      </w:r>
      <w:r>
        <w:rPr>
          <w:rFonts w:cs="Arial"/>
        </w:rPr>
        <w:t>a</w:t>
      </w:r>
      <w:r>
        <w:rPr>
          <w:rFonts w:cs="Arial"/>
        </w:rPr>
        <w:t>be f in Verbindung</w:t>
      </w:r>
      <w:r>
        <w:rPr>
          <w:rFonts w:cs="Arial"/>
        </w:rPr>
        <w:t xml:space="preserve"> mit R 1 des Anhangs II B der Richtlinie in Einklang stehende Ei</w:t>
      </w:r>
      <w:r>
        <w:rPr>
          <w:rFonts w:cs="Arial"/>
        </w:rPr>
        <w:t>n</w:t>
      </w:r>
      <w:r>
        <w:rPr>
          <w:rFonts w:cs="Arial"/>
        </w:rPr>
        <w:t>wände gegen bestimmte Verbringungen von A</w:t>
      </w:r>
      <w:r>
        <w:rPr>
          <w:rFonts w:cs="Arial"/>
        </w:rPr>
        <w:t>b</w:t>
      </w:r>
      <w:r>
        <w:rPr>
          <w:rFonts w:cs="Arial"/>
        </w:rPr>
        <w:t>fällen in einen anderen Mitgliedstaat zur Hauptverwendung als Brennstoff erhoben hat.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2. Mit Beschluss des Präsidenten des Gerichtshofes vom 7. Juni </w:t>
      </w:r>
      <w:r>
        <w:rPr>
          <w:rFonts w:cs="Arial"/>
        </w:rPr>
        <w:t>2001 ist die Republik Österreich als Strei</w:t>
      </w:r>
      <w:r>
        <w:rPr>
          <w:rFonts w:cs="Arial"/>
        </w:rPr>
        <w:t>t</w:t>
      </w:r>
      <w:r>
        <w:rPr>
          <w:rFonts w:cs="Arial"/>
        </w:rPr>
        <w:t>he</w:t>
      </w:r>
      <w:r>
        <w:rPr>
          <w:rFonts w:cs="Arial"/>
        </w:rPr>
        <w:t>l</w:t>
      </w:r>
      <w:r>
        <w:rPr>
          <w:rFonts w:cs="Arial"/>
        </w:rPr>
        <w:t>ferin zur Unterstützung der Anträge des Großherzogtums Luxemburg zugelassen worden.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Rechtlicher Rahmen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i/>
          <w:iCs/>
        </w:rPr>
        <w:t>Gemeinschaftsrecht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Die Richtlinie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3. Wesentliche Zielsetzung der Richtlinie ist der Schutz der menschlichen</w:t>
      </w:r>
      <w:r>
        <w:rPr>
          <w:rFonts w:cs="Arial"/>
        </w:rPr>
        <w:t xml:space="preserve"> Gesundheit sowie der Umwelt gegen nachteilige Auswirkungen der Sammlung, Beförderung, Behandlung, Lagerung und Ablagerung von A</w:t>
      </w:r>
      <w:r>
        <w:rPr>
          <w:rFonts w:cs="Arial"/>
        </w:rPr>
        <w:t>b</w:t>
      </w:r>
      <w:r>
        <w:rPr>
          <w:rFonts w:cs="Arial"/>
        </w:rPr>
        <w:t>fällen. In der vierten Begründungserwägung der Richtlinie heißt es: Die Aufbereitung von Abfällen sowie die Verwendung wiederge</w:t>
      </w:r>
      <w:r>
        <w:rPr>
          <w:rFonts w:cs="Arial"/>
        </w:rPr>
        <w:t>wonnener Materialien ist im Interesse der Erhaltung der natürlichen Rohstoffque</w:t>
      </w:r>
      <w:r>
        <w:rPr>
          <w:rFonts w:cs="Arial"/>
        </w:rPr>
        <w:t>l</w:t>
      </w:r>
      <w:r>
        <w:rPr>
          <w:rFonts w:cs="Arial"/>
        </w:rPr>
        <w:t>len zu fördern.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4. Sie definiert in Artikel 1 Buchstabe e Beseitigung als alle in Anhang II A aufgeführten Verfahren und in Artikel 1 Buchstabe f Verwertung als alle in Anhang </w:t>
      </w:r>
      <w:r>
        <w:rPr>
          <w:rFonts w:cs="Arial"/>
        </w:rPr>
        <w:t>II B aufgeführten Verfahren.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5. Artikel 3 Absatz 1 der Richtlinie bestimmt: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Die Mitgliedstaaten treffen Maßnahmen, um Folgendes zu fördern: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in erster Linie die Verhütung oder Verringerung der Erzeugung von Abfällen und ihrer Gefährlichkeit ...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in zwe</w:t>
      </w:r>
      <w:r>
        <w:rPr>
          <w:rFonts w:cs="Arial"/>
        </w:rPr>
        <w:t>iter Linie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i)</w:t>
      </w:r>
      <w:r>
        <w:rPr>
          <w:rFonts w:cs="Arial"/>
        </w:rPr>
        <w:tab/>
        <w:t>die Verwertung der Abfälle im Wege der Rückführung, der Wiederverwendung, des Wiedereinsatzes oder anderer Verwertungsvorgänge im Hinblick auf die G</w:t>
      </w:r>
      <w:r>
        <w:rPr>
          <w:rFonts w:cs="Arial"/>
        </w:rPr>
        <w:t>e</w:t>
      </w:r>
      <w:r>
        <w:rPr>
          <w:rFonts w:cs="Arial"/>
        </w:rPr>
        <w:t>winnung von sekundären Rohstoffen oder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ii)</w:t>
      </w:r>
      <w:r>
        <w:rPr>
          <w:rFonts w:cs="Arial"/>
        </w:rPr>
        <w:tab/>
        <w:t>die Nutzung von Abfällen zur Gewinnung von Energie</w:t>
      </w:r>
      <w:r>
        <w:rPr>
          <w:rFonts w:cs="Arial"/>
        </w:rPr>
        <w:t>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6. Anhang II A - Beseitigungsverfahren - der Richtlinie nennt unter D 10 die Verbrennung an Land.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7. Anhang II B - Verwertungsverfahren - der Richtlinie führt unter R 1 die Hauptverwendung als Bren</w:t>
      </w:r>
      <w:r>
        <w:rPr>
          <w:rFonts w:cs="Arial"/>
        </w:rPr>
        <w:t>n</w:t>
      </w:r>
      <w:r>
        <w:rPr>
          <w:rFonts w:cs="Arial"/>
        </w:rPr>
        <w:t>stoff oder andere Mittel der Energieerzeugung an.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Die Ve</w:t>
      </w:r>
      <w:r>
        <w:rPr>
          <w:rFonts w:cs="Arial"/>
        </w:rPr>
        <w:t>rordnung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8. Die Verordnung regelt namentlich die Überwachung und Kontrolle der Verbringung von Abfällen zw</w:t>
      </w:r>
      <w:r>
        <w:rPr>
          <w:rFonts w:cs="Arial"/>
        </w:rPr>
        <w:t>i</w:t>
      </w:r>
      <w:r>
        <w:rPr>
          <w:rFonts w:cs="Arial"/>
        </w:rPr>
        <w:t>schen Mitgliedstaaten.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9. Sie definiert in Artikel 2 Buchstabe i Beseitigung als Beseitigung im Sinne des Artikels 1 Buchstabe e) der Richtlinie 75/4</w:t>
      </w:r>
      <w:r>
        <w:rPr>
          <w:rFonts w:cs="Arial"/>
        </w:rPr>
        <w:t>42/EWG und in Artikel 2 Buchstabe k Verwertung als Verwertung im Sinne des Artikels 1 Buchstabe f) der Richtlinie 75/442/EWG.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10. Titel II - Verbringung von Abfällen zwischen Mitgliedstaaten - der Verordnung enthält u. a. zwei A</w:t>
      </w:r>
      <w:r>
        <w:rPr>
          <w:rFonts w:cs="Arial"/>
        </w:rPr>
        <w:t>b</w:t>
      </w:r>
      <w:r>
        <w:rPr>
          <w:rFonts w:cs="Arial"/>
        </w:rPr>
        <w:t>schni</w:t>
      </w:r>
      <w:r>
        <w:rPr>
          <w:rFonts w:cs="Arial"/>
        </w:rPr>
        <w:t>t</w:t>
      </w:r>
      <w:r>
        <w:rPr>
          <w:rFonts w:cs="Arial"/>
        </w:rPr>
        <w:t>te, von denen der ein</w:t>
      </w:r>
      <w:r>
        <w:rPr>
          <w:rFonts w:cs="Arial"/>
        </w:rPr>
        <w:t>e in den Artikeln 3 bis 5 die Verbringung von zur Beseitigung bestimmten Abfä</w:t>
      </w:r>
      <w:r>
        <w:rPr>
          <w:rFonts w:cs="Arial"/>
        </w:rPr>
        <w:t>l</w:t>
      </w:r>
      <w:r>
        <w:rPr>
          <w:rFonts w:cs="Arial"/>
        </w:rPr>
        <w:t>len und der andere in den Artikeln 6 bis 11 die Verbringung von zur Verwertung bestimmten Abfällen b</w:t>
      </w:r>
      <w:r>
        <w:rPr>
          <w:rFonts w:cs="Arial"/>
        </w:rPr>
        <w:t>e</w:t>
      </w:r>
      <w:r>
        <w:rPr>
          <w:rFonts w:cs="Arial"/>
        </w:rPr>
        <w:t>handelt. Das für die zweite Gruppe von Abfällen vorgesehene Verfahren ist wen</w:t>
      </w:r>
      <w:r>
        <w:rPr>
          <w:rFonts w:cs="Arial"/>
        </w:rPr>
        <w:t>iger streng als das für die erste Gruppe vo</w:t>
      </w:r>
      <w:r>
        <w:rPr>
          <w:rFonts w:cs="Arial"/>
        </w:rPr>
        <w:t>r</w:t>
      </w:r>
      <w:r>
        <w:rPr>
          <w:rFonts w:cs="Arial"/>
        </w:rPr>
        <w:t>gesehene.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11. Gemäß Artikel 6 Absatz 1 der Verordnung notifiziert der Hersteller oder der Besitzer von Abfällen, der beabsichtigt, zur Verwertung bestimmte Abfälle des Anhangs III der Verordnung (Gelbe Abfalllist</w:t>
      </w:r>
      <w:r>
        <w:rPr>
          <w:rFonts w:cs="Arial"/>
        </w:rPr>
        <w:t>e) von e</w:t>
      </w:r>
      <w:r>
        <w:rPr>
          <w:rFonts w:cs="Arial"/>
        </w:rPr>
        <w:t>i</w:t>
      </w:r>
      <w:r>
        <w:rPr>
          <w:rFonts w:cs="Arial"/>
        </w:rPr>
        <w:t>nem Mitgliedstaat in einen anderen Mitgliedstaat zu verbringen und/oder sie durch einen oder mehrere a</w:t>
      </w:r>
      <w:r>
        <w:rPr>
          <w:rFonts w:cs="Arial"/>
        </w:rPr>
        <w:t>n</w:t>
      </w:r>
      <w:r>
        <w:rPr>
          <w:rFonts w:cs="Arial"/>
        </w:rPr>
        <w:t>dere Mitgliedstaaten durchzuführen, dies der zuständigen Behörde am Bestimmungsort und übermittelt der z</w:t>
      </w:r>
      <w:r>
        <w:rPr>
          <w:rFonts w:cs="Arial"/>
        </w:rPr>
        <w:t>u</w:t>
      </w:r>
      <w:r>
        <w:rPr>
          <w:rFonts w:cs="Arial"/>
        </w:rPr>
        <w:t>ständigen Behörde am Versandort und den</w:t>
      </w:r>
      <w:r>
        <w:rPr>
          <w:rFonts w:cs="Arial"/>
        </w:rPr>
        <w:t xml:space="preserve"> für die Durchfuhr zuständigen Behörden sowie dem Empfä</w:t>
      </w:r>
      <w:r>
        <w:rPr>
          <w:rFonts w:cs="Arial"/>
        </w:rPr>
        <w:t>n</w:t>
      </w:r>
      <w:r>
        <w:rPr>
          <w:rFonts w:cs="Arial"/>
        </w:rPr>
        <w:t>ger eine Kopie des Notifizierungsschreibens.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12. Artikel 7 Absatz 2 der Verordnung legt die Frist sowie die Bedingungen und Modalitäten fest, die von den zuständigen Behörden am Bestimmungsort und am </w:t>
      </w:r>
      <w:r>
        <w:rPr>
          <w:rFonts w:cs="Arial"/>
        </w:rPr>
        <w:t>Versandort sowie der für die Durchfuhr zuständigen B</w:t>
      </w:r>
      <w:r>
        <w:rPr>
          <w:rFonts w:cs="Arial"/>
        </w:rPr>
        <w:t>e</w:t>
      </w:r>
      <w:r>
        <w:rPr>
          <w:rFonts w:cs="Arial"/>
        </w:rPr>
        <w:t xml:space="preserve">hörde bei der Erhebung von Einwänden gegen eine notifizierte geplante Verbringung von zur Verwertung bestimmten Abfällen eingehalten werden müssen. Nach dieser Vorschrift sind die Einwände auf Artikel 7 </w:t>
      </w:r>
      <w:r>
        <w:rPr>
          <w:rFonts w:cs="Arial"/>
        </w:rPr>
        <w:t>Absatz 4 zu stützen.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13. Artikel 7 Absatz 4 Buchstabe a der Verordnung sieht vor: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Die zuständigen Behörden am Versandort und am Bestimmungsort können gegen die geplante Verbringung mit Gründen zu versehende Einwände erheben, und zwar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gemäß der Richtlinie</w:t>
      </w:r>
      <w:r>
        <w:rPr>
          <w:rFonts w:cs="Arial"/>
        </w:rPr>
        <w:t xml:space="preserve"> 75/442/EWG, insbesondere ... Artikel 7; oder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lastRenderedPageBreak/>
        <w:t>-</w:t>
      </w:r>
      <w:r>
        <w:rPr>
          <w:rFonts w:cs="Arial"/>
        </w:rPr>
        <w:tab/>
        <w:t>wenn die Verbringung nicht gemäß den einzelstaatlichen Rechts- und Verwa</w:t>
      </w:r>
      <w:r>
        <w:rPr>
          <w:rFonts w:cs="Arial"/>
        </w:rPr>
        <w:t>l</w:t>
      </w:r>
      <w:r>
        <w:rPr>
          <w:rFonts w:cs="Arial"/>
        </w:rPr>
        <w:t>tungsvorschriften zum Schutz der Umwelt, zur Wahrung der öffentlichen Sicherheit und Ordnung oder zum Schutz der G</w:t>
      </w:r>
      <w:r>
        <w:rPr>
          <w:rFonts w:cs="Arial"/>
        </w:rPr>
        <w:t>e</w:t>
      </w:r>
      <w:r>
        <w:rPr>
          <w:rFonts w:cs="Arial"/>
        </w:rPr>
        <w:t>sundheit e</w:t>
      </w:r>
      <w:r>
        <w:rPr>
          <w:rFonts w:cs="Arial"/>
        </w:rPr>
        <w:t>r</w:t>
      </w:r>
      <w:r>
        <w:rPr>
          <w:rFonts w:cs="Arial"/>
        </w:rPr>
        <w:t>folgt; od</w:t>
      </w:r>
      <w:r>
        <w:rPr>
          <w:rFonts w:cs="Arial"/>
        </w:rPr>
        <w:t>er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wenn die notifizierende Person oder der Empfänger sich in der Vergangenheit illegale Transporte hat zuschulden kommen lassen. In diesem Fall kann die zuständige Behörde am Versandort jede Verbri</w:t>
      </w:r>
      <w:r>
        <w:rPr>
          <w:rFonts w:cs="Arial"/>
        </w:rPr>
        <w:t>n</w:t>
      </w:r>
      <w:r>
        <w:rPr>
          <w:rFonts w:cs="Arial"/>
        </w:rPr>
        <w:t>gung im Zusammenhang mit der betreffenden Person nach ei</w:t>
      </w:r>
      <w:r>
        <w:rPr>
          <w:rFonts w:cs="Arial"/>
        </w:rPr>
        <w:t>nzelstaatlichen Rechtsvorschriften able</w:t>
      </w:r>
      <w:r>
        <w:rPr>
          <w:rFonts w:cs="Arial"/>
        </w:rPr>
        <w:t>h</w:t>
      </w:r>
      <w:r>
        <w:rPr>
          <w:rFonts w:cs="Arial"/>
        </w:rPr>
        <w:t>nen; oder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wenn die Verbringung gegen Verpflichtungen aus internationalen Übereinkommen verstößt, die der b</w:t>
      </w:r>
      <w:r>
        <w:rPr>
          <w:rFonts w:cs="Arial"/>
        </w:rPr>
        <w:t>e</w:t>
      </w:r>
      <w:r>
        <w:rPr>
          <w:rFonts w:cs="Arial"/>
        </w:rPr>
        <w:t>tro</w:t>
      </w:r>
      <w:r>
        <w:rPr>
          <w:rFonts w:cs="Arial"/>
        </w:rPr>
        <w:t>f</w:t>
      </w:r>
      <w:r>
        <w:rPr>
          <w:rFonts w:cs="Arial"/>
        </w:rPr>
        <w:t>fene Mitgliedstaat geschlossen hat bzw. die die betroffenen Mitgliedstaaten geschlossen haben; oder</w:t>
      </w:r>
    </w:p>
    <w:p w:rsidR="00000000" w:rsidRDefault="001420D0">
      <w:pPr>
        <w:pStyle w:val="GesAbsatz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w</w:t>
      </w:r>
      <w:r>
        <w:rPr>
          <w:rFonts w:cs="Arial"/>
        </w:rPr>
        <w:t>enn der Anteil an verwertbarem und nicht verwertbarem Abfall, der geschätzte Wert der letztlich ve</w:t>
      </w:r>
      <w:r>
        <w:rPr>
          <w:rFonts w:cs="Arial"/>
        </w:rPr>
        <w:t>r</w:t>
      </w:r>
      <w:r>
        <w:rPr>
          <w:rFonts w:cs="Arial"/>
        </w:rPr>
        <w:t>wertbaren Stoffe oder die Kosten der Verwertung und die Kosten der Beseitigung des nicht verwertb</w:t>
      </w:r>
      <w:r>
        <w:rPr>
          <w:rFonts w:cs="Arial"/>
        </w:rPr>
        <w:t>a</w:t>
      </w:r>
      <w:r>
        <w:rPr>
          <w:rFonts w:cs="Arial"/>
        </w:rPr>
        <w:t>ren Anteils eine Verwertung unter wirtschaftlichen und ökol</w:t>
      </w:r>
      <w:r>
        <w:rPr>
          <w:rFonts w:cs="Arial"/>
        </w:rPr>
        <w:t>ogischen Gesichtspunkten nicht rechtfert</w:t>
      </w:r>
      <w:r>
        <w:rPr>
          <w:rFonts w:cs="Arial"/>
        </w:rPr>
        <w:t>i</w:t>
      </w:r>
      <w:r>
        <w:rPr>
          <w:rFonts w:cs="Arial"/>
        </w:rPr>
        <w:t>gen.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i/>
          <w:iCs/>
        </w:rPr>
        <w:t>Die nationalen Maßnahmen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14. Anfang 1998 übermittelte die J. Lamesch Exploitation SA mit Sitz in Bettemburg (Luxemburg) der z</w:t>
      </w:r>
      <w:r>
        <w:rPr>
          <w:rFonts w:cs="Arial"/>
        </w:rPr>
        <w:t>u</w:t>
      </w:r>
      <w:r>
        <w:rPr>
          <w:rFonts w:cs="Arial"/>
        </w:rPr>
        <w:t>stä</w:t>
      </w:r>
      <w:r>
        <w:rPr>
          <w:rFonts w:cs="Arial"/>
        </w:rPr>
        <w:t>n</w:t>
      </w:r>
      <w:r>
        <w:rPr>
          <w:rFonts w:cs="Arial"/>
        </w:rPr>
        <w:t>d</w:t>
      </w:r>
      <w:r>
        <w:rPr>
          <w:rFonts w:cs="Arial"/>
        </w:rPr>
        <w:t>i</w:t>
      </w:r>
      <w:r>
        <w:rPr>
          <w:rFonts w:cs="Arial"/>
        </w:rPr>
        <w:t>gen luxemburgischen Behörde zwei Notifizierungen zwecks Genehmigung der Verbri</w:t>
      </w:r>
      <w:r>
        <w:rPr>
          <w:rFonts w:cs="Arial"/>
        </w:rPr>
        <w:t>ngung von Hausmüll und ähnlichen Abfällen des Anhangs III der Verordnung nach Frankreich. Diese von zwei in L</w:t>
      </w:r>
      <w:r>
        <w:rPr>
          <w:rFonts w:cs="Arial"/>
        </w:rPr>
        <w:t>u</w:t>
      </w:r>
      <w:r>
        <w:rPr>
          <w:rFonts w:cs="Arial"/>
        </w:rPr>
        <w:t>xemburg a</w:t>
      </w:r>
      <w:r>
        <w:rPr>
          <w:rFonts w:cs="Arial"/>
        </w:rPr>
        <w:t>n</w:t>
      </w:r>
      <w:r>
        <w:rPr>
          <w:rFonts w:cs="Arial"/>
        </w:rPr>
        <w:t>sässigen Abfallerzeugern stammenden Abfälle sollten laut den Notifizierungen durch Verbre</w:t>
      </w:r>
      <w:r>
        <w:rPr>
          <w:rFonts w:cs="Arial"/>
        </w:rPr>
        <w:t>n</w:t>
      </w:r>
      <w:r>
        <w:rPr>
          <w:rFonts w:cs="Arial"/>
        </w:rPr>
        <w:t>nung mit Ene</w:t>
      </w:r>
      <w:r>
        <w:rPr>
          <w:rFonts w:cs="Arial"/>
        </w:rPr>
        <w:t>r</w:t>
      </w:r>
      <w:r>
        <w:rPr>
          <w:rFonts w:cs="Arial"/>
        </w:rPr>
        <w:t>gierückgewinnung in der Verbrennu</w:t>
      </w:r>
      <w:r>
        <w:rPr>
          <w:rFonts w:cs="Arial"/>
        </w:rPr>
        <w:t>ngsanlage der Stadt Straßburg verwertet werden. Ein u</w:t>
      </w:r>
      <w:r>
        <w:rPr>
          <w:rFonts w:cs="Arial"/>
        </w:rPr>
        <w:t>n</w:t>
      </w:r>
      <w:r>
        <w:rPr>
          <w:rFonts w:cs="Arial"/>
        </w:rPr>
        <w:t>ter der Bezeic</w:t>
      </w:r>
      <w:r>
        <w:rPr>
          <w:rFonts w:cs="Arial"/>
        </w:rPr>
        <w:t>h</w:t>
      </w:r>
      <w:r>
        <w:rPr>
          <w:rFonts w:cs="Arial"/>
        </w:rPr>
        <w:t>nung Négoce de tous matériaux réutilisables (Handel mit allen wiederverwertbaren Sto</w:t>
      </w:r>
      <w:r>
        <w:rPr>
          <w:rFonts w:cs="Arial"/>
        </w:rPr>
        <w:t>f</w:t>
      </w:r>
      <w:r>
        <w:rPr>
          <w:rFonts w:cs="Arial"/>
        </w:rPr>
        <w:t>fen) tätiges Unte</w:t>
      </w:r>
      <w:r>
        <w:rPr>
          <w:rFonts w:cs="Arial"/>
        </w:rPr>
        <w:t>r</w:t>
      </w:r>
      <w:r>
        <w:rPr>
          <w:rFonts w:cs="Arial"/>
        </w:rPr>
        <w:t>nehmen (im Folgenden: NTMR) mit Sitz in Metz (Fran</w:t>
      </w:r>
      <w:r>
        <w:rPr>
          <w:rFonts w:cs="Arial"/>
        </w:rPr>
        <w:t>k</w:t>
      </w:r>
      <w:r>
        <w:rPr>
          <w:rFonts w:cs="Arial"/>
        </w:rPr>
        <w:t xml:space="preserve">reich) sollte beim Transport der </w:t>
      </w:r>
      <w:r>
        <w:rPr>
          <w:rFonts w:cs="Arial"/>
        </w:rPr>
        <w:t>fragl</w:t>
      </w:r>
      <w:r>
        <w:rPr>
          <w:rFonts w:cs="Arial"/>
        </w:rPr>
        <w:t>i</w:t>
      </w:r>
      <w:r>
        <w:rPr>
          <w:rFonts w:cs="Arial"/>
        </w:rPr>
        <w:t>chen Abfälle die Rolle des Befrachters übernehmen.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15. Mit zwei Entscheidungen vom 1. Oktober 1998 (im Folgenden: streitige Entscheidungen) nahm die z</w:t>
      </w:r>
      <w:r>
        <w:rPr>
          <w:rFonts w:cs="Arial"/>
        </w:rPr>
        <w:t>u</w:t>
      </w:r>
      <w:r>
        <w:rPr>
          <w:rFonts w:cs="Arial"/>
        </w:rPr>
        <w:t>ständige luxemburgische Behörde von Amts wegen eine Neueinstufung der notifizierten Verbri</w:t>
      </w:r>
      <w:r>
        <w:rPr>
          <w:rFonts w:cs="Arial"/>
        </w:rPr>
        <w:t>n</w:t>
      </w:r>
      <w:r>
        <w:rPr>
          <w:rFonts w:cs="Arial"/>
        </w:rPr>
        <w:t>gungen a</w:t>
      </w:r>
      <w:r>
        <w:rPr>
          <w:rFonts w:cs="Arial"/>
        </w:rPr>
        <w:t>ls Verbringungen von zur Beseitigung bestimmten Abfällen vor. Sie wies darauf hin, dass solche Verbringu</w:t>
      </w:r>
      <w:r>
        <w:rPr>
          <w:rFonts w:cs="Arial"/>
        </w:rPr>
        <w:t>n</w:t>
      </w:r>
      <w:r>
        <w:rPr>
          <w:rFonts w:cs="Arial"/>
        </w:rPr>
        <w:t>gen nur möglich seien, wenn nachgewiesen wird, dass die zu befördernden Abfälle aus technischen Grü</w:t>
      </w:r>
      <w:r>
        <w:rPr>
          <w:rFonts w:cs="Arial"/>
        </w:rPr>
        <w:t>n</w:t>
      </w:r>
      <w:r>
        <w:rPr>
          <w:rFonts w:cs="Arial"/>
        </w:rPr>
        <w:t>den oder wegen unzureichender Kapazität nicht in ei</w:t>
      </w:r>
      <w:r>
        <w:rPr>
          <w:rFonts w:cs="Arial"/>
        </w:rPr>
        <w:t>ner Beseitigungsanlage in Luxemburg behandelt we</w:t>
      </w:r>
      <w:r>
        <w:rPr>
          <w:rFonts w:cs="Arial"/>
        </w:rPr>
        <w:t>r</w:t>
      </w:r>
      <w:r>
        <w:rPr>
          <w:rFonts w:cs="Arial"/>
        </w:rPr>
        <w:t>den können.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16. Die zuständige luxemburgische Behörde begründete die von Amts wegen vorgenommene Neueinst</w:t>
      </w:r>
      <w:r>
        <w:rPr>
          <w:rFonts w:cs="Arial"/>
        </w:rPr>
        <w:t>u</w:t>
      </w:r>
      <w:r>
        <w:rPr>
          <w:rFonts w:cs="Arial"/>
        </w:rPr>
        <w:t>fung damit, dass die Abfallverbrennung in einer Anlage, die in erster Linie der thermischen Behandlun</w:t>
      </w:r>
      <w:r>
        <w:rPr>
          <w:rFonts w:cs="Arial"/>
        </w:rPr>
        <w:t>g zur Min</w:t>
      </w:r>
      <w:r>
        <w:rPr>
          <w:rFonts w:cs="Arial"/>
        </w:rPr>
        <w:t>e</w:t>
      </w:r>
      <w:r>
        <w:rPr>
          <w:rFonts w:cs="Arial"/>
        </w:rPr>
        <w:t>ralisierung der Abfälle diene, in Luxemburg unabhängig davon als Beseitigung</w:t>
      </w:r>
      <w:r>
        <w:rPr>
          <w:rFonts w:cs="Arial"/>
        </w:rPr>
        <w:t>s</w:t>
      </w:r>
      <w:r>
        <w:rPr>
          <w:rFonts w:cs="Arial"/>
        </w:rPr>
        <w:t>verfahren im Sinne von D 10 des Anhangs II A der Richtlinie 75/442/EWG in der geänderten Fassung betrachtet werde, ob die e</w:t>
      </w:r>
      <w:r>
        <w:rPr>
          <w:rFonts w:cs="Arial"/>
        </w:rPr>
        <w:t>r</w:t>
      </w:r>
      <w:r>
        <w:rPr>
          <w:rFonts w:cs="Arial"/>
        </w:rPr>
        <w:t>zeugte Wärme zurückgewonnen werde oder nicht.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Vorverfahren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17. Aufgrund einer Beschwerde der NTMR forderte die Kommission das Großherzogtum Luxemburg mit Mahnschreiben vom 22. Oktober 1999 auf, sich binnen zwei Monaten zu dem Vorwurf zu äußern, Luxe</w:t>
      </w:r>
      <w:r>
        <w:rPr>
          <w:rFonts w:cs="Arial"/>
        </w:rPr>
        <w:t>m</w:t>
      </w:r>
      <w:r>
        <w:rPr>
          <w:rFonts w:cs="Arial"/>
        </w:rPr>
        <w:t>burg habe gegen die Verordnung und die Richtlinie v</w:t>
      </w:r>
      <w:r>
        <w:rPr>
          <w:rFonts w:cs="Arial"/>
        </w:rPr>
        <w:t>erstoßen, indem es sich geweigert habe, die Verbre</w:t>
      </w:r>
      <w:r>
        <w:rPr>
          <w:rFonts w:cs="Arial"/>
        </w:rPr>
        <w:t>n</w:t>
      </w:r>
      <w:r>
        <w:rPr>
          <w:rFonts w:cs="Arial"/>
        </w:rPr>
        <w:t>nung von Abfällen in einer nicht industriellen Verbrennungsanlage als Verwertung zu qualifizieren, auch wenn die e</w:t>
      </w:r>
      <w:r>
        <w:rPr>
          <w:rFonts w:cs="Arial"/>
        </w:rPr>
        <w:t>r</w:t>
      </w:r>
      <w:r>
        <w:rPr>
          <w:rFonts w:cs="Arial"/>
        </w:rPr>
        <w:t>zeugte Energie ganz oder teilweise zurückgewonnen werde.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18. Das Großherzogtum Luxemburg l</w:t>
      </w:r>
      <w:r>
        <w:rPr>
          <w:rFonts w:cs="Arial"/>
        </w:rPr>
        <w:t>ieß dieses Mahnschreiben unbeantwortet. Daher richtete die Kommi</w:t>
      </w:r>
      <w:r>
        <w:rPr>
          <w:rFonts w:cs="Arial"/>
        </w:rPr>
        <w:t>s</w:t>
      </w:r>
      <w:r>
        <w:rPr>
          <w:rFonts w:cs="Arial"/>
        </w:rPr>
        <w:t>sion mit Schreiben vom 4. April 2000 eine mit Gründen versehene Stellungnahme an das Gro</w:t>
      </w:r>
      <w:r>
        <w:rPr>
          <w:rFonts w:cs="Arial"/>
        </w:rPr>
        <w:t>ß</w:t>
      </w:r>
      <w:r>
        <w:rPr>
          <w:rFonts w:cs="Arial"/>
        </w:rPr>
        <w:t xml:space="preserve">herzogtum, in der sie die Ansicht vertrat, dass es gegen seine Verpflichtungen aus den Artikeln 6 und </w:t>
      </w:r>
      <w:r>
        <w:rPr>
          <w:rFonts w:cs="Arial"/>
        </w:rPr>
        <w:t>7 der Verordnung, aus Artikel 1 Buchstabe f und aus R 1 des Anhangs II B der Richtlinie sowie, soweit erforderlich, aus Art</w:t>
      </w:r>
      <w:r>
        <w:rPr>
          <w:rFonts w:cs="Arial"/>
        </w:rPr>
        <w:t>i</w:t>
      </w:r>
      <w:r>
        <w:rPr>
          <w:rFonts w:cs="Arial"/>
        </w:rPr>
        <w:t>kel 34 EG-Vertrag (nach Änderung jetzt Artikel 29 EG) verstoßen habe. In demselben Schreiben forderte die Kommission das Großherzogt</w:t>
      </w:r>
      <w:r>
        <w:rPr>
          <w:rFonts w:cs="Arial"/>
        </w:rPr>
        <w:t>um Luxemburg auf, alle erforderl</w:t>
      </w:r>
      <w:r>
        <w:rPr>
          <w:rFonts w:cs="Arial"/>
        </w:rPr>
        <w:t>i</w:t>
      </w:r>
      <w:r>
        <w:rPr>
          <w:rFonts w:cs="Arial"/>
        </w:rPr>
        <w:t>chen Maßnahmen zu treffen, um der mit Gründen versehenen Stellungnahme binnen zwei Monaten nach deren Zustellung nachzukommen.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19. In einem Schreiben vom 28. April 2000 machte das Großherzogtum Luxemburg geltend, dass ein V</w:t>
      </w:r>
      <w:r>
        <w:rPr>
          <w:rFonts w:cs="Arial"/>
        </w:rPr>
        <w:t>e</w:t>
      </w:r>
      <w:r>
        <w:rPr>
          <w:rFonts w:cs="Arial"/>
        </w:rPr>
        <w:t>r</w:t>
      </w:r>
      <w:r>
        <w:rPr>
          <w:rFonts w:cs="Arial"/>
        </w:rPr>
        <w:t>fa</w:t>
      </w:r>
      <w:r>
        <w:rPr>
          <w:rFonts w:cs="Arial"/>
        </w:rPr>
        <w:t>h</w:t>
      </w:r>
      <w:r>
        <w:rPr>
          <w:rFonts w:cs="Arial"/>
        </w:rPr>
        <w:t>ren zur Behandlung von Abfällen auch dann als Verfahren im Sinne von D 10 des Anhangs II A der Rich</w:t>
      </w:r>
      <w:r>
        <w:rPr>
          <w:rFonts w:cs="Arial"/>
        </w:rPr>
        <w:t>t</w:t>
      </w:r>
      <w:r>
        <w:rPr>
          <w:rFonts w:cs="Arial"/>
        </w:rPr>
        <w:t>linie qualifiziert werden könne, wenn es die Rückgewinnung von Energie ermögliche, und dass im Ü</w:t>
      </w:r>
      <w:r>
        <w:rPr>
          <w:rFonts w:cs="Arial"/>
        </w:rPr>
        <w:t>b</w:t>
      </w:r>
      <w:r>
        <w:rPr>
          <w:rFonts w:cs="Arial"/>
        </w:rPr>
        <w:t>rigen L</w:t>
      </w:r>
      <w:r>
        <w:rPr>
          <w:rFonts w:cs="Arial"/>
        </w:rPr>
        <w:t>u</w:t>
      </w:r>
      <w:r>
        <w:rPr>
          <w:rFonts w:cs="Arial"/>
        </w:rPr>
        <w:t>xemburg die Neueinstufung der fraglichen Vorgä</w:t>
      </w:r>
      <w:r>
        <w:rPr>
          <w:rFonts w:cs="Arial"/>
        </w:rPr>
        <w:t>nge in Abstimmung mit den französischen Behö</w:t>
      </w:r>
      <w:r>
        <w:rPr>
          <w:rFonts w:cs="Arial"/>
        </w:rPr>
        <w:t>r</w:t>
      </w:r>
      <w:r>
        <w:rPr>
          <w:rFonts w:cs="Arial"/>
        </w:rPr>
        <w:t>den am Bestimmungsort vorgenommen habe.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20. Die Kommission hat daraufhin die vorliegende Klage erhoben.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Begründetheit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21. Vorab ist festzustellen, dass alle zuständigen Behörden, denen eine beabsichtigte Abfallv</w:t>
      </w:r>
      <w:r>
        <w:rPr>
          <w:rFonts w:cs="Arial"/>
        </w:rPr>
        <w:t>erbringung not</w:t>
      </w:r>
      <w:r>
        <w:rPr>
          <w:rFonts w:cs="Arial"/>
        </w:rPr>
        <w:t>i</w:t>
      </w:r>
      <w:r>
        <w:rPr>
          <w:rFonts w:cs="Arial"/>
        </w:rPr>
        <w:t>fiziert wird, nach der Regelung der Verordnung prüfen müssen, ob die von der notifizierenden Person vorg</w:t>
      </w:r>
      <w:r>
        <w:rPr>
          <w:rFonts w:cs="Arial"/>
        </w:rPr>
        <w:t>e</w:t>
      </w:r>
      <w:r>
        <w:rPr>
          <w:rFonts w:cs="Arial"/>
        </w:rPr>
        <w:t>nommene Zuordnung der Verordnung entspricht, und Einwände gegen die Verbringung erheben mü</w:t>
      </w:r>
      <w:r>
        <w:rPr>
          <w:rFonts w:cs="Arial"/>
        </w:rPr>
        <w:t>s</w:t>
      </w:r>
      <w:r>
        <w:rPr>
          <w:rFonts w:cs="Arial"/>
        </w:rPr>
        <w:lastRenderedPageBreak/>
        <w:t xml:space="preserve">sen, wenn diese Zuordnung falsch ist (Urteil </w:t>
      </w:r>
      <w:r>
        <w:rPr>
          <w:rFonts w:cs="Arial"/>
        </w:rPr>
        <w:t>vom 27. Februar 2002 in der Rechtssache C-6/00, ASA, Slg. 2002, I</w:t>
      </w:r>
      <w:r>
        <w:rPr>
          <w:rFonts w:cs="Arial"/>
        </w:rPr>
        <w:noBreakHyphen/>
        <w:t>1961, Randnr. 40).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22. Wenn der Verbringungszweck ihrer Auffassung nach in der Notifizierung falsch eingestuft wurde, muss die am Versandort zuständige Behörde ihren Einwand gegen die Verbri</w:t>
      </w:r>
      <w:r>
        <w:rPr>
          <w:rFonts w:cs="Arial"/>
        </w:rPr>
        <w:t>ngung auf diese unzutreffende Z</w:t>
      </w:r>
      <w:r>
        <w:rPr>
          <w:rFonts w:cs="Arial"/>
        </w:rPr>
        <w:t>u</w:t>
      </w:r>
      <w:r>
        <w:rPr>
          <w:rFonts w:cs="Arial"/>
        </w:rPr>
        <w:t>ordnung stützen, ohne auf eine der speziellen Vorschriften der Verordnung Bezug zu nehmen, die festlegen, welche Einwände die Mitgliedstaaten gegen die Verbringung von Abfällen e</w:t>
      </w:r>
      <w:r>
        <w:rPr>
          <w:rFonts w:cs="Arial"/>
        </w:rPr>
        <w:t>r</w:t>
      </w:r>
      <w:r>
        <w:rPr>
          <w:rFonts w:cs="Arial"/>
        </w:rPr>
        <w:t>heben können (Urteil ASA, Randnr. 47). Dagege</w:t>
      </w:r>
      <w:r>
        <w:rPr>
          <w:rFonts w:cs="Arial"/>
        </w:rPr>
        <w:t>n ist es nicht Sache einer zuständigen Behörde, von Amts wegen den Zweck einer A</w:t>
      </w:r>
      <w:r>
        <w:rPr>
          <w:rFonts w:cs="Arial"/>
        </w:rPr>
        <w:t>b</w:t>
      </w:r>
      <w:r>
        <w:rPr>
          <w:rFonts w:cs="Arial"/>
        </w:rPr>
        <w:t>fallverbringung neu zuzuordnen (Urteil ASA, Randnr. 48).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23. Artikel 7 Absatz 2 der Verordnung, nach dem die zuständigen Behörden der Mitgliedstaaten einer Ve</w:t>
      </w:r>
      <w:r>
        <w:rPr>
          <w:rFonts w:cs="Arial"/>
        </w:rPr>
        <w:t>r</w:t>
      </w:r>
      <w:r>
        <w:rPr>
          <w:rFonts w:cs="Arial"/>
        </w:rPr>
        <w:t>bri</w:t>
      </w:r>
      <w:r>
        <w:rPr>
          <w:rFonts w:cs="Arial"/>
        </w:rPr>
        <w:t>n</w:t>
      </w:r>
      <w:r>
        <w:rPr>
          <w:rFonts w:cs="Arial"/>
        </w:rPr>
        <w:t>gung von zur</w:t>
      </w:r>
      <w:r>
        <w:rPr>
          <w:rFonts w:cs="Arial"/>
        </w:rPr>
        <w:t xml:space="preserve"> Verwertung bestimmten Abfällen nur in den in Absatz 4 dieser Vorschrift abschließend au</w:t>
      </w:r>
      <w:r>
        <w:rPr>
          <w:rFonts w:cs="Arial"/>
        </w:rPr>
        <w:t>f</w:t>
      </w:r>
      <w:r>
        <w:rPr>
          <w:rFonts w:cs="Arial"/>
        </w:rPr>
        <w:t>geführten Fällen entgegentreten können, hindert somit diese Behörden grundsätzlich nicht daran, Ei</w:t>
      </w:r>
      <w:r>
        <w:rPr>
          <w:rFonts w:cs="Arial"/>
        </w:rPr>
        <w:t>n</w:t>
      </w:r>
      <w:r>
        <w:rPr>
          <w:rFonts w:cs="Arial"/>
        </w:rPr>
        <w:t>wände gegen eine bestimmte Verbringung mit der Begründung zu erheben</w:t>
      </w:r>
      <w:r>
        <w:rPr>
          <w:rFonts w:cs="Arial"/>
        </w:rPr>
        <w:t>, dass sie in Wirklichkeit zur B</w:t>
      </w:r>
      <w:r>
        <w:rPr>
          <w:rFonts w:cs="Arial"/>
        </w:rPr>
        <w:t>e</w:t>
      </w:r>
      <w:r>
        <w:rPr>
          <w:rFonts w:cs="Arial"/>
        </w:rPr>
        <w:t>seitigung bestimmte Abfälle betreffe.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24. Ein solcher Einwand steht jedoch nur dann mit Artikel 7 Absätze 2 und 4 der Verordnung in Einklang, wenn er auf der Anwendung von Kriterien zur Abgrenzung von Abfallbeseitigung und </w:t>
      </w:r>
      <w:r>
        <w:rPr>
          <w:rFonts w:cs="Arial"/>
        </w:rPr>
        <w:t>Abfallverwertung b</w:t>
      </w:r>
      <w:r>
        <w:rPr>
          <w:rFonts w:cs="Arial"/>
        </w:rPr>
        <w:t>e</w:t>
      </w:r>
      <w:r>
        <w:rPr>
          <w:rFonts w:cs="Arial"/>
        </w:rPr>
        <w:t>ruht, die den Kriterien entsprechen, die in denjenigen Bestimmungen der Verordnung festg</w:t>
      </w:r>
      <w:r>
        <w:rPr>
          <w:rFonts w:cs="Arial"/>
        </w:rPr>
        <w:t>e</w:t>
      </w:r>
      <w:r>
        <w:rPr>
          <w:rFonts w:cs="Arial"/>
        </w:rPr>
        <w:t>legt sind, auf die Artikel 2 Buchstaben i und k der Verordnung für die Definition dieser Begriffe ve</w:t>
      </w:r>
      <w:r>
        <w:rPr>
          <w:rFonts w:cs="Arial"/>
        </w:rPr>
        <w:t>r</w:t>
      </w:r>
      <w:r>
        <w:rPr>
          <w:rFonts w:cs="Arial"/>
        </w:rPr>
        <w:t>weist.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25. Die luxemburgischen Behörden haben m</w:t>
      </w:r>
      <w:r>
        <w:rPr>
          <w:rFonts w:cs="Arial"/>
        </w:rPr>
        <w:t>it den streitigen Entscheidungen von Amts wegen eine Neuei</w:t>
      </w:r>
      <w:r>
        <w:rPr>
          <w:rFonts w:cs="Arial"/>
        </w:rPr>
        <w:t>n</w:t>
      </w:r>
      <w:r>
        <w:rPr>
          <w:rFonts w:cs="Arial"/>
        </w:rPr>
        <w:t>stufung der notifizierten Verbringungen als Verbringungen von zur Beseitigung bestimmten Abfällen vorg</w:t>
      </w:r>
      <w:r>
        <w:rPr>
          <w:rFonts w:cs="Arial"/>
        </w:rPr>
        <w:t>e</w:t>
      </w:r>
      <w:r>
        <w:rPr>
          <w:rFonts w:cs="Arial"/>
        </w:rPr>
        <w:t>nommen und Einwände gegen deren Durchführung erhoben. Diese Entscheidungen sind dahin zu verst</w:t>
      </w:r>
      <w:r>
        <w:rPr>
          <w:rFonts w:cs="Arial"/>
        </w:rPr>
        <w:t>e</w:t>
      </w:r>
      <w:r>
        <w:rPr>
          <w:rFonts w:cs="Arial"/>
        </w:rPr>
        <w:t>hen, dass damit ein Einwand gegen die falsche Einstufung in den Notifikationen der fraglichen Verbringu</w:t>
      </w:r>
      <w:r>
        <w:rPr>
          <w:rFonts w:cs="Arial"/>
        </w:rPr>
        <w:t>n</w:t>
      </w:r>
      <w:r>
        <w:rPr>
          <w:rFonts w:cs="Arial"/>
        </w:rPr>
        <w:t>gen erhoben werden sollte.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26. Ob das Großherzogtum Luxemburg durch die streitigen Entscheidungen gegen seine Verpflichtu</w:t>
      </w:r>
      <w:r>
        <w:rPr>
          <w:rFonts w:cs="Arial"/>
        </w:rPr>
        <w:t>n</w:t>
      </w:r>
      <w:r>
        <w:rPr>
          <w:rFonts w:cs="Arial"/>
        </w:rPr>
        <w:t>gen aus Artikel 7 Absätze 2 u</w:t>
      </w:r>
      <w:r>
        <w:rPr>
          <w:rFonts w:cs="Arial"/>
        </w:rPr>
        <w:t>nd 4 der Verordnung verstoßen hat, richtet sich also danach, ob der in diesen En</w:t>
      </w:r>
      <w:r>
        <w:rPr>
          <w:rFonts w:cs="Arial"/>
        </w:rPr>
        <w:t>t</w:t>
      </w:r>
      <w:r>
        <w:rPr>
          <w:rFonts w:cs="Arial"/>
        </w:rPr>
        <w:t>scheidungen erhobene Einwand mit der Abgrenzung von Beseitigungsverfahren und Ve</w:t>
      </w:r>
      <w:r>
        <w:rPr>
          <w:rFonts w:cs="Arial"/>
        </w:rPr>
        <w:t>r</w:t>
      </w:r>
      <w:r>
        <w:rPr>
          <w:rFonts w:cs="Arial"/>
        </w:rPr>
        <w:t>wertungsverfahren in den Anhängen II A und II B der Richtlinie in Einklang steht.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27. Die Komm</w:t>
      </w:r>
      <w:r>
        <w:rPr>
          <w:rFonts w:cs="Arial"/>
        </w:rPr>
        <w:t>ission vertritt die Ansicht, dass die Verbringungen, gegen die in den streitigen Entscheidu</w:t>
      </w:r>
      <w:r>
        <w:rPr>
          <w:rFonts w:cs="Arial"/>
        </w:rPr>
        <w:t>n</w:t>
      </w:r>
      <w:r>
        <w:rPr>
          <w:rFonts w:cs="Arial"/>
        </w:rPr>
        <w:t>gen Einwände erhoben würden, Abfälle beträfen, die als Mittel der Energieerzeugung hätten ve</w:t>
      </w:r>
      <w:r>
        <w:rPr>
          <w:rFonts w:cs="Arial"/>
        </w:rPr>
        <w:t>r</w:t>
      </w:r>
      <w:r>
        <w:rPr>
          <w:rFonts w:cs="Arial"/>
        </w:rPr>
        <w:t>wendet werden sollen; eine solche Verwendung stelle ein Verwertungsverf</w:t>
      </w:r>
      <w:r>
        <w:rPr>
          <w:rFonts w:cs="Arial"/>
        </w:rPr>
        <w:t>ahren im Sinne von R 1 des Anhangs II B der Richtlinie dar.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28. Es sei davon auszugehen, dass die Abfälle als Mittel der Energieerzeugung verwendet würden, wenn das Verfahren einen Überschuss an Energie erzeuge und ein wesentlicher Teil der in den zu verbr</w:t>
      </w:r>
      <w:r>
        <w:rPr>
          <w:rFonts w:cs="Arial"/>
        </w:rPr>
        <w:t>ennenden A</w:t>
      </w:r>
      <w:r>
        <w:rPr>
          <w:rFonts w:cs="Arial"/>
        </w:rPr>
        <w:t>b</w:t>
      </w:r>
      <w:r>
        <w:rPr>
          <w:rFonts w:cs="Arial"/>
        </w:rPr>
        <w:t>fällen enthaltenen Energie zurückgewonnen werde.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29. Die luxemburgische Regierung macht geltend, dass die Verbrennung der in Rede stehenden Abfälle mit </w:t>
      </w:r>
      <w:r>
        <w:rPr>
          <w:rFonts w:cs="Arial"/>
        </w:rPr>
        <w:t>E</w:t>
      </w:r>
      <w:r>
        <w:rPr>
          <w:rFonts w:cs="Arial"/>
        </w:rPr>
        <w:t>nergierückgewinnung in der Verbrennungsanlage der Stadt Straßburg kein Verwertungsverfa</w:t>
      </w:r>
      <w:r>
        <w:rPr>
          <w:rFonts w:cs="Arial"/>
        </w:rPr>
        <w:t>h</w:t>
      </w:r>
      <w:r>
        <w:rPr>
          <w:rFonts w:cs="Arial"/>
        </w:rPr>
        <w:t xml:space="preserve">ren </w:t>
      </w:r>
      <w:r>
        <w:rPr>
          <w:rFonts w:cs="Arial"/>
        </w:rPr>
        <w:t>im Sinne von R 1 des Anhangs II B der Richtlinie darstelle. Die Vorschrift beziehe sich nämlich nur auf solche Verfa</w:t>
      </w:r>
      <w:r>
        <w:rPr>
          <w:rFonts w:cs="Arial"/>
        </w:rPr>
        <w:t>h</w:t>
      </w:r>
      <w:r>
        <w:rPr>
          <w:rFonts w:cs="Arial"/>
        </w:rPr>
        <w:t>ren, die es nicht nur ermöglichten, einen Energieüberschuss zu erzeugen und zu nutzen, sondern die nach dem Zweck der Abfallbehandlungsanla</w:t>
      </w:r>
      <w:r>
        <w:rPr>
          <w:rFonts w:cs="Arial"/>
        </w:rPr>
        <w:t>ge auch dazu dienten, die Abfälle als Brennstoff oder andere Mittel der Energieerzeugung zu verwenden. Dies ergebe sich aus der Verwendung des Ausdrucks Hauptverwe</w:t>
      </w:r>
      <w:r>
        <w:rPr>
          <w:rFonts w:cs="Arial"/>
        </w:rPr>
        <w:t>n</w:t>
      </w:r>
      <w:r>
        <w:rPr>
          <w:rFonts w:cs="Arial"/>
        </w:rPr>
        <w:t>dung in dieser Vorschrift.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30. Die luxemburgische Regierung ist daher der Meinung, dass in d</w:t>
      </w:r>
      <w:r>
        <w:rPr>
          <w:rFonts w:cs="Arial"/>
        </w:rPr>
        <w:t>en streitigen Entscheidungen zu Recht die Ansicht vertreten worden ist, dass die in Rede stehenden Abfallverbringungen Abfälle b</w:t>
      </w:r>
      <w:r>
        <w:rPr>
          <w:rFonts w:cs="Arial"/>
        </w:rPr>
        <w:t>e</w:t>
      </w:r>
      <w:r>
        <w:rPr>
          <w:rFonts w:cs="Arial"/>
        </w:rPr>
        <w:t>troffen hätten, die in Wirklichkeit dazu bestimmt gewesen seien, Gegenstand des Beseitigungsve</w:t>
      </w:r>
      <w:r>
        <w:rPr>
          <w:rFonts w:cs="Arial"/>
        </w:rPr>
        <w:t>r</w:t>
      </w:r>
      <w:r>
        <w:rPr>
          <w:rFonts w:cs="Arial"/>
        </w:rPr>
        <w:t>fahrens im Sinne von D 10 des An</w:t>
      </w:r>
      <w:r>
        <w:rPr>
          <w:rFonts w:cs="Arial"/>
        </w:rPr>
        <w:t>hangs II A der Richtlinie zu sein.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31. Hierzu ist zu sagen, dass die Hauptverwendung als Brennstoff oder andere Mittel der Energieerze</w:t>
      </w:r>
      <w:r>
        <w:rPr>
          <w:rFonts w:cs="Arial"/>
        </w:rPr>
        <w:t>u</w:t>
      </w:r>
      <w:r>
        <w:rPr>
          <w:rFonts w:cs="Arial"/>
        </w:rPr>
        <w:t>gung nach R 1 des Anhangs II B der Richtlinie ein Abfallverwertungsverfahren darstellt.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32. Diese Bestimmung erfasst die </w:t>
      </w:r>
      <w:r>
        <w:rPr>
          <w:rFonts w:cs="Arial"/>
        </w:rPr>
        <w:t>Verbrennung von Hausmüll, wenn - zum einen - Hauptzweck des fragl</w:t>
      </w:r>
      <w:r>
        <w:rPr>
          <w:rFonts w:cs="Arial"/>
        </w:rPr>
        <w:t>i</w:t>
      </w:r>
      <w:r>
        <w:rPr>
          <w:rFonts w:cs="Arial"/>
        </w:rPr>
        <w:t>chen Verfahrens die Verwendung der Abfälle als Mittel der Energieerzeugung ist. Der Begriff der [Haupt]Verwendung in R 1 des Anhangs II B der Richtlinie impliziert nämlich, dass das dort gen</w:t>
      </w:r>
      <w:r>
        <w:rPr>
          <w:rFonts w:cs="Arial"/>
        </w:rPr>
        <w:t>annte Ve</w:t>
      </w:r>
      <w:r>
        <w:rPr>
          <w:rFonts w:cs="Arial"/>
        </w:rPr>
        <w:t>r</w:t>
      </w:r>
      <w:r>
        <w:rPr>
          <w:rFonts w:cs="Arial"/>
        </w:rPr>
        <w:t>fa</w:t>
      </w:r>
      <w:r>
        <w:rPr>
          <w:rFonts w:cs="Arial"/>
        </w:rPr>
        <w:t>h</w:t>
      </w:r>
      <w:r>
        <w:rPr>
          <w:rFonts w:cs="Arial"/>
        </w:rPr>
        <w:t>ren im Wesentlichen dazu dient, die Abfälle für einen sinnvollen Zweck, nämlich die Energieerzeugung, ei</w:t>
      </w:r>
      <w:r>
        <w:rPr>
          <w:rFonts w:cs="Arial"/>
        </w:rPr>
        <w:t>n</w:t>
      </w:r>
      <w:r>
        <w:rPr>
          <w:rFonts w:cs="Arial"/>
        </w:rPr>
        <w:t>zusetzen.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33. Zum anderen fällt die Verbrennung von Hausmüll dann unter das in R 1 des Anhangs II B der Richtlinie g</w:t>
      </w:r>
      <w:r>
        <w:rPr>
          <w:rFonts w:cs="Arial"/>
        </w:rPr>
        <w:t>e</w:t>
      </w:r>
      <w:r>
        <w:rPr>
          <w:rFonts w:cs="Arial"/>
        </w:rPr>
        <w:t>nannte Verfahren, wenn</w:t>
      </w:r>
      <w:r>
        <w:rPr>
          <w:rFonts w:cs="Arial"/>
        </w:rPr>
        <w:t xml:space="preserve"> die Bedingungen, unter denen dieses Verfahren durchzuführen ist, die Annahme zulassen, dass es tatsächlich ein Mittel der Energieerzeugung ist. Das setzt voraus, dass durch die Verbre</w:t>
      </w:r>
      <w:r>
        <w:rPr>
          <w:rFonts w:cs="Arial"/>
        </w:rPr>
        <w:t>n</w:t>
      </w:r>
      <w:r>
        <w:rPr>
          <w:rFonts w:cs="Arial"/>
        </w:rPr>
        <w:t xml:space="preserve">nung der Abfälle mehr Energie erzeugt und zurückgewonnen wird als beim </w:t>
      </w:r>
      <w:r>
        <w:rPr>
          <w:rFonts w:cs="Arial"/>
        </w:rPr>
        <w:t>Verbrennungsvorgang ve</w:t>
      </w:r>
      <w:r>
        <w:rPr>
          <w:rFonts w:cs="Arial"/>
        </w:rPr>
        <w:t>r</w:t>
      </w:r>
      <w:r>
        <w:rPr>
          <w:rFonts w:cs="Arial"/>
        </w:rPr>
        <w:t xml:space="preserve">braucht wird und dass ein Teil des bei dieser Verbrennung gewonnenen Energieüberschusses tatsächlich </w:t>
      </w:r>
      <w:r>
        <w:rPr>
          <w:rFonts w:cs="Arial"/>
        </w:rPr>
        <w:lastRenderedPageBreak/>
        <w:t>genutzt wird, und zwar entweder unmittelbar in Form von Verbre</w:t>
      </w:r>
      <w:r>
        <w:rPr>
          <w:rFonts w:cs="Arial"/>
        </w:rPr>
        <w:t>n</w:t>
      </w:r>
      <w:r>
        <w:rPr>
          <w:rFonts w:cs="Arial"/>
        </w:rPr>
        <w:t>nungswärme oder nach Umwandlung in Form von Elektrizität.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34. Zum dri</w:t>
      </w:r>
      <w:r>
        <w:rPr>
          <w:rFonts w:cs="Arial"/>
        </w:rPr>
        <w:t>tten ergibt sich aus dem Begriff Haupt[verwendung] in R 1 des Anhangs II B der Richtlinie, dass die Abfälle hauptsächlich als Brennstoff oder andere Mittel der Energieerzeugung verwendet werden mü</w:t>
      </w:r>
      <w:r>
        <w:rPr>
          <w:rFonts w:cs="Arial"/>
        </w:rPr>
        <w:t>s</w:t>
      </w:r>
      <w:r>
        <w:rPr>
          <w:rFonts w:cs="Arial"/>
        </w:rPr>
        <w:t>sen. Dies bedeutet, dass der größere Teil der Abfälle bei d</w:t>
      </w:r>
      <w:r>
        <w:rPr>
          <w:rFonts w:cs="Arial"/>
        </w:rPr>
        <w:t>em Vorgang verbraucht und der größere Teil der fre</w:t>
      </w:r>
      <w:r>
        <w:rPr>
          <w:rFonts w:cs="Arial"/>
        </w:rPr>
        <w:t>i</w:t>
      </w:r>
      <w:r>
        <w:rPr>
          <w:rFonts w:cs="Arial"/>
        </w:rPr>
        <w:t>gesetzten Energie zurückgewonnen und genutzt werden muss.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35. Diese Auslegung entspricht dem Verwertungsbegriff der Richtlinie.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36. Entscheidend dafür, dass eine Abfallverwertungsmaßnahme vorliegt, ist nac</w:t>
      </w:r>
      <w:r>
        <w:rPr>
          <w:rFonts w:cs="Arial"/>
        </w:rPr>
        <w:t>h Artikel 3 Absatz 1 Buc</w:t>
      </w:r>
      <w:r>
        <w:rPr>
          <w:rFonts w:cs="Arial"/>
        </w:rPr>
        <w:t>h</w:t>
      </w:r>
      <w:r>
        <w:rPr>
          <w:rFonts w:cs="Arial"/>
        </w:rPr>
        <w:t>st</w:t>
      </w:r>
      <w:r>
        <w:rPr>
          <w:rFonts w:cs="Arial"/>
        </w:rPr>
        <w:t>a</w:t>
      </w:r>
      <w:r>
        <w:rPr>
          <w:rFonts w:cs="Arial"/>
        </w:rPr>
        <w:t>be b der Richtlinie sowie nach ihrer vierten Begründungserwägung nämlich, dass es ihr Hauptzweck ist, die Abfälle für einen sinnvollen Zweck einzusetzen, also andere Materialien zu ersetzen, die sonst für di</w:t>
      </w:r>
      <w:r>
        <w:rPr>
          <w:rFonts w:cs="Arial"/>
        </w:rPr>
        <w:t>e</w:t>
      </w:r>
      <w:r>
        <w:rPr>
          <w:rFonts w:cs="Arial"/>
        </w:rPr>
        <w:t>sen Zweck hätten ein</w:t>
      </w:r>
      <w:r>
        <w:rPr>
          <w:rFonts w:cs="Arial"/>
        </w:rPr>
        <w:t>gesetzt werden müssen, und dadurch natürliche Rohstof</w:t>
      </w:r>
      <w:r>
        <w:rPr>
          <w:rFonts w:cs="Arial"/>
        </w:rPr>
        <w:t>f</w:t>
      </w:r>
      <w:r>
        <w:rPr>
          <w:rFonts w:cs="Arial"/>
        </w:rPr>
        <w:t>quellen zu erhalten (Urteil ASA, Randnr. 69).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37. Die Verbrennung von Abfällen stellt daher eine Verwertungsmaßnahme dar, wenn es ihr Hauptzweck ist, die Abfälle für einen sinnvollen Zweck, nämlich zur </w:t>
      </w:r>
      <w:r>
        <w:rPr>
          <w:rFonts w:cs="Arial"/>
        </w:rPr>
        <w:t>Energieerzeugung einzusetzen und dadurch eine Pr</w:t>
      </w:r>
      <w:r>
        <w:rPr>
          <w:rFonts w:cs="Arial"/>
        </w:rPr>
        <w:t>i</w:t>
      </w:r>
      <w:r>
        <w:rPr>
          <w:rFonts w:cs="Arial"/>
        </w:rPr>
        <w:t>mä</w:t>
      </w:r>
      <w:r>
        <w:rPr>
          <w:rFonts w:cs="Arial"/>
        </w:rPr>
        <w:t>r</w:t>
      </w:r>
      <w:r>
        <w:rPr>
          <w:rFonts w:cs="Arial"/>
        </w:rPr>
        <w:t>energiequelle zu ersetzen, die sonst für diesen Zweck hätte eingesetzt werden müssen.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38. Bei Anwendung dieser Kriterien ist im vorliegenden Fall festzustellen, dass die Kommission nicht nac</w:t>
      </w:r>
      <w:r>
        <w:rPr>
          <w:rFonts w:cs="Arial"/>
        </w:rPr>
        <w:t>h</w:t>
      </w:r>
      <w:r>
        <w:rPr>
          <w:rFonts w:cs="Arial"/>
        </w:rPr>
        <w:t>gewi</w:t>
      </w:r>
      <w:r>
        <w:rPr>
          <w:rFonts w:cs="Arial"/>
        </w:rPr>
        <w:t>e</w:t>
      </w:r>
      <w:r>
        <w:rPr>
          <w:rFonts w:cs="Arial"/>
        </w:rPr>
        <w:t>sen hat,</w:t>
      </w:r>
      <w:r>
        <w:rPr>
          <w:rFonts w:cs="Arial"/>
        </w:rPr>
        <w:t xml:space="preserve"> dass der in den streitigen Entscheidungen erhobene Einwand nicht mit der Abgrenzung von Beseit</w:t>
      </w:r>
      <w:r>
        <w:rPr>
          <w:rFonts w:cs="Arial"/>
        </w:rPr>
        <w:t>i</w:t>
      </w:r>
      <w:r>
        <w:rPr>
          <w:rFonts w:cs="Arial"/>
        </w:rPr>
        <w:t>gungsverfahren und Verwertungsverfahren in den Anhängen II A und II B der Richtlinie in Einklang steht.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39. Die zuständigen luxemburgischen Behörden haben es in</w:t>
      </w:r>
      <w:r>
        <w:rPr>
          <w:rFonts w:cs="Arial"/>
        </w:rPr>
        <w:t xml:space="preserve"> den streitigen Entscheidungen nämlich abg</w:t>
      </w:r>
      <w:r>
        <w:rPr>
          <w:rFonts w:cs="Arial"/>
        </w:rPr>
        <w:t>e</w:t>
      </w:r>
      <w:r>
        <w:rPr>
          <w:rFonts w:cs="Arial"/>
        </w:rPr>
        <w:t>lehnt, die Verbringung der fraglichen Abfälle zu einer Verbrennungsanlage in Frankreich als Verwertung a</w:t>
      </w:r>
      <w:r>
        <w:rPr>
          <w:rFonts w:cs="Arial"/>
        </w:rPr>
        <w:t>n</w:t>
      </w:r>
      <w:r>
        <w:rPr>
          <w:rFonts w:cs="Arial"/>
        </w:rPr>
        <w:t>zusehen, weil der Hauptzweck dieser Anlage in der thermischen Behandlung bestehe, um die Abfälle zu m</w:t>
      </w:r>
      <w:r>
        <w:rPr>
          <w:rFonts w:cs="Arial"/>
        </w:rPr>
        <w:t>i</w:t>
      </w:r>
      <w:r>
        <w:rPr>
          <w:rFonts w:cs="Arial"/>
        </w:rPr>
        <w:t>neral</w:t>
      </w:r>
      <w:r>
        <w:rPr>
          <w:rFonts w:cs="Arial"/>
        </w:rPr>
        <w:t>i</w:t>
      </w:r>
      <w:r>
        <w:rPr>
          <w:rFonts w:cs="Arial"/>
        </w:rPr>
        <w:t>sieren.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40. Dieser Einwand beruht somit auf der Annahme, dass der Hauptzweck des fraglichen Vorgangs die B</w:t>
      </w:r>
      <w:r>
        <w:rPr>
          <w:rFonts w:cs="Arial"/>
        </w:rPr>
        <w:t>e</w:t>
      </w:r>
      <w:r>
        <w:rPr>
          <w:rFonts w:cs="Arial"/>
        </w:rPr>
        <w:t>se</w:t>
      </w:r>
      <w:r>
        <w:rPr>
          <w:rFonts w:cs="Arial"/>
        </w:rPr>
        <w:t>i</w:t>
      </w:r>
      <w:r>
        <w:rPr>
          <w:rFonts w:cs="Arial"/>
        </w:rPr>
        <w:t>tigung der Abfälle ist. Diese Annahme stellt einen angemessenen Grund für einen Einwand d</w:t>
      </w:r>
      <w:r>
        <w:rPr>
          <w:rFonts w:cs="Arial"/>
        </w:rPr>
        <w:t>a</w:t>
      </w:r>
      <w:r>
        <w:rPr>
          <w:rFonts w:cs="Arial"/>
        </w:rPr>
        <w:t>gegen dar, die Verbringung von Abfällen zu dieser Anlage</w:t>
      </w:r>
      <w:r>
        <w:rPr>
          <w:rFonts w:cs="Arial"/>
        </w:rPr>
        <w:t xml:space="preserve"> als Verwertungsmaßnahme einzustufen.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41. Der Hauptzweck der Verbringung von Abfällen zwecks Verbrennung in einer Abfallbeseitigungsanlage besteht nämlich nicht in der Verwertung der Abfälle, selbst wenn die Wärme, die bei der Verbrennung e</w:t>
      </w:r>
      <w:r>
        <w:rPr>
          <w:rFonts w:cs="Arial"/>
        </w:rPr>
        <w:t>r</w:t>
      </w:r>
      <w:r>
        <w:rPr>
          <w:rFonts w:cs="Arial"/>
        </w:rPr>
        <w:t>zeugt wird, gan</w:t>
      </w:r>
      <w:r>
        <w:rPr>
          <w:rFonts w:cs="Arial"/>
        </w:rPr>
        <w:t>z oder teilweise zurückgewonnen wird.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42. Eine solche Energierückgewinnung entspricht zwar dem mit der Richtlinie verfolgten Ziel, die natürl</w:t>
      </w:r>
      <w:r>
        <w:rPr>
          <w:rFonts w:cs="Arial"/>
        </w:rPr>
        <w:t>i</w:t>
      </w:r>
      <w:r>
        <w:rPr>
          <w:rFonts w:cs="Arial"/>
        </w:rPr>
        <w:t>chen Rohstoffquellen zu erhalten.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43. Wenn die Rückgewinnung der durch die Verbrennung erzeugten Wärme jedoch nur </w:t>
      </w:r>
      <w:r>
        <w:rPr>
          <w:rFonts w:cs="Arial"/>
        </w:rPr>
        <w:t>einen Nebene</w:t>
      </w:r>
      <w:r>
        <w:rPr>
          <w:rFonts w:cs="Arial"/>
        </w:rPr>
        <w:t>f</w:t>
      </w:r>
      <w:r>
        <w:rPr>
          <w:rFonts w:cs="Arial"/>
        </w:rPr>
        <w:t>fekt einer Maßnahme darstellt, deren Hauptzweck die Abfallbeseitigung ist, steht sie der Einstufung dieser Ma</w:t>
      </w:r>
      <w:r>
        <w:rPr>
          <w:rFonts w:cs="Arial"/>
        </w:rPr>
        <w:t>ß</w:t>
      </w:r>
      <w:r>
        <w:rPr>
          <w:rFonts w:cs="Arial"/>
        </w:rPr>
        <w:t>nahme als Beseitigungsmaßnahme nicht entgegen.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44. Die Kommission hat in ihrer Klage weder dargetan, dass der Hauptzweck des fraglich</w:t>
      </w:r>
      <w:r>
        <w:rPr>
          <w:rFonts w:cs="Arial"/>
        </w:rPr>
        <w:t>en Vorgangs en</w:t>
      </w:r>
      <w:r>
        <w:rPr>
          <w:rFonts w:cs="Arial"/>
        </w:rPr>
        <w:t>t</w:t>
      </w:r>
      <w:r>
        <w:rPr>
          <w:rFonts w:cs="Arial"/>
        </w:rPr>
        <w:t>gegen der von den zuständigen luxemburgischen Behörden in den streitigen Entscheidungen ve</w:t>
      </w:r>
      <w:r>
        <w:rPr>
          <w:rFonts w:cs="Arial"/>
        </w:rPr>
        <w:t>r</w:t>
      </w:r>
      <w:r>
        <w:rPr>
          <w:rFonts w:cs="Arial"/>
        </w:rPr>
        <w:t>tretenen Ansicht in der Verwertung der Abfälle bestanden hätte, noch einen Anhaltspunkt hierfür geliefert. Ein so</w:t>
      </w:r>
      <w:r>
        <w:rPr>
          <w:rFonts w:cs="Arial"/>
        </w:rPr>
        <w:t>l</w:t>
      </w:r>
      <w:r>
        <w:rPr>
          <w:rFonts w:cs="Arial"/>
        </w:rPr>
        <w:t>cher hätte etwa darin bestehen könne</w:t>
      </w:r>
      <w:r>
        <w:rPr>
          <w:rFonts w:cs="Arial"/>
        </w:rPr>
        <w:t>n, dass die fraglichen Abfälle für eine Anlage bestimmt gewesen w</w:t>
      </w:r>
      <w:r>
        <w:rPr>
          <w:rFonts w:cs="Arial"/>
        </w:rPr>
        <w:t>ä</w:t>
      </w:r>
      <w:r>
        <w:rPr>
          <w:rFonts w:cs="Arial"/>
        </w:rPr>
        <w:t>ren, deren Betrieb ohne die Versorgung mit Abfällen unter Verwendung einer Primärenergiequelle hätte fortg</w:t>
      </w:r>
      <w:r>
        <w:rPr>
          <w:rFonts w:cs="Arial"/>
        </w:rPr>
        <w:t>e</w:t>
      </w:r>
      <w:r>
        <w:rPr>
          <w:rFonts w:cs="Arial"/>
        </w:rPr>
        <w:t>setzt werden müssen, oder darin, dass der Anlagenbetreiber den Erzeuger oder Besitz</w:t>
      </w:r>
      <w:r>
        <w:rPr>
          <w:rFonts w:cs="Arial"/>
        </w:rPr>
        <w:t>er dieser Abfä</w:t>
      </w:r>
      <w:r>
        <w:rPr>
          <w:rFonts w:cs="Arial"/>
        </w:rPr>
        <w:t>l</w:t>
      </w:r>
      <w:r>
        <w:rPr>
          <w:rFonts w:cs="Arial"/>
        </w:rPr>
        <w:t>le für deren Lieferung hätte bezahlen müssen.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45. Die Kommission hat hierzu lediglich geltend gemacht, dass die Verbringungen Abfälle betroffen hä</w:t>
      </w:r>
      <w:r>
        <w:rPr>
          <w:rFonts w:cs="Arial"/>
        </w:rPr>
        <w:t>t</w:t>
      </w:r>
      <w:r>
        <w:rPr>
          <w:rFonts w:cs="Arial"/>
        </w:rPr>
        <w:t>ten, die als Mittel der Energieerzeugung hätten verwendet werden sollen, und dass der Zweck de</w:t>
      </w:r>
      <w:r>
        <w:rPr>
          <w:rFonts w:cs="Arial"/>
        </w:rPr>
        <w:t>r Anlage, zu der diese Abfälle hätten verbracht werden sollen, kein relevantes Kriterium für die Einstufung einer Verbri</w:t>
      </w:r>
      <w:r>
        <w:rPr>
          <w:rFonts w:cs="Arial"/>
        </w:rPr>
        <w:t>n</w:t>
      </w:r>
      <w:r>
        <w:rPr>
          <w:rFonts w:cs="Arial"/>
        </w:rPr>
        <w:t>gung von Abfällen darstelle.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46. Die Klage der Kommission ist folglich unbegründet und somit abzuweisen.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  <w:b/>
          <w:bCs/>
        </w:rPr>
        <w:t>Kosten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 xml:space="preserve">47. Gemäß Artikel 69 § </w:t>
      </w:r>
      <w:r>
        <w:rPr>
          <w:rFonts w:cs="Arial"/>
        </w:rPr>
        <w:t>2 der Verfahrensordnung ist die unterliegende Partei auf Antrag zur Tragung der Kosten zu verurteilen. Da das Großherzogtum Luxemburg beantragt hat, der Kommission die Kosten aufz</w:t>
      </w:r>
      <w:r>
        <w:rPr>
          <w:rFonts w:cs="Arial"/>
        </w:rPr>
        <w:t>u</w:t>
      </w:r>
      <w:r>
        <w:rPr>
          <w:rFonts w:cs="Arial"/>
        </w:rPr>
        <w:t>e</w:t>
      </w:r>
      <w:r>
        <w:rPr>
          <w:rFonts w:cs="Arial"/>
        </w:rPr>
        <w:t>r</w:t>
      </w:r>
      <w:r>
        <w:rPr>
          <w:rFonts w:cs="Arial"/>
        </w:rPr>
        <w:t xml:space="preserve">legen, und diese mit ihrem Vorbringen unterlegen ist, sind ihr die Kosten </w:t>
      </w:r>
      <w:r>
        <w:rPr>
          <w:rFonts w:cs="Arial"/>
        </w:rPr>
        <w:t>aufzuerlegen. Nach Artikel 69 § 4 Absatz 1 der Verfahrensordnung trägt die Republik Österreich, die dem Rechtsstreit als Streithelferin beig</w:t>
      </w:r>
      <w:r>
        <w:rPr>
          <w:rFonts w:cs="Arial"/>
        </w:rPr>
        <w:t>e</w:t>
      </w:r>
      <w:r>
        <w:rPr>
          <w:rFonts w:cs="Arial"/>
        </w:rPr>
        <w:t>treten ist, ihre eigenen Kosten.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Aus diesen Gründen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hat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DER GERICHTSHOF (Fünfte Kammer)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lastRenderedPageBreak/>
        <w:t>für Recht erkannt und entsc</w:t>
      </w:r>
      <w:r>
        <w:rPr>
          <w:rFonts w:cs="Arial"/>
        </w:rPr>
        <w:t>hieden:</w:t>
      </w:r>
    </w:p>
    <w:p w:rsidR="00000000" w:rsidRDefault="001420D0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1. Die Klage wird abgewiesen.</w:t>
      </w:r>
    </w:p>
    <w:p w:rsidR="00000000" w:rsidRDefault="001420D0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2. Die Kommission der Europäischen Gemeinschaften trägt die Kosten des Ve</w:t>
      </w:r>
      <w:r>
        <w:rPr>
          <w:rFonts w:cs="Arial"/>
          <w:b/>
          <w:bCs/>
        </w:rPr>
        <w:t>r</w:t>
      </w:r>
      <w:r>
        <w:rPr>
          <w:rFonts w:cs="Arial"/>
          <w:b/>
          <w:bCs/>
        </w:rPr>
        <w:t>fahrens.</w:t>
      </w:r>
    </w:p>
    <w:p w:rsidR="00000000" w:rsidRDefault="001420D0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3. Die Republik Österreich trägt ihre eigenen Kosten.</w:t>
      </w:r>
    </w:p>
    <w:p w:rsidR="00000000" w:rsidRDefault="001420D0">
      <w:pPr>
        <w:pStyle w:val="GesAbsatz"/>
        <w:rPr>
          <w:rFonts w:cs="Arial"/>
          <w:lang w:val="en-GB"/>
        </w:rPr>
      </w:pPr>
      <w:r>
        <w:rPr>
          <w:rFonts w:cs="Arial"/>
          <w:lang w:val="en-GB"/>
        </w:rPr>
        <w:t>Wathelet</w:t>
      </w:r>
    </w:p>
    <w:p w:rsidR="00000000" w:rsidRDefault="001420D0">
      <w:pPr>
        <w:pStyle w:val="GesAbsatz"/>
        <w:rPr>
          <w:rFonts w:cs="Arial"/>
          <w:lang w:val="en-GB"/>
        </w:rPr>
      </w:pPr>
      <w:r>
        <w:rPr>
          <w:rFonts w:cs="Arial"/>
          <w:lang w:val="en-GB"/>
        </w:rPr>
        <w:t>Timme</w:t>
      </w:r>
      <w:r>
        <w:rPr>
          <w:rFonts w:cs="Arial"/>
          <w:lang w:val="en-GB"/>
        </w:rPr>
        <w:t>r</w:t>
      </w:r>
      <w:r>
        <w:rPr>
          <w:rFonts w:cs="Arial"/>
          <w:lang w:val="en-GB"/>
        </w:rPr>
        <w:t>mans</w:t>
      </w:r>
    </w:p>
    <w:p w:rsidR="00000000" w:rsidRDefault="001420D0">
      <w:pPr>
        <w:pStyle w:val="GesAbsatz"/>
        <w:rPr>
          <w:rFonts w:cs="Arial"/>
          <w:lang w:val="en-GB"/>
        </w:rPr>
      </w:pPr>
      <w:r>
        <w:rPr>
          <w:rFonts w:cs="Arial"/>
          <w:lang w:val="en-GB"/>
        </w:rPr>
        <w:t>Edward</w:t>
      </w:r>
    </w:p>
    <w:p w:rsidR="00000000" w:rsidRDefault="001420D0">
      <w:pPr>
        <w:pStyle w:val="GesAbsatz"/>
        <w:rPr>
          <w:rFonts w:cs="Arial"/>
          <w:lang w:val="en-GB"/>
        </w:rPr>
      </w:pPr>
      <w:r>
        <w:rPr>
          <w:rFonts w:cs="Arial"/>
          <w:lang w:val="en-GB"/>
        </w:rPr>
        <w:t>Jann</w:t>
      </w:r>
    </w:p>
    <w:p w:rsidR="00000000" w:rsidRDefault="001420D0">
      <w:pPr>
        <w:pStyle w:val="GesAbsatz"/>
        <w:rPr>
          <w:rFonts w:cs="Arial"/>
          <w:bCs/>
        </w:rPr>
      </w:pPr>
      <w:r>
        <w:rPr>
          <w:rFonts w:cs="Arial"/>
        </w:rPr>
        <w:t>von Bahr</w:t>
      </w:r>
    </w:p>
    <w:p w:rsidR="00000000" w:rsidRDefault="001420D0">
      <w:pPr>
        <w:pStyle w:val="GesAbsatz"/>
        <w:rPr>
          <w:rFonts w:cs="Arial"/>
        </w:rPr>
      </w:pPr>
      <w:r>
        <w:rPr>
          <w:rFonts w:cs="Arial"/>
        </w:rPr>
        <w:t>Verkündet in öffentlicher Sitzung in Lux</w:t>
      </w:r>
      <w:r>
        <w:rPr>
          <w:rFonts w:cs="Arial"/>
        </w:rPr>
        <w:t>emburg am 13. Februar 2003.</w:t>
      </w:r>
    </w:p>
    <w:p w:rsidR="00000000" w:rsidRDefault="001420D0">
      <w:pPr>
        <w:pStyle w:val="GesAbsatz"/>
        <w:tabs>
          <w:tab w:val="left" w:pos="5670"/>
        </w:tabs>
        <w:rPr>
          <w:rFonts w:cs="Arial"/>
        </w:rPr>
      </w:pPr>
      <w:r>
        <w:rPr>
          <w:rFonts w:cs="Arial"/>
        </w:rPr>
        <w:t>Der Kanzler</w:t>
      </w:r>
      <w:r>
        <w:rPr>
          <w:rFonts w:cs="Arial"/>
        </w:rPr>
        <w:tab/>
        <w:t>Der Präsident der Fünften Kammer</w:t>
      </w:r>
    </w:p>
    <w:p w:rsidR="00000000" w:rsidRDefault="001420D0">
      <w:pPr>
        <w:pStyle w:val="GesAbsatz"/>
        <w:tabs>
          <w:tab w:val="left" w:pos="6804"/>
        </w:tabs>
        <w:rPr>
          <w:rFonts w:cs="Arial"/>
          <w:lang w:val="en-GB"/>
        </w:rPr>
      </w:pPr>
      <w:r>
        <w:rPr>
          <w:rFonts w:cs="Arial"/>
          <w:lang w:val="en-GB"/>
        </w:rPr>
        <w:t>R. Grass</w:t>
      </w:r>
      <w:r>
        <w:rPr>
          <w:rFonts w:cs="Arial"/>
          <w:lang w:val="en-GB"/>
        </w:rPr>
        <w:tab/>
        <w:t>M. Wathelet</w:t>
      </w:r>
    </w:p>
    <w:p w:rsidR="00000000" w:rsidRDefault="001420D0">
      <w:pPr>
        <w:pStyle w:val="GesAbsatz"/>
        <w:rPr>
          <w:rFonts w:cs="Arial"/>
          <w:lang w:val="en-GB"/>
        </w:rPr>
      </w:pPr>
    </w:p>
    <w:p w:rsidR="00000000" w:rsidRDefault="001420D0">
      <w:pPr>
        <w:pStyle w:val="GesAbsatz"/>
        <w:rPr>
          <w:rFonts w:cs="Arial"/>
          <w:lang w:val="en-GB"/>
        </w:rPr>
      </w:pPr>
    </w:p>
    <w:sectPr w:rsidR="00000000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20D0">
      <w:pPr>
        <w:spacing w:before="0" w:after="0"/>
      </w:pPr>
      <w:r>
        <w:separator/>
      </w:r>
    </w:p>
  </w:endnote>
  <w:endnote w:type="continuationSeparator" w:id="0">
    <w:p w:rsidR="00000000" w:rsidRDefault="001420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0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000" w:rsidRDefault="001420D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0D0">
    <w:pPr>
      <w:pStyle w:val="Fuzeile"/>
      <w:ind w:right="360"/>
    </w:pPr>
    <w:r>
      <w:tab/>
      <w:t>Stand 13.2.2003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20D0">
      <w:pPr>
        <w:spacing w:before="0" w:after="0"/>
      </w:pPr>
      <w:r>
        <w:separator/>
      </w:r>
    </w:p>
  </w:footnote>
  <w:footnote w:type="continuationSeparator" w:id="0">
    <w:p w:rsidR="00000000" w:rsidRDefault="001420D0">
      <w:pPr>
        <w:spacing w:before="0" w:after="0"/>
      </w:pPr>
      <w:r>
        <w:continuationSeparator/>
      </w:r>
    </w:p>
  </w:footnote>
  <w:footnote w:id="1">
    <w:p w:rsidR="00000000" w:rsidRDefault="001420D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</w:rPr>
        <w:t>Verfahrenssprache: Französisch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0D0" w:rsidP="001420D0">
    <w:pPr>
      <w:pStyle w:val="Kopfzeile0"/>
    </w:pPr>
    <w:r>
      <w:t>Fach1.1</w:t>
    </w:r>
    <w:r>
      <w:t>1</w:t>
    </w:r>
  </w:p>
  <w:p w:rsidR="00000000" w:rsidRDefault="001420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0"/>
    <w:rsid w:val="001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 w:qFormat="1"/>
    <w:lsdException w:name="footer" w:uiPriority="0" w:qFormat="1"/>
    <w:lsdException w:name="caption" w:semiHidden="0" w:uiPriority="35" w:unhideWhenUsed="0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20D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420D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420D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420D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420D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1420D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1420D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420D0"/>
  </w:style>
  <w:style w:type="paragraph" w:styleId="Kopfzeile">
    <w:name w:val="header"/>
    <w:basedOn w:val="Standard"/>
    <w:qFormat/>
    <w:rsid w:val="001420D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420D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1420D0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1420D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1420D0"/>
    <w:pPr>
      <w:spacing w:before="120" w:after="120"/>
      <w:ind w:left="0"/>
    </w:pPr>
    <w:rPr>
      <w:b/>
      <w:i w:val="0"/>
      <w:caps/>
    </w:r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customStyle="1" w:styleId="GesAbsatz">
    <w:name w:val="GesAbsatz"/>
    <w:basedOn w:val="Standard"/>
    <w:qFormat/>
    <w:rsid w:val="001420D0"/>
    <w:pPr>
      <w:spacing w:before="100"/>
    </w:pPr>
    <w:rPr>
      <w:color w:val="000000"/>
    </w:rPr>
  </w:style>
  <w:style w:type="paragraph" w:customStyle="1" w:styleId="GesNr">
    <w:name w:val="GesNr"/>
    <w:basedOn w:val="Standard"/>
    <w:pPr>
      <w:tabs>
        <w:tab w:val="left" w:pos="578"/>
      </w:tabs>
      <w:ind w:left="284" w:hanging="284"/>
    </w:pPr>
    <w:rPr>
      <w:color w:val="000000"/>
    </w:rPr>
  </w:style>
  <w:style w:type="paragraph" w:customStyle="1" w:styleId="Einzug1">
    <w:name w:val="Einzug1"/>
    <w:basedOn w:val="Standard"/>
    <w:next w:val="Standard"/>
    <w:pPr>
      <w:tabs>
        <w:tab w:val="clear" w:pos="425"/>
        <w:tab w:val="left" w:pos="576"/>
      </w:tabs>
      <w:ind w:left="567" w:hanging="567"/>
    </w:pPr>
    <w:rPr>
      <w:color w:val="000000"/>
    </w:rPr>
  </w:style>
  <w:style w:type="paragraph" w:customStyle="1" w:styleId="Einzug3">
    <w:name w:val="Einzug3"/>
    <w:basedOn w:val="Standard"/>
    <w:pPr>
      <w:tabs>
        <w:tab w:val="clear" w:pos="425"/>
      </w:tabs>
      <w:ind w:left="993" w:hanging="284"/>
    </w:pPr>
    <w:rPr>
      <w:color w:val="000000"/>
    </w:rPr>
  </w:style>
  <w:style w:type="paragraph" w:customStyle="1" w:styleId="GesBs">
    <w:name w:val="GesBs"/>
    <w:basedOn w:val="Standard"/>
    <w:pPr>
      <w:tabs>
        <w:tab w:val="left" w:pos="935"/>
      </w:tabs>
      <w:ind w:left="568" w:hanging="284"/>
    </w:pPr>
    <w:rPr>
      <w:color w:val="000000"/>
    </w:rPr>
  </w:style>
  <w:style w:type="paragraph" w:styleId="Verzeichnis4">
    <w:name w:val="toc 4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customStyle="1" w:styleId="Einzug2">
    <w:name w:val="Einzug2"/>
    <w:basedOn w:val="Standard"/>
    <w:pPr>
      <w:tabs>
        <w:tab w:val="left" w:pos="937"/>
      </w:tabs>
      <w:ind w:left="709" w:hanging="284"/>
    </w:pPr>
    <w:rPr>
      <w:color w:val="000000"/>
    </w:rPr>
  </w:style>
  <w:style w:type="paragraph" w:customStyle="1" w:styleId="EinzugNR">
    <w:name w:val="EinzugNR"/>
    <w:basedOn w:val="Standard"/>
    <w:pPr>
      <w:tabs>
        <w:tab w:val="clear" w:pos="425"/>
        <w:tab w:val="left" w:pos="1298"/>
      </w:tabs>
      <w:ind w:left="567" w:hanging="567"/>
    </w:pPr>
    <w:rPr>
      <w:color w:val="000000"/>
    </w:rPr>
  </w:style>
  <w:style w:type="paragraph" w:customStyle="1" w:styleId="GesetzAbsatz">
    <w:name w:val="GesetzAbsatz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paragraph" w:customStyle="1" w:styleId="Einzug075Nr">
    <w:name w:val="Einzug075Nr"/>
    <w:pPr>
      <w:tabs>
        <w:tab w:val="left" w:pos="578"/>
      </w:tabs>
      <w:spacing w:before="60" w:after="60"/>
      <w:ind w:left="425" w:hanging="425"/>
      <w:jc w:val="both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 w:after="0"/>
      <w:ind w:left="709" w:hanging="284"/>
    </w:pPr>
    <w:rPr>
      <w:color w:val="000000"/>
    </w:rPr>
  </w:style>
  <w:style w:type="paragraph" w:customStyle="1" w:styleId="Einzug100Nr">
    <w:name w:val="Einzug100Nr"/>
    <w:basedOn w:val="Einzug075Nr"/>
    <w:pPr>
      <w:ind w:left="567" w:hanging="567"/>
    </w:pPr>
  </w:style>
  <w:style w:type="paragraph" w:customStyle="1" w:styleId="Einzug125">
    <w:name w:val="Einzug125"/>
    <w:basedOn w:val="Standard"/>
    <w:pPr>
      <w:tabs>
        <w:tab w:val="clear" w:pos="425"/>
      </w:tabs>
      <w:ind w:left="709" w:hanging="709"/>
    </w:pPr>
  </w:style>
  <w:style w:type="paragraph" w:customStyle="1" w:styleId="Einzug1250">
    <w:name w:val="Einzug 125"/>
    <w:basedOn w:val="Standard"/>
    <w:pPr>
      <w:spacing w:before="0" w:after="120"/>
      <w:ind w:left="709" w:hanging="709"/>
    </w:pPr>
  </w:style>
  <w:style w:type="character" w:styleId="Fett">
    <w:name w:val="Strong"/>
    <w:basedOn w:val="Absatz-Standardschriftart"/>
    <w:qFormat/>
    <w:rPr>
      <w:b/>
      <w:bCs/>
    </w:rPr>
  </w:style>
  <w:style w:type="character" w:styleId="Hyperlink">
    <w:name w:val="Hyperlink"/>
    <w:rsid w:val="001420D0"/>
    <w:rPr>
      <w:color w:val="0000FF"/>
      <w:u w:val="single"/>
    </w:rPr>
  </w:style>
  <w:style w:type="paragraph" w:styleId="StandardWeb">
    <w:name w:val="Normal (Web)"/>
    <w:basedOn w:val="Standard"/>
    <w:semiHidden/>
    <w:pPr>
      <w:tabs>
        <w:tab w:val="clear" w:pos="425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unotenzeichen">
    <w:name w:val="footnote reference"/>
    <w:qFormat/>
    <w:rsid w:val="001420D0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1420D0"/>
    <w:pPr>
      <w:spacing w:before="0" w:after="0"/>
      <w:jc w:val="right"/>
    </w:pPr>
    <w:rPr>
      <w:b/>
      <w:sz w:val="24"/>
    </w:rPr>
  </w:style>
  <w:style w:type="paragraph" w:styleId="Verzeichnis5">
    <w:name w:val="toc 5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 w:qFormat="1"/>
    <w:lsdException w:name="footer" w:uiPriority="0" w:qFormat="1"/>
    <w:lsdException w:name="caption" w:semiHidden="0" w:uiPriority="35" w:unhideWhenUsed="0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20D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420D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420D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420D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420D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1420D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1420D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420D0"/>
  </w:style>
  <w:style w:type="paragraph" w:styleId="Kopfzeile">
    <w:name w:val="header"/>
    <w:basedOn w:val="Standard"/>
    <w:qFormat/>
    <w:rsid w:val="001420D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420D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1420D0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1420D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1420D0"/>
    <w:pPr>
      <w:spacing w:before="120" w:after="120"/>
      <w:ind w:left="0"/>
    </w:pPr>
    <w:rPr>
      <w:b/>
      <w:i w:val="0"/>
      <w:caps/>
    </w:r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customStyle="1" w:styleId="GesAbsatz">
    <w:name w:val="GesAbsatz"/>
    <w:basedOn w:val="Standard"/>
    <w:qFormat/>
    <w:rsid w:val="001420D0"/>
    <w:pPr>
      <w:spacing w:before="100"/>
    </w:pPr>
    <w:rPr>
      <w:color w:val="000000"/>
    </w:rPr>
  </w:style>
  <w:style w:type="paragraph" w:customStyle="1" w:styleId="GesNr">
    <w:name w:val="GesNr"/>
    <w:basedOn w:val="Standard"/>
    <w:pPr>
      <w:tabs>
        <w:tab w:val="left" w:pos="578"/>
      </w:tabs>
      <w:ind w:left="284" w:hanging="284"/>
    </w:pPr>
    <w:rPr>
      <w:color w:val="000000"/>
    </w:rPr>
  </w:style>
  <w:style w:type="paragraph" w:customStyle="1" w:styleId="Einzug1">
    <w:name w:val="Einzug1"/>
    <w:basedOn w:val="Standard"/>
    <w:next w:val="Standard"/>
    <w:pPr>
      <w:tabs>
        <w:tab w:val="clear" w:pos="425"/>
        <w:tab w:val="left" w:pos="576"/>
      </w:tabs>
      <w:ind w:left="567" w:hanging="567"/>
    </w:pPr>
    <w:rPr>
      <w:color w:val="000000"/>
    </w:rPr>
  </w:style>
  <w:style w:type="paragraph" w:customStyle="1" w:styleId="Einzug3">
    <w:name w:val="Einzug3"/>
    <w:basedOn w:val="Standard"/>
    <w:pPr>
      <w:tabs>
        <w:tab w:val="clear" w:pos="425"/>
      </w:tabs>
      <w:ind w:left="993" w:hanging="284"/>
    </w:pPr>
    <w:rPr>
      <w:color w:val="000000"/>
    </w:rPr>
  </w:style>
  <w:style w:type="paragraph" w:customStyle="1" w:styleId="GesBs">
    <w:name w:val="GesBs"/>
    <w:basedOn w:val="Standard"/>
    <w:pPr>
      <w:tabs>
        <w:tab w:val="left" w:pos="935"/>
      </w:tabs>
      <w:ind w:left="568" w:hanging="284"/>
    </w:pPr>
    <w:rPr>
      <w:color w:val="000000"/>
    </w:rPr>
  </w:style>
  <w:style w:type="paragraph" w:styleId="Verzeichnis4">
    <w:name w:val="toc 4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customStyle="1" w:styleId="Einzug2">
    <w:name w:val="Einzug2"/>
    <w:basedOn w:val="Standard"/>
    <w:pPr>
      <w:tabs>
        <w:tab w:val="left" w:pos="937"/>
      </w:tabs>
      <w:ind w:left="709" w:hanging="284"/>
    </w:pPr>
    <w:rPr>
      <w:color w:val="000000"/>
    </w:rPr>
  </w:style>
  <w:style w:type="paragraph" w:customStyle="1" w:styleId="EinzugNR">
    <w:name w:val="EinzugNR"/>
    <w:basedOn w:val="Standard"/>
    <w:pPr>
      <w:tabs>
        <w:tab w:val="clear" w:pos="425"/>
        <w:tab w:val="left" w:pos="1298"/>
      </w:tabs>
      <w:ind w:left="567" w:hanging="567"/>
    </w:pPr>
    <w:rPr>
      <w:color w:val="000000"/>
    </w:rPr>
  </w:style>
  <w:style w:type="paragraph" w:customStyle="1" w:styleId="GesetzAbsatz">
    <w:name w:val="GesetzAbsatz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paragraph" w:customStyle="1" w:styleId="Einzug075Nr">
    <w:name w:val="Einzug075Nr"/>
    <w:pPr>
      <w:tabs>
        <w:tab w:val="left" w:pos="578"/>
      </w:tabs>
      <w:spacing w:before="60" w:after="60"/>
      <w:ind w:left="425" w:hanging="425"/>
      <w:jc w:val="both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 w:after="0"/>
      <w:ind w:left="709" w:hanging="284"/>
    </w:pPr>
    <w:rPr>
      <w:color w:val="000000"/>
    </w:rPr>
  </w:style>
  <w:style w:type="paragraph" w:customStyle="1" w:styleId="Einzug100Nr">
    <w:name w:val="Einzug100Nr"/>
    <w:basedOn w:val="Einzug075Nr"/>
    <w:pPr>
      <w:ind w:left="567" w:hanging="567"/>
    </w:pPr>
  </w:style>
  <w:style w:type="paragraph" w:customStyle="1" w:styleId="Einzug125">
    <w:name w:val="Einzug125"/>
    <w:basedOn w:val="Standard"/>
    <w:pPr>
      <w:tabs>
        <w:tab w:val="clear" w:pos="425"/>
      </w:tabs>
      <w:ind w:left="709" w:hanging="709"/>
    </w:pPr>
  </w:style>
  <w:style w:type="paragraph" w:customStyle="1" w:styleId="Einzug1250">
    <w:name w:val="Einzug 125"/>
    <w:basedOn w:val="Standard"/>
    <w:pPr>
      <w:spacing w:before="0" w:after="120"/>
      <w:ind w:left="709" w:hanging="709"/>
    </w:pPr>
  </w:style>
  <w:style w:type="character" w:styleId="Fett">
    <w:name w:val="Strong"/>
    <w:basedOn w:val="Absatz-Standardschriftart"/>
    <w:qFormat/>
    <w:rPr>
      <w:b/>
      <w:bCs/>
    </w:rPr>
  </w:style>
  <w:style w:type="character" w:styleId="Hyperlink">
    <w:name w:val="Hyperlink"/>
    <w:rsid w:val="001420D0"/>
    <w:rPr>
      <w:color w:val="0000FF"/>
      <w:u w:val="single"/>
    </w:rPr>
  </w:style>
  <w:style w:type="paragraph" w:styleId="StandardWeb">
    <w:name w:val="Normal (Web)"/>
    <w:basedOn w:val="Standard"/>
    <w:semiHidden/>
    <w:pPr>
      <w:tabs>
        <w:tab w:val="clear" w:pos="425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unotenzeichen">
    <w:name w:val="footnote reference"/>
    <w:qFormat/>
    <w:rsid w:val="001420D0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1420D0"/>
    <w:pPr>
      <w:spacing w:before="0" w:after="0"/>
      <w:jc w:val="right"/>
    </w:pPr>
    <w:rPr>
      <w:b/>
      <w:sz w:val="24"/>
    </w:rPr>
  </w:style>
  <w:style w:type="paragraph" w:styleId="Verzeichnis5">
    <w:name w:val="toc 5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420D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6</Pages>
  <Words>3092</Words>
  <Characters>18764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Urteil des EUGH: Vertragsverletzungsverfahren</vt:lpstr>
    </vt:vector>
  </TitlesOfParts>
  <Company>LUA</Company>
  <LinksUpToDate>false</LinksUpToDate>
  <CharactersWithSpaces>21813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Urteil des EUGH: Vertragsverletzungsverfahren</dc:title>
  <dc:creator>LUA</dc:creator>
  <cp:lastModifiedBy>rueter</cp:lastModifiedBy>
  <cp:revision>2</cp:revision>
  <cp:lastPrinted>1601-01-01T00:00:00Z</cp:lastPrinted>
  <dcterms:created xsi:type="dcterms:W3CDTF">2019-06-17T12:25:00Z</dcterms:created>
  <dcterms:modified xsi:type="dcterms:W3CDTF">2019-06-17T12:25:00Z</dcterms:modified>
</cp:coreProperties>
</file>