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27AF">
      <w:pPr>
        <w:pStyle w:val="GesAbsatz"/>
        <w:spacing w:before="0"/>
        <w:jc w:val="center"/>
        <w:rPr>
          <w:rFonts w:cs="Arial"/>
        </w:rPr>
      </w:pPr>
      <w:r>
        <w:rPr>
          <w:rFonts w:cs="Arial"/>
        </w:rPr>
        <w:t>URTEIL DES GERICHTSHOFES (Fünfte Kammer)</w:t>
      </w:r>
    </w:p>
    <w:p w:rsidR="00000000" w:rsidRDefault="00CE27AF">
      <w:pPr>
        <w:pStyle w:val="GesAbsatz"/>
        <w:jc w:val="center"/>
        <w:rPr>
          <w:rFonts w:cs="Arial"/>
        </w:rPr>
      </w:pPr>
      <w:r>
        <w:rPr>
          <w:rFonts w:cs="Arial"/>
        </w:rPr>
        <w:t>13. Februar 2003</w:t>
      </w:r>
      <w:r>
        <w:rPr>
          <w:rStyle w:val="Funotenzeichen"/>
          <w:rFonts w:cs="Arial"/>
        </w:rPr>
        <w:footnoteReference w:id="1"/>
      </w:r>
    </w:p>
    <w:p w:rsidR="00000000" w:rsidRDefault="00CE27AF">
      <w:pPr>
        <w:pStyle w:val="berschrift1"/>
      </w:pPr>
      <w:r>
        <w:t>Vertragsverletzung eines Mitgliedstaats - Artikel 7 Absätze 2 und 4 der Ve</w:t>
      </w:r>
      <w:bookmarkStart w:id="0" w:name="_GoBack"/>
      <w:bookmarkEnd w:id="0"/>
      <w:r>
        <w:t>rordnung (EWG) Nr. 259/93 - Zuordnung des Zwecks einer Abfal</w:t>
      </w:r>
      <w:r>
        <w:t>l</w:t>
      </w:r>
      <w:r>
        <w:t>ve</w:t>
      </w:r>
      <w:r>
        <w:t>r</w:t>
      </w:r>
      <w:r>
        <w:t>bringung (Verwertung oder Beseit</w:t>
      </w:r>
      <w:r>
        <w:t>i</w:t>
      </w:r>
      <w:r>
        <w:t>gung) - Verbrennung von Ab</w:t>
      </w:r>
      <w:r>
        <w:t>fällen - R 1 des Anhangs II B der Richtlinie 75/442/EWG - "Hauptverwendung als Brennstoff oder andere Mittel der Energieerzeugung"</w:t>
      </w:r>
    </w:p>
    <w:p w:rsidR="00000000" w:rsidRDefault="00CE27AF">
      <w:pPr>
        <w:pStyle w:val="GesAbsatz"/>
        <w:rPr>
          <w:rFonts w:cs="Arial"/>
        </w:rPr>
      </w:pPr>
      <w:r>
        <w:rPr>
          <w:rFonts w:cs="Arial"/>
        </w:rPr>
        <w:t>In der Rechtssache C-228/00,</w:t>
      </w:r>
    </w:p>
    <w:p w:rsidR="00000000" w:rsidRDefault="00CE27AF">
      <w:pPr>
        <w:pStyle w:val="GesAbsatz"/>
        <w:rPr>
          <w:rFonts w:cs="Arial"/>
        </w:rPr>
      </w:pPr>
      <w:proofErr w:type="gramStart"/>
      <w:r>
        <w:rPr>
          <w:rFonts w:cs="Arial"/>
          <w:b/>
          <w:bCs/>
        </w:rPr>
        <w:t>Kommission</w:t>
      </w:r>
      <w:proofErr w:type="gramEnd"/>
      <w:r>
        <w:rPr>
          <w:rFonts w:cs="Arial"/>
          <w:b/>
          <w:bCs/>
        </w:rPr>
        <w:t xml:space="preserve"> der Europäischen Gemeinschaften,</w:t>
      </w:r>
      <w:r>
        <w:rPr>
          <w:rFonts w:cs="Arial"/>
        </w:rPr>
        <w:t xml:space="preserve"> vertreten durch G. zur Hausen als B</w:t>
      </w:r>
      <w:r>
        <w:rPr>
          <w:rFonts w:cs="Arial"/>
        </w:rPr>
        <w:t>e</w:t>
      </w:r>
      <w:r>
        <w:rPr>
          <w:rFonts w:cs="Arial"/>
        </w:rPr>
        <w:t xml:space="preserve">vollmächtigten, </w:t>
      </w:r>
      <w:r>
        <w:rPr>
          <w:rFonts w:cs="Arial"/>
        </w:rPr>
        <w:t>Zustellungsanschrift in Luxemburg,</w:t>
      </w:r>
    </w:p>
    <w:p w:rsidR="00000000" w:rsidRDefault="00CE27AF">
      <w:pPr>
        <w:pStyle w:val="GesAbsatz"/>
        <w:rPr>
          <w:rFonts w:cs="Arial"/>
        </w:rPr>
      </w:pPr>
      <w:r>
        <w:rPr>
          <w:rFonts w:cs="Arial"/>
        </w:rPr>
        <w:t>Klägerin,</w:t>
      </w:r>
    </w:p>
    <w:p w:rsidR="00000000" w:rsidRDefault="00CE27AF">
      <w:pPr>
        <w:pStyle w:val="GesAbsatz"/>
        <w:rPr>
          <w:rFonts w:cs="Arial"/>
        </w:rPr>
      </w:pPr>
      <w:r>
        <w:rPr>
          <w:rFonts w:cs="Arial"/>
        </w:rPr>
        <w:t>gegen</w:t>
      </w:r>
    </w:p>
    <w:p w:rsidR="00000000" w:rsidRDefault="00CE27AF">
      <w:pPr>
        <w:pStyle w:val="GesAbsatz"/>
        <w:rPr>
          <w:rFonts w:cs="Arial"/>
        </w:rPr>
      </w:pPr>
      <w:r>
        <w:rPr>
          <w:rFonts w:cs="Arial"/>
          <w:b/>
          <w:bCs/>
        </w:rPr>
        <w:t>Bundesrepublik Deutschland,</w:t>
      </w:r>
      <w:r>
        <w:rPr>
          <w:rFonts w:cs="Arial"/>
        </w:rPr>
        <w:t xml:space="preserve"> vertreten durch T. Jürgensen als Bevollmächtigten im Beistand von Recht</w:t>
      </w:r>
      <w:r>
        <w:rPr>
          <w:rFonts w:cs="Arial"/>
        </w:rPr>
        <w:t>s</w:t>
      </w:r>
      <w:r>
        <w:rPr>
          <w:rFonts w:cs="Arial"/>
        </w:rPr>
        <w:t xml:space="preserve">anwalt D. </w:t>
      </w:r>
      <w:proofErr w:type="spellStart"/>
      <w:r>
        <w:rPr>
          <w:rFonts w:cs="Arial"/>
        </w:rPr>
        <w:t>Sellner</w:t>
      </w:r>
      <w:proofErr w:type="spellEnd"/>
      <w:r>
        <w:rPr>
          <w:rFonts w:cs="Arial"/>
        </w:rPr>
        <w:t>,</w:t>
      </w:r>
    </w:p>
    <w:p w:rsidR="00000000" w:rsidRDefault="00CE27AF">
      <w:pPr>
        <w:pStyle w:val="GesAbsatz"/>
        <w:rPr>
          <w:rFonts w:cs="Arial"/>
        </w:rPr>
      </w:pPr>
      <w:r>
        <w:rPr>
          <w:rFonts w:cs="Arial"/>
        </w:rPr>
        <w:t>Beklagte,</w:t>
      </w:r>
    </w:p>
    <w:p w:rsidR="00000000" w:rsidRDefault="00CE27AF">
      <w:pPr>
        <w:pStyle w:val="GesAbsatz"/>
        <w:rPr>
          <w:rFonts w:cs="Arial"/>
        </w:rPr>
      </w:pPr>
      <w:r>
        <w:rPr>
          <w:rFonts w:cs="Arial"/>
        </w:rPr>
        <w:t>wegen Feststellung, dass die Bundesrepublik Deutschland dadurch gegen ihre V</w:t>
      </w:r>
      <w:r>
        <w:rPr>
          <w:rFonts w:cs="Arial"/>
        </w:rPr>
        <w:t>erpflichtungen aus Artikel 7 Absätze 2 und 4 der Verordnung (EWG) Nr. 259/93 des Rates vom 1. Februar 1993 zur Überwachung der Verbringung von Abfällen in der, in die und aus der Europäischen Gemeinschaft (ABl. L 30, S. 1) verstoßen hat, dass sie unberecht</w:t>
      </w:r>
      <w:r>
        <w:rPr>
          <w:rFonts w:cs="Arial"/>
        </w:rPr>
        <w:t>igte Einwände gegen bestimmte Verbringungen von Abfällen in andere Mitgliedsta</w:t>
      </w:r>
      <w:r>
        <w:rPr>
          <w:rFonts w:cs="Arial"/>
        </w:rPr>
        <w:t>a</w:t>
      </w:r>
      <w:r>
        <w:rPr>
          <w:rFonts w:cs="Arial"/>
        </w:rPr>
        <w:t>ten zur Hauptverwendung als Brennstoff erhoben hat,</w:t>
      </w:r>
    </w:p>
    <w:p w:rsidR="00000000" w:rsidRDefault="00CE27AF">
      <w:pPr>
        <w:pStyle w:val="GesAbsatz"/>
        <w:rPr>
          <w:rFonts w:cs="Arial"/>
        </w:rPr>
      </w:pPr>
      <w:r>
        <w:rPr>
          <w:rFonts w:cs="Arial"/>
        </w:rPr>
        <w:t>erlässt</w:t>
      </w:r>
    </w:p>
    <w:p w:rsidR="00000000" w:rsidRDefault="00CE27AF">
      <w:pPr>
        <w:pStyle w:val="GesAbsatz"/>
        <w:rPr>
          <w:rFonts w:cs="Arial"/>
        </w:rPr>
      </w:pPr>
      <w:r>
        <w:rPr>
          <w:rFonts w:cs="Arial"/>
        </w:rPr>
        <w:t>DER GERICHTSHOF (Fünfte Kammer)</w:t>
      </w:r>
    </w:p>
    <w:p w:rsidR="00000000" w:rsidRDefault="00CE27AF">
      <w:pPr>
        <w:pStyle w:val="GesAbsatz"/>
        <w:rPr>
          <w:rFonts w:cs="Arial"/>
        </w:rPr>
      </w:pPr>
      <w:r>
        <w:rPr>
          <w:rFonts w:cs="Arial"/>
        </w:rPr>
        <w:t xml:space="preserve">unter Mitwirkung des Kammerpräsidenten M. </w:t>
      </w:r>
      <w:proofErr w:type="spellStart"/>
      <w:r>
        <w:rPr>
          <w:rFonts w:cs="Arial"/>
        </w:rPr>
        <w:t>Wathelet</w:t>
      </w:r>
      <w:proofErr w:type="spellEnd"/>
      <w:r>
        <w:rPr>
          <w:rFonts w:cs="Arial"/>
        </w:rPr>
        <w:t xml:space="preserve"> sowie der Richter C. W. A. </w:t>
      </w:r>
      <w:proofErr w:type="spellStart"/>
      <w:r>
        <w:rPr>
          <w:rFonts w:cs="Arial"/>
        </w:rPr>
        <w:t>Timmerm</w:t>
      </w:r>
      <w:r>
        <w:rPr>
          <w:rFonts w:cs="Arial"/>
        </w:rPr>
        <w:t>ans</w:t>
      </w:r>
      <w:proofErr w:type="spellEnd"/>
      <w:r>
        <w:rPr>
          <w:rFonts w:cs="Arial"/>
        </w:rPr>
        <w:t xml:space="preserve"> (Berichte</w:t>
      </w:r>
      <w:r>
        <w:rPr>
          <w:rFonts w:cs="Arial"/>
        </w:rPr>
        <w:t>r</w:t>
      </w:r>
      <w:r>
        <w:rPr>
          <w:rFonts w:cs="Arial"/>
        </w:rPr>
        <w:t>statter), D. A. O. Edward, P. Jann und S. von Bahr,</w:t>
      </w:r>
    </w:p>
    <w:p w:rsidR="00000000" w:rsidRDefault="00CE27AF">
      <w:pPr>
        <w:pStyle w:val="GesAbsatz"/>
        <w:rPr>
          <w:rFonts w:cs="Arial"/>
        </w:rPr>
      </w:pPr>
      <w:r>
        <w:rPr>
          <w:rFonts w:cs="Arial"/>
        </w:rPr>
        <w:t>Generalanwalt: F. G. Jacobs</w:t>
      </w:r>
    </w:p>
    <w:p w:rsidR="00000000" w:rsidRDefault="00CE27AF">
      <w:pPr>
        <w:pStyle w:val="GesAbsatz"/>
        <w:rPr>
          <w:rFonts w:cs="Arial"/>
        </w:rPr>
      </w:pPr>
      <w:r>
        <w:rPr>
          <w:rFonts w:cs="Arial"/>
        </w:rPr>
        <w:t>Kanzler: H. A. Rühl, Hauptverwaltungsrat</w:t>
      </w:r>
    </w:p>
    <w:p w:rsidR="00000000" w:rsidRDefault="00CE27AF">
      <w:pPr>
        <w:pStyle w:val="GesAbsatz"/>
        <w:rPr>
          <w:rFonts w:cs="Arial"/>
        </w:rPr>
      </w:pPr>
      <w:r>
        <w:rPr>
          <w:rFonts w:cs="Arial"/>
        </w:rPr>
        <w:t>aufgrund des Sitzungsberichts,</w:t>
      </w:r>
    </w:p>
    <w:p w:rsidR="00000000" w:rsidRDefault="00CE27AF">
      <w:pPr>
        <w:pStyle w:val="GesAbsatz"/>
        <w:rPr>
          <w:rFonts w:cs="Arial"/>
        </w:rPr>
      </w:pPr>
      <w:r>
        <w:rPr>
          <w:rFonts w:cs="Arial"/>
        </w:rPr>
        <w:t xml:space="preserve">nach Anhörung der Parteien in der Sitzung vom 25. April 2002, in der die Kommission durch </w:t>
      </w:r>
      <w:r>
        <w:rPr>
          <w:rFonts w:cs="Arial"/>
        </w:rPr>
        <w:t xml:space="preserve">G. zur Hausen und die Bundesrepublik Deutschland durch W.-D. </w:t>
      </w:r>
      <w:proofErr w:type="spellStart"/>
      <w:r>
        <w:rPr>
          <w:rFonts w:cs="Arial"/>
        </w:rPr>
        <w:t>Plessing</w:t>
      </w:r>
      <w:proofErr w:type="spellEnd"/>
      <w:r>
        <w:rPr>
          <w:rFonts w:cs="Arial"/>
        </w:rPr>
        <w:t xml:space="preserve"> als Bevollmächtigten im Beistand von Recht</w:t>
      </w:r>
      <w:r>
        <w:rPr>
          <w:rFonts w:cs="Arial"/>
        </w:rPr>
        <w:t>s</w:t>
      </w:r>
      <w:r>
        <w:rPr>
          <w:rFonts w:cs="Arial"/>
        </w:rPr>
        <w:t>a</w:t>
      </w:r>
      <w:r>
        <w:rPr>
          <w:rFonts w:cs="Arial"/>
        </w:rPr>
        <w:t>n</w:t>
      </w:r>
      <w:r>
        <w:rPr>
          <w:rFonts w:cs="Arial"/>
        </w:rPr>
        <w:t xml:space="preserve">walt D. </w:t>
      </w:r>
      <w:proofErr w:type="spellStart"/>
      <w:r>
        <w:rPr>
          <w:rFonts w:cs="Arial"/>
        </w:rPr>
        <w:t>Sellner</w:t>
      </w:r>
      <w:proofErr w:type="spellEnd"/>
      <w:r>
        <w:rPr>
          <w:rFonts w:cs="Arial"/>
        </w:rPr>
        <w:t xml:space="preserve"> vertreten waren,</w:t>
      </w:r>
    </w:p>
    <w:p w:rsidR="00000000" w:rsidRDefault="00CE27AF">
      <w:pPr>
        <w:pStyle w:val="GesAbsatz"/>
        <w:rPr>
          <w:rFonts w:cs="Arial"/>
        </w:rPr>
      </w:pPr>
      <w:r>
        <w:rPr>
          <w:rFonts w:cs="Arial"/>
        </w:rPr>
        <w:t>nach Anhörung der Schlussanträge des Generalanwalts in der Sitzung vom 26. Septe</w:t>
      </w:r>
      <w:r>
        <w:rPr>
          <w:rFonts w:cs="Arial"/>
        </w:rPr>
        <w:t>m</w:t>
      </w:r>
      <w:r>
        <w:rPr>
          <w:rFonts w:cs="Arial"/>
        </w:rPr>
        <w:t>ber 2002,</w:t>
      </w:r>
    </w:p>
    <w:p w:rsidR="00000000" w:rsidRDefault="00CE27AF">
      <w:pPr>
        <w:pStyle w:val="GesAbsatz"/>
        <w:rPr>
          <w:rFonts w:cs="Arial"/>
        </w:rPr>
      </w:pPr>
      <w:r>
        <w:rPr>
          <w:rFonts w:cs="Arial"/>
        </w:rPr>
        <w:t>folgendes</w:t>
      </w:r>
    </w:p>
    <w:p w:rsidR="00000000" w:rsidRDefault="00CE27AF">
      <w:pPr>
        <w:pStyle w:val="GesAbsatz"/>
        <w:rPr>
          <w:rFonts w:cs="Arial"/>
        </w:rPr>
      </w:pPr>
      <w:r>
        <w:rPr>
          <w:rFonts w:cs="Arial"/>
        </w:rPr>
        <w:t>Urteil</w:t>
      </w:r>
    </w:p>
    <w:p w:rsidR="00000000" w:rsidRDefault="00CE27AF">
      <w:pPr>
        <w:pStyle w:val="GesAbsatz"/>
        <w:rPr>
          <w:rFonts w:cs="Arial"/>
        </w:rPr>
      </w:pPr>
      <w:r>
        <w:rPr>
          <w:rFonts w:cs="Arial"/>
        </w:rPr>
        <w:t>1. Die Kommission der Europäischen Gemeinschaften hat mit Klageschrift, die am 7. Juni 2000 bei der Kan</w:t>
      </w:r>
      <w:r>
        <w:rPr>
          <w:rFonts w:cs="Arial"/>
        </w:rPr>
        <w:t>z</w:t>
      </w:r>
      <w:r>
        <w:rPr>
          <w:rFonts w:cs="Arial"/>
        </w:rPr>
        <w:t>lei des Gerichtshofes eingegangen ist, gemäß Artikel 226 EG Klage erhoben auf Feststellung, dass die Bu</w:t>
      </w:r>
      <w:r>
        <w:rPr>
          <w:rFonts w:cs="Arial"/>
        </w:rPr>
        <w:t>n</w:t>
      </w:r>
      <w:r>
        <w:rPr>
          <w:rFonts w:cs="Arial"/>
        </w:rPr>
        <w:t>desrepublik Deutschland dadurch gegen ihre Verpf</w:t>
      </w:r>
      <w:r>
        <w:rPr>
          <w:rFonts w:cs="Arial"/>
        </w:rPr>
        <w:t>lichtungen aus Artikel 7 Absätze 2 und 4 der Veror</w:t>
      </w:r>
      <w:r>
        <w:rPr>
          <w:rFonts w:cs="Arial"/>
        </w:rPr>
        <w:t>d</w:t>
      </w:r>
      <w:r>
        <w:rPr>
          <w:rFonts w:cs="Arial"/>
        </w:rPr>
        <w:t>nung (EWG) Nr. 259/93 des Rates vom 1. Februar 1993 zur Überwachung der Verbringung von Abfällen in der, in die und aus der Europäischen Gemeinschaft (ABl. L 30, S. 1, im Folgenden: Verordnung) verstoßen h</w:t>
      </w:r>
      <w:r>
        <w:rPr>
          <w:rFonts w:cs="Arial"/>
        </w:rPr>
        <w:t>at, dass sie unberechtigte Einwände gegen bestimmte Verbringungen von Abfällen in andere Mitgliedsta</w:t>
      </w:r>
      <w:r>
        <w:rPr>
          <w:rFonts w:cs="Arial"/>
        </w:rPr>
        <w:t>a</w:t>
      </w:r>
      <w:r>
        <w:rPr>
          <w:rFonts w:cs="Arial"/>
        </w:rPr>
        <w:t>ten zur Hauptverwendung als Brennstoff erhoben hat.</w:t>
      </w:r>
    </w:p>
    <w:p w:rsidR="00000000" w:rsidRDefault="00CE27AF">
      <w:pPr>
        <w:pStyle w:val="GesAbsatz"/>
        <w:rPr>
          <w:rFonts w:cs="Arial"/>
        </w:rPr>
      </w:pPr>
      <w:r>
        <w:rPr>
          <w:rFonts w:cs="Arial"/>
          <w:b/>
          <w:bCs/>
        </w:rPr>
        <w:t>Rechtlicher Rahmen</w:t>
      </w:r>
    </w:p>
    <w:p w:rsidR="00000000" w:rsidRDefault="00CE27AF">
      <w:pPr>
        <w:pStyle w:val="GesAbsatz"/>
        <w:rPr>
          <w:rFonts w:cs="Arial"/>
        </w:rPr>
      </w:pPr>
      <w:r>
        <w:rPr>
          <w:rFonts w:cs="Arial"/>
          <w:i/>
          <w:iCs/>
        </w:rPr>
        <w:t>Gemeinschaftsrecht</w:t>
      </w:r>
    </w:p>
    <w:p w:rsidR="00000000" w:rsidRDefault="00CE27AF">
      <w:pPr>
        <w:pStyle w:val="GesAbsatz"/>
        <w:rPr>
          <w:rFonts w:cs="Arial"/>
        </w:rPr>
      </w:pPr>
      <w:r>
        <w:rPr>
          <w:rFonts w:cs="Arial"/>
        </w:rPr>
        <w:t>Die Richtlinie 75/442/EWG</w:t>
      </w:r>
    </w:p>
    <w:p w:rsidR="00000000" w:rsidRDefault="00CE27AF">
      <w:pPr>
        <w:pStyle w:val="GesAbsatz"/>
        <w:rPr>
          <w:rFonts w:cs="Arial"/>
        </w:rPr>
      </w:pPr>
      <w:r>
        <w:rPr>
          <w:rFonts w:cs="Arial"/>
        </w:rPr>
        <w:t>2. Wesentliche Zielsetzung der Richtlin</w:t>
      </w:r>
      <w:r>
        <w:rPr>
          <w:rFonts w:cs="Arial"/>
        </w:rPr>
        <w:t>ie 75/442/EWG des Rates vom 15. Juli 1975 über Abfälle (ABl. L 194, S. 39) in der Fassung der Entscheidung 96/350/EG der Kommission vom 24. Mai 1996 (ABl. L 135, S. 32, im Folgenden: Richtlinie) ist der Schutz der menschlichen Gesundheit sowie der Umwelt g</w:t>
      </w:r>
      <w:r>
        <w:rPr>
          <w:rFonts w:cs="Arial"/>
        </w:rPr>
        <w:t>egen nachte</w:t>
      </w:r>
      <w:r>
        <w:rPr>
          <w:rFonts w:cs="Arial"/>
        </w:rPr>
        <w:t>i</w:t>
      </w:r>
      <w:r>
        <w:rPr>
          <w:rFonts w:cs="Arial"/>
        </w:rPr>
        <w:t xml:space="preserve">lige Auswirkungen der Sammlung, Beförderung, Behandlung, Lagerung und Ablagerung von Abfällen. In der </w:t>
      </w:r>
      <w:r>
        <w:rPr>
          <w:rFonts w:cs="Arial"/>
        </w:rPr>
        <w:lastRenderedPageBreak/>
        <w:t>vie</w:t>
      </w:r>
      <w:r>
        <w:rPr>
          <w:rFonts w:cs="Arial"/>
        </w:rPr>
        <w:t>r</w:t>
      </w:r>
      <w:r>
        <w:rPr>
          <w:rFonts w:cs="Arial"/>
        </w:rPr>
        <w:t>ten Begründungserwägung der Richtlinie heißt es: Die Aufbereitung von Abfällen sowie die Verwendung wi</w:t>
      </w:r>
      <w:r>
        <w:rPr>
          <w:rFonts w:cs="Arial"/>
        </w:rPr>
        <w:t>e</w:t>
      </w:r>
      <w:r>
        <w:rPr>
          <w:rFonts w:cs="Arial"/>
        </w:rPr>
        <w:t>dergewonnener Materialien ist im In</w:t>
      </w:r>
      <w:r>
        <w:rPr>
          <w:rFonts w:cs="Arial"/>
        </w:rPr>
        <w:t>teresse der Erhaltung der n</w:t>
      </w:r>
      <w:r>
        <w:rPr>
          <w:rFonts w:cs="Arial"/>
        </w:rPr>
        <w:t>a</w:t>
      </w:r>
      <w:r>
        <w:rPr>
          <w:rFonts w:cs="Arial"/>
        </w:rPr>
        <w:t>türlichen Rohstoffquellen zu fördern.</w:t>
      </w:r>
    </w:p>
    <w:p w:rsidR="00000000" w:rsidRDefault="00CE27AF">
      <w:pPr>
        <w:pStyle w:val="GesAbsatz"/>
        <w:rPr>
          <w:rFonts w:cs="Arial"/>
        </w:rPr>
      </w:pPr>
      <w:r>
        <w:rPr>
          <w:rFonts w:cs="Arial"/>
        </w:rPr>
        <w:t>3. Die Richtlinie definiert in Artikel 1 Buchstabe e Beseitigung als alle in Anhang II A aufgeführten Ve</w:t>
      </w:r>
      <w:r>
        <w:rPr>
          <w:rFonts w:cs="Arial"/>
        </w:rPr>
        <w:t>r</w:t>
      </w:r>
      <w:r>
        <w:rPr>
          <w:rFonts w:cs="Arial"/>
        </w:rPr>
        <w:t>fahren und in Artikel 1 Buchstabe f Verwertung als alle in Anhang II B aufgeführten V</w:t>
      </w:r>
      <w:r>
        <w:rPr>
          <w:rFonts w:cs="Arial"/>
        </w:rPr>
        <w:t xml:space="preserve">erfahren. </w:t>
      </w:r>
    </w:p>
    <w:p w:rsidR="00000000" w:rsidRDefault="00CE27AF">
      <w:pPr>
        <w:pStyle w:val="GesAbsatz"/>
        <w:rPr>
          <w:rFonts w:cs="Arial"/>
        </w:rPr>
      </w:pPr>
      <w:r>
        <w:rPr>
          <w:rFonts w:cs="Arial"/>
        </w:rPr>
        <w:t>4. Artikel 3 Absatz 1 der Richtlinie bestimmt:</w:t>
      </w:r>
    </w:p>
    <w:p w:rsidR="00000000" w:rsidRDefault="00CE27AF">
      <w:pPr>
        <w:pStyle w:val="GesAbsatz"/>
        <w:rPr>
          <w:rFonts w:cs="Arial"/>
        </w:rPr>
      </w:pPr>
      <w:r>
        <w:rPr>
          <w:rFonts w:cs="Arial"/>
        </w:rPr>
        <w:t>Die Mitgliedstaaten treffen Maßnahmen, um Folgendes zu fördern:</w:t>
      </w:r>
    </w:p>
    <w:p w:rsidR="00000000" w:rsidRDefault="00CE27AF">
      <w:pPr>
        <w:pStyle w:val="GesAbsatz"/>
        <w:ind w:left="426" w:hanging="426"/>
        <w:rPr>
          <w:rFonts w:cs="Arial"/>
        </w:rPr>
      </w:pPr>
      <w:r>
        <w:rPr>
          <w:rFonts w:cs="Arial"/>
        </w:rPr>
        <w:t>a)</w:t>
      </w:r>
      <w:r>
        <w:rPr>
          <w:rFonts w:cs="Arial"/>
        </w:rPr>
        <w:tab/>
        <w:t xml:space="preserve">in erster Linie die Verhütung oder Verringerung der Erzeugung von Abfällen und ihrer Gefährlichkeit ... </w:t>
      </w:r>
    </w:p>
    <w:p w:rsidR="00000000" w:rsidRDefault="00CE27AF">
      <w:pPr>
        <w:pStyle w:val="GesAbsatz"/>
        <w:ind w:left="426" w:hanging="426"/>
        <w:rPr>
          <w:rFonts w:cs="Arial"/>
        </w:rPr>
      </w:pPr>
      <w:r>
        <w:rPr>
          <w:rFonts w:cs="Arial"/>
        </w:rPr>
        <w:t>b)</w:t>
      </w:r>
      <w:r>
        <w:rPr>
          <w:rFonts w:cs="Arial"/>
        </w:rPr>
        <w:tab/>
        <w:t>in zweiter Linie</w:t>
      </w:r>
    </w:p>
    <w:p w:rsidR="00000000" w:rsidRDefault="00CE27AF">
      <w:pPr>
        <w:pStyle w:val="GesAbsatz"/>
        <w:ind w:left="426" w:hanging="426"/>
        <w:rPr>
          <w:rFonts w:cs="Arial"/>
        </w:rPr>
      </w:pPr>
      <w:r>
        <w:rPr>
          <w:rFonts w:cs="Arial"/>
        </w:rPr>
        <w:t>i)</w:t>
      </w:r>
      <w:r>
        <w:rPr>
          <w:rFonts w:cs="Arial"/>
        </w:rPr>
        <w:tab/>
        <w:t>die</w:t>
      </w:r>
      <w:r>
        <w:rPr>
          <w:rFonts w:cs="Arial"/>
        </w:rPr>
        <w:t xml:space="preserve"> Verwertung der Abfälle im Wege der Rückführung, der Wiederverwendung, des Wiedereinsatzes oder anderer Verwertungsvorgänge im Hinblick auf die G</w:t>
      </w:r>
      <w:r>
        <w:rPr>
          <w:rFonts w:cs="Arial"/>
        </w:rPr>
        <w:t>e</w:t>
      </w:r>
      <w:r>
        <w:rPr>
          <w:rFonts w:cs="Arial"/>
        </w:rPr>
        <w:t>winnung von sekundären Rohstoffen oder</w:t>
      </w:r>
    </w:p>
    <w:p w:rsidR="00000000" w:rsidRDefault="00CE27AF">
      <w:pPr>
        <w:pStyle w:val="GesAbsatz"/>
        <w:ind w:left="426" w:hanging="426"/>
        <w:rPr>
          <w:rFonts w:cs="Arial"/>
        </w:rPr>
      </w:pPr>
      <w:r>
        <w:rPr>
          <w:rFonts w:cs="Arial"/>
        </w:rPr>
        <w:t>ii)</w:t>
      </w:r>
      <w:r>
        <w:rPr>
          <w:rFonts w:cs="Arial"/>
        </w:rPr>
        <w:tab/>
        <w:t>die Nutzung von Abfällen zur Gewinnung von Energie.</w:t>
      </w:r>
    </w:p>
    <w:p w:rsidR="00000000" w:rsidRDefault="00CE27AF">
      <w:pPr>
        <w:pStyle w:val="GesAbsatz"/>
        <w:rPr>
          <w:rFonts w:cs="Arial"/>
        </w:rPr>
      </w:pPr>
      <w:r>
        <w:rPr>
          <w:rFonts w:cs="Arial"/>
        </w:rPr>
        <w:t xml:space="preserve">5. Anhang II A </w:t>
      </w:r>
      <w:r>
        <w:rPr>
          <w:rFonts w:cs="Arial"/>
        </w:rPr>
        <w:t>- Beseitigungsverfahren - der Richtlinie nennt unter D 10 die Verbrennung an Land.</w:t>
      </w:r>
    </w:p>
    <w:p w:rsidR="00000000" w:rsidRDefault="00CE27AF">
      <w:pPr>
        <w:pStyle w:val="GesAbsatz"/>
        <w:rPr>
          <w:rFonts w:cs="Arial"/>
        </w:rPr>
      </w:pPr>
      <w:r>
        <w:rPr>
          <w:rFonts w:cs="Arial"/>
        </w:rPr>
        <w:t>6. Anhang II B - Verwertungsverfahren - der Richtlinie führt unter R 1 die Hauptverwendung als Bren</w:t>
      </w:r>
      <w:r>
        <w:rPr>
          <w:rFonts w:cs="Arial"/>
        </w:rPr>
        <w:t>n</w:t>
      </w:r>
      <w:r>
        <w:rPr>
          <w:rFonts w:cs="Arial"/>
        </w:rPr>
        <w:t>stoff oder andere Mittel der Energieerzeugung an.</w:t>
      </w:r>
    </w:p>
    <w:p w:rsidR="00000000" w:rsidRDefault="00CE27AF">
      <w:pPr>
        <w:pStyle w:val="GesAbsatz"/>
        <w:rPr>
          <w:rFonts w:cs="Arial"/>
        </w:rPr>
      </w:pPr>
      <w:r>
        <w:rPr>
          <w:rFonts w:cs="Arial"/>
        </w:rPr>
        <w:t>Die Verordnung</w:t>
      </w:r>
    </w:p>
    <w:p w:rsidR="00000000" w:rsidRDefault="00CE27AF">
      <w:pPr>
        <w:pStyle w:val="GesAbsatz"/>
        <w:rPr>
          <w:rFonts w:cs="Arial"/>
        </w:rPr>
      </w:pPr>
      <w:r>
        <w:rPr>
          <w:rFonts w:cs="Arial"/>
        </w:rPr>
        <w:t>7. Die V</w:t>
      </w:r>
      <w:r>
        <w:rPr>
          <w:rFonts w:cs="Arial"/>
        </w:rPr>
        <w:t>erordnung regelt namentlich die Überwachung und Kontrolle der Verbringung von Abfällen zw</w:t>
      </w:r>
      <w:r>
        <w:rPr>
          <w:rFonts w:cs="Arial"/>
        </w:rPr>
        <w:t>i</w:t>
      </w:r>
      <w:r>
        <w:rPr>
          <w:rFonts w:cs="Arial"/>
        </w:rPr>
        <w:t>schen Mitgliedstaaten.</w:t>
      </w:r>
    </w:p>
    <w:p w:rsidR="00000000" w:rsidRDefault="00CE27AF">
      <w:pPr>
        <w:pStyle w:val="GesAbsatz"/>
        <w:rPr>
          <w:rFonts w:cs="Arial"/>
        </w:rPr>
      </w:pPr>
      <w:r>
        <w:rPr>
          <w:rFonts w:cs="Arial"/>
        </w:rPr>
        <w:t>8. Sie definiert in Artikel 2 Buchstabe i Beseitigung als Beseitigung im Sinne des Artikels 1 Buchstabe e) der Richtlinie 75/442/EWG und in Art</w:t>
      </w:r>
      <w:r>
        <w:rPr>
          <w:rFonts w:cs="Arial"/>
        </w:rPr>
        <w:t>ikel 2 Buchstabe k Verwertung als Verwertung im Sinne des Artikels 1 Buchstabe f) der Richtlinie 75/442/EWG.</w:t>
      </w:r>
    </w:p>
    <w:p w:rsidR="00000000" w:rsidRDefault="00CE27AF">
      <w:pPr>
        <w:pStyle w:val="GesAbsatz"/>
        <w:rPr>
          <w:rFonts w:cs="Arial"/>
        </w:rPr>
      </w:pPr>
      <w:r>
        <w:rPr>
          <w:rFonts w:cs="Arial"/>
        </w:rPr>
        <w:t>9. Titel II - Verbringung von Abfällen zwischen Mitgliedstaaten - der Verordnung enthält u. a. zwei Abschni</w:t>
      </w:r>
      <w:r>
        <w:rPr>
          <w:rFonts w:cs="Arial"/>
        </w:rPr>
        <w:t>t</w:t>
      </w:r>
      <w:r>
        <w:rPr>
          <w:rFonts w:cs="Arial"/>
        </w:rPr>
        <w:t xml:space="preserve">te, von denen der eine in den Artikeln </w:t>
      </w:r>
      <w:r>
        <w:rPr>
          <w:rFonts w:cs="Arial"/>
        </w:rPr>
        <w:t>3 bis 5 die Verbringung von zur Beseitigung bestimmten Abfällen und der andere in den Artikeln 6 bis 11 die Verbringung von zur Verwertung bestimmten A</w:t>
      </w:r>
      <w:r>
        <w:rPr>
          <w:rFonts w:cs="Arial"/>
        </w:rPr>
        <w:t>b</w:t>
      </w:r>
      <w:r>
        <w:rPr>
          <w:rFonts w:cs="Arial"/>
        </w:rPr>
        <w:t>fällen behandelt. Das für die zweite Gruppe von Abfällen vorgesehene Verfahren ist weniger streng als da</w:t>
      </w:r>
      <w:r>
        <w:rPr>
          <w:rFonts w:cs="Arial"/>
        </w:rPr>
        <w:t>s für die erste Gruppe vo</w:t>
      </w:r>
      <w:r>
        <w:rPr>
          <w:rFonts w:cs="Arial"/>
        </w:rPr>
        <w:t>r</w:t>
      </w:r>
      <w:r>
        <w:rPr>
          <w:rFonts w:cs="Arial"/>
        </w:rPr>
        <w:t>gesehene.</w:t>
      </w:r>
    </w:p>
    <w:p w:rsidR="00000000" w:rsidRDefault="00CE27AF">
      <w:pPr>
        <w:pStyle w:val="GesAbsatz"/>
        <w:rPr>
          <w:rFonts w:cs="Arial"/>
        </w:rPr>
      </w:pPr>
      <w:r>
        <w:rPr>
          <w:rFonts w:cs="Arial"/>
        </w:rPr>
        <w:t>10. Gemäß Artikel 6 Absatz 1 der Verordnung notifiziert der Hersteller oder der Besitzer von Abfällen, der beabsichtigt, zur Verwertung bestimmte Abfälle des Anhangs III der Verordnung (Gelbe Abfallliste) von e</w:t>
      </w:r>
      <w:r>
        <w:rPr>
          <w:rFonts w:cs="Arial"/>
        </w:rPr>
        <w:t>i</w:t>
      </w:r>
      <w:r>
        <w:rPr>
          <w:rFonts w:cs="Arial"/>
        </w:rPr>
        <w:t>nem Mitgl</w:t>
      </w:r>
      <w:r>
        <w:rPr>
          <w:rFonts w:cs="Arial"/>
        </w:rPr>
        <w:t>iedstaat in einen anderen Mitgliedstaat zu verbringen und/oder sie durch einen oder mehrere a</w:t>
      </w:r>
      <w:r>
        <w:rPr>
          <w:rFonts w:cs="Arial"/>
        </w:rPr>
        <w:t>n</w:t>
      </w:r>
      <w:r>
        <w:rPr>
          <w:rFonts w:cs="Arial"/>
        </w:rPr>
        <w:t>dere Mitgliedstaaten durchzuführen, dies der zuständigen Behörde am Bestimmungsort und übermittelt den z</w:t>
      </w:r>
      <w:r>
        <w:rPr>
          <w:rFonts w:cs="Arial"/>
        </w:rPr>
        <w:t>u</w:t>
      </w:r>
      <w:r>
        <w:rPr>
          <w:rFonts w:cs="Arial"/>
        </w:rPr>
        <w:t>ständigen Behörden am Versandort und den zuständigen Tran</w:t>
      </w:r>
      <w:r>
        <w:rPr>
          <w:rFonts w:cs="Arial"/>
        </w:rPr>
        <w:t xml:space="preserve">sitbehörden sowie dem Empfänger eine Kopie des </w:t>
      </w:r>
      <w:proofErr w:type="spellStart"/>
      <w:r>
        <w:rPr>
          <w:rFonts w:cs="Arial"/>
        </w:rPr>
        <w:t>Notifizierungsschreibens</w:t>
      </w:r>
      <w:proofErr w:type="spellEnd"/>
      <w:r>
        <w:rPr>
          <w:rFonts w:cs="Arial"/>
        </w:rPr>
        <w:t>.</w:t>
      </w:r>
    </w:p>
    <w:p w:rsidR="00000000" w:rsidRDefault="00CE27AF">
      <w:pPr>
        <w:pStyle w:val="GesAbsatz"/>
        <w:rPr>
          <w:rFonts w:cs="Arial"/>
        </w:rPr>
      </w:pPr>
      <w:r>
        <w:rPr>
          <w:rFonts w:cs="Arial"/>
        </w:rPr>
        <w:t>11. Artikel 7 Absatz 2 der Verordnung legt die Frist sowie die Bedingungen und Modalitäten fest, die von den zuständigen Behörden am Bestimmungsort und am Versandort sowie der für die</w:t>
      </w:r>
      <w:r>
        <w:rPr>
          <w:rFonts w:cs="Arial"/>
        </w:rPr>
        <w:t xml:space="preserve"> Durchfuhr zuständigen B</w:t>
      </w:r>
      <w:r>
        <w:rPr>
          <w:rFonts w:cs="Arial"/>
        </w:rPr>
        <w:t>e</w:t>
      </w:r>
      <w:r>
        <w:rPr>
          <w:rFonts w:cs="Arial"/>
        </w:rPr>
        <w:t>hörde bei der Erhebung von Einwänden gegen eine notifizierte geplante Verbringung von zur Verwertung bestimmten Abfällen eingehalten werden müssen. Nach dieser Vorschrift sind die Einwände auf Artikel 7 Absatz 4 zu stützen.</w:t>
      </w:r>
    </w:p>
    <w:p w:rsidR="00000000" w:rsidRDefault="00CE27AF">
      <w:pPr>
        <w:pStyle w:val="GesAbsatz"/>
        <w:rPr>
          <w:rFonts w:cs="Arial"/>
        </w:rPr>
      </w:pPr>
      <w:r>
        <w:rPr>
          <w:rFonts w:cs="Arial"/>
        </w:rPr>
        <w:t>12. Art</w:t>
      </w:r>
      <w:r>
        <w:rPr>
          <w:rFonts w:cs="Arial"/>
        </w:rPr>
        <w:t>ikel 7 Absatz 4 Buchstabe a der Verordnung sieht vor:</w:t>
      </w:r>
    </w:p>
    <w:p w:rsidR="00000000" w:rsidRDefault="00CE27AF">
      <w:pPr>
        <w:pStyle w:val="GesAbsatz"/>
        <w:rPr>
          <w:rFonts w:cs="Arial"/>
        </w:rPr>
      </w:pPr>
      <w:r>
        <w:rPr>
          <w:rFonts w:cs="Arial"/>
        </w:rPr>
        <w:t>Die zuständigen Behörden am Versandort und am Bestimmungsort können gegen die geplante Verbringung mit Gründen zu versehende Einwände erheben, und zwar</w:t>
      </w:r>
    </w:p>
    <w:p w:rsidR="00000000" w:rsidRDefault="00CE27AF">
      <w:pPr>
        <w:pStyle w:val="GesAbsatz"/>
        <w:ind w:left="426" w:hanging="426"/>
        <w:rPr>
          <w:rFonts w:cs="Arial"/>
        </w:rPr>
      </w:pPr>
      <w:r>
        <w:rPr>
          <w:rFonts w:cs="Arial"/>
        </w:rPr>
        <w:t>-</w:t>
      </w:r>
      <w:r>
        <w:rPr>
          <w:rFonts w:cs="Arial"/>
        </w:rPr>
        <w:tab/>
        <w:t>gemäß der Richtlinie 75/442/EWG, insbesondere ..</w:t>
      </w:r>
      <w:r>
        <w:rPr>
          <w:rFonts w:cs="Arial"/>
        </w:rPr>
        <w:t>. Artikel 7; oder</w:t>
      </w:r>
    </w:p>
    <w:p w:rsidR="00000000" w:rsidRDefault="00CE27AF">
      <w:pPr>
        <w:pStyle w:val="GesAbsatz"/>
        <w:ind w:left="426" w:hanging="426"/>
        <w:rPr>
          <w:rFonts w:cs="Arial"/>
        </w:rPr>
      </w:pPr>
      <w:r>
        <w:rPr>
          <w:rFonts w:cs="Arial"/>
        </w:rPr>
        <w:t>-</w:t>
      </w:r>
      <w:r>
        <w:rPr>
          <w:rFonts w:cs="Arial"/>
        </w:rPr>
        <w:tab/>
        <w:t>wenn die Verbringung nicht gemäß den einzelstaatlichen Rechts- und Verwa</w:t>
      </w:r>
      <w:r>
        <w:rPr>
          <w:rFonts w:cs="Arial"/>
        </w:rPr>
        <w:t>l</w:t>
      </w:r>
      <w:r>
        <w:rPr>
          <w:rFonts w:cs="Arial"/>
        </w:rPr>
        <w:t>tungsvorschriften zum Schutz der Umwelt, zur Wahrung der öffentlichen Sicherheit und Ordnung oder zum Schutz der G</w:t>
      </w:r>
      <w:r>
        <w:rPr>
          <w:rFonts w:cs="Arial"/>
        </w:rPr>
        <w:t>e</w:t>
      </w:r>
      <w:r>
        <w:rPr>
          <w:rFonts w:cs="Arial"/>
        </w:rPr>
        <w:t>sundheit e</w:t>
      </w:r>
      <w:r>
        <w:rPr>
          <w:rFonts w:cs="Arial"/>
        </w:rPr>
        <w:t>r</w:t>
      </w:r>
      <w:r>
        <w:rPr>
          <w:rFonts w:cs="Arial"/>
        </w:rPr>
        <w:t>folgt; oder</w:t>
      </w:r>
    </w:p>
    <w:p w:rsidR="00000000" w:rsidRDefault="00CE27AF">
      <w:pPr>
        <w:pStyle w:val="GesAbsatz"/>
        <w:ind w:left="426" w:hanging="426"/>
        <w:rPr>
          <w:rFonts w:cs="Arial"/>
        </w:rPr>
      </w:pPr>
      <w:r>
        <w:rPr>
          <w:rFonts w:cs="Arial"/>
        </w:rPr>
        <w:t>-</w:t>
      </w:r>
      <w:r>
        <w:rPr>
          <w:rFonts w:cs="Arial"/>
        </w:rPr>
        <w:tab/>
        <w:t>wenn die notifizierende</w:t>
      </w:r>
      <w:r>
        <w:rPr>
          <w:rFonts w:cs="Arial"/>
        </w:rPr>
        <w:t xml:space="preserve"> Person oder der Empfänger sich in der Vergangenheit illegale Transporte hat zuschulden kommen lassen. In diesem Fall kann die zuständige Behörde am Versandort jede Verbri</w:t>
      </w:r>
      <w:r>
        <w:rPr>
          <w:rFonts w:cs="Arial"/>
        </w:rPr>
        <w:t>n</w:t>
      </w:r>
      <w:r>
        <w:rPr>
          <w:rFonts w:cs="Arial"/>
        </w:rPr>
        <w:t>gung im Zusammenhang mit der betreffenden Person nach einzelstaatlichen Rechtsvorsch</w:t>
      </w:r>
      <w:r>
        <w:rPr>
          <w:rFonts w:cs="Arial"/>
        </w:rPr>
        <w:t>riften able</w:t>
      </w:r>
      <w:r>
        <w:rPr>
          <w:rFonts w:cs="Arial"/>
        </w:rPr>
        <w:t>h</w:t>
      </w:r>
      <w:r>
        <w:rPr>
          <w:rFonts w:cs="Arial"/>
        </w:rPr>
        <w:t>nen; oder</w:t>
      </w:r>
    </w:p>
    <w:p w:rsidR="00000000" w:rsidRDefault="00CE27AF">
      <w:pPr>
        <w:pStyle w:val="GesAbsatz"/>
        <w:ind w:left="426" w:hanging="426"/>
        <w:rPr>
          <w:rFonts w:cs="Arial"/>
        </w:rPr>
      </w:pPr>
      <w:r>
        <w:rPr>
          <w:rFonts w:cs="Arial"/>
        </w:rPr>
        <w:t>-</w:t>
      </w:r>
      <w:r>
        <w:rPr>
          <w:rFonts w:cs="Arial"/>
        </w:rPr>
        <w:tab/>
        <w:t>wenn die Verbringung gegen Verpflichtungen aus internationalen Übereinkommen verstößt, die der b</w:t>
      </w:r>
      <w:r>
        <w:rPr>
          <w:rFonts w:cs="Arial"/>
        </w:rPr>
        <w:t>e</w:t>
      </w:r>
      <w:r>
        <w:rPr>
          <w:rFonts w:cs="Arial"/>
        </w:rPr>
        <w:t>troff</w:t>
      </w:r>
      <w:r>
        <w:rPr>
          <w:rFonts w:cs="Arial"/>
        </w:rPr>
        <w:t>e</w:t>
      </w:r>
      <w:r>
        <w:rPr>
          <w:rFonts w:cs="Arial"/>
        </w:rPr>
        <w:t>ne Mitgliedstaat geschlossen hat bzw. die die betroffenen Mitgliedstaaten geschlossen haben; oder</w:t>
      </w:r>
    </w:p>
    <w:p w:rsidR="00000000" w:rsidRDefault="00CE27AF">
      <w:pPr>
        <w:pStyle w:val="GesAbsatz"/>
        <w:ind w:left="426" w:hanging="426"/>
        <w:rPr>
          <w:rFonts w:cs="Arial"/>
        </w:rPr>
      </w:pPr>
      <w:r>
        <w:rPr>
          <w:rFonts w:cs="Arial"/>
        </w:rPr>
        <w:t>-</w:t>
      </w:r>
      <w:r>
        <w:rPr>
          <w:rFonts w:cs="Arial"/>
        </w:rPr>
        <w:tab/>
        <w:t>wenn der Anteil an verwertbar</w:t>
      </w:r>
      <w:r>
        <w:rPr>
          <w:rFonts w:cs="Arial"/>
        </w:rPr>
        <w:t>em und nicht verwertbarem Abfall, der geschätzte Wert der letztlich ve</w:t>
      </w:r>
      <w:r>
        <w:rPr>
          <w:rFonts w:cs="Arial"/>
        </w:rPr>
        <w:t>r</w:t>
      </w:r>
      <w:r>
        <w:rPr>
          <w:rFonts w:cs="Arial"/>
        </w:rPr>
        <w:t>wertbaren Stoffe oder die Kosten der Verwertung und die Kosten der Beseitigung des nicht verwertb</w:t>
      </w:r>
      <w:r>
        <w:rPr>
          <w:rFonts w:cs="Arial"/>
        </w:rPr>
        <w:t>a</w:t>
      </w:r>
      <w:r>
        <w:rPr>
          <w:rFonts w:cs="Arial"/>
        </w:rPr>
        <w:lastRenderedPageBreak/>
        <w:t>ren Anteils eine Verwertung unter wirtschaftlichen und ökologischen Gesichtspunkten nic</w:t>
      </w:r>
      <w:r>
        <w:rPr>
          <w:rFonts w:cs="Arial"/>
        </w:rPr>
        <w:t>ht rechtfert</w:t>
      </w:r>
      <w:r>
        <w:rPr>
          <w:rFonts w:cs="Arial"/>
        </w:rPr>
        <w:t>i</w:t>
      </w:r>
      <w:r>
        <w:rPr>
          <w:rFonts w:cs="Arial"/>
        </w:rPr>
        <w:t>gen.</w:t>
      </w:r>
    </w:p>
    <w:p w:rsidR="00000000" w:rsidRDefault="00CE27AF">
      <w:pPr>
        <w:pStyle w:val="GesAbsatz"/>
        <w:rPr>
          <w:rFonts w:cs="Arial"/>
        </w:rPr>
      </w:pPr>
      <w:r>
        <w:rPr>
          <w:rFonts w:cs="Arial"/>
          <w:i/>
          <w:iCs/>
        </w:rPr>
        <w:t>Deutsches Recht</w:t>
      </w:r>
    </w:p>
    <w:p w:rsidR="00000000" w:rsidRDefault="00CE27AF">
      <w:pPr>
        <w:pStyle w:val="GesAbsatz"/>
        <w:rPr>
          <w:rFonts w:cs="Arial"/>
        </w:rPr>
      </w:pPr>
      <w:r>
        <w:rPr>
          <w:rFonts w:cs="Arial"/>
        </w:rPr>
        <w:t xml:space="preserve">13. Am 19. Juni 1995 und 8. Dezember 1995 erließen das Umweltministerium des Landes Nordrhein-Westfalen und am 24. März 1995 das Umweltministerium des Landes Baden-Württemberg Rundschreiben zur Verbringung von Abfällen in </w:t>
      </w:r>
      <w:r>
        <w:rPr>
          <w:rFonts w:cs="Arial"/>
        </w:rPr>
        <w:t>andere Mitgliedstaaten zur Verbrennung in der Zementi</w:t>
      </w:r>
      <w:r>
        <w:rPr>
          <w:rFonts w:cs="Arial"/>
        </w:rPr>
        <w:t>n</w:t>
      </w:r>
      <w:r>
        <w:rPr>
          <w:rFonts w:cs="Arial"/>
        </w:rPr>
        <w:t>dustrie.</w:t>
      </w:r>
    </w:p>
    <w:p w:rsidR="00000000" w:rsidRDefault="00CE27AF">
      <w:pPr>
        <w:pStyle w:val="GesAbsatz"/>
        <w:rPr>
          <w:rFonts w:cs="Arial"/>
        </w:rPr>
      </w:pPr>
      <w:r>
        <w:rPr>
          <w:rFonts w:cs="Arial"/>
        </w:rPr>
        <w:t>14. Diese Rundschreiben stellen Unterscheidungskriterien dafür auf, ob eine Abfallverbringung eine Verwe</w:t>
      </w:r>
      <w:r>
        <w:rPr>
          <w:rFonts w:cs="Arial"/>
        </w:rPr>
        <w:t>r</w:t>
      </w:r>
      <w:r>
        <w:rPr>
          <w:rFonts w:cs="Arial"/>
        </w:rPr>
        <w:t>tungs- oder eine Beseitigungsmaßnahme darstellt.</w:t>
      </w:r>
    </w:p>
    <w:p w:rsidR="00000000" w:rsidRDefault="00CE27AF">
      <w:pPr>
        <w:pStyle w:val="GesAbsatz"/>
        <w:rPr>
          <w:rFonts w:cs="Arial"/>
        </w:rPr>
      </w:pPr>
      <w:r>
        <w:rPr>
          <w:rFonts w:cs="Arial"/>
        </w:rPr>
        <w:t>15. Diese Kriterien orientieren sich an</w:t>
      </w:r>
      <w:r>
        <w:rPr>
          <w:rFonts w:cs="Arial"/>
        </w:rPr>
        <w:t xml:space="preserve"> den allgemeinen Kriterien des Kreislaufwirtschafts- und Abfallgese</w:t>
      </w:r>
      <w:r>
        <w:rPr>
          <w:rFonts w:cs="Arial"/>
        </w:rPr>
        <w:t>t</w:t>
      </w:r>
      <w:r>
        <w:rPr>
          <w:rFonts w:cs="Arial"/>
        </w:rPr>
        <w:t>zes vom 27. September 1994 (BGBl. 1994 I, S. 2705) zur Abgrenzung der energetischen Verwe</w:t>
      </w:r>
      <w:r>
        <w:rPr>
          <w:rFonts w:cs="Arial"/>
        </w:rPr>
        <w:t>r</w:t>
      </w:r>
      <w:r>
        <w:rPr>
          <w:rFonts w:cs="Arial"/>
        </w:rPr>
        <w:t>tung von der thermischen Behandlung, d. h. der Beseitigung, bei rein innerstaatlichen Vorgängen.</w:t>
      </w:r>
    </w:p>
    <w:p w:rsidR="00000000" w:rsidRDefault="00CE27AF">
      <w:pPr>
        <w:pStyle w:val="GesAbsatz"/>
        <w:rPr>
          <w:rFonts w:cs="Arial"/>
        </w:rPr>
      </w:pPr>
      <w:r>
        <w:rPr>
          <w:rFonts w:cs="Arial"/>
        </w:rPr>
        <w:t>1</w:t>
      </w:r>
      <w:r>
        <w:rPr>
          <w:rFonts w:cs="Arial"/>
        </w:rPr>
        <w:t>6. So fallen nach den in Randnummer 13 des vorliegenden Urteils erwähnten Rundschreiben nur so</w:t>
      </w:r>
      <w:r>
        <w:rPr>
          <w:rFonts w:cs="Arial"/>
        </w:rPr>
        <w:t>l</w:t>
      </w:r>
      <w:r>
        <w:rPr>
          <w:rFonts w:cs="Arial"/>
        </w:rPr>
        <w:t>che Abfälle unter das in R 1 des Anhangs II B der Richtlinie 75/442 genannte Verfahren,</w:t>
      </w:r>
    </w:p>
    <w:p w:rsidR="00000000" w:rsidRDefault="00CE27AF">
      <w:pPr>
        <w:pStyle w:val="GesAbsatz"/>
        <w:ind w:left="426" w:hanging="426"/>
        <w:rPr>
          <w:rFonts w:cs="Arial"/>
        </w:rPr>
      </w:pPr>
      <w:r>
        <w:rPr>
          <w:rFonts w:cs="Arial"/>
        </w:rPr>
        <w:t>-</w:t>
      </w:r>
      <w:r>
        <w:rPr>
          <w:rFonts w:cs="Arial"/>
        </w:rPr>
        <w:tab/>
        <w:t>deren Hauptzweck auf eine Verwendung als Brennstoff gerichtet ist;</w:t>
      </w:r>
    </w:p>
    <w:p w:rsidR="00000000" w:rsidRDefault="00CE27AF">
      <w:pPr>
        <w:pStyle w:val="GesAbsatz"/>
        <w:ind w:left="426" w:hanging="426"/>
        <w:rPr>
          <w:rFonts w:cs="Arial"/>
        </w:rPr>
      </w:pPr>
      <w:r>
        <w:rPr>
          <w:rFonts w:cs="Arial"/>
        </w:rPr>
        <w:t>-</w:t>
      </w:r>
      <w:r>
        <w:rPr>
          <w:rFonts w:cs="Arial"/>
        </w:rPr>
        <w:tab/>
        <w:t>di</w:t>
      </w:r>
      <w:r>
        <w:rPr>
          <w:rFonts w:cs="Arial"/>
        </w:rPr>
        <w:t>e einen Mindestheizwert von 11 000 kJ/kg aufweisen;</w:t>
      </w:r>
    </w:p>
    <w:p w:rsidR="00000000" w:rsidRDefault="00CE27AF">
      <w:pPr>
        <w:pStyle w:val="GesAbsatz"/>
        <w:ind w:left="426" w:hanging="426"/>
        <w:rPr>
          <w:rFonts w:cs="Arial"/>
        </w:rPr>
      </w:pPr>
      <w:r>
        <w:rPr>
          <w:rFonts w:cs="Arial"/>
        </w:rPr>
        <w:t>-</w:t>
      </w:r>
      <w:r>
        <w:rPr>
          <w:rFonts w:cs="Arial"/>
        </w:rPr>
        <w:tab/>
        <w:t>bei deren Verbrennung ein Feuerungswirkungsgrad von mindestens 75 % erreicht wird;</w:t>
      </w:r>
    </w:p>
    <w:p w:rsidR="00000000" w:rsidRDefault="00CE27AF">
      <w:pPr>
        <w:pStyle w:val="GesAbsatz"/>
        <w:ind w:left="426" w:hanging="426"/>
        <w:rPr>
          <w:rFonts w:cs="Arial"/>
        </w:rPr>
      </w:pPr>
      <w:r>
        <w:rPr>
          <w:rFonts w:cs="Arial"/>
        </w:rPr>
        <w:t>-</w:t>
      </w:r>
      <w:r>
        <w:rPr>
          <w:rFonts w:cs="Arial"/>
        </w:rPr>
        <w:tab/>
        <w:t>deren Verunreinigungen eine schadlose Verwertung erwarten lassen und</w:t>
      </w:r>
    </w:p>
    <w:p w:rsidR="00000000" w:rsidRDefault="00CE27AF">
      <w:pPr>
        <w:pStyle w:val="GesAbsatz"/>
        <w:ind w:left="426" w:hanging="426"/>
        <w:rPr>
          <w:rFonts w:cs="Arial"/>
        </w:rPr>
      </w:pPr>
      <w:r>
        <w:rPr>
          <w:rFonts w:cs="Arial"/>
        </w:rPr>
        <w:t>-</w:t>
      </w:r>
      <w:r>
        <w:rPr>
          <w:rFonts w:cs="Arial"/>
        </w:rPr>
        <w:tab/>
        <w:t>die die vorgenannten Parameter erreichen, ohne</w:t>
      </w:r>
      <w:r>
        <w:rPr>
          <w:rFonts w:cs="Arial"/>
        </w:rPr>
        <w:t xml:space="preserve"> dass es dazu einer Verm</w:t>
      </w:r>
      <w:r>
        <w:rPr>
          <w:rFonts w:cs="Arial"/>
        </w:rPr>
        <w:t>i</w:t>
      </w:r>
      <w:r>
        <w:rPr>
          <w:rFonts w:cs="Arial"/>
        </w:rPr>
        <w:t>schung/Konditionierung mit hochbrennbaren Abfällen bedarf.</w:t>
      </w:r>
    </w:p>
    <w:p w:rsidR="00000000" w:rsidRDefault="00CE27AF">
      <w:pPr>
        <w:pStyle w:val="GesAbsatz"/>
        <w:rPr>
          <w:rFonts w:cs="Arial"/>
        </w:rPr>
      </w:pPr>
      <w:r>
        <w:rPr>
          <w:rFonts w:cs="Arial"/>
        </w:rPr>
        <w:t>17. Die deutsche Regierung hat außerdem erklärt, dass sich auch die Länder Niedersachsen und Rhei</w:t>
      </w:r>
      <w:r>
        <w:rPr>
          <w:rFonts w:cs="Arial"/>
        </w:rPr>
        <w:t>n</w:t>
      </w:r>
      <w:r>
        <w:rPr>
          <w:rFonts w:cs="Arial"/>
        </w:rPr>
        <w:t>land-Pfalz bei der Bestimmung der Kriterien zur Unterscheidung zwischen Ve</w:t>
      </w:r>
      <w:r>
        <w:rPr>
          <w:rFonts w:cs="Arial"/>
        </w:rPr>
        <w:t>rwertung und Beseit</w:t>
      </w:r>
      <w:r>
        <w:rPr>
          <w:rFonts w:cs="Arial"/>
        </w:rPr>
        <w:t>i</w:t>
      </w:r>
      <w:r>
        <w:rPr>
          <w:rFonts w:cs="Arial"/>
        </w:rPr>
        <w:t>gung bei der Verbrennung von Abfällen am Kreislaufwirtschafts- und Abfallgesetz orientiert hätten.</w:t>
      </w:r>
    </w:p>
    <w:p w:rsidR="00000000" w:rsidRDefault="00CE27AF">
      <w:pPr>
        <w:pStyle w:val="GesAbsatz"/>
        <w:rPr>
          <w:rFonts w:cs="Arial"/>
        </w:rPr>
      </w:pPr>
      <w:r>
        <w:rPr>
          <w:rFonts w:cs="Arial"/>
          <w:b/>
          <w:bCs/>
        </w:rPr>
        <w:t>Vorverfahren</w:t>
      </w:r>
    </w:p>
    <w:p w:rsidR="00000000" w:rsidRDefault="00CE27AF">
      <w:pPr>
        <w:pStyle w:val="GesAbsatz"/>
        <w:rPr>
          <w:rFonts w:cs="Arial"/>
        </w:rPr>
      </w:pPr>
      <w:r>
        <w:rPr>
          <w:rFonts w:cs="Arial"/>
        </w:rPr>
        <w:t>18. Auf eine bei ihr eingereichte Beschwerde hin forderte die Kommission die Bundesrepublik Deutsc</w:t>
      </w:r>
      <w:r>
        <w:rPr>
          <w:rFonts w:cs="Arial"/>
        </w:rPr>
        <w:t>h</w:t>
      </w:r>
      <w:r>
        <w:rPr>
          <w:rFonts w:cs="Arial"/>
        </w:rPr>
        <w:t>land mit Schreiben vom 3.</w:t>
      </w:r>
      <w:r>
        <w:rPr>
          <w:rFonts w:cs="Arial"/>
        </w:rPr>
        <w:t xml:space="preserve"> Juli 1997 auf, sich binnen zwei Monaten zu dem Vorwurf zu äußern, die deutschen Behö</w:t>
      </w:r>
      <w:r>
        <w:rPr>
          <w:rFonts w:cs="Arial"/>
        </w:rPr>
        <w:t>r</w:t>
      </w:r>
      <w:r>
        <w:rPr>
          <w:rFonts w:cs="Arial"/>
        </w:rPr>
        <w:t>den hätten dadurch gegen Artikel 7 Absätze 2 und 4 der Verordnung verstoßen, dass sie gegen die Verbri</w:t>
      </w:r>
      <w:r>
        <w:rPr>
          <w:rFonts w:cs="Arial"/>
        </w:rPr>
        <w:t>n</w:t>
      </w:r>
      <w:r>
        <w:rPr>
          <w:rFonts w:cs="Arial"/>
        </w:rPr>
        <w:t xml:space="preserve">gung von Abfällen nach Belgien Einwände mit der Begründung erhoben </w:t>
      </w:r>
      <w:r>
        <w:rPr>
          <w:rFonts w:cs="Arial"/>
        </w:rPr>
        <w:t>hätten, es handele sich um zu beseitigende Abfälle und nicht, wie von der notifizierenden Person angegeben, um zu verwertende Abfä</w:t>
      </w:r>
      <w:r>
        <w:rPr>
          <w:rFonts w:cs="Arial"/>
        </w:rPr>
        <w:t>l</w:t>
      </w:r>
      <w:r>
        <w:rPr>
          <w:rFonts w:cs="Arial"/>
        </w:rPr>
        <w:t>le. Nach Auffassung der Kommission hätten die betreffenden Abfälle dem Hauptzweck nach als Brennstoff in der belgischen Zemen</w:t>
      </w:r>
      <w:r>
        <w:rPr>
          <w:rFonts w:cs="Arial"/>
        </w:rPr>
        <w:t>tindustrie verwendet und daher tatsächlich verwertet werden sollen, so dass die z</w:t>
      </w:r>
      <w:r>
        <w:rPr>
          <w:rFonts w:cs="Arial"/>
        </w:rPr>
        <w:t>u</w:t>
      </w:r>
      <w:r>
        <w:rPr>
          <w:rFonts w:cs="Arial"/>
        </w:rPr>
        <w:t>ständigen Behörden nur gemäß Artikel 7 Absatz 4 der Verordnung Einwände gegen ihre Verbringung hätten erheben können.</w:t>
      </w:r>
    </w:p>
    <w:p w:rsidR="00000000" w:rsidRDefault="00CE27AF">
      <w:pPr>
        <w:pStyle w:val="GesAbsatz"/>
        <w:rPr>
          <w:rFonts w:cs="Arial"/>
        </w:rPr>
      </w:pPr>
      <w:r>
        <w:rPr>
          <w:rFonts w:cs="Arial"/>
        </w:rPr>
        <w:t>19. In der nach einer Verlängerung der Antwortfrist am 3</w:t>
      </w:r>
      <w:r>
        <w:rPr>
          <w:rFonts w:cs="Arial"/>
        </w:rPr>
        <w:t>0. Dezember 1997 übermittelten Antwort auf dieses Mahnschreiben machte die Bundesrepublik Deutschland geltend, dass die streitigen Abfälle, da der Haup</w:t>
      </w:r>
      <w:r>
        <w:rPr>
          <w:rFonts w:cs="Arial"/>
        </w:rPr>
        <w:t>t</w:t>
      </w:r>
      <w:r>
        <w:rPr>
          <w:rFonts w:cs="Arial"/>
        </w:rPr>
        <w:t>zweck ihrer Verbrennung nach den verschiedenen Kriterien nicht in der Energiegewi</w:t>
      </w:r>
      <w:r>
        <w:rPr>
          <w:rFonts w:cs="Arial"/>
        </w:rPr>
        <w:t>n</w:t>
      </w:r>
      <w:r>
        <w:rPr>
          <w:rFonts w:cs="Arial"/>
        </w:rPr>
        <w:t>nung gesehen werden kö</w:t>
      </w:r>
      <w:r>
        <w:rPr>
          <w:rFonts w:cs="Arial"/>
        </w:rPr>
        <w:t>nne, nicht Gegenstand eines Verwertungsverfahrens nach R 1 des A</w:t>
      </w:r>
      <w:r>
        <w:rPr>
          <w:rFonts w:cs="Arial"/>
        </w:rPr>
        <w:t>n</w:t>
      </w:r>
      <w:r>
        <w:rPr>
          <w:rFonts w:cs="Arial"/>
        </w:rPr>
        <w:t>hangs II B der Richtlinie, sondern eines einfachen Beseitigungsverfahrens nach D 10 des Anhangs II A dieser Richtlinie seien.</w:t>
      </w:r>
    </w:p>
    <w:p w:rsidR="00000000" w:rsidRDefault="00CE27AF">
      <w:pPr>
        <w:pStyle w:val="GesAbsatz"/>
        <w:rPr>
          <w:rFonts w:cs="Arial"/>
        </w:rPr>
      </w:pPr>
      <w:r>
        <w:rPr>
          <w:rFonts w:cs="Arial"/>
        </w:rPr>
        <w:t xml:space="preserve">20. Da die Kommission diese Antwort nicht für zufrieden stellend </w:t>
      </w:r>
      <w:r>
        <w:rPr>
          <w:rFonts w:cs="Arial"/>
        </w:rPr>
        <w:t>hielt, richtete sie mit Schreiben vom 19. Februar 1999 eine mit Gründen versehene Stellungnahme an die Bundesrepublik Deutschland, in der sie eine weitere bei ihr eingereichte, die Verbringung von Abfällen nach Belgien betreffende Beschwerde e</w:t>
      </w:r>
      <w:r>
        <w:rPr>
          <w:rFonts w:cs="Arial"/>
        </w:rPr>
        <w:t>r</w:t>
      </w:r>
      <w:r>
        <w:rPr>
          <w:rFonts w:cs="Arial"/>
        </w:rPr>
        <w:t>wäh</w:t>
      </w:r>
      <w:r>
        <w:rPr>
          <w:rFonts w:cs="Arial"/>
        </w:rPr>
        <w:t>n</w:t>
      </w:r>
      <w:r>
        <w:rPr>
          <w:rFonts w:cs="Arial"/>
        </w:rPr>
        <w:t>te und i</w:t>
      </w:r>
      <w:r>
        <w:rPr>
          <w:rFonts w:cs="Arial"/>
        </w:rPr>
        <w:t>hre Auffassung wiederholte, dass die streitigen Abfallverbringungen zum einen tatsächlich Ve</w:t>
      </w:r>
      <w:r>
        <w:rPr>
          <w:rFonts w:cs="Arial"/>
        </w:rPr>
        <w:t>r</w:t>
      </w:r>
      <w:r>
        <w:rPr>
          <w:rFonts w:cs="Arial"/>
        </w:rPr>
        <w:t>wertungsverfahren beträfen und die von den zuständigen deutschen Behörden zur Einordnung eines Abfal</w:t>
      </w:r>
      <w:r>
        <w:rPr>
          <w:rFonts w:cs="Arial"/>
        </w:rPr>
        <w:t>l</w:t>
      </w:r>
      <w:r>
        <w:rPr>
          <w:rFonts w:cs="Arial"/>
        </w:rPr>
        <w:t xml:space="preserve">behandlungsverfahrens angewandten Kriterien zum anderen gegen </w:t>
      </w:r>
      <w:r>
        <w:rPr>
          <w:rFonts w:cs="Arial"/>
        </w:rPr>
        <w:t>Gemeinschaftsrecht verstießen. A</w:t>
      </w:r>
      <w:r>
        <w:rPr>
          <w:rFonts w:cs="Arial"/>
        </w:rPr>
        <w:t>b</w:t>
      </w:r>
      <w:r>
        <w:rPr>
          <w:rFonts w:cs="Arial"/>
        </w:rPr>
        <w:t>schließend stellte die Kommission fest, dass die Bundesrepublik Deutschland ihres Erachtens gegen Art</w:t>
      </w:r>
      <w:r>
        <w:rPr>
          <w:rFonts w:cs="Arial"/>
        </w:rPr>
        <w:t>i</w:t>
      </w:r>
      <w:r>
        <w:rPr>
          <w:rFonts w:cs="Arial"/>
        </w:rPr>
        <w:t>kel 7 Absätze 2 und 4 der Verordnung verstoßen habe, und forderte sie auf, dieser mit Gründen vers</w:t>
      </w:r>
      <w:r>
        <w:rPr>
          <w:rFonts w:cs="Arial"/>
        </w:rPr>
        <w:t>e</w:t>
      </w:r>
      <w:r>
        <w:rPr>
          <w:rFonts w:cs="Arial"/>
        </w:rPr>
        <w:t>henen Stellungnahme bi</w:t>
      </w:r>
      <w:r>
        <w:rPr>
          <w:rFonts w:cs="Arial"/>
        </w:rPr>
        <w:t>nnen zwei Monaten nach ihrer B</w:t>
      </w:r>
      <w:r>
        <w:rPr>
          <w:rFonts w:cs="Arial"/>
        </w:rPr>
        <w:t>e</w:t>
      </w:r>
      <w:r>
        <w:rPr>
          <w:rFonts w:cs="Arial"/>
        </w:rPr>
        <w:t>kanntgabe nachzukommen.</w:t>
      </w:r>
    </w:p>
    <w:p w:rsidR="00000000" w:rsidRDefault="00CE27AF">
      <w:pPr>
        <w:pStyle w:val="GesAbsatz"/>
        <w:rPr>
          <w:rFonts w:cs="Arial"/>
        </w:rPr>
      </w:pPr>
      <w:r>
        <w:rPr>
          <w:rFonts w:cs="Arial"/>
        </w:rPr>
        <w:t>21. Nach einem Antrag auf Verlängerung dieser Frist übermittelte die Bundesrepublik Deutschland der Kommi</w:t>
      </w:r>
      <w:r>
        <w:rPr>
          <w:rFonts w:cs="Arial"/>
        </w:rPr>
        <w:t>s</w:t>
      </w:r>
      <w:r>
        <w:rPr>
          <w:rFonts w:cs="Arial"/>
        </w:rPr>
        <w:t>sion ihre Antwort mit Schreiben vom 23. Juli 1999. In dieser Antwort wiederholte Deutschland im</w:t>
      </w:r>
      <w:r>
        <w:rPr>
          <w:rFonts w:cs="Arial"/>
        </w:rPr>
        <w:t xml:space="preserve"> Wesentlichen sein früheres Vorbringen. Es betonte, dass die nationalen Behörden die Mö</w:t>
      </w:r>
      <w:r>
        <w:rPr>
          <w:rFonts w:cs="Arial"/>
        </w:rPr>
        <w:t>g</w:t>
      </w:r>
      <w:r>
        <w:rPr>
          <w:rFonts w:cs="Arial"/>
        </w:rPr>
        <w:t>lichkeit haben müssten, die Kriterien zur Abgrenzung der Beseitigungs- und Verwertungsverfahren bei der Verbrennung von Abfällen näher zu bestimmen, wenn dazu auf Gemei</w:t>
      </w:r>
      <w:r>
        <w:rPr>
          <w:rFonts w:cs="Arial"/>
        </w:rPr>
        <w:t>nschaftsebene keine klaren Kriterien festgelegt worden seien.</w:t>
      </w:r>
    </w:p>
    <w:p w:rsidR="00000000" w:rsidRDefault="00CE27AF">
      <w:pPr>
        <w:pStyle w:val="GesAbsatz"/>
        <w:rPr>
          <w:rFonts w:cs="Arial"/>
        </w:rPr>
      </w:pPr>
      <w:r>
        <w:rPr>
          <w:rFonts w:cs="Arial"/>
        </w:rPr>
        <w:t>22. Die Kommission hat daraufhin die vorliegende Klage erhoben.</w:t>
      </w:r>
    </w:p>
    <w:p w:rsidR="00000000" w:rsidRDefault="00CE27AF">
      <w:pPr>
        <w:pStyle w:val="GesAbsatz"/>
        <w:rPr>
          <w:rFonts w:cs="Arial"/>
        </w:rPr>
      </w:pPr>
      <w:r>
        <w:rPr>
          <w:rFonts w:cs="Arial"/>
          <w:b/>
          <w:bCs/>
        </w:rPr>
        <w:t>Zur Zulässigkeit</w:t>
      </w:r>
    </w:p>
    <w:p w:rsidR="00000000" w:rsidRDefault="00CE27AF">
      <w:pPr>
        <w:pStyle w:val="GesAbsatz"/>
        <w:rPr>
          <w:rFonts w:cs="Arial"/>
        </w:rPr>
      </w:pPr>
      <w:r>
        <w:rPr>
          <w:rFonts w:cs="Arial"/>
        </w:rPr>
        <w:lastRenderedPageBreak/>
        <w:t>23. Die Bundesrepublik Deutschland erhebt eine Einrede der Unzulässigkeit. Die Kommission habe den Ve</w:t>
      </w:r>
      <w:r>
        <w:rPr>
          <w:rFonts w:cs="Arial"/>
        </w:rPr>
        <w:t>r</w:t>
      </w:r>
      <w:r>
        <w:rPr>
          <w:rFonts w:cs="Arial"/>
        </w:rPr>
        <w:t>fa</w:t>
      </w:r>
      <w:r>
        <w:rPr>
          <w:rFonts w:cs="Arial"/>
        </w:rPr>
        <w:t>h</w:t>
      </w:r>
      <w:r>
        <w:rPr>
          <w:rFonts w:cs="Arial"/>
        </w:rPr>
        <w:t>rensgege</w:t>
      </w:r>
      <w:r>
        <w:rPr>
          <w:rFonts w:cs="Arial"/>
        </w:rPr>
        <w:t>nstand weder im Vorverfahren noch in der Klageschrift so genau konkretisiert, dass sich die Bekla</w:t>
      </w:r>
      <w:r>
        <w:rPr>
          <w:rFonts w:cs="Arial"/>
        </w:rPr>
        <w:t>g</w:t>
      </w:r>
      <w:r>
        <w:rPr>
          <w:rFonts w:cs="Arial"/>
        </w:rPr>
        <w:t>te gegen die vorgebrachten Rügen habe verteidigen können.</w:t>
      </w:r>
    </w:p>
    <w:p w:rsidR="00000000" w:rsidRDefault="00CE27AF">
      <w:pPr>
        <w:pStyle w:val="GesAbsatz"/>
        <w:rPr>
          <w:rFonts w:cs="Arial"/>
        </w:rPr>
      </w:pPr>
      <w:r>
        <w:rPr>
          <w:rFonts w:cs="Arial"/>
        </w:rPr>
        <w:t>24. Die Kommission habe nicht klar angegeben, um welche behördlichen Einzelentscheidungen es sich ha</w:t>
      </w:r>
      <w:r>
        <w:rPr>
          <w:rFonts w:cs="Arial"/>
        </w:rPr>
        <w:t>ndle. Die drei in Randnummer 13 des vorliegenden Urteils genannten Rundschreiben der Länder Nor</w:t>
      </w:r>
      <w:r>
        <w:rPr>
          <w:rFonts w:cs="Arial"/>
        </w:rPr>
        <w:t>d</w:t>
      </w:r>
      <w:r>
        <w:rPr>
          <w:rFonts w:cs="Arial"/>
        </w:rPr>
        <w:t>rhein-Westfalen und Baden-Württemberg stellten keine Einwände gegen einzelne Verbringungen bestim</w:t>
      </w:r>
      <w:r>
        <w:rPr>
          <w:rFonts w:cs="Arial"/>
        </w:rPr>
        <w:t>m</w:t>
      </w:r>
      <w:r>
        <w:rPr>
          <w:rFonts w:cs="Arial"/>
        </w:rPr>
        <w:t xml:space="preserve">ter Abfälle dar, sondern legten lediglich allgemein bestimmte </w:t>
      </w:r>
      <w:r>
        <w:rPr>
          <w:rFonts w:cs="Arial"/>
        </w:rPr>
        <w:t>Kriterien zur Abgrenzung von thermischer Beseit</w:t>
      </w:r>
      <w:r>
        <w:rPr>
          <w:rFonts w:cs="Arial"/>
        </w:rPr>
        <w:t>i</w:t>
      </w:r>
      <w:r>
        <w:rPr>
          <w:rFonts w:cs="Arial"/>
        </w:rPr>
        <w:t>gung und energetischer Verwertung fest.</w:t>
      </w:r>
    </w:p>
    <w:p w:rsidR="00000000" w:rsidRDefault="00CE27AF">
      <w:pPr>
        <w:pStyle w:val="GesAbsatz"/>
        <w:rPr>
          <w:rFonts w:cs="Arial"/>
        </w:rPr>
      </w:pPr>
      <w:r>
        <w:rPr>
          <w:rFonts w:cs="Arial"/>
        </w:rPr>
        <w:t>25. Hierzu ist auf die ständige Rechtsprechung hinzuweisen, nach der das Vorverfahren dem betroffenen Mitgliedstaat Gelegenheit geben soll, seinen gemeinschaftsrechtlic</w:t>
      </w:r>
      <w:r>
        <w:rPr>
          <w:rFonts w:cs="Arial"/>
        </w:rPr>
        <w:t>hen Verpflichtungen nachzuko</w:t>
      </w:r>
      <w:r>
        <w:rPr>
          <w:rFonts w:cs="Arial"/>
        </w:rPr>
        <w:t>m</w:t>
      </w:r>
      <w:r>
        <w:rPr>
          <w:rFonts w:cs="Arial"/>
        </w:rPr>
        <w:t xml:space="preserve">men und sich gegen die Rügen der Kommission wirksam zu verteidigen (vgl. u. a. Urteile vom 10. Mai 2001 in der Rechtssache C-152/98, Kommission/Niederlande, </w:t>
      </w:r>
      <w:proofErr w:type="spellStart"/>
      <w:r>
        <w:rPr>
          <w:rFonts w:cs="Arial"/>
        </w:rPr>
        <w:t>Slg</w:t>
      </w:r>
      <w:proofErr w:type="spellEnd"/>
      <w:r>
        <w:rPr>
          <w:rFonts w:cs="Arial"/>
        </w:rPr>
        <w:t xml:space="preserve">. 2001, I-3463, </w:t>
      </w:r>
      <w:proofErr w:type="spellStart"/>
      <w:r>
        <w:rPr>
          <w:rFonts w:cs="Arial"/>
        </w:rPr>
        <w:t>Randnr</w:t>
      </w:r>
      <w:proofErr w:type="spellEnd"/>
      <w:r>
        <w:rPr>
          <w:rFonts w:cs="Arial"/>
        </w:rPr>
        <w:t>. 23, und vom 15. Januar 2002 in der Rechtssa</w:t>
      </w:r>
      <w:r>
        <w:rPr>
          <w:rFonts w:cs="Arial"/>
        </w:rPr>
        <w:t xml:space="preserve">che C-439/99, Kommission/Italien, </w:t>
      </w:r>
      <w:proofErr w:type="spellStart"/>
      <w:r>
        <w:rPr>
          <w:rFonts w:cs="Arial"/>
        </w:rPr>
        <w:t>Slg</w:t>
      </w:r>
      <w:proofErr w:type="spellEnd"/>
      <w:r>
        <w:rPr>
          <w:rFonts w:cs="Arial"/>
        </w:rPr>
        <w:t xml:space="preserve">. 2002, I-305, </w:t>
      </w:r>
      <w:proofErr w:type="spellStart"/>
      <w:r>
        <w:rPr>
          <w:rFonts w:cs="Arial"/>
        </w:rPr>
        <w:t>Randnr</w:t>
      </w:r>
      <w:proofErr w:type="spellEnd"/>
      <w:r>
        <w:rPr>
          <w:rFonts w:cs="Arial"/>
        </w:rPr>
        <w:t>. 10).</w:t>
      </w:r>
    </w:p>
    <w:p w:rsidR="00000000" w:rsidRDefault="00CE27AF">
      <w:pPr>
        <w:pStyle w:val="GesAbsatz"/>
        <w:rPr>
          <w:rFonts w:cs="Arial"/>
        </w:rPr>
      </w:pPr>
      <w:r>
        <w:rPr>
          <w:rFonts w:cs="Arial"/>
        </w:rPr>
        <w:t>26. Daraus folgt zum einen, dass der Gegenstand einer Klage nach Artikel 226 EG durch das dort vorges</w:t>
      </w:r>
      <w:r>
        <w:rPr>
          <w:rFonts w:cs="Arial"/>
        </w:rPr>
        <w:t>e</w:t>
      </w:r>
      <w:r>
        <w:rPr>
          <w:rFonts w:cs="Arial"/>
        </w:rPr>
        <w:t xml:space="preserve">hene Vorverfahren eingegrenzt wird (Urteil Kommission/Niederlande, </w:t>
      </w:r>
      <w:proofErr w:type="spellStart"/>
      <w:r>
        <w:rPr>
          <w:rFonts w:cs="Arial"/>
        </w:rPr>
        <w:t>Randnr</w:t>
      </w:r>
      <w:proofErr w:type="spellEnd"/>
      <w:r>
        <w:rPr>
          <w:rFonts w:cs="Arial"/>
        </w:rPr>
        <w:t>. 23). Daher mus</w:t>
      </w:r>
      <w:r>
        <w:rPr>
          <w:rFonts w:cs="Arial"/>
        </w:rPr>
        <w:t>s die Klage auf die gleichen Gründe und das gleiche Vorbringen gestützt sein wie die mit Gründen versehene Stellun</w:t>
      </w:r>
      <w:r>
        <w:rPr>
          <w:rFonts w:cs="Arial"/>
        </w:rPr>
        <w:t>g</w:t>
      </w:r>
      <w:r>
        <w:rPr>
          <w:rFonts w:cs="Arial"/>
        </w:rPr>
        <w:t>na</w:t>
      </w:r>
      <w:r>
        <w:rPr>
          <w:rFonts w:cs="Arial"/>
        </w:rPr>
        <w:t>h</w:t>
      </w:r>
      <w:r>
        <w:rPr>
          <w:rFonts w:cs="Arial"/>
        </w:rPr>
        <w:t>me (vgl. u. a. Urteil vom 18. Juni 1998 in der Rechtssache C-35/96, Kommiss</w:t>
      </w:r>
      <w:r>
        <w:rPr>
          <w:rFonts w:cs="Arial"/>
        </w:rPr>
        <w:t>i</w:t>
      </w:r>
      <w:r>
        <w:rPr>
          <w:rFonts w:cs="Arial"/>
        </w:rPr>
        <w:t xml:space="preserve">on/Italien, </w:t>
      </w:r>
      <w:proofErr w:type="spellStart"/>
      <w:r>
        <w:rPr>
          <w:rFonts w:cs="Arial"/>
        </w:rPr>
        <w:t>Slg</w:t>
      </w:r>
      <w:proofErr w:type="spellEnd"/>
      <w:r>
        <w:rPr>
          <w:rFonts w:cs="Arial"/>
        </w:rPr>
        <w:t xml:space="preserve">. 1998, I-3851, </w:t>
      </w:r>
      <w:proofErr w:type="spellStart"/>
      <w:r>
        <w:rPr>
          <w:rFonts w:cs="Arial"/>
        </w:rPr>
        <w:t>Randnr</w:t>
      </w:r>
      <w:proofErr w:type="spellEnd"/>
      <w:r>
        <w:rPr>
          <w:rFonts w:cs="Arial"/>
        </w:rPr>
        <w:t>. 28).</w:t>
      </w:r>
    </w:p>
    <w:p w:rsidR="00000000" w:rsidRDefault="00CE27AF">
      <w:pPr>
        <w:pStyle w:val="GesAbsatz"/>
        <w:rPr>
          <w:rFonts w:cs="Arial"/>
        </w:rPr>
      </w:pPr>
      <w:r>
        <w:rPr>
          <w:rFonts w:cs="Arial"/>
        </w:rPr>
        <w:t>27. Zum anderen mu</w:t>
      </w:r>
      <w:r>
        <w:rPr>
          <w:rFonts w:cs="Arial"/>
        </w:rPr>
        <w:t>ss die mit Gründen versehene Stellungnahme eine zusammenhängende und ausführl</w:t>
      </w:r>
      <w:r>
        <w:rPr>
          <w:rFonts w:cs="Arial"/>
        </w:rPr>
        <w:t>i</w:t>
      </w:r>
      <w:r>
        <w:rPr>
          <w:rFonts w:cs="Arial"/>
        </w:rPr>
        <w:t>che Darstellung der Gründe enthalten, aus denen die Kommission zu der Überzeugung gelangt ist, dass der betreffende Mitgliedstaat gegen eine seiner Verpflichtungen aus dem Vertra</w:t>
      </w:r>
      <w:r>
        <w:rPr>
          <w:rFonts w:cs="Arial"/>
        </w:rPr>
        <w:t xml:space="preserve">g verstoßen hat (vgl. u. a. Urteil vom 4. Dezember 1997 in der Rechtssache C-207/96, Kommission/Italien, </w:t>
      </w:r>
      <w:proofErr w:type="spellStart"/>
      <w:r>
        <w:rPr>
          <w:rFonts w:cs="Arial"/>
        </w:rPr>
        <w:t>Slg</w:t>
      </w:r>
      <w:proofErr w:type="spellEnd"/>
      <w:r>
        <w:rPr>
          <w:rFonts w:cs="Arial"/>
        </w:rPr>
        <w:t xml:space="preserve">. 1997, I-6869, </w:t>
      </w:r>
      <w:proofErr w:type="spellStart"/>
      <w:r>
        <w:rPr>
          <w:rFonts w:cs="Arial"/>
        </w:rPr>
        <w:t>Randnr</w:t>
      </w:r>
      <w:proofErr w:type="spellEnd"/>
      <w:r>
        <w:rPr>
          <w:rFonts w:cs="Arial"/>
        </w:rPr>
        <w:t>. 18).</w:t>
      </w:r>
    </w:p>
    <w:p w:rsidR="00000000" w:rsidRDefault="00CE27AF">
      <w:pPr>
        <w:pStyle w:val="GesAbsatz"/>
        <w:rPr>
          <w:rFonts w:cs="Arial"/>
        </w:rPr>
      </w:pPr>
      <w:r>
        <w:rPr>
          <w:rFonts w:cs="Arial"/>
        </w:rPr>
        <w:t>28. Diesen Erfordernissen ist im vorliegenden Fall genügt.</w:t>
      </w:r>
    </w:p>
    <w:p w:rsidR="00000000" w:rsidRDefault="00CE27AF">
      <w:pPr>
        <w:pStyle w:val="GesAbsatz"/>
        <w:rPr>
          <w:rFonts w:cs="Arial"/>
        </w:rPr>
      </w:pPr>
      <w:r>
        <w:rPr>
          <w:rFonts w:cs="Arial"/>
        </w:rPr>
        <w:t>29. Die Kommission hat nämlich sowohl im Vorverfahren als au</w:t>
      </w:r>
      <w:r>
        <w:rPr>
          <w:rFonts w:cs="Arial"/>
        </w:rPr>
        <w:t>ch in ihrer Klageschrift klar ausgeführt, dass sie der Bundesrepublik Deutschland zur Last legt, durch die Erhebung unberechtigter Einwände gegen b</w:t>
      </w:r>
      <w:r>
        <w:rPr>
          <w:rFonts w:cs="Arial"/>
        </w:rPr>
        <w:t>e</w:t>
      </w:r>
      <w:r>
        <w:rPr>
          <w:rFonts w:cs="Arial"/>
        </w:rPr>
        <w:t>stim</w:t>
      </w:r>
      <w:r>
        <w:rPr>
          <w:rFonts w:cs="Arial"/>
        </w:rPr>
        <w:t>m</w:t>
      </w:r>
      <w:r>
        <w:rPr>
          <w:rFonts w:cs="Arial"/>
        </w:rPr>
        <w:t>te Verbringungen von Abfällen in einen anderen Mitgliedstaat zur Hauptverwendung als Brennstoff gegen i</w:t>
      </w:r>
      <w:r>
        <w:rPr>
          <w:rFonts w:cs="Arial"/>
        </w:rPr>
        <w:t>hre Verpflichtungen aus Artikel 7 Absätze 2 und 4 der Verordnung verstoßen zu haben. Die Ko</w:t>
      </w:r>
      <w:r>
        <w:rPr>
          <w:rFonts w:cs="Arial"/>
        </w:rPr>
        <w:t>m</w:t>
      </w:r>
      <w:r>
        <w:rPr>
          <w:rFonts w:cs="Arial"/>
        </w:rPr>
        <w:t>mi</w:t>
      </w:r>
      <w:r>
        <w:rPr>
          <w:rFonts w:cs="Arial"/>
        </w:rPr>
        <w:t>s</w:t>
      </w:r>
      <w:r>
        <w:rPr>
          <w:rFonts w:cs="Arial"/>
        </w:rPr>
        <w:t>sion hat da</w:t>
      </w:r>
      <w:r>
        <w:rPr>
          <w:rFonts w:cs="Arial"/>
        </w:rPr>
        <w:t>r</w:t>
      </w:r>
      <w:r>
        <w:rPr>
          <w:rFonts w:cs="Arial"/>
        </w:rPr>
        <w:t>gelegt, dass sie sich dabei auf die Verwaltungspraxis bestimmter Länder beziehe, und die Daten bestimmter von den zuständigen deutschen Behörden erla</w:t>
      </w:r>
      <w:r>
        <w:rPr>
          <w:rFonts w:cs="Arial"/>
        </w:rPr>
        <w:t>ssener Einzelentscheidungen sowie den Zeitpunkt des Erla</w:t>
      </w:r>
      <w:r>
        <w:rPr>
          <w:rFonts w:cs="Arial"/>
        </w:rPr>
        <w:t>s</w:t>
      </w:r>
      <w:r>
        <w:rPr>
          <w:rFonts w:cs="Arial"/>
        </w:rPr>
        <w:t>ses der als Grundlage dieser Verwaltungspraxis dienenden Rundschreiben durch diese Behörden angeg</w:t>
      </w:r>
      <w:r>
        <w:rPr>
          <w:rFonts w:cs="Arial"/>
        </w:rPr>
        <w:t>e</w:t>
      </w:r>
      <w:r>
        <w:rPr>
          <w:rFonts w:cs="Arial"/>
        </w:rPr>
        <w:t>ben.</w:t>
      </w:r>
    </w:p>
    <w:p w:rsidR="00000000" w:rsidRDefault="00CE27AF">
      <w:pPr>
        <w:pStyle w:val="GesAbsatz"/>
        <w:rPr>
          <w:rFonts w:cs="Arial"/>
        </w:rPr>
      </w:pPr>
      <w:r>
        <w:rPr>
          <w:rFonts w:cs="Arial"/>
        </w:rPr>
        <w:t>30. Im Vorverfahren hat die deutsche Regierung das Bestehen dieser Verwaltungspraxis nicht bestr</w:t>
      </w:r>
      <w:r>
        <w:rPr>
          <w:rFonts w:cs="Arial"/>
        </w:rPr>
        <w:t>itten, so</w:t>
      </w:r>
      <w:r>
        <w:rPr>
          <w:rFonts w:cs="Arial"/>
        </w:rPr>
        <w:t>n</w:t>
      </w:r>
      <w:r>
        <w:rPr>
          <w:rFonts w:cs="Arial"/>
        </w:rPr>
        <w:t>dern vorgetragen, dass diese den Bestimmungen der Verordnung entspreche.</w:t>
      </w:r>
    </w:p>
    <w:p w:rsidR="00000000" w:rsidRDefault="00CE27AF">
      <w:pPr>
        <w:pStyle w:val="GesAbsatz"/>
        <w:rPr>
          <w:rFonts w:cs="Arial"/>
        </w:rPr>
      </w:pPr>
      <w:r>
        <w:rPr>
          <w:rFonts w:cs="Arial"/>
        </w:rPr>
        <w:t>31. Infolgedessen ist, obwohl die Kommission die behördlichen Einzelentscheidungen, auf die sie sich b</w:t>
      </w:r>
      <w:r>
        <w:rPr>
          <w:rFonts w:cs="Arial"/>
        </w:rPr>
        <w:t>e</w:t>
      </w:r>
      <w:r>
        <w:rPr>
          <w:rFonts w:cs="Arial"/>
        </w:rPr>
        <w:t>z</w:t>
      </w:r>
      <w:r>
        <w:rPr>
          <w:rFonts w:cs="Arial"/>
        </w:rPr>
        <w:t>o</w:t>
      </w:r>
      <w:r>
        <w:rPr>
          <w:rFonts w:cs="Arial"/>
        </w:rPr>
        <w:t>gen hat, weder vorgelegt noch durch detaillierte Angaben bestimmt ha</w:t>
      </w:r>
      <w:r>
        <w:rPr>
          <w:rFonts w:cs="Arial"/>
        </w:rPr>
        <w:t>t, davon auszugehen, dass sie die Bunde</w:t>
      </w:r>
      <w:r>
        <w:rPr>
          <w:rFonts w:cs="Arial"/>
        </w:rPr>
        <w:t>s</w:t>
      </w:r>
      <w:r>
        <w:rPr>
          <w:rFonts w:cs="Arial"/>
        </w:rPr>
        <w:t>republik Deutschland in die Lage versetzt hat, ihre Verteidigungsmittel gegenüber den Rügen der Kommiss</w:t>
      </w:r>
      <w:r>
        <w:rPr>
          <w:rFonts w:cs="Arial"/>
        </w:rPr>
        <w:t>i</w:t>
      </w:r>
      <w:r>
        <w:rPr>
          <w:rFonts w:cs="Arial"/>
        </w:rPr>
        <w:t>on wirkungsvoll geltend zu machen.</w:t>
      </w:r>
    </w:p>
    <w:p w:rsidR="00000000" w:rsidRDefault="00CE27AF">
      <w:pPr>
        <w:pStyle w:val="GesAbsatz"/>
        <w:rPr>
          <w:rFonts w:cs="Arial"/>
        </w:rPr>
      </w:pPr>
      <w:r>
        <w:rPr>
          <w:rFonts w:cs="Arial"/>
        </w:rPr>
        <w:t>32. Die Klage ist daher zulässig.</w:t>
      </w:r>
    </w:p>
    <w:p w:rsidR="00000000" w:rsidRDefault="00CE27AF">
      <w:pPr>
        <w:pStyle w:val="GesAbsatz"/>
        <w:rPr>
          <w:rFonts w:cs="Arial"/>
        </w:rPr>
      </w:pPr>
      <w:r>
        <w:rPr>
          <w:rFonts w:cs="Arial"/>
          <w:b/>
          <w:bCs/>
        </w:rPr>
        <w:t>Begründetheit</w:t>
      </w:r>
    </w:p>
    <w:p w:rsidR="00000000" w:rsidRDefault="00CE27AF">
      <w:pPr>
        <w:pStyle w:val="GesAbsatz"/>
        <w:rPr>
          <w:rFonts w:cs="Arial"/>
        </w:rPr>
      </w:pPr>
      <w:r>
        <w:rPr>
          <w:rFonts w:cs="Arial"/>
        </w:rPr>
        <w:t xml:space="preserve">33. Vorab ist festzustellen, </w:t>
      </w:r>
      <w:r>
        <w:rPr>
          <w:rFonts w:cs="Arial"/>
        </w:rPr>
        <w:t>dass alle zuständigen Behörden, denen eine beabsichtigte Abfallverbringung not</w:t>
      </w:r>
      <w:r>
        <w:rPr>
          <w:rFonts w:cs="Arial"/>
        </w:rPr>
        <w:t>i</w:t>
      </w:r>
      <w:r>
        <w:rPr>
          <w:rFonts w:cs="Arial"/>
        </w:rPr>
        <w:t>fiziert wird, nach der Regelung der Verordnung prüfen müssen, ob die von der notifizierenden Person vorg</w:t>
      </w:r>
      <w:r>
        <w:rPr>
          <w:rFonts w:cs="Arial"/>
        </w:rPr>
        <w:t>e</w:t>
      </w:r>
      <w:r>
        <w:rPr>
          <w:rFonts w:cs="Arial"/>
        </w:rPr>
        <w:t>nommene Zuordnung der Verordnung entspricht, und Einwände gegen die Verb</w:t>
      </w:r>
      <w:r>
        <w:rPr>
          <w:rFonts w:cs="Arial"/>
        </w:rPr>
        <w:t>ringung erheben mü</w:t>
      </w:r>
      <w:r>
        <w:rPr>
          <w:rFonts w:cs="Arial"/>
        </w:rPr>
        <w:t>s</w:t>
      </w:r>
      <w:r>
        <w:rPr>
          <w:rFonts w:cs="Arial"/>
        </w:rPr>
        <w:t xml:space="preserve">sen, wenn diese Zuordnung falsch ist (Urteil vom 27. Februar 2002 in der Rechtssache C-6/00, ASA, </w:t>
      </w:r>
      <w:proofErr w:type="spellStart"/>
      <w:r>
        <w:rPr>
          <w:rFonts w:cs="Arial"/>
        </w:rPr>
        <w:t>Slg</w:t>
      </w:r>
      <w:proofErr w:type="spellEnd"/>
      <w:r>
        <w:rPr>
          <w:rFonts w:cs="Arial"/>
        </w:rPr>
        <w:t>. 2002, I</w:t>
      </w:r>
      <w:r>
        <w:rPr>
          <w:rFonts w:cs="Arial"/>
        </w:rPr>
        <w:noBreakHyphen/>
        <w:t xml:space="preserve">1961, </w:t>
      </w:r>
      <w:proofErr w:type="spellStart"/>
      <w:r>
        <w:rPr>
          <w:rFonts w:cs="Arial"/>
        </w:rPr>
        <w:t>Randnr</w:t>
      </w:r>
      <w:proofErr w:type="spellEnd"/>
      <w:r>
        <w:rPr>
          <w:rFonts w:cs="Arial"/>
        </w:rPr>
        <w:t>. 40).</w:t>
      </w:r>
    </w:p>
    <w:p w:rsidR="00000000" w:rsidRDefault="00CE27AF">
      <w:pPr>
        <w:pStyle w:val="GesAbsatz"/>
        <w:rPr>
          <w:rFonts w:cs="Arial"/>
        </w:rPr>
      </w:pPr>
      <w:r>
        <w:rPr>
          <w:rFonts w:cs="Arial"/>
        </w:rPr>
        <w:t>34. Wenn der Verbringungszweck ihrer Auffassung nach in der Notifizierung falsch eingestuft wurde, muss die</w:t>
      </w:r>
      <w:r>
        <w:rPr>
          <w:rFonts w:cs="Arial"/>
        </w:rPr>
        <w:t xml:space="preserve"> am Versandort zuständige Behörde ihren Einwand gegen die Verbringung auf diese unzutreffende Z</w:t>
      </w:r>
      <w:r>
        <w:rPr>
          <w:rFonts w:cs="Arial"/>
        </w:rPr>
        <w:t>u</w:t>
      </w:r>
      <w:r>
        <w:rPr>
          <w:rFonts w:cs="Arial"/>
        </w:rPr>
        <w:t>ordnung stützen, ohne auf eine der speziellen Vorschriften der Verordnung Bezug zu nehmen, die festlegen, welche Einwände die Mitgliedstaaten gegen die Verbring</w:t>
      </w:r>
      <w:r>
        <w:rPr>
          <w:rFonts w:cs="Arial"/>
        </w:rPr>
        <w:t>ung von Abfällen e</w:t>
      </w:r>
      <w:r>
        <w:rPr>
          <w:rFonts w:cs="Arial"/>
        </w:rPr>
        <w:t>r</w:t>
      </w:r>
      <w:r>
        <w:rPr>
          <w:rFonts w:cs="Arial"/>
        </w:rPr>
        <w:t xml:space="preserve">heben können (Urteil ASA, </w:t>
      </w:r>
      <w:proofErr w:type="spellStart"/>
      <w:r>
        <w:rPr>
          <w:rFonts w:cs="Arial"/>
        </w:rPr>
        <w:t>Randnr</w:t>
      </w:r>
      <w:proofErr w:type="spellEnd"/>
      <w:r>
        <w:rPr>
          <w:rFonts w:cs="Arial"/>
        </w:rPr>
        <w:t>. 47).</w:t>
      </w:r>
    </w:p>
    <w:p w:rsidR="00000000" w:rsidRDefault="00CE27AF">
      <w:pPr>
        <w:pStyle w:val="GesAbsatz"/>
        <w:rPr>
          <w:rFonts w:cs="Arial"/>
        </w:rPr>
      </w:pPr>
      <w:r>
        <w:rPr>
          <w:rFonts w:cs="Arial"/>
        </w:rPr>
        <w:t>35. Artikel 7 Absatz 2 der Verordnung, nach dem die zuständigen Behörden der Mitgliedstaaten einer Ve</w:t>
      </w:r>
      <w:r>
        <w:rPr>
          <w:rFonts w:cs="Arial"/>
        </w:rPr>
        <w:t>r</w:t>
      </w:r>
      <w:r>
        <w:rPr>
          <w:rFonts w:cs="Arial"/>
        </w:rPr>
        <w:t>bringung von Abfall zur Verwertung nur in den in Absatz 4 dieser Vorschrift abschließend aufg</w:t>
      </w:r>
      <w:r>
        <w:rPr>
          <w:rFonts w:cs="Arial"/>
        </w:rPr>
        <w:t>e</w:t>
      </w:r>
      <w:r>
        <w:rPr>
          <w:rFonts w:cs="Arial"/>
        </w:rPr>
        <w:t>fü</w:t>
      </w:r>
      <w:r>
        <w:rPr>
          <w:rFonts w:cs="Arial"/>
        </w:rPr>
        <w:t>hrten Fä</w:t>
      </w:r>
      <w:r>
        <w:rPr>
          <w:rFonts w:cs="Arial"/>
        </w:rPr>
        <w:t>l</w:t>
      </w:r>
      <w:r>
        <w:rPr>
          <w:rFonts w:cs="Arial"/>
        </w:rPr>
        <w:t>len entgegentreten können, hindert somit weder diese Behörden daran, Einwände gegen eine bestimmte Ve</w:t>
      </w:r>
      <w:r>
        <w:rPr>
          <w:rFonts w:cs="Arial"/>
        </w:rPr>
        <w:t>r</w:t>
      </w:r>
      <w:r>
        <w:rPr>
          <w:rFonts w:cs="Arial"/>
        </w:rPr>
        <w:t>bringung mit der Begründung zu erheben, dass sie in Wirklichkeit Abfälle zur B</w:t>
      </w:r>
      <w:r>
        <w:rPr>
          <w:rFonts w:cs="Arial"/>
        </w:rPr>
        <w:t>e</w:t>
      </w:r>
      <w:r>
        <w:rPr>
          <w:rFonts w:cs="Arial"/>
        </w:rPr>
        <w:t>seitigung betreffe, noch ve</w:t>
      </w:r>
      <w:r>
        <w:rPr>
          <w:rFonts w:cs="Arial"/>
        </w:rPr>
        <w:t>r</w:t>
      </w:r>
      <w:r>
        <w:rPr>
          <w:rFonts w:cs="Arial"/>
        </w:rPr>
        <w:t>wehrt er es den Mitgliedstaaten, in al</w:t>
      </w:r>
      <w:r>
        <w:rPr>
          <w:rFonts w:cs="Arial"/>
        </w:rPr>
        <w:t>lgemeinen Entscheidungen Kriterien zur Abgrenzung eines Verwe</w:t>
      </w:r>
      <w:r>
        <w:rPr>
          <w:rFonts w:cs="Arial"/>
        </w:rPr>
        <w:t>r</w:t>
      </w:r>
      <w:r>
        <w:rPr>
          <w:rFonts w:cs="Arial"/>
        </w:rPr>
        <w:t>tungsverfahrens von einem Beseitigungsverfahren festzulegen.</w:t>
      </w:r>
    </w:p>
    <w:p w:rsidR="00000000" w:rsidRDefault="00CE27AF">
      <w:pPr>
        <w:pStyle w:val="GesAbsatz"/>
        <w:rPr>
          <w:rFonts w:cs="Arial"/>
        </w:rPr>
      </w:pPr>
      <w:r>
        <w:rPr>
          <w:rFonts w:cs="Arial"/>
        </w:rPr>
        <w:t>36. Eine solche Verwaltungspraxis steht jedoch nur dann mit Artikel 7 Absätze 2 und 4 der Verordnung in Einklang, wenn die Kriterien,</w:t>
      </w:r>
      <w:r>
        <w:rPr>
          <w:rFonts w:cs="Arial"/>
        </w:rPr>
        <w:t xml:space="preserve"> die dort zur Abgrenzung von Abfallbeseitigung und Abfallverwertung aufg</w:t>
      </w:r>
      <w:r>
        <w:rPr>
          <w:rFonts w:cs="Arial"/>
        </w:rPr>
        <w:t>e</w:t>
      </w:r>
      <w:r>
        <w:rPr>
          <w:rFonts w:cs="Arial"/>
        </w:rPr>
        <w:t xml:space="preserve">stellt </w:t>
      </w:r>
      <w:r>
        <w:rPr>
          <w:rFonts w:cs="Arial"/>
        </w:rPr>
        <w:lastRenderedPageBreak/>
        <w:t xml:space="preserve">werden, den Kriterien entsprechen, die in denjenigen Bestimmungen der Verordnung festgelegt sind, auf die Artikel 2 Buchstaben i und k der Verordnung für die Definition dieser </w:t>
      </w:r>
      <w:r>
        <w:rPr>
          <w:rFonts w:cs="Arial"/>
        </w:rPr>
        <w:t>Begriffe verweist.</w:t>
      </w:r>
    </w:p>
    <w:p w:rsidR="00000000" w:rsidRDefault="00CE27AF">
      <w:pPr>
        <w:pStyle w:val="GesAbsatz"/>
        <w:rPr>
          <w:rFonts w:cs="Arial"/>
        </w:rPr>
      </w:pPr>
      <w:r>
        <w:rPr>
          <w:rFonts w:cs="Arial"/>
        </w:rPr>
        <w:t>37. Ob die Bundesrepublik Deutschland durch die fragliche Verwaltungspraxis gegen ihre Verpflichtu</w:t>
      </w:r>
      <w:r>
        <w:rPr>
          <w:rFonts w:cs="Arial"/>
        </w:rPr>
        <w:t>n</w:t>
      </w:r>
      <w:r>
        <w:rPr>
          <w:rFonts w:cs="Arial"/>
        </w:rPr>
        <w:t>gen aus Artikel 7 Absätze 2 und 4 der Verordnung verstoßen hat, richtet sich also danach, ob die Einwände, die die zuständigen deutschen B</w:t>
      </w:r>
      <w:r>
        <w:rPr>
          <w:rFonts w:cs="Arial"/>
        </w:rPr>
        <w:t>ehörden gegen bestimmte Abfallverbringungen in einen anderen Mitgliedstaat erhoben haben, sowie die Rundschreiben, die die allgemeinen Kriterien aufstellen, anhand deren diese Ei</w:t>
      </w:r>
      <w:r>
        <w:rPr>
          <w:rFonts w:cs="Arial"/>
        </w:rPr>
        <w:t>n</w:t>
      </w:r>
      <w:r>
        <w:rPr>
          <w:rFonts w:cs="Arial"/>
        </w:rPr>
        <w:t>wände erhoben wurden, in Einklang mit der Abgrenzung von Beseitigungsverfahre</w:t>
      </w:r>
      <w:r>
        <w:rPr>
          <w:rFonts w:cs="Arial"/>
        </w:rPr>
        <w:t>n und Verwertungsverfa</w:t>
      </w:r>
      <w:r>
        <w:rPr>
          <w:rFonts w:cs="Arial"/>
        </w:rPr>
        <w:t>h</w:t>
      </w:r>
      <w:r>
        <w:rPr>
          <w:rFonts w:cs="Arial"/>
        </w:rPr>
        <w:t>ren in den Anhängen II A und II B der Richtlinie stehen.</w:t>
      </w:r>
    </w:p>
    <w:p w:rsidR="00000000" w:rsidRDefault="00CE27AF">
      <w:pPr>
        <w:pStyle w:val="GesAbsatz"/>
        <w:rPr>
          <w:rFonts w:cs="Arial"/>
        </w:rPr>
      </w:pPr>
      <w:r>
        <w:rPr>
          <w:rFonts w:cs="Arial"/>
        </w:rPr>
        <w:t>38. Die Kommission ist der Auffassung, dass die Verwendung eines Abfallgemisches als Brennstoff in Z</w:t>
      </w:r>
      <w:r>
        <w:rPr>
          <w:rFonts w:cs="Arial"/>
        </w:rPr>
        <w:t>e</w:t>
      </w:r>
      <w:r>
        <w:rPr>
          <w:rFonts w:cs="Arial"/>
        </w:rPr>
        <w:t>men</w:t>
      </w:r>
      <w:r>
        <w:rPr>
          <w:rFonts w:cs="Arial"/>
        </w:rPr>
        <w:t>t</w:t>
      </w:r>
      <w:r>
        <w:rPr>
          <w:rFonts w:cs="Arial"/>
        </w:rPr>
        <w:t>öfen unter das Verwertungsverfahren R 1 des Anhangs II B der Richtlinie</w:t>
      </w:r>
      <w:r>
        <w:rPr>
          <w:rFonts w:cs="Arial"/>
        </w:rPr>
        <w:t xml:space="preserve"> falle.</w:t>
      </w:r>
    </w:p>
    <w:p w:rsidR="00000000" w:rsidRDefault="00CE27AF">
      <w:pPr>
        <w:pStyle w:val="GesAbsatz"/>
        <w:rPr>
          <w:rFonts w:cs="Arial"/>
        </w:rPr>
      </w:pPr>
      <w:r>
        <w:rPr>
          <w:rFonts w:cs="Arial"/>
        </w:rPr>
        <w:t>39. Nach Ansicht der deutschen Regierung betreffen die in Rede stehenden Abfallverbringungen Abfälle zur Verbrennung an Land nach D 10 des Anhangs II A der Richtlinie und somit Beseitigungsverfa</w:t>
      </w:r>
      <w:r>
        <w:rPr>
          <w:rFonts w:cs="Arial"/>
        </w:rPr>
        <w:t>h</w:t>
      </w:r>
      <w:r>
        <w:rPr>
          <w:rFonts w:cs="Arial"/>
        </w:rPr>
        <w:t>ren im Sinne der Richtlinie.</w:t>
      </w:r>
    </w:p>
    <w:p w:rsidR="00000000" w:rsidRDefault="00CE27AF">
      <w:pPr>
        <w:pStyle w:val="GesAbsatz"/>
        <w:rPr>
          <w:rFonts w:cs="Arial"/>
        </w:rPr>
      </w:pPr>
      <w:r>
        <w:rPr>
          <w:rFonts w:cs="Arial"/>
        </w:rPr>
        <w:t>40. Hierzu ist zu sagen,</w:t>
      </w:r>
      <w:r>
        <w:rPr>
          <w:rFonts w:cs="Arial"/>
        </w:rPr>
        <w:t xml:space="preserve"> dass die Hauptverwendung als Brennstoff oder andere Mittel der Energieerze</w:t>
      </w:r>
      <w:r>
        <w:rPr>
          <w:rFonts w:cs="Arial"/>
        </w:rPr>
        <w:t>u</w:t>
      </w:r>
      <w:r>
        <w:rPr>
          <w:rFonts w:cs="Arial"/>
        </w:rPr>
        <w:t>gung nach R 1 des Anhangs II B der Richtlinie ein Abfallverwertungsverfahren darstellt.</w:t>
      </w:r>
    </w:p>
    <w:p w:rsidR="00000000" w:rsidRDefault="00CE27AF">
      <w:pPr>
        <w:pStyle w:val="GesAbsatz"/>
        <w:rPr>
          <w:rFonts w:cs="Arial"/>
        </w:rPr>
      </w:pPr>
      <w:r>
        <w:rPr>
          <w:rFonts w:cs="Arial"/>
        </w:rPr>
        <w:t xml:space="preserve">41. Diese Bestimmung erfasst die Verwendung von Abfällen als Brennstoff in Zementöfen, wenn </w:t>
      </w:r>
      <w:r>
        <w:rPr>
          <w:rFonts w:cs="Arial"/>
        </w:rPr>
        <w:t>- zum einen - Hauptzweck des fraglichen Verfahrens die Verwendung der Abfälle als Mittel der Energiee</w:t>
      </w:r>
      <w:r>
        <w:rPr>
          <w:rFonts w:cs="Arial"/>
        </w:rPr>
        <w:t>r</w:t>
      </w:r>
      <w:r>
        <w:rPr>
          <w:rFonts w:cs="Arial"/>
        </w:rPr>
        <w:t>zeugung ist. Der Begriff der [Haupt]Verwendung in R 1 des Anhangs II B der Richtlinie impliziert nämlich, dass das dort g</w:t>
      </w:r>
      <w:r>
        <w:rPr>
          <w:rFonts w:cs="Arial"/>
        </w:rPr>
        <w:t>e</w:t>
      </w:r>
      <w:r>
        <w:rPr>
          <w:rFonts w:cs="Arial"/>
        </w:rPr>
        <w:t>nannte Verfahren im Wesentlichen</w:t>
      </w:r>
      <w:r>
        <w:rPr>
          <w:rFonts w:cs="Arial"/>
        </w:rPr>
        <w:t xml:space="preserve"> dazu dient, die Abfälle für einen sinnvollen Zweck, nämlich die Energi</w:t>
      </w:r>
      <w:r>
        <w:rPr>
          <w:rFonts w:cs="Arial"/>
        </w:rPr>
        <w:t>e</w:t>
      </w:r>
      <w:r>
        <w:rPr>
          <w:rFonts w:cs="Arial"/>
        </w:rPr>
        <w:t>e</w:t>
      </w:r>
      <w:r>
        <w:rPr>
          <w:rFonts w:cs="Arial"/>
        </w:rPr>
        <w:t>r</w:t>
      </w:r>
      <w:r>
        <w:rPr>
          <w:rFonts w:cs="Arial"/>
        </w:rPr>
        <w:t>zeugung, einzusetzen.</w:t>
      </w:r>
    </w:p>
    <w:p w:rsidR="00000000" w:rsidRDefault="00CE27AF">
      <w:pPr>
        <w:pStyle w:val="GesAbsatz"/>
        <w:rPr>
          <w:rFonts w:cs="Arial"/>
        </w:rPr>
      </w:pPr>
      <w:r>
        <w:rPr>
          <w:rFonts w:cs="Arial"/>
        </w:rPr>
        <w:t>42. Zum anderen fällt die Verwendung von Abfällen als Brennstoff in Zementöfen dann unter das in R 1 des A</w:t>
      </w:r>
      <w:r>
        <w:rPr>
          <w:rFonts w:cs="Arial"/>
        </w:rPr>
        <w:t>n</w:t>
      </w:r>
      <w:r>
        <w:rPr>
          <w:rFonts w:cs="Arial"/>
        </w:rPr>
        <w:t>hangs II B der Richtlinie genannte Verfahren, wenn di</w:t>
      </w:r>
      <w:r>
        <w:rPr>
          <w:rFonts w:cs="Arial"/>
        </w:rPr>
        <w:t>e Bedingungen, unter denen dieses Verfahren durchzuführen ist, die Annahme zulassen, dass es tatsächlich ein Mittel der Energieerze</w:t>
      </w:r>
      <w:r>
        <w:rPr>
          <w:rFonts w:cs="Arial"/>
        </w:rPr>
        <w:t>u</w:t>
      </w:r>
      <w:r>
        <w:rPr>
          <w:rFonts w:cs="Arial"/>
        </w:rPr>
        <w:t>gung ist. Das setzt voraus, dass durch die Verbrennung der Abfälle mehr Energie erzeugt und erfasst wird als beim Verbre</w:t>
      </w:r>
      <w:r>
        <w:rPr>
          <w:rFonts w:cs="Arial"/>
        </w:rPr>
        <w:t>n</w:t>
      </w:r>
      <w:r>
        <w:rPr>
          <w:rFonts w:cs="Arial"/>
        </w:rPr>
        <w:t>nun</w:t>
      </w:r>
      <w:r>
        <w:rPr>
          <w:rFonts w:cs="Arial"/>
        </w:rPr>
        <w:t>gsvorgang verbraucht wird und dass ein Teil des bei dieser Verbrennung gewonnenen Energieübe</w:t>
      </w:r>
      <w:r>
        <w:rPr>
          <w:rFonts w:cs="Arial"/>
        </w:rPr>
        <w:t>r</w:t>
      </w:r>
      <w:r>
        <w:rPr>
          <w:rFonts w:cs="Arial"/>
        </w:rPr>
        <w:t>schusses ta</w:t>
      </w:r>
      <w:r>
        <w:rPr>
          <w:rFonts w:cs="Arial"/>
        </w:rPr>
        <w:t>t</w:t>
      </w:r>
      <w:r>
        <w:rPr>
          <w:rFonts w:cs="Arial"/>
        </w:rPr>
        <w:t>sächlich genutzt wird, und zwar entweder unmittelbar in Form von Verbrennungswärme oder nach Umwan</w:t>
      </w:r>
      <w:r>
        <w:rPr>
          <w:rFonts w:cs="Arial"/>
        </w:rPr>
        <w:t>d</w:t>
      </w:r>
      <w:r>
        <w:rPr>
          <w:rFonts w:cs="Arial"/>
        </w:rPr>
        <w:t>lung in Form von Elektrizität.</w:t>
      </w:r>
    </w:p>
    <w:p w:rsidR="00000000" w:rsidRDefault="00CE27AF">
      <w:pPr>
        <w:pStyle w:val="GesAbsatz"/>
        <w:rPr>
          <w:rFonts w:cs="Arial"/>
        </w:rPr>
      </w:pPr>
      <w:r>
        <w:rPr>
          <w:rFonts w:cs="Arial"/>
        </w:rPr>
        <w:t>43. Zum dritten ergib</w:t>
      </w:r>
      <w:r>
        <w:rPr>
          <w:rFonts w:cs="Arial"/>
        </w:rPr>
        <w:t>t sich aus dem Begriff Haupt[</w:t>
      </w:r>
      <w:proofErr w:type="spellStart"/>
      <w:r>
        <w:rPr>
          <w:rFonts w:cs="Arial"/>
        </w:rPr>
        <w:t>verwendung</w:t>
      </w:r>
      <w:proofErr w:type="spellEnd"/>
      <w:r>
        <w:rPr>
          <w:rFonts w:cs="Arial"/>
        </w:rPr>
        <w:t>] in R 1 des Anhangs II B der Richtlinie, dass die Abfälle hauptsächlich als Brennstoff oder andere Mittel der Energieerzeugung verwendet werden mü</w:t>
      </w:r>
      <w:r>
        <w:rPr>
          <w:rFonts w:cs="Arial"/>
        </w:rPr>
        <w:t>s</w:t>
      </w:r>
      <w:r>
        <w:rPr>
          <w:rFonts w:cs="Arial"/>
        </w:rPr>
        <w:t>sen. Dies bedeutet, dass der größere Teil der Abfälle bei dem Vorgang</w:t>
      </w:r>
      <w:r>
        <w:rPr>
          <w:rFonts w:cs="Arial"/>
        </w:rPr>
        <w:t xml:space="preserve"> verbraucht und der größere Teil der fre</w:t>
      </w:r>
      <w:r>
        <w:rPr>
          <w:rFonts w:cs="Arial"/>
        </w:rPr>
        <w:t>i</w:t>
      </w:r>
      <w:r>
        <w:rPr>
          <w:rFonts w:cs="Arial"/>
        </w:rPr>
        <w:t>gesetzten Energie erfasst und genutzt werden muss.</w:t>
      </w:r>
    </w:p>
    <w:p w:rsidR="00000000" w:rsidRDefault="00CE27AF">
      <w:pPr>
        <w:pStyle w:val="GesAbsatz"/>
        <w:rPr>
          <w:rFonts w:cs="Arial"/>
        </w:rPr>
      </w:pPr>
      <w:r>
        <w:rPr>
          <w:rFonts w:cs="Arial"/>
        </w:rPr>
        <w:t>44. Diese Auslegung entspricht dem Verwertungsbegriff der Richtlinie.</w:t>
      </w:r>
    </w:p>
    <w:p w:rsidR="00000000" w:rsidRDefault="00CE27AF">
      <w:pPr>
        <w:pStyle w:val="GesAbsatz"/>
        <w:rPr>
          <w:rFonts w:cs="Arial"/>
        </w:rPr>
      </w:pPr>
      <w:r>
        <w:rPr>
          <w:rFonts w:cs="Arial"/>
        </w:rPr>
        <w:t>45. Entscheidend dafür, dass eine Abfallverwertungsmaßnahme vorliegt, ist nach Artikel 3 Absat</w:t>
      </w:r>
      <w:r>
        <w:rPr>
          <w:rFonts w:cs="Arial"/>
        </w:rPr>
        <w:t>z 1 Buc</w:t>
      </w:r>
      <w:r>
        <w:rPr>
          <w:rFonts w:cs="Arial"/>
        </w:rPr>
        <w:t>h</w:t>
      </w:r>
      <w:r>
        <w:rPr>
          <w:rFonts w:cs="Arial"/>
        </w:rPr>
        <w:t>st</w:t>
      </w:r>
      <w:r>
        <w:rPr>
          <w:rFonts w:cs="Arial"/>
        </w:rPr>
        <w:t>a</w:t>
      </w:r>
      <w:r>
        <w:rPr>
          <w:rFonts w:cs="Arial"/>
        </w:rPr>
        <w:t>be b der Richtlinie sowie nach ihrer vierten Begründungserwägung nämlich, dass es ihr Hauptzweck ist, die Abfälle für einen sinnvollen Zweck einzusetzen, also andere Materialien zu ersetzen, die sonst für di</w:t>
      </w:r>
      <w:r>
        <w:rPr>
          <w:rFonts w:cs="Arial"/>
        </w:rPr>
        <w:t>e</w:t>
      </w:r>
      <w:r>
        <w:rPr>
          <w:rFonts w:cs="Arial"/>
        </w:rPr>
        <w:t>sen Zweck hätten eingesetzt werden mü</w:t>
      </w:r>
      <w:r>
        <w:rPr>
          <w:rFonts w:cs="Arial"/>
        </w:rPr>
        <w:t>ssen, und dadurch natürliche Rohstof</w:t>
      </w:r>
      <w:r>
        <w:rPr>
          <w:rFonts w:cs="Arial"/>
        </w:rPr>
        <w:t>f</w:t>
      </w:r>
      <w:r>
        <w:rPr>
          <w:rFonts w:cs="Arial"/>
        </w:rPr>
        <w:t xml:space="preserve">quellen zu erhalten (Urteil ASA, </w:t>
      </w:r>
      <w:proofErr w:type="spellStart"/>
      <w:r>
        <w:rPr>
          <w:rFonts w:cs="Arial"/>
        </w:rPr>
        <w:t>Randnr</w:t>
      </w:r>
      <w:proofErr w:type="spellEnd"/>
      <w:r>
        <w:rPr>
          <w:rFonts w:cs="Arial"/>
        </w:rPr>
        <w:t>. 69).</w:t>
      </w:r>
    </w:p>
    <w:p w:rsidR="00000000" w:rsidRDefault="00CE27AF">
      <w:pPr>
        <w:pStyle w:val="GesAbsatz"/>
        <w:rPr>
          <w:rFonts w:cs="Arial"/>
        </w:rPr>
      </w:pPr>
      <w:r>
        <w:rPr>
          <w:rFonts w:cs="Arial"/>
        </w:rPr>
        <w:t xml:space="preserve">46. Die Verbrennung von Abfällen stellt daher eine Verwertungsmaßnahme dar, wenn es ihr Hauptzweck ist, die Abfälle für einen sinnvollen Zweck, nämlich zur Energieerzeugung </w:t>
      </w:r>
      <w:r>
        <w:rPr>
          <w:rFonts w:cs="Arial"/>
        </w:rPr>
        <w:t>einzusetzen und dadurch eine Pr</w:t>
      </w:r>
      <w:r>
        <w:rPr>
          <w:rFonts w:cs="Arial"/>
        </w:rPr>
        <w:t>i</w:t>
      </w:r>
      <w:r>
        <w:rPr>
          <w:rFonts w:cs="Arial"/>
        </w:rPr>
        <w:t>mä</w:t>
      </w:r>
      <w:r>
        <w:rPr>
          <w:rFonts w:cs="Arial"/>
        </w:rPr>
        <w:t>r</w:t>
      </w:r>
      <w:r>
        <w:rPr>
          <w:rFonts w:cs="Arial"/>
        </w:rPr>
        <w:t>energiequelle zu ersetzen, die sonst für diesen Zweck hätte eingesetzt werden müssen.</w:t>
      </w:r>
    </w:p>
    <w:p w:rsidR="00000000" w:rsidRDefault="00CE27AF">
      <w:pPr>
        <w:pStyle w:val="GesAbsatz"/>
        <w:rPr>
          <w:rFonts w:cs="Arial"/>
        </w:rPr>
      </w:pPr>
      <w:r>
        <w:rPr>
          <w:rFonts w:cs="Arial"/>
        </w:rPr>
        <w:t>47. Erfüllt die Verwendung von Abfällen als Brennstoff die in den Randnummern 41 bis 43 des vorliegenden U</w:t>
      </w:r>
      <w:r>
        <w:rPr>
          <w:rFonts w:cs="Arial"/>
        </w:rPr>
        <w:t>r</w:t>
      </w:r>
      <w:r>
        <w:rPr>
          <w:rFonts w:cs="Arial"/>
        </w:rPr>
        <w:t>teils genannten Voraussetzun</w:t>
      </w:r>
      <w:r>
        <w:rPr>
          <w:rFonts w:cs="Arial"/>
        </w:rPr>
        <w:t>gen, fällt sie somit unter das in R 1 des Anhangs II B der Richtlinie genannte Verwertungsverfahren, ohne dass andere Kriterien wie der Heizwert der Abfälle, der Schadstoffgehalt der verbrannten Abfälle oder die Frage der Vermischung der Abfälle herang</w:t>
      </w:r>
      <w:r>
        <w:rPr>
          <w:rFonts w:cs="Arial"/>
        </w:rPr>
        <w:t>e</w:t>
      </w:r>
      <w:r>
        <w:rPr>
          <w:rFonts w:cs="Arial"/>
        </w:rPr>
        <w:t>zog</w:t>
      </w:r>
      <w:r>
        <w:rPr>
          <w:rFonts w:cs="Arial"/>
        </w:rPr>
        <w:t>en werden dürften.</w:t>
      </w:r>
    </w:p>
    <w:p w:rsidR="00000000" w:rsidRDefault="00CE27AF">
      <w:pPr>
        <w:pStyle w:val="GesAbsatz"/>
        <w:rPr>
          <w:rFonts w:cs="Arial"/>
        </w:rPr>
      </w:pPr>
      <w:r>
        <w:rPr>
          <w:rFonts w:cs="Arial"/>
        </w:rPr>
        <w:t>48. Auch wenn ein bestimmtes Verfahren, bei dem Abfälle als Brennstoff verwendet werden, als Verwe</w:t>
      </w:r>
      <w:r>
        <w:rPr>
          <w:rFonts w:cs="Arial"/>
        </w:rPr>
        <w:t>r</w:t>
      </w:r>
      <w:r>
        <w:rPr>
          <w:rFonts w:cs="Arial"/>
        </w:rPr>
        <w:t>tungsverfahren eingestuft werden kann, können die zuständigen Behörden am Versandort und am Besti</w:t>
      </w:r>
      <w:r>
        <w:rPr>
          <w:rFonts w:cs="Arial"/>
        </w:rPr>
        <w:t>m</w:t>
      </w:r>
      <w:r>
        <w:rPr>
          <w:rFonts w:cs="Arial"/>
        </w:rPr>
        <w:t>mungsort jedoch in den in Artikel 7 Absa</w:t>
      </w:r>
      <w:r>
        <w:rPr>
          <w:rFonts w:cs="Arial"/>
        </w:rPr>
        <w:t>tz 4 Buchstabe a der Verordnung genannten Fällen Einwände g</w:t>
      </w:r>
      <w:r>
        <w:rPr>
          <w:rFonts w:cs="Arial"/>
        </w:rPr>
        <w:t>e</w:t>
      </w:r>
      <w:r>
        <w:rPr>
          <w:rFonts w:cs="Arial"/>
        </w:rPr>
        <w:t>gen die im Hinblick auf dieses Verfahren durchgeführte Verbringung erheben.</w:t>
      </w:r>
    </w:p>
    <w:p w:rsidR="00000000" w:rsidRDefault="00CE27AF">
      <w:pPr>
        <w:pStyle w:val="GesAbsatz"/>
        <w:rPr>
          <w:rFonts w:cs="Arial"/>
        </w:rPr>
      </w:pPr>
      <w:r>
        <w:rPr>
          <w:rFonts w:cs="Arial"/>
        </w:rPr>
        <w:t xml:space="preserve">49. Namentlich können die betreffenden Behörden nach dem fünften Gedankenstrich dieser Vorschrift einer Verbringung von </w:t>
      </w:r>
      <w:r>
        <w:rPr>
          <w:rFonts w:cs="Arial"/>
        </w:rPr>
        <w:t>Abfällen zur Verwertung entgegentreten, wenn der Anteil an verwertbarem und nicht ve</w:t>
      </w:r>
      <w:r>
        <w:rPr>
          <w:rFonts w:cs="Arial"/>
        </w:rPr>
        <w:t>r</w:t>
      </w:r>
      <w:r>
        <w:rPr>
          <w:rFonts w:cs="Arial"/>
        </w:rPr>
        <w:t>wertbarem Abfall, der geschätzte Wert der letztlich verwertbaren Stoffe oder die Kosten der Verwertung und die Kosten der Beseitigung des nicht verwertbaren Anteils eine V</w:t>
      </w:r>
      <w:r>
        <w:rPr>
          <w:rFonts w:cs="Arial"/>
        </w:rPr>
        <w:t>erwertung unter wirtschaftlichen und ök</w:t>
      </w:r>
      <w:r>
        <w:rPr>
          <w:rFonts w:cs="Arial"/>
        </w:rPr>
        <w:t>o</w:t>
      </w:r>
      <w:r>
        <w:rPr>
          <w:rFonts w:cs="Arial"/>
        </w:rPr>
        <w:t>l</w:t>
      </w:r>
      <w:r>
        <w:rPr>
          <w:rFonts w:cs="Arial"/>
        </w:rPr>
        <w:t>o</w:t>
      </w:r>
      <w:r>
        <w:rPr>
          <w:rFonts w:cs="Arial"/>
        </w:rPr>
        <w:t>gischen Gesichtspunkten nicht rechtfertigen.</w:t>
      </w:r>
    </w:p>
    <w:p w:rsidR="00000000" w:rsidRDefault="00CE27AF">
      <w:pPr>
        <w:pStyle w:val="GesAbsatz"/>
        <w:rPr>
          <w:rFonts w:cs="Arial"/>
        </w:rPr>
      </w:pPr>
      <w:r>
        <w:rPr>
          <w:rFonts w:cs="Arial"/>
        </w:rPr>
        <w:t>50. Dabei können die Behörden insbesondere Kriterien wie die in Randnummer 47 des vorliegenden Urteils genannten heranziehen, um im Einzelfall darzutun, dass die Vorauss</w:t>
      </w:r>
      <w:r>
        <w:rPr>
          <w:rFonts w:cs="Arial"/>
        </w:rPr>
        <w:t>etzungen des Artikels 7 Absatz 4 Buc</w:t>
      </w:r>
      <w:r>
        <w:rPr>
          <w:rFonts w:cs="Arial"/>
        </w:rPr>
        <w:t>h</w:t>
      </w:r>
      <w:r>
        <w:rPr>
          <w:rFonts w:cs="Arial"/>
        </w:rPr>
        <w:t>stabe a fünfter Gedankenstrich der Verordnung für die Erhebung von Einwänden gegen eine bestim</w:t>
      </w:r>
      <w:r>
        <w:rPr>
          <w:rFonts w:cs="Arial"/>
        </w:rPr>
        <w:t>m</w:t>
      </w:r>
      <w:r>
        <w:rPr>
          <w:rFonts w:cs="Arial"/>
        </w:rPr>
        <w:t>te A</w:t>
      </w:r>
      <w:r>
        <w:rPr>
          <w:rFonts w:cs="Arial"/>
        </w:rPr>
        <w:t>b</w:t>
      </w:r>
      <w:r>
        <w:rPr>
          <w:rFonts w:cs="Arial"/>
        </w:rPr>
        <w:t>fal</w:t>
      </w:r>
      <w:r>
        <w:rPr>
          <w:rFonts w:cs="Arial"/>
        </w:rPr>
        <w:t>l</w:t>
      </w:r>
      <w:r>
        <w:rPr>
          <w:rFonts w:cs="Arial"/>
        </w:rPr>
        <w:t>verbringung erfüllt sind.</w:t>
      </w:r>
    </w:p>
    <w:p w:rsidR="00000000" w:rsidRDefault="00CE27AF">
      <w:pPr>
        <w:pStyle w:val="GesAbsatz"/>
        <w:rPr>
          <w:rFonts w:cs="Arial"/>
        </w:rPr>
      </w:pPr>
      <w:r>
        <w:rPr>
          <w:rFonts w:cs="Arial"/>
        </w:rPr>
        <w:lastRenderedPageBreak/>
        <w:t xml:space="preserve">51. Im vorliegenden Fall genügt die Verwaltungspraxis der zuständigen deutschen Behörden </w:t>
      </w:r>
      <w:r>
        <w:rPr>
          <w:rFonts w:cs="Arial"/>
        </w:rPr>
        <w:t>den Anford</w:t>
      </w:r>
      <w:r>
        <w:rPr>
          <w:rFonts w:cs="Arial"/>
        </w:rPr>
        <w:t>e</w:t>
      </w:r>
      <w:r>
        <w:rPr>
          <w:rFonts w:cs="Arial"/>
        </w:rPr>
        <w:t>rungen der Verordnung, wie sie oben dargelegt worden sind, nicht.</w:t>
      </w:r>
    </w:p>
    <w:p w:rsidR="00000000" w:rsidRDefault="00CE27AF">
      <w:pPr>
        <w:pStyle w:val="GesAbsatz"/>
        <w:rPr>
          <w:rFonts w:cs="Arial"/>
        </w:rPr>
      </w:pPr>
      <w:r>
        <w:rPr>
          <w:rFonts w:cs="Arial"/>
        </w:rPr>
        <w:t>52. Im Rahmen dieser Verwaltungspraxis haben die zuständigen deutschen Behörden nämlich Einwä</w:t>
      </w:r>
      <w:r>
        <w:rPr>
          <w:rFonts w:cs="Arial"/>
        </w:rPr>
        <w:t>n</w:t>
      </w:r>
      <w:r>
        <w:rPr>
          <w:rFonts w:cs="Arial"/>
        </w:rPr>
        <w:t>de gegen die Verbringung von Abfällen, die in der belgischen Zementindustrie als Bren</w:t>
      </w:r>
      <w:r>
        <w:rPr>
          <w:rFonts w:cs="Arial"/>
        </w:rPr>
        <w:t>nstoff verwendet we</w:t>
      </w:r>
      <w:r>
        <w:rPr>
          <w:rFonts w:cs="Arial"/>
        </w:rPr>
        <w:t>r</w:t>
      </w:r>
      <w:r>
        <w:rPr>
          <w:rFonts w:cs="Arial"/>
        </w:rPr>
        <w:t>den sollten, mit der Begründung erhoben, dass diese Verbringung im Hinblick auf eine Beseitigungsma</w:t>
      </w:r>
      <w:r>
        <w:rPr>
          <w:rFonts w:cs="Arial"/>
        </w:rPr>
        <w:t>ß</w:t>
      </w:r>
      <w:r>
        <w:rPr>
          <w:rFonts w:cs="Arial"/>
        </w:rPr>
        <w:t xml:space="preserve">nahme und nicht im Hinblick auf eine Verwertungsmaßnahme erfolgen solle, ohne dass diese Einwände dadurch gerechtfertigt gewesen wären, </w:t>
      </w:r>
      <w:r>
        <w:rPr>
          <w:rFonts w:cs="Arial"/>
        </w:rPr>
        <w:t>dass eine der in den Randnummern 41 bis 43 des vorliegenden Urteils g</w:t>
      </w:r>
      <w:r>
        <w:rPr>
          <w:rFonts w:cs="Arial"/>
        </w:rPr>
        <w:t>e</w:t>
      </w:r>
      <w:r>
        <w:rPr>
          <w:rFonts w:cs="Arial"/>
        </w:rPr>
        <w:t>nannten Vorau</w:t>
      </w:r>
      <w:r>
        <w:rPr>
          <w:rFonts w:cs="Arial"/>
        </w:rPr>
        <w:t>s</w:t>
      </w:r>
      <w:r>
        <w:rPr>
          <w:rFonts w:cs="Arial"/>
        </w:rPr>
        <w:t>setzungen nicht erfüllt gewesen wäre.</w:t>
      </w:r>
    </w:p>
    <w:p w:rsidR="00000000" w:rsidRDefault="00CE27AF">
      <w:pPr>
        <w:pStyle w:val="GesAbsatz"/>
        <w:rPr>
          <w:rFonts w:cs="Arial"/>
        </w:rPr>
      </w:pPr>
      <w:r>
        <w:rPr>
          <w:rFonts w:cs="Arial"/>
        </w:rPr>
        <w:t>53. Obwohl die betreffenden Abfälle in Belgien als Brennstoff verwendet werden sollten, wo sie bei der B</w:t>
      </w:r>
      <w:r>
        <w:rPr>
          <w:rFonts w:cs="Arial"/>
        </w:rPr>
        <w:t>e</w:t>
      </w:r>
      <w:r>
        <w:rPr>
          <w:rFonts w:cs="Arial"/>
        </w:rPr>
        <w:t>feuerung von Zementöfen Primä</w:t>
      </w:r>
      <w:r>
        <w:rPr>
          <w:rFonts w:cs="Arial"/>
        </w:rPr>
        <w:t>renergiequellen ersetzen sollten, lehnten es die zuständigen deutschen B</w:t>
      </w:r>
      <w:r>
        <w:rPr>
          <w:rFonts w:cs="Arial"/>
        </w:rPr>
        <w:t>e</w:t>
      </w:r>
      <w:r>
        <w:rPr>
          <w:rFonts w:cs="Arial"/>
        </w:rPr>
        <w:t>hö</w:t>
      </w:r>
      <w:r>
        <w:rPr>
          <w:rFonts w:cs="Arial"/>
        </w:rPr>
        <w:t>r</w:t>
      </w:r>
      <w:r>
        <w:rPr>
          <w:rFonts w:cs="Arial"/>
        </w:rPr>
        <w:t xml:space="preserve">den ab, die fraglichen Verbringungsvorgänge als Verwertungsverfahren nach R 1 des Anhangs II B der Richtlinie einzustufen, und begründeten dies allein damit, dass die betreffenden </w:t>
      </w:r>
      <w:r>
        <w:rPr>
          <w:rFonts w:cs="Arial"/>
        </w:rPr>
        <w:t>Maßnahmen bestimmte al</w:t>
      </w:r>
      <w:r>
        <w:rPr>
          <w:rFonts w:cs="Arial"/>
        </w:rPr>
        <w:t>l</w:t>
      </w:r>
      <w:r>
        <w:rPr>
          <w:rFonts w:cs="Arial"/>
        </w:rPr>
        <w:t>geme</w:t>
      </w:r>
      <w:r>
        <w:rPr>
          <w:rFonts w:cs="Arial"/>
        </w:rPr>
        <w:t>i</w:t>
      </w:r>
      <w:r>
        <w:rPr>
          <w:rFonts w:cs="Arial"/>
        </w:rPr>
        <w:t>ne Kriterien der von ihnen erlassenen Rundschreiben, wie z. B. das Kriterium des Mindestheizwerts des A</w:t>
      </w:r>
      <w:r>
        <w:rPr>
          <w:rFonts w:cs="Arial"/>
        </w:rPr>
        <w:t>b</w:t>
      </w:r>
      <w:r>
        <w:rPr>
          <w:rFonts w:cs="Arial"/>
        </w:rPr>
        <w:t>falls, nicht erfüllten.</w:t>
      </w:r>
    </w:p>
    <w:p w:rsidR="00000000" w:rsidRDefault="00CE27AF">
      <w:pPr>
        <w:pStyle w:val="GesAbsatz"/>
        <w:rPr>
          <w:rFonts w:cs="Arial"/>
        </w:rPr>
      </w:pPr>
      <w:r>
        <w:rPr>
          <w:rFonts w:cs="Arial"/>
        </w:rPr>
        <w:t>54. Wie sich aus Randnummer 47 des vorliegenden Urteils ergibt, sind diese Kriterien für die Entsche</w:t>
      </w:r>
      <w:r>
        <w:rPr>
          <w:rFonts w:cs="Arial"/>
        </w:rPr>
        <w:t>i</w:t>
      </w:r>
      <w:r>
        <w:rPr>
          <w:rFonts w:cs="Arial"/>
        </w:rPr>
        <w:t>dung, ob die Verwendung von Abfällen als Brennstoff in einem Zementofen eine Beseitigungs- oder eine Verwe</w:t>
      </w:r>
      <w:r>
        <w:rPr>
          <w:rFonts w:cs="Arial"/>
        </w:rPr>
        <w:t>r</w:t>
      </w:r>
      <w:r>
        <w:rPr>
          <w:rFonts w:cs="Arial"/>
        </w:rPr>
        <w:t>tungsmaßnahme im Sinne der Richtlinie und der Verordnung darstellt, nicht relevant.</w:t>
      </w:r>
    </w:p>
    <w:p w:rsidR="00000000" w:rsidRDefault="00CE27AF">
      <w:pPr>
        <w:pStyle w:val="GesAbsatz"/>
        <w:rPr>
          <w:rFonts w:cs="Arial"/>
        </w:rPr>
      </w:pPr>
      <w:r>
        <w:rPr>
          <w:rFonts w:cs="Arial"/>
        </w:rPr>
        <w:t>55. Es ist daher festzustellen, dass die Bundesrepublik Deutschl</w:t>
      </w:r>
      <w:r>
        <w:rPr>
          <w:rFonts w:cs="Arial"/>
        </w:rPr>
        <w:t>and dadurch gegen ihre Verpflichtungen aus Artikel 7 Absätze 2 und 4 der Verordnung verstoßen hat, dass sie unberechtigte Einwände g</w:t>
      </w:r>
      <w:r>
        <w:rPr>
          <w:rFonts w:cs="Arial"/>
        </w:rPr>
        <w:t>e</w:t>
      </w:r>
      <w:r>
        <w:rPr>
          <w:rFonts w:cs="Arial"/>
        </w:rPr>
        <w:t>gen bestimmte Verbringungen von Abfällen in andere Mitgliedstaaten zur Hauptverwendung als Brennstoff erhoben hat.</w:t>
      </w:r>
    </w:p>
    <w:p w:rsidR="00000000" w:rsidRDefault="00CE27AF">
      <w:pPr>
        <w:pStyle w:val="GesAbsatz"/>
        <w:rPr>
          <w:rFonts w:cs="Arial"/>
        </w:rPr>
      </w:pPr>
      <w:r>
        <w:rPr>
          <w:rFonts w:cs="Arial"/>
          <w:b/>
          <w:bCs/>
        </w:rPr>
        <w:t>Kosten</w:t>
      </w:r>
    </w:p>
    <w:p w:rsidR="00000000" w:rsidRDefault="00CE27AF">
      <w:pPr>
        <w:pStyle w:val="GesAbsatz"/>
        <w:rPr>
          <w:rFonts w:cs="Arial"/>
        </w:rPr>
      </w:pPr>
      <w:r>
        <w:rPr>
          <w:rFonts w:cs="Arial"/>
        </w:rPr>
        <w:t>5</w:t>
      </w:r>
      <w:r>
        <w:rPr>
          <w:rFonts w:cs="Arial"/>
        </w:rPr>
        <w:t>6. Gemäß Artikel 69 § 2 der Verfahrensordnung ist die unterliegende Partei auf Antrag zur Tragung der Kosten zu verurteilen. Da die Kommission die Verurteilung der Bundesrepublik Deutschland zur Tr</w:t>
      </w:r>
      <w:r>
        <w:rPr>
          <w:rFonts w:cs="Arial"/>
        </w:rPr>
        <w:t>a</w:t>
      </w:r>
      <w:r>
        <w:rPr>
          <w:rFonts w:cs="Arial"/>
        </w:rPr>
        <w:t>gung der Kosten beantragt hat und diese mit ihrem Vorbring</w:t>
      </w:r>
      <w:r>
        <w:rPr>
          <w:rFonts w:cs="Arial"/>
        </w:rPr>
        <w:t>en unterlegen ist, sind ihr die Kosten aufzuerlegen.</w:t>
      </w:r>
    </w:p>
    <w:p w:rsidR="00000000" w:rsidRDefault="00CE27AF">
      <w:pPr>
        <w:pStyle w:val="GesAbsatz"/>
        <w:rPr>
          <w:rFonts w:cs="Arial"/>
        </w:rPr>
      </w:pPr>
      <w:r>
        <w:rPr>
          <w:rFonts w:cs="Arial"/>
        </w:rPr>
        <w:t>Aus diesen Gründen</w:t>
      </w:r>
    </w:p>
    <w:p w:rsidR="00000000" w:rsidRDefault="00CE27AF">
      <w:pPr>
        <w:pStyle w:val="GesAbsatz"/>
        <w:rPr>
          <w:rFonts w:cs="Arial"/>
        </w:rPr>
      </w:pPr>
      <w:r>
        <w:rPr>
          <w:rFonts w:cs="Arial"/>
        </w:rPr>
        <w:t>hat</w:t>
      </w:r>
    </w:p>
    <w:p w:rsidR="00000000" w:rsidRDefault="00CE27AF">
      <w:pPr>
        <w:pStyle w:val="GesAbsatz"/>
        <w:rPr>
          <w:rFonts w:cs="Arial"/>
        </w:rPr>
      </w:pPr>
      <w:r>
        <w:rPr>
          <w:rFonts w:cs="Arial"/>
        </w:rPr>
        <w:t>DER GERICHTSHOF (Fünfte Kammer)</w:t>
      </w:r>
    </w:p>
    <w:p w:rsidR="00000000" w:rsidRDefault="00CE27AF">
      <w:pPr>
        <w:pStyle w:val="GesAbsatz"/>
        <w:rPr>
          <w:rFonts w:cs="Arial"/>
        </w:rPr>
      </w:pPr>
      <w:r>
        <w:rPr>
          <w:rFonts w:cs="Arial"/>
        </w:rPr>
        <w:t>für Recht erkannt und entschieden:</w:t>
      </w:r>
    </w:p>
    <w:p w:rsidR="00000000" w:rsidRDefault="00CE27AF">
      <w:pPr>
        <w:pStyle w:val="GesAbsatz"/>
        <w:rPr>
          <w:rFonts w:cs="Arial"/>
          <w:b/>
          <w:bCs/>
        </w:rPr>
      </w:pPr>
      <w:r>
        <w:rPr>
          <w:rFonts w:cs="Arial"/>
          <w:b/>
          <w:bCs/>
        </w:rPr>
        <w:t>1. Die Bundesrepublik Deutschland hat dadurch gegen ihre Verpflichtungen aus Artikel 7 Absätze 2 und 4 der Verord</w:t>
      </w:r>
      <w:r>
        <w:rPr>
          <w:rFonts w:cs="Arial"/>
          <w:b/>
          <w:bCs/>
        </w:rPr>
        <w:t>nung (EWG) Nr. 259/93 des Rates vom 1. Februar 1993 zur Überwachung der Ve</w:t>
      </w:r>
      <w:r>
        <w:rPr>
          <w:rFonts w:cs="Arial"/>
          <w:b/>
          <w:bCs/>
        </w:rPr>
        <w:t>r</w:t>
      </w:r>
      <w:r>
        <w:rPr>
          <w:rFonts w:cs="Arial"/>
          <w:b/>
          <w:bCs/>
        </w:rPr>
        <w:t>bringung von Abfällen in der, in die und aus der Europäischen Gemeinschaft verstoßen, dass sie unberechtigte Einwände gegen bestimmte Verbringungen von Abfällen in andere Mitgliedst</w:t>
      </w:r>
      <w:r>
        <w:rPr>
          <w:rFonts w:cs="Arial"/>
          <w:b/>
          <w:bCs/>
        </w:rPr>
        <w:t>aaten zur Hauptverwendung als Brennstoff erhoben hat.</w:t>
      </w:r>
    </w:p>
    <w:p w:rsidR="00000000" w:rsidRDefault="00CE27AF">
      <w:pPr>
        <w:pStyle w:val="GesAbsatz"/>
        <w:rPr>
          <w:rFonts w:cs="Arial"/>
          <w:b/>
          <w:bCs/>
        </w:rPr>
      </w:pPr>
      <w:r>
        <w:rPr>
          <w:rFonts w:cs="Arial"/>
          <w:b/>
          <w:bCs/>
        </w:rPr>
        <w:t>2. Die Bundesrepublik Deutschland trägt die Kosten des Verfahrens.</w:t>
      </w:r>
    </w:p>
    <w:p w:rsidR="00000000" w:rsidRDefault="00CE27AF">
      <w:pPr>
        <w:pStyle w:val="GesAbsatz"/>
        <w:rPr>
          <w:rFonts w:cs="Arial"/>
          <w:lang w:val="en-GB"/>
        </w:rPr>
      </w:pPr>
      <w:proofErr w:type="spellStart"/>
      <w:r>
        <w:rPr>
          <w:rFonts w:cs="Arial"/>
          <w:lang w:val="en-GB"/>
        </w:rPr>
        <w:t>Wathelet</w:t>
      </w:r>
      <w:proofErr w:type="spellEnd"/>
    </w:p>
    <w:p w:rsidR="00000000" w:rsidRDefault="00CE27AF">
      <w:pPr>
        <w:pStyle w:val="GesAbsatz"/>
        <w:rPr>
          <w:rFonts w:cs="Arial"/>
          <w:lang w:val="en-GB"/>
        </w:rPr>
      </w:pPr>
      <w:r>
        <w:rPr>
          <w:rFonts w:cs="Arial"/>
          <w:lang w:val="en-GB"/>
        </w:rPr>
        <w:t>Timme</w:t>
      </w:r>
      <w:r>
        <w:rPr>
          <w:rFonts w:cs="Arial"/>
          <w:lang w:val="en-GB"/>
        </w:rPr>
        <w:t>r</w:t>
      </w:r>
      <w:r>
        <w:rPr>
          <w:rFonts w:cs="Arial"/>
          <w:lang w:val="en-GB"/>
        </w:rPr>
        <w:t>mans</w:t>
      </w:r>
    </w:p>
    <w:p w:rsidR="00000000" w:rsidRDefault="00CE27AF">
      <w:pPr>
        <w:pStyle w:val="GesAbsatz"/>
        <w:rPr>
          <w:rFonts w:cs="Arial"/>
          <w:lang w:val="en-GB"/>
        </w:rPr>
      </w:pPr>
      <w:r>
        <w:rPr>
          <w:rFonts w:cs="Arial"/>
          <w:lang w:val="en-GB"/>
        </w:rPr>
        <w:t>Edward</w:t>
      </w:r>
    </w:p>
    <w:p w:rsidR="00000000" w:rsidRDefault="00CE27AF">
      <w:pPr>
        <w:pStyle w:val="GesAbsatz"/>
        <w:rPr>
          <w:rFonts w:cs="Arial"/>
          <w:lang w:val="en-GB"/>
        </w:rPr>
      </w:pPr>
      <w:r>
        <w:rPr>
          <w:rFonts w:cs="Arial"/>
          <w:lang w:val="en-GB"/>
        </w:rPr>
        <w:t>Jann</w:t>
      </w:r>
    </w:p>
    <w:p w:rsidR="00000000" w:rsidRDefault="00CE27AF">
      <w:pPr>
        <w:pStyle w:val="GesAbsatz"/>
        <w:rPr>
          <w:rFonts w:cs="Arial"/>
          <w:bCs/>
        </w:rPr>
      </w:pPr>
      <w:r>
        <w:rPr>
          <w:rFonts w:cs="Arial"/>
        </w:rPr>
        <w:t>von Bahr</w:t>
      </w:r>
    </w:p>
    <w:p w:rsidR="00000000" w:rsidRDefault="00CE27AF">
      <w:pPr>
        <w:pStyle w:val="GesAbsatz"/>
        <w:rPr>
          <w:rFonts w:cs="Arial"/>
        </w:rPr>
      </w:pPr>
      <w:r>
        <w:rPr>
          <w:rFonts w:cs="Arial"/>
        </w:rPr>
        <w:t>Verkündet in öffentlicher Sitzung in Luxemburg am 13. Februar 2003.</w:t>
      </w:r>
    </w:p>
    <w:p w:rsidR="00000000" w:rsidRDefault="00CE27AF">
      <w:pPr>
        <w:pStyle w:val="GesAbsatz"/>
        <w:tabs>
          <w:tab w:val="left" w:pos="5670"/>
          <w:tab w:val="left" w:pos="6804"/>
        </w:tabs>
        <w:rPr>
          <w:rFonts w:cs="Arial"/>
        </w:rPr>
      </w:pPr>
      <w:r>
        <w:rPr>
          <w:rFonts w:cs="Arial"/>
        </w:rPr>
        <w:t>Der Kanzler</w:t>
      </w:r>
      <w:r>
        <w:rPr>
          <w:rFonts w:cs="Arial"/>
        </w:rPr>
        <w:tab/>
        <w:t xml:space="preserve">Der Präsident </w:t>
      </w:r>
      <w:r>
        <w:rPr>
          <w:rFonts w:cs="Arial"/>
        </w:rPr>
        <w:t>der Fünften Kammer</w:t>
      </w:r>
    </w:p>
    <w:p w:rsidR="00000000" w:rsidRDefault="00CE27AF">
      <w:pPr>
        <w:pStyle w:val="GesAbsatz"/>
        <w:tabs>
          <w:tab w:val="left" w:pos="6804"/>
        </w:tabs>
        <w:rPr>
          <w:rFonts w:cs="Arial"/>
          <w:lang w:val="en-GB"/>
        </w:rPr>
      </w:pPr>
      <w:r>
        <w:rPr>
          <w:rFonts w:cs="Arial"/>
          <w:lang w:val="en-GB"/>
        </w:rPr>
        <w:t>R. Grass</w:t>
      </w:r>
      <w:r>
        <w:rPr>
          <w:rFonts w:cs="Arial"/>
          <w:lang w:val="en-GB"/>
        </w:rPr>
        <w:tab/>
        <w:t xml:space="preserve">M. </w:t>
      </w:r>
      <w:proofErr w:type="spellStart"/>
      <w:r>
        <w:rPr>
          <w:rFonts w:cs="Arial"/>
          <w:lang w:val="en-GB"/>
        </w:rPr>
        <w:t>Wathelet</w:t>
      </w:r>
      <w:proofErr w:type="spellEnd"/>
    </w:p>
    <w:sectPr w:rsidR="00000000">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27AF">
      <w:pPr>
        <w:spacing w:before="0" w:after="0"/>
      </w:pPr>
      <w:r>
        <w:separator/>
      </w:r>
    </w:p>
  </w:endnote>
  <w:endnote w:type="continuationSeparator" w:id="0">
    <w:p w:rsidR="00000000" w:rsidRDefault="00CE2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7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CE27A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7AF">
    <w:pPr>
      <w:pStyle w:val="Fuzeile"/>
      <w:ind w:right="360"/>
    </w:pPr>
    <w:r>
      <w:tab/>
      <w:t>Stand 13.2.2003</w:t>
    </w:r>
    <w:r>
      <w:tab/>
      <w:t xml:space="preserve">Seite </w:t>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27AF">
      <w:pPr>
        <w:spacing w:before="0" w:after="0"/>
      </w:pPr>
      <w:r>
        <w:separator/>
      </w:r>
    </w:p>
  </w:footnote>
  <w:footnote w:type="continuationSeparator" w:id="0">
    <w:p w:rsidR="00000000" w:rsidRDefault="00CE27AF">
      <w:pPr>
        <w:spacing w:before="0" w:after="0"/>
      </w:pPr>
      <w:r>
        <w:continuationSeparator/>
      </w:r>
    </w:p>
  </w:footnote>
  <w:footnote w:id="1">
    <w:p w:rsidR="00000000" w:rsidRDefault="00CE27AF">
      <w:pPr>
        <w:pStyle w:val="Funotentext"/>
      </w:pPr>
      <w:r>
        <w:rPr>
          <w:rStyle w:val="Funotenzeichen"/>
        </w:rPr>
        <w:footnoteRef/>
      </w:r>
      <w:r>
        <w:t xml:space="preserve"> </w:t>
      </w:r>
      <w:r>
        <w:rPr>
          <w:rFonts w:cs="Arial"/>
        </w:rPr>
        <w:t>Verfahrenssprache: Deutsch.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7AF" w:rsidP="00CE27AF">
    <w:pPr>
      <w:pStyle w:val="Kopfzeile0"/>
    </w:pPr>
    <w:r>
      <w:t>Fach1</w:t>
    </w:r>
    <w:r>
      <w:t>.1</w:t>
    </w:r>
    <w:r>
      <w:t>0</w:t>
    </w:r>
  </w:p>
  <w:p w:rsidR="00000000" w:rsidRDefault="00CE27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AF"/>
    <w:rsid w:val="00CE2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27A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E27AF"/>
    <w:pPr>
      <w:keepNext/>
      <w:spacing w:after="120"/>
      <w:jc w:val="center"/>
      <w:outlineLvl w:val="0"/>
    </w:pPr>
    <w:rPr>
      <w:b/>
      <w:kern w:val="28"/>
      <w:sz w:val="28"/>
    </w:rPr>
  </w:style>
  <w:style w:type="paragraph" w:styleId="berschrift2">
    <w:name w:val="heading 2"/>
    <w:basedOn w:val="Standard"/>
    <w:next w:val="GesAbsatz"/>
    <w:qFormat/>
    <w:rsid w:val="00CE27AF"/>
    <w:pPr>
      <w:keepNext/>
      <w:spacing w:before="240"/>
      <w:jc w:val="center"/>
      <w:outlineLvl w:val="1"/>
    </w:pPr>
    <w:rPr>
      <w:b/>
      <w:sz w:val="24"/>
    </w:rPr>
  </w:style>
  <w:style w:type="paragraph" w:styleId="berschrift3">
    <w:name w:val="heading 3"/>
    <w:basedOn w:val="Standard"/>
    <w:next w:val="GesAbsatz"/>
    <w:qFormat/>
    <w:rsid w:val="00CE27AF"/>
    <w:pPr>
      <w:keepNext/>
      <w:spacing w:before="240" w:after="180"/>
      <w:jc w:val="center"/>
      <w:outlineLvl w:val="2"/>
    </w:pPr>
    <w:rPr>
      <w:b/>
    </w:rPr>
  </w:style>
  <w:style w:type="paragraph" w:styleId="berschrift4">
    <w:name w:val="heading 4"/>
    <w:basedOn w:val="Standard"/>
    <w:next w:val="Standard"/>
    <w:rsid w:val="00CE27AF"/>
    <w:pPr>
      <w:keepNext/>
      <w:spacing w:before="240"/>
      <w:outlineLvl w:val="3"/>
    </w:pPr>
  </w:style>
  <w:style w:type="paragraph" w:styleId="berschrift5">
    <w:name w:val="heading 5"/>
    <w:basedOn w:val="Standard"/>
    <w:next w:val="Standard"/>
    <w:rsid w:val="00CE27AF"/>
    <w:pPr>
      <w:spacing w:before="120"/>
      <w:ind w:left="709" w:hanging="709"/>
      <w:outlineLvl w:val="4"/>
    </w:pPr>
  </w:style>
  <w:style w:type="character" w:default="1" w:styleId="Absatz-Standardschriftart">
    <w:name w:val="Default Paragraph Font"/>
    <w:uiPriority w:val="1"/>
    <w:semiHidden/>
    <w:unhideWhenUsed/>
    <w:rsid w:val="00CE27A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E27AF"/>
  </w:style>
  <w:style w:type="paragraph" w:styleId="Kopfzeile">
    <w:name w:val="header"/>
    <w:basedOn w:val="Standard"/>
    <w:qFormat/>
    <w:rsid w:val="00CE27AF"/>
    <w:pPr>
      <w:tabs>
        <w:tab w:val="center" w:pos="4536"/>
        <w:tab w:val="right" w:pos="9072"/>
      </w:tabs>
      <w:spacing w:before="0" w:after="120"/>
      <w:jc w:val="right"/>
    </w:pPr>
  </w:style>
  <w:style w:type="paragraph" w:styleId="Fuzeile">
    <w:name w:val="footer"/>
    <w:basedOn w:val="Standard"/>
    <w:qFormat/>
    <w:rsid w:val="00CE27AF"/>
    <w:pPr>
      <w:tabs>
        <w:tab w:val="clear" w:pos="425"/>
        <w:tab w:val="right" w:pos="8505"/>
        <w:tab w:val="right" w:pos="9639"/>
      </w:tabs>
      <w:spacing w:before="0" w:after="0"/>
      <w:jc w:val="left"/>
    </w:pPr>
    <w:rPr>
      <w:sz w:val="16"/>
    </w:rPr>
  </w:style>
  <w:style w:type="character" w:styleId="Seitenzahl">
    <w:name w:val="page number"/>
    <w:semiHidden/>
    <w:rsid w:val="00CE27AF"/>
    <w:rPr>
      <w:rFonts w:ascii="Arial" w:hAnsi="Arial"/>
      <w:sz w:val="16"/>
    </w:rPr>
  </w:style>
  <w:style w:type="paragraph" w:styleId="Verzeichnis2">
    <w:name w:val="toc 2"/>
    <w:basedOn w:val="Standard"/>
    <w:next w:val="Standard"/>
    <w:semiHidden/>
    <w:rsid w:val="00CE27AF"/>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CE27A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E27AF"/>
    <w:pPr>
      <w:spacing w:before="0" w:after="0"/>
    </w:pPr>
    <w:rPr>
      <w:sz w:val="16"/>
    </w:rPr>
  </w:style>
  <w:style w:type="paragraph" w:styleId="Verzeichnis1">
    <w:name w:val="toc 1"/>
    <w:basedOn w:val="Verzeichnis3"/>
    <w:next w:val="Standard"/>
    <w:semiHidden/>
    <w:rsid w:val="00CE27AF"/>
    <w:pPr>
      <w:spacing w:before="120" w:after="120"/>
      <w:ind w:left="0"/>
    </w:pPr>
    <w:rPr>
      <w:b/>
      <w:i w:val="0"/>
      <w:caps/>
    </w:rPr>
  </w:style>
  <w:style w:type="paragraph" w:styleId="Aufzhlungszeichen">
    <w:name w:val="List Bullet"/>
    <w:basedOn w:val="Standard"/>
    <w:semiHidden/>
    <w:pPr>
      <w:ind w:left="283" w:hanging="283"/>
    </w:pPr>
  </w:style>
  <w:style w:type="paragraph" w:customStyle="1" w:styleId="GesAbsatz">
    <w:name w:val="GesAbsatz"/>
    <w:basedOn w:val="Standard"/>
    <w:qFormat/>
    <w:rsid w:val="00CE27AF"/>
    <w:pPr>
      <w:spacing w:before="100"/>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rsid w:val="00CE27AF"/>
    <w:pPr>
      <w:tabs>
        <w:tab w:val="clear" w:pos="425"/>
        <w:tab w:val="right" w:leader="dot" w:pos="9638"/>
      </w:tabs>
      <w:spacing w:before="0" w:after="0"/>
      <w:ind w:left="400"/>
      <w:jc w:val="left"/>
    </w:pPr>
    <w:rPr>
      <w:rFonts w:ascii="Times New Roman" w:hAnsi="Times New Roman"/>
      <w:sz w:val="18"/>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ett">
    <w:name w:val="Strong"/>
    <w:basedOn w:val="Absatz-Standardschriftart"/>
    <w:qFormat/>
    <w:rPr>
      <w:b/>
      <w:bCs/>
    </w:rPr>
  </w:style>
  <w:style w:type="character" w:styleId="Hyperlink">
    <w:name w:val="Hyperlink"/>
    <w:rsid w:val="00CE27AF"/>
    <w:rPr>
      <w:color w:val="0000FF"/>
      <w:u w:val="single"/>
    </w:rPr>
  </w:style>
  <w:style w:type="paragraph" w:styleId="StandardWeb">
    <w:name w:val="Normal (Web)"/>
    <w:basedOn w:val="Standard"/>
    <w:semiHidden/>
    <w:pPr>
      <w:tabs>
        <w:tab w:val="clear" w:pos="425"/>
      </w:tabs>
      <w:spacing w:before="100" w:beforeAutospacing="1" w:after="100" w:afterAutospacing="1"/>
      <w:jc w:val="left"/>
    </w:pPr>
    <w:rPr>
      <w:rFonts w:ascii="Arial Unicode MS" w:eastAsia="Arial Unicode MS" w:hAnsi="Arial Unicode MS" w:cs="Arial Unicode MS"/>
      <w:sz w:val="24"/>
      <w:szCs w:val="24"/>
    </w:rPr>
  </w:style>
  <w:style w:type="character" w:styleId="Funotenzeichen">
    <w:name w:val="footnote reference"/>
    <w:qFormat/>
    <w:rsid w:val="00CE27AF"/>
    <w:rPr>
      <w:sz w:val="20"/>
      <w:szCs w:val="20"/>
      <w:vertAlign w:val="superscript"/>
    </w:rPr>
  </w:style>
  <w:style w:type="paragraph" w:customStyle="1" w:styleId="Kopfzeile0">
    <w:name w:val="Kopfzeile0"/>
    <w:basedOn w:val="Standard"/>
    <w:next w:val="Kopfzeile"/>
    <w:qFormat/>
    <w:rsid w:val="00CE27AF"/>
    <w:pPr>
      <w:spacing w:before="0" w:after="0"/>
      <w:jc w:val="right"/>
    </w:pPr>
    <w:rPr>
      <w:b/>
      <w:sz w:val="24"/>
    </w:rPr>
  </w:style>
  <w:style w:type="paragraph" w:styleId="Verzeichnis5">
    <w:name w:val="toc 5"/>
    <w:basedOn w:val="Standard"/>
    <w:next w:val="Standard"/>
    <w:semiHidden/>
    <w:rsid w:val="00CE27A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E27A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E27A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E27A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E27AF"/>
    <w:pPr>
      <w:tabs>
        <w:tab w:val="clear" w:pos="425"/>
        <w:tab w:val="right" w:leader="dot" w:pos="9638"/>
      </w:tabs>
      <w:spacing w:before="0" w:after="0"/>
      <w:ind w:left="1400"/>
      <w:jc w:val="left"/>
    </w:pPr>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27A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E27AF"/>
    <w:pPr>
      <w:keepNext/>
      <w:spacing w:after="120"/>
      <w:jc w:val="center"/>
      <w:outlineLvl w:val="0"/>
    </w:pPr>
    <w:rPr>
      <w:b/>
      <w:kern w:val="28"/>
      <w:sz w:val="28"/>
    </w:rPr>
  </w:style>
  <w:style w:type="paragraph" w:styleId="berschrift2">
    <w:name w:val="heading 2"/>
    <w:basedOn w:val="Standard"/>
    <w:next w:val="GesAbsatz"/>
    <w:qFormat/>
    <w:rsid w:val="00CE27AF"/>
    <w:pPr>
      <w:keepNext/>
      <w:spacing w:before="240"/>
      <w:jc w:val="center"/>
      <w:outlineLvl w:val="1"/>
    </w:pPr>
    <w:rPr>
      <w:b/>
      <w:sz w:val="24"/>
    </w:rPr>
  </w:style>
  <w:style w:type="paragraph" w:styleId="berschrift3">
    <w:name w:val="heading 3"/>
    <w:basedOn w:val="Standard"/>
    <w:next w:val="GesAbsatz"/>
    <w:qFormat/>
    <w:rsid w:val="00CE27AF"/>
    <w:pPr>
      <w:keepNext/>
      <w:spacing w:before="240" w:after="180"/>
      <w:jc w:val="center"/>
      <w:outlineLvl w:val="2"/>
    </w:pPr>
    <w:rPr>
      <w:b/>
    </w:rPr>
  </w:style>
  <w:style w:type="paragraph" w:styleId="berschrift4">
    <w:name w:val="heading 4"/>
    <w:basedOn w:val="Standard"/>
    <w:next w:val="Standard"/>
    <w:rsid w:val="00CE27AF"/>
    <w:pPr>
      <w:keepNext/>
      <w:spacing w:before="240"/>
      <w:outlineLvl w:val="3"/>
    </w:pPr>
  </w:style>
  <w:style w:type="paragraph" w:styleId="berschrift5">
    <w:name w:val="heading 5"/>
    <w:basedOn w:val="Standard"/>
    <w:next w:val="Standard"/>
    <w:rsid w:val="00CE27AF"/>
    <w:pPr>
      <w:spacing w:before="120"/>
      <w:ind w:left="709" w:hanging="709"/>
      <w:outlineLvl w:val="4"/>
    </w:pPr>
  </w:style>
  <w:style w:type="character" w:default="1" w:styleId="Absatz-Standardschriftart">
    <w:name w:val="Default Paragraph Font"/>
    <w:uiPriority w:val="1"/>
    <w:semiHidden/>
    <w:unhideWhenUsed/>
    <w:rsid w:val="00CE27A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E27AF"/>
  </w:style>
  <w:style w:type="paragraph" w:styleId="Kopfzeile">
    <w:name w:val="header"/>
    <w:basedOn w:val="Standard"/>
    <w:qFormat/>
    <w:rsid w:val="00CE27AF"/>
    <w:pPr>
      <w:tabs>
        <w:tab w:val="center" w:pos="4536"/>
        <w:tab w:val="right" w:pos="9072"/>
      </w:tabs>
      <w:spacing w:before="0" w:after="120"/>
      <w:jc w:val="right"/>
    </w:pPr>
  </w:style>
  <w:style w:type="paragraph" w:styleId="Fuzeile">
    <w:name w:val="footer"/>
    <w:basedOn w:val="Standard"/>
    <w:qFormat/>
    <w:rsid w:val="00CE27AF"/>
    <w:pPr>
      <w:tabs>
        <w:tab w:val="clear" w:pos="425"/>
        <w:tab w:val="right" w:pos="8505"/>
        <w:tab w:val="right" w:pos="9639"/>
      </w:tabs>
      <w:spacing w:before="0" w:after="0"/>
      <w:jc w:val="left"/>
    </w:pPr>
    <w:rPr>
      <w:sz w:val="16"/>
    </w:rPr>
  </w:style>
  <w:style w:type="character" w:styleId="Seitenzahl">
    <w:name w:val="page number"/>
    <w:semiHidden/>
    <w:rsid w:val="00CE27AF"/>
    <w:rPr>
      <w:rFonts w:ascii="Arial" w:hAnsi="Arial"/>
      <w:sz w:val="16"/>
    </w:rPr>
  </w:style>
  <w:style w:type="paragraph" w:styleId="Verzeichnis2">
    <w:name w:val="toc 2"/>
    <w:basedOn w:val="Standard"/>
    <w:next w:val="Standard"/>
    <w:semiHidden/>
    <w:rsid w:val="00CE27AF"/>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CE27A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E27AF"/>
    <w:pPr>
      <w:spacing w:before="0" w:after="0"/>
    </w:pPr>
    <w:rPr>
      <w:sz w:val="16"/>
    </w:rPr>
  </w:style>
  <w:style w:type="paragraph" w:styleId="Verzeichnis1">
    <w:name w:val="toc 1"/>
    <w:basedOn w:val="Verzeichnis3"/>
    <w:next w:val="Standard"/>
    <w:semiHidden/>
    <w:rsid w:val="00CE27AF"/>
    <w:pPr>
      <w:spacing w:before="120" w:after="120"/>
      <w:ind w:left="0"/>
    </w:pPr>
    <w:rPr>
      <w:b/>
      <w:i w:val="0"/>
      <w:caps/>
    </w:rPr>
  </w:style>
  <w:style w:type="paragraph" w:styleId="Aufzhlungszeichen">
    <w:name w:val="List Bullet"/>
    <w:basedOn w:val="Standard"/>
    <w:semiHidden/>
    <w:pPr>
      <w:ind w:left="283" w:hanging="283"/>
    </w:pPr>
  </w:style>
  <w:style w:type="paragraph" w:customStyle="1" w:styleId="GesAbsatz">
    <w:name w:val="GesAbsatz"/>
    <w:basedOn w:val="Standard"/>
    <w:qFormat/>
    <w:rsid w:val="00CE27AF"/>
    <w:pPr>
      <w:spacing w:before="100"/>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rsid w:val="00CE27AF"/>
    <w:pPr>
      <w:tabs>
        <w:tab w:val="clear" w:pos="425"/>
        <w:tab w:val="right" w:leader="dot" w:pos="9638"/>
      </w:tabs>
      <w:spacing w:before="0" w:after="0"/>
      <w:ind w:left="400"/>
      <w:jc w:val="left"/>
    </w:pPr>
    <w:rPr>
      <w:rFonts w:ascii="Times New Roman" w:hAnsi="Times New Roman"/>
      <w:sz w:val="18"/>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ett">
    <w:name w:val="Strong"/>
    <w:basedOn w:val="Absatz-Standardschriftart"/>
    <w:qFormat/>
    <w:rPr>
      <w:b/>
      <w:bCs/>
    </w:rPr>
  </w:style>
  <w:style w:type="character" w:styleId="Hyperlink">
    <w:name w:val="Hyperlink"/>
    <w:rsid w:val="00CE27AF"/>
    <w:rPr>
      <w:color w:val="0000FF"/>
      <w:u w:val="single"/>
    </w:rPr>
  </w:style>
  <w:style w:type="paragraph" w:styleId="StandardWeb">
    <w:name w:val="Normal (Web)"/>
    <w:basedOn w:val="Standard"/>
    <w:semiHidden/>
    <w:pPr>
      <w:tabs>
        <w:tab w:val="clear" w:pos="425"/>
      </w:tabs>
      <w:spacing w:before="100" w:beforeAutospacing="1" w:after="100" w:afterAutospacing="1"/>
      <w:jc w:val="left"/>
    </w:pPr>
    <w:rPr>
      <w:rFonts w:ascii="Arial Unicode MS" w:eastAsia="Arial Unicode MS" w:hAnsi="Arial Unicode MS" w:cs="Arial Unicode MS"/>
      <w:sz w:val="24"/>
      <w:szCs w:val="24"/>
    </w:rPr>
  </w:style>
  <w:style w:type="character" w:styleId="Funotenzeichen">
    <w:name w:val="footnote reference"/>
    <w:qFormat/>
    <w:rsid w:val="00CE27AF"/>
    <w:rPr>
      <w:sz w:val="20"/>
      <w:szCs w:val="20"/>
      <w:vertAlign w:val="superscript"/>
    </w:rPr>
  </w:style>
  <w:style w:type="paragraph" w:customStyle="1" w:styleId="Kopfzeile0">
    <w:name w:val="Kopfzeile0"/>
    <w:basedOn w:val="Standard"/>
    <w:next w:val="Kopfzeile"/>
    <w:qFormat/>
    <w:rsid w:val="00CE27AF"/>
    <w:pPr>
      <w:spacing w:before="0" w:after="0"/>
      <w:jc w:val="right"/>
    </w:pPr>
    <w:rPr>
      <w:b/>
      <w:sz w:val="24"/>
    </w:rPr>
  </w:style>
  <w:style w:type="paragraph" w:styleId="Verzeichnis5">
    <w:name w:val="toc 5"/>
    <w:basedOn w:val="Standard"/>
    <w:next w:val="Standard"/>
    <w:semiHidden/>
    <w:rsid w:val="00CE27A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E27A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E27A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E27A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E27AF"/>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3438</Words>
  <Characters>21434</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Vertragsverletzung eines Mitgliedstaats - Artikel 7 Absätze 2 und 4 der Verordnung (EWG) Nr. 259/93 - Zuordnung des Zwecks einer Abfall-verbringung (Verwertung oder Beseitigung)</vt:lpstr>
    </vt:vector>
  </TitlesOfParts>
  <Company>LUA</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Vertragsverletzung eines Mitgliedstaats - Artikel 7 Absätze 2 und 4 der Verordnung (EWG) Nr. 259/93 - Zuordnung des Zwecks einer Abfall-verbringung (Verwertung oder Beseitigung)</dc:title>
  <dc:creator>LUA</dc:creator>
  <cp:lastModifiedBy>rueter</cp:lastModifiedBy>
  <cp:revision>2</cp:revision>
  <cp:lastPrinted>1601-01-01T00:00:00Z</cp:lastPrinted>
  <dcterms:created xsi:type="dcterms:W3CDTF">2019-06-17T12:24:00Z</dcterms:created>
  <dcterms:modified xsi:type="dcterms:W3CDTF">2019-06-17T12:24:00Z</dcterms:modified>
</cp:coreProperties>
</file>