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9758763"/>
      <w:r>
        <w:t xml:space="preserve">RICHTLINIE </w:t>
      </w:r>
      <w:hyperlink r:id="rId7" w:history="1">
        <w:r>
          <w:rPr>
            <w:rStyle w:val="Hyperlink"/>
          </w:rPr>
          <w:t>2010/31/EU</w:t>
        </w:r>
      </w:hyperlink>
      <w:r>
        <w:t xml:space="preserve"> DES EUROPÄISCHEN PARLAMENTS</w:t>
      </w:r>
      <w:r>
        <w:br/>
        <w:t>UND DES RATES vom 19. Mai 2010</w:t>
      </w:r>
      <w:r>
        <w:br/>
        <w:t>über die Gesamtenergieeffizienz von Gebäuden</w:t>
      </w:r>
      <w:bookmarkEnd w:id="0"/>
    </w:p>
    <w:p>
      <w:pPr>
        <w:pStyle w:val="GesAbsatz"/>
        <w:jc w:val="center"/>
      </w:pPr>
      <w:r>
        <w:t>(Neufassung)</w:t>
      </w:r>
    </w:p>
    <w:p>
      <w:pPr>
        <w:pStyle w:val="GesAbsatz"/>
      </w:pPr>
      <w:r>
        <w:rPr>
          <w:b/>
        </w:rPr>
        <w:t>Änderungen</w:t>
      </w:r>
      <w:r>
        <w:t xml:space="preserve">: Ber. </w:t>
      </w:r>
      <w:hyperlink r:id="rId8" w:history="1">
        <w:r>
          <w:rPr>
            <w:rStyle w:val="Hyperlink"/>
          </w:rPr>
          <w:t>L 155</w:t>
        </w:r>
      </w:hyperlink>
      <w:r>
        <w:t xml:space="preserve"> v. 22.06.2010 S. 61; </w:t>
      </w:r>
      <w:hyperlink r:id="rId9" w:history="1">
        <w:r>
          <w:rPr>
            <w:rStyle w:val="Hyperlink"/>
          </w:rPr>
          <w:t>2018/844</w:t>
        </w:r>
      </w:hyperlink>
      <w:r>
        <w:t xml:space="preserve"> ABl. L 156 v. 19.06.2018 S. 75 Inkrafttreten 09.07.2018; </w:t>
      </w:r>
      <w:hyperlink r:id="rId10" w:history="1">
        <w:r>
          <w:rPr>
            <w:rStyle w:val="Hyperlink"/>
          </w:rPr>
          <w:t>L 249</w:t>
        </w:r>
      </w:hyperlink>
      <w:r>
        <w:t xml:space="preserve"> v. 04.10.2018 S. 19; </w:t>
      </w:r>
      <w:hyperlink r:id="rId11" w:history="1">
        <w:r>
          <w:rPr>
            <w:rStyle w:val="Hyperlink"/>
          </w:rPr>
          <w:t>2018/1999</w:t>
        </w:r>
      </w:hyperlink>
      <w:r>
        <w:t xml:space="preserve"> ABl. L 328 v. 21.12.2018 Inkrafttreten 24.12.2018;</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519758763" w:history="1">
        <w:r>
          <w:rPr>
            <w:rStyle w:val="Hyperlink"/>
            <w:noProof/>
          </w:rPr>
          <w:t>RICHTLINIE 2010/31/EU</w:t>
        </w:r>
        <w:r>
          <w:rPr>
            <w:noProof/>
            <w:webHidden/>
          </w:rPr>
          <w:tab/>
        </w:r>
        <w:r>
          <w:rPr>
            <w:noProof/>
            <w:webHidden/>
          </w:rPr>
          <w:fldChar w:fldCharType="begin"/>
        </w:r>
        <w:r>
          <w:rPr>
            <w:noProof/>
            <w:webHidden/>
          </w:rPr>
          <w:instrText xml:space="preserve"> PAGEREF _Toc519758763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4" w:history="1">
        <w:r>
          <w:rPr>
            <w:rStyle w:val="Hyperlink"/>
            <w:noProof/>
          </w:rPr>
          <w:t>Artikel 1 Gegenstand</w:t>
        </w:r>
        <w:r>
          <w:rPr>
            <w:noProof/>
            <w:webHidden/>
          </w:rPr>
          <w:tab/>
        </w:r>
        <w:r>
          <w:rPr>
            <w:noProof/>
            <w:webHidden/>
          </w:rPr>
          <w:fldChar w:fldCharType="begin"/>
        </w:r>
        <w:r>
          <w:rPr>
            <w:noProof/>
            <w:webHidden/>
          </w:rPr>
          <w:instrText xml:space="preserve"> PAGEREF _Toc519758764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5" w:history="1">
        <w:r>
          <w:rPr>
            <w:rStyle w:val="Hyperlink"/>
            <w:noProof/>
          </w:rPr>
          <w:t>Artikel 2 Begriffsbestimmungen</w:t>
        </w:r>
        <w:r>
          <w:rPr>
            <w:noProof/>
            <w:webHidden/>
          </w:rPr>
          <w:tab/>
        </w:r>
        <w:r>
          <w:rPr>
            <w:noProof/>
            <w:webHidden/>
          </w:rPr>
          <w:fldChar w:fldCharType="begin"/>
        </w:r>
        <w:r>
          <w:rPr>
            <w:noProof/>
            <w:webHidden/>
          </w:rPr>
          <w:instrText xml:space="preserve"> PAGEREF _Toc519758765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6" w:history="1">
        <w:r>
          <w:rPr>
            <w:rStyle w:val="Hyperlink"/>
            <w:noProof/>
          </w:rPr>
          <w:t>Artikel 2a Langfristige Renovierungsstrategie</w:t>
        </w:r>
        <w:r>
          <w:rPr>
            <w:noProof/>
            <w:webHidden/>
          </w:rPr>
          <w:tab/>
        </w:r>
        <w:r>
          <w:rPr>
            <w:noProof/>
            <w:webHidden/>
          </w:rPr>
          <w:fldChar w:fldCharType="begin"/>
        </w:r>
        <w:r>
          <w:rPr>
            <w:noProof/>
            <w:webHidden/>
          </w:rPr>
          <w:instrText xml:space="preserve"> PAGEREF _Toc519758766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7" w:history="1">
        <w:r>
          <w:rPr>
            <w:rStyle w:val="Hyperlink"/>
            <w:noProof/>
          </w:rPr>
          <w:t>Artikel 3 Festlegung einer Methode zur Berechnung der Gesamtenergieeffizienz von Gebäuden</w:t>
        </w:r>
        <w:r>
          <w:rPr>
            <w:noProof/>
            <w:webHidden/>
          </w:rPr>
          <w:tab/>
        </w:r>
        <w:r>
          <w:rPr>
            <w:noProof/>
            <w:webHidden/>
          </w:rPr>
          <w:fldChar w:fldCharType="begin"/>
        </w:r>
        <w:r>
          <w:rPr>
            <w:noProof/>
            <w:webHidden/>
          </w:rPr>
          <w:instrText xml:space="preserve"> PAGEREF _Toc519758767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8" w:history="1">
        <w:r>
          <w:rPr>
            <w:rStyle w:val="Hyperlink"/>
            <w:noProof/>
          </w:rPr>
          <w:t>Artikel 4 Festlegung von Mindestanforderungen an die Gesamtenergieeffizienz</w:t>
        </w:r>
        <w:r>
          <w:rPr>
            <w:noProof/>
            <w:webHidden/>
          </w:rPr>
          <w:tab/>
        </w:r>
        <w:r>
          <w:rPr>
            <w:noProof/>
            <w:webHidden/>
          </w:rPr>
          <w:fldChar w:fldCharType="begin"/>
        </w:r>
        <w:r>
          <w:rPr>
            <w:noProof/>
            <w:webHidden/>
          </w:rPr>
          <w:instrText xml:space="preserve"> PAGEREF _Toc519758768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69" w:history="1">
        <w:r>
          <w:rPr>
            <w:rStyle w:val="Hyperlink"/>
            <w:noProof/>
          </w:rPr>
          <w:t>Artikel 5 Berechnung der kostenoptimalen Niveaus von Mindestanforderungen an die Gesamtenergieeffizienz</w:t>
        </w:r>
        <w:r>
          <w:rPr>
            <w:noProof/>
            <w:webHidden/>
          </w:rPr>
          <w:tab/>
        </w:r>
        <w:r>
          <w:rPr>
            <w:noProof/>
            <w:webHidden/>
          </w:rPr>
          <w:fldChar w:fldCharType="begin"/>
        </w:r>
        <w:r>
          <w:rPr>
            <w:noProof/>
            <w:webHidden/>
          </w:rPr>
          <w:instrText xml:space="preserve"> PAGEREF _Toc519758769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0" w:history="1">
        <w:r>
          <w:rPr>
            <w:rStyle w:val="Hyperlink"/>
            <w:noProof/>
          </w:rPr>
          <w:t>Artikel 6 Neue Gebäude</w:t>
        </w:r>
        <w:bookmarkStart w:id="1" w:name="_GoBack"/>
        <w:bookmarkEnd w:id="1"/>
        <w:r>
          <w:rPr>
            <w:noProof/>
            <w:webHidden/>
          </w:rPr>
          <w:tab/>
        </w:r>
        <w:r>
          <w:rPr>
            <w:noProof/>
            <w:webHidden/>
          </w:rPr>
          <w:fldChar w:fldCharType="begin"/>
        </w:r>
        <w:r>
          <w:rPr>
            <w:noProof/>
            <w:webHidden/>
          </w:rPr>
          <w:instrText xml:space="preserve"> PAGEREF _Toc519758770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1" w:history="1">
        <w:r>
          <w:rPr>
            <w:rStyle w:val="Hyperlink"/>
            <w:noProof/>
          </w:rPr>
          <w:t>Artikel 7 Bestehende Gebäude</w:t>
        </w:r>
        <w:r>
          <w:rPr>
            <w:noProof/>
            <w:webHidden/>
          </w:rPr>
          <w:tab/>
        </w:r>
        <w:r>
          <w:rPr>
            <w:noProof/>
            <w:webHidden/>
          </w:rPr>
          <w:fldChar w:fldCharType="begin"/>
        </w:r>
        <w:r>
          <w:rPr>
            <w:noProof/>
            <w:webHidden/>
          </w:rPr>
          <w:instrText xml:space="preserve"> PAGEREF _Toc519758771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2" w:history="1">
        <w:r>
          <w:rPr>
            <w:rStyle w:val="Hyperlink"/>
            <w:noProof/>
          </w:rPr>
          <w:t>Artikel 8 Gebäudetechnische Systeme, Elektromobilität und Intelligenzfähigkeitsindikator</w:t>
        </w:r>
        <w:r>
          <w:rPr>
            <w:noProof/>
            <w:webHidden/>
          </w:rPr>
          <w:tab/>
        </w:r>
        <w:r>
          <w:rPr>
            <w:noProof/>
            <w:webHidden/>
          </w:rPr>
          <w:fldChar w:fldCharType="begin"/>
        </w:r>
        <w:r>
          <w:rPr>
            <w:noProof/>
            <w:webHidden/>
          </w:rPr>
          <w:instrText xml:space="preserve"> PAGEREF _Toc519758772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3" w:history="1">
        <w:r>
          <w:rPr>
            <w:rStyle w:val="Hyperlink"/>
            <w:noProof/>
          </w:rPr>
          <w:t>Artikel 9 Niedrigstenergiegebäude</w:t>
        </w:r>
        <w:r>
          <w:rPr>
            <w:noProof/>
            <w:webHidden/>
          </w:rPr>
          <w:tab/>
        </w:r>
        <w:r>
          <w:rPr>
            <w:noProof/>
            <w:webHidden/>
          </w:rPr>
          <w:fldChar w:fldCharType="begin"/>
        </w:r>
        <w:r>
          <w:rPr>
            <w:noProof/>
            <w:webHidden/>
          </w:rPr>
          <w:instrText xml:space="preserve"> PAGEREF _Toc519758773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4" w:history="1">
        <w:r>
          <w:rPr>
            <w:rStyle w:val="Hyperlink"/>
            <w:noProof/>
          </w:rPr>
          <w:t>Artikel 10 Finanzielle Anreize und Marktschranken</w:t>
        </w:r>
        <w:r>
          <w:rPr>
            <w:noProof/>
            <w:webHidden/>
          </w:rPr>
          <w:tab/>
        </w:r>
        <w:r>
          <w:rPr>
            <w:noProof/>
            <w:webHidden/>
          </w:rPr>
          <w:fldChar w:fldCharType="begin"/>
        </w:r>
        <w:r>
          <w:rPr>
            <w:noProof/>
            <w:webHidden/>
          </w:rPr>
          <w:instrText xml:space="preserve"> PAGEREF _Toc519758774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5" w:history="1">
        <w:r>
          <w:rPr>
            <w:rStyle w:val="Hyperlink"/>
            <w:noProof/>
          </w:rPr>
          <w:t>Artikel 11 Ausweise über die Gesamtenergieeffizienz</w:t>
        </w:r>
        <w:r>
          <w:rPr>
            <w:noProof/>
            <w:webHidden/>
          </w:rPr>
          <w:tab/>
        </w:r>
        <w:r>
          <w:rPr>
            <w:noProof/>
            <w:webHidden/>
          </w:rPr>
          <w:fldChar w:fldCharType="begin"/>
        </w:r>
        <w:r>
          <w:rPr>
            <w:noProof/>
            <w:webHidden/>
          </w:rPr>
          <w:instrText xml:space="preserve"> PAGEREF _Toc519758775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6" w:history="1">
        <w:r>
          <w:rPr>
            <w:rStyle w:val="Hyperlink"/>
            <w:noProof/>
          </w:rPr>
          <w:t>Artikel 12 Ausstellung von Ausweisen über die Gesamtenergieeffizienz</w:t>
        </w:r>
        <w:r>
          <w:rPr>
            <w:noProof/>
            <w:webHidden/>
          </w:rPr>
          <w:tab/>
        </w:r>
        <w:r>
          <w:rPr>
            <w:noProof/>
            <w:webHidden/>
          </w:rPr>
          <w:fldChar w:fldCharType="begin"/>
        </w:r>
        <w:r>
          <w:rPr>
            <w:noProof/>
            <w:webHidden/>
          </w:rPr>
          <w:instrText xml:space="preserve"> PAGEREF _Toc519758776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7" w:history="1">
        <w:r>
          <w:rPr>
            <w:rStyle w:val="Hyperlink"/>
            <w:noProof/>
          </w:rPr>
          <w:t>Artikel 13 Aushang von Ausweisen über die Gesamtenergieeffizienz</w:t>
        </w:r>
        <w:r>
          <w:rPr>
            <w:noProof/>
            <w:webHidden/>
          </w:rPr>
          <w:tab/>
        </w:r>
        <w:r>
          <w:rPr>
            <w:noProof/>
            <w:webHidden/>
          </w:rPr>
          <w:fldChar w:fldCharType="begin"/>
        </w:r>
        <w:r>
          <w:rPr>
            <w:noProof/>
            <w:webHidden/>
          </w:rPr>
          <w:instrText xml:space="preserve"> PAGEREF _Toc519758777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8" w:history="1">
        <w:r>
          <w:rPr>
            <w:rStyle w:val="Hyperlink"/>
            <w:noProof/>
          </w:rPr>
          <w:t>Artikel 14 Inspektion von Heizungsanlagen</w:t>
        </w:r>
        <w:r>
          <w:rPr>
            <w:noProof/>
            <w:webHidden/>
          </w:rPr>
          <w:tab/>
        </w:r>
        <w:r>
          <w:rPr>
            <w:noProof/>
            <w:webHidden/>
          </w:rPr>
          <w:fldChar w:fldCharType="begin"/>
        </w:r>
        <w:r>
          <w:rPr>
            <w:noProof/>
            <w:webHidden/>
          </w:rPr>
          <w:instrText xml:space="preserve"> PAGEREF _Toc519758778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79" w:history="1">
        <w:r>
          <w:rPr>
            <w:rStyle w:val="Hyperlink"/>
            <w:noProof/>
          </w:rPr>
          <w:t>Artikel 15 Inspektion von Klimaanlagen</w:t>
        </w:r>
        <w:r>
          <w:rPr>
            <w:noProof/>
            <w:webHidden/>
          </w:rPr>
          <w:tab/>
        </w:r>
        <w:r>
          <w:rPr>
            <w:noProof/>
            <w:webHidden/>
          </w:rPr>
          <w:fldChar w:fldCharType="begin"/>
        </w:r>
        <w:r>
          <w:rPr>
            <w:noProof/>
            <w:webHidden/>
          </w:rPr>
          <w:instrText xml:space="preserve"> PAGEREF _Toc519758779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0" w:history="1">
        <w:r>
          <w:rPr>
            <w:rStyle w:val="Hyperlink"/>
            <w:noProof/>
          </w:rPr>
          <w:t>Artikel 16 Berichte über die Inspektion von Heizungs- und Klimaanlagen</w:t>
        </w:r>
        <w:r>
          <w:rPr>
            <w:noProof/>
            <w:webHidden/>
          </w:rPr>
          <w:tab/>
        </w:r>
        <w:r>
          <w:rPr>
            <w:noProof/>
            <w:webHidden/>
          </w:rPr>
          <w:fldChar w:fldCharType="begin"/>
        </w:r>
        <w:r>
          <w:rPr>
            <w:noProof/>
            <w:webHidden/>
          </w:rPr>
          <w:instrText xml:space="preserve"> PAGEREF _Toc519758780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1" w:history="1">
        <w:r>
          <w:rPr>
            <w:rStyle w:val="Hyperlink"/>
            <w:noProof/>
          </w:rPr>
          <w:t>Artikel 17 Unabhängiges Fachpersonal</w:t>
        </w:r>
        <w:r>
          <w:rPr>
            <w:noProof/>
            <w:webHidden/>
          </w:rPr>
          <w:tab/>
        </w:r>
        <w:r>
          <w:rPr>
            <w:noProof/>
            <w:webHidden/>
          </w:rPr>
          <w:fldChar w:fldCharType="begin"/>
        </w:r>
        <w:r>
          <w:rPr>
            <w:noProof/>
            <w:webHidden/>
          </w:rPr>
          <w:instrText xml:space="preserve"> PAGEREF _Toc519758781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2" w:history="1">
        <w:r>
          <w:rPr>
            <w:rStyle w:val="Hyperlink"/>
            <w:noProof/>
          </w:rPr>
          <w:t>Artikel 18 Unabhängiges Kontrollsystem</w:t>
        </w:r>
        <w:r>
          <w:rPr>
            <w:noProof/>
            <w:webHidden/>
          </w:rPr>
          <w:tab/>
        </w:r>
        <w:r>
          <w:rPr>
            <w:noProof/>
            <w:webHidden/>
          </w:rPr>
          <w:fldChar w:fldCharType="begin"/>
        </w:r>
        <w:r>
          <w:rPr>
            <w:noProof/>
            <w:webHidden/>
          </w:rPr>
          <w:instrText xml:space="preserve"> PAGEREF _Toc519758782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3" w:history="1">
        <w:r>
          <w:rPr>
            <w:rStyle w:val="Hyperlink"/>
            <w:noProof/>
          </w:rPr>
          <w:t>Artikel 19 Überprüfung</w:t>
        </w:r>
        <w:r>
          <w:rPr>
            <w:noProof/>
            <w:webHidden/>
          </w:rPr>
          <w:tab/>
        </w:r>
        <w:r>
          <w:rPr>
            <w:noProof/>
            <w:webHidden/>
          </w:rPr>
          <w:fldChar w:fldCharType="begin"/>
        </w:r>
        <w:r>
          <w:rPr>
            <w:noProof/>
            <w:webHidden/>
          </w:rPr>
          <w:instrText xml:space="preserve"> PAGEREF _Toc519758783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4" w:history="1">
        <w:r>
          <w:rPr>
            <w:rStyle w:val="Hyperlink"/>
            <w:noProof/>
          </w:rPr>
          <w:t>Artikel 19a Machbarkeitsstudie</w:t>
        </w:r>
        <w:r>
          <w:rPr>
            <w:noProof/>
            <w:webHidden/>
          </w:rPr>
          <w:tab/>
        </w:r>
        <w:r>
          <w:rPr>
            <w:noProof/>
            <w:webHidden/>
          </w:rPr>
          <w:fldChar w:fldCharType="begin"/>
        </w:r>
        <w:r>
          <w:rPr>
            <w:noProof/>
            <w:webHidden/>
          </w:rPr>
          <w:instrText xml:space="preserve"> PAGEREF _Toc519758784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5" w:history="1">
        <w:r>
          <w:rPr>
            <w:rStyle w:val="Hyperlink"/>
            <w:noProof/>
          </w:rPr>
          <w:t>Artikel 20 Information</w:t>
        </w:r>
        <w:r>
          <w:rPr>
            <w:noProof/>
            <w:webHidden/>
          </w:rPr>
          <w:tab/>
        </w:r>
        <w:r>
          <w:rPr>
            <w:noProof/>
            <w:webHidden/>
          </w:rPr>
          <w:fldChar w:fldCharType="begin"/>
        </w:r>
        <w:r>
          <w:rPr>
            <w:noProof/>
            <w:webHidden/>
          </w:rPr>
          <w:instrText xml:space="preserve"> PAGEREF _Toc519758785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6" w:history="1">
        <w:r>
          <w:rPr>
            <w:rStyle w:val="Hyperlink"/>
            <w:noProof/>
          </w:rPr>
          <w:t>Artikel 21 Konsultation</w:t>
        </w:r>
        <w:r>
          <w:rPr>
            <w:noProof/>
            <w:webHidden/>
          </w:rPr>
          <w:tab/>
        </w:r>
        <w:r>
          <w:rPr>
            <w:noProof/>
            <w:webHidden/>
          </w:rPr>
          <w:fldChar w:fldCharType="begin"/>
        </w:r>
        <w:r>
          <w:rPr>
            <w:noProof/>
            <w:webHidden/>
          </w:rPr>
          <w:instrText xml:space="preserve"> PAGEREF _Toc519758786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7" w:history="1">
        <w:r>
          <w:rPr>
            <w:rStyle w:val="Hyperlink"/>
            <w:noProof/>
          </w:rPr>
          <w:t>Artikel 22 Anpassung des Anhangs I an den technischen Fortschritt</w:t>
        </w:r>
        <w:r>
          <w:rPr>
            <w:noProof/>
            <w:webHidden/>
          </w:rPr>
          <w:tab/>
        </w:r>
        <w:r>
          <w:rPr>
            <w:noProof/>
            <w:webHidden/>
          </w:rPr>
          <w:fldChar w:fldCharType="begin"/>
        </w:r>
        <w:r>
          <w:rPr>
            <w:noProof/>
            <w:webHidden/>
          </w:rPr>
          <w:instrText xml:space="preserve"> PAGEREF _Toc519758787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8" w:history="1">
        <w:r>
          <w:rPr>
            <w:rStyle w:val="Hyperlink"/>
            <w:noProof/>
          </w:rPr>
          <w:t>Artikel 23 Ausübung der Befugnisübertragung</w:t>
        </w:r>
        <w:r>
          <w:rPr>
            <w:noProof/>
            <w:webHidden/>
          </w:rPr>
          <w:tab/>
        </w:r>
        <w:r>
          <w:rPr>
            <w:noProof/>
            <w:webHidden/>
          </w:rPr>
          <w:fldChar w:fldCharType="begin"/>
        </w:r>
        <w:r>
          <w:rPr>
            <w:noProof/>
            <w:webHidden/>
          </w:rPr>
          <w:instrText xml:space="preserve"> PAGEREF _Toc519758788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89" w:history="1">
        <w:r>
          <w:rPr>
            <w:rStyle w:val="Hyperlink"/>
            <w:noProof/>
          </w:rPr>
          <w:t>Artikel 24 (gestrichen)</w:t>
        </w:r>
        <w:r>
          <w:rPr>
            <w:noProof/>
            <w:webHidden/>
          </w:rPr>
          <w:tab/>
        </w:r>
        <w:r>
          <w:rPr>
            <w:noProof/>
            <w:webHidden/>
          </w:rPr>
          <w:fldChar w:fldCharType="begin"/>
        </w:r>
        <w:r>
          <w:rPr>
            <w:noProof/>
            <w:webHidden/>
          </w:rPr>
          <w:instrText xml:space="preserve"> PAGEREF _Toc519758789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0" w:history="1">
        <w:r>
          <w:rPr>
            <w:rStyle w:val="Hyperlink"/>
            <w:noProof/>
          </w:rPr>
          <w:t>Artikel 25 (gestrichen)</w:t>
        </w:r>
        <w:r>
          <w:rPr>
            <w:noProof/>
            <w:webHidden/>
          </w:rPr>
          <w:tab/>
        </w:r>
        <w:r>
          <w:rPr>
            <w:noProof/>
            <w:webHidden/>
          </w:rPr>
          <w:fldChar w:fldCharType="begin"/>
        </w:r>
        <w:r>
          <w:rPr>
            <w:noProof/>
            <w:webHidden/>
          </w:rPr>
          <w:instrText xml:space="preserve"> PAGEREF _Toc519758790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1" w:history="1">
        <w:r>
          <w:rPr>
            <w:rStyle w:val="Hyperlink"/>
            <w:noProof/>
          </w:rPr>
          <w:t>Artikel 26 Ausschussverfahren</w:t>
        </w:r>
        <w:r>
          <w:rPr>
            <w:noProof/>
            <w:webHidden/>
          </w:rPr>
          <w:tab/>
        </w:r>
        <w:r>
          <w:rPr>
            <w:noProof/>
            <w:webHidden/>
          </w:rPr>
          <w:fldChar w:fldCharType="begin"/>
        </w:r>
        <w:r>
          <w:rPr>
            <w:noProof/>
            <w:webHidden/>
          </w:rPr>
          <w:instrText xml:space="preserve"> PAGEREF _Toc519758791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2" w:history="1">
        <w:r>
          <w:rPr>
            <w:rStyle w:val="Hyperlink"/>
            <w:noProof/>
          </w:rPr>
          <w:t>Artikel 27 Sanktionen</w:t>
        </w:r>
        <w:r>
          <w:rPr>
            <w:noProof/>
            <w:webHidden/>
          </w:rPr>
          <w:tab/>
        </w:r>
        <w:r>
          <w:rPr>
            <w:noProof/>
            <w:webHidden/>
          </w:rPr>
          <w:fldChar w:fldCharType="begin"/>
        </w:r>
        <w:r>
          <w:rPr>
            <w:noProof/>
            <w:webHidden/>
          </w:rPr>
          <w:instrText xml:space="preserve"> PAGEREF _Toc519758792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3" w:history="1">
        <w:r>
          <w:rPr>
            <w:rStyle w:val="Hyperlink"/>
            <w:noProof/>
          </w:rPr>
          <w:t>Artikel 28 Umsetzung</w:t>
        </w:r>
        <w:r>
          <w:rPr>
            <w:noProof/>
            <w:webHidden/>
          </w:rPr>
          <w:tab/>
        </w:r>
        <w:r>
          <w:rPr>
            <w:noProof/>
            <w:webHidden/>
          </w:rPr>
          <w:fldChar w:fldCharType="begin"/>
        </w:r>
        <w:r>
          <w:rPr>
            <w:noProof/>
            <w:webHidden/>
          </w:rPr>
          <w:instrText xml:space="preserve"> PAGEREF _Toc519758793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4" w:history="1">
        <w:r>
          <w:rPr>
            <w:rStyle w:val="Hyperlink"/>
            <w:noProof/>
          </w:rPr>
          <w:t>Artikel 29 Aufhebung</w:t>
        </w:r>
        <w:r>
          <w:rPr>
            <w:noProof/>
            <w:webHidden/>
          </w:rPr>
          <w:tab/>
        </w:r>
        <w:r>
          <w:rPr>
            <w:noProof/>
            <w:webHidden/>
          </w:rPr>
          <w:fldChar w:fldCharType="begin"/>
        </w:r>
        <w:r>
          <w:rPr>
            <w:noProof/>
            <w:webHidden/>
          </w:rPr>
          <w:instrText xml:space="preserve"> PAGEREF _Toc519758794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5" w:history="1">
        <w:r>
          <w:rPr>
            <w:rStyle w:val="Hyperlink"/>
            <w:noProof/>
          </w:rPr>
          <w:t>Artikel 30 Inkrafttreten</w:t>
        </w:r>
        <w:r>
          <w:rPr>
            <w:noProof/>
            <w:webHidden/>
          </w:rPr>
          <w:tab/>
        </w:r>
        <w:r>
          <w:rPr>
            <w:noProof/>
            <w:webHidden/>
          </w:rPr>
          <w:fldChar w:fldCharType="begin"/>
        </w:r>
        <w:r>
          <w:rPr>
            <w:noProof/>
            <w:webHidden/>
          </w:rPr>
          <w:instrText xml:space="preserve"> PAGEREF _Toc519758795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6" w:history="1">
        <w:r>
          <w:rPr>
            <w:rStyle w:val="Hyperlink"/>
            <w:noProof/>
          </w:rPr>
          <w:t>Artikel 31 Adressaten</w:t>
        </w:r>
        <w:r>
          <w:rPr>
            <w:noProof/>
            <w:webHidden/>
          </w:rPr>
          <w:tab/>
        </w:r>
        <w:r>
          <w:rPr>
            <w:noProof/>
            <w:webHidden/>
          </w:rPr>
          <w:fldChar w:fldCharType="begin"/>
        </w:r>
        <w:r>
          <w:rPr>
            <w:noProof/>
            <w:webHidden/>
          </w:rPr>
          <w:instrText xml:space="preserve"> PAGEREF _Toc519758796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7" w:history="1">
        <w:r>
          <w:rPr>
            <w:rStyle w:val="Hyperlink"/>
            <w:noProof/>
          </w:rPr>
          <w:t>ANHANG I</w:t>
        </w:r>
        <w:r>
          <w:rPr>
            <w:noProof/>
            <w:webHidden/>
          </w:rPr>
          <w:tab/>
        </w:r>
        <w:r>
          <w:rPr>
            <w:noProof/>
            <w:webHidden/>
          </w:rPr>
          <w:fldChar w:fldCharType="begin"/>
        </w:r>
        <w:r>
          <w:rPr>
            <w:noProof/>
            <w:webHidden/>
          </w:rPr>
          <w:instrText xml:space="preserve"> PAGEREF _Toc519758797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8" w:history="1">
        <w:r>
          <w:rPr>
            <w:rStyle w:val="Hyperlink"/>
            <w:noProof/>
          </w:rPr>
          <w:t>ANHANG IA</w:t>
        </w:r>
        <w:r>
          <w:rPr>
            <w:noProof/>
            <w:webHidden/>
          </w:rPr>
          <w:tab/>
        </w:r>
        <w:r>
          <w:rPr>
            <w:noProof/>
            <w:webHidden/>
          </w:rPr>
          <w:fldChar w:fldCharType="begin"/>
        </w:r>
        <w:r>
          <w:rPr>
            <w:noProof/>
            <w:webHidden/>
          </w:rPr>
          <w:instrText xml:space="preserve"> PAGEREF _Toc519758798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799" w:history="1">
        <w:r>
          <w:rPr>
            <w:rStyle w:val="Hyperlink"/>
            <w:noProof/>
          </w:rPr>
          <w:t>ANHANG II</w:t>
        </w:r>
        <w:r>
          <w:rPr>
            <w:noProof/>
            <w:webHidden/>
          </w:rPr>
          <w:tab/>
        </w:r>
        <w:r>
          <w:rPr>
            <w:noProof/>
            <w:webHidden/>
          </w:rPr>
          <w:fldChar w:fldCharType="begin"/>
        </w:r>
        <w:r>
          <w:rPr>
            <w:noProof/>
            <w:webHidden/>
          </w:rPr>
          <w:instrText xml:space="preserve"> PAGEREF _Toc519758799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800" w:history="1">
        <w:r>
          <w:rPr>
            <w:rStyle w:val="Hyperlink"/>
            <w:noProof/>
          </w:rPr>
          <w:t>ANHANG III</w:t>
        </w:r>
        <w:r>
          <w:rPr>
            <w:noProof/>
            <w:webHidden/>
          </w:rPr>
          <w:tab/>
        </w:r>
        <w:r>
          <w:rPr>
            <w:noProof/>
            <w:webHidden/>
          </w:rPr>
          <w:fldChar w:fldCharType="begin"/>
        </w:r>
        <w:r>
          <w:rPr>
            <w:noProof/>
            <w:webHidden/>
          </w:rPr>
          <w:instrText xml:space="preserve"> PAGEREF _Toc519758800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801" w:history="1">
        <w:r>
          <w:rPr>
            <w:rStyle w:val="Hyperlink"/>
            <w:noProof/>
          </w:rPr>
          <w:t>ANHANG IV</w:t>
        </w:r>
        <w:r>
          <w:rPr>
            <w:noProof/>
            <w:webHidden/>
          </w:rPr>
          <w:tab/>
        </w:r>
        <w:r>
          <w:rPr>
            <w:noProof/>
            <w:webHidden/>
          </w:rPr>
          <w:fldChar w:fldCharType="begin"/>
        </w:r>
        <w:r>
          <w:rPr>
            <w:noProof/>
            <w:webHidden/>
          </w:rPr>
          <w:instrText xml:space="preserve"> PAGEREF _Toc519758801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758802" w:history="1">
        <w:r>
          <w:rPr>
            <w:rStyle w:val="Hyperlink"/>
            <w:noProof/>
          </w:rPr>
          <w:t>ANHANG V</w:t>
        </w:r>
        <w:r>
          <w:rPr>
            <w:noProof/>
            <w:webHidden/>
          </w:rPr>
          <w:tab/>
        </w:r>
        <w:r>
          <w:rPr>
            <w:noProof/>
            <w:webHidden/>
          </w:rPr>
          <w:fldChar w:fldCharType="begin"/>
        </w:r>
        <w:r>
          <w:rPr>
            <w:noProof/>
            <w:webHidden/>
          </w:rPr>
          <w:instrText xml:space="preserve"> PAGEREF _Toc519758802 \h </w:instrText>
        </w:r>
        <w:r>
          <w:rPr>
            <w:noProof/>
            <w:webHidden/>
          </w:rPr>
        </w:r>
        <w:r>
          <w:rPr>
            <w:noProof/>
            <w:webHidden/>
          </w:rPr>
          <w:fldChar w:fldCharType="separate"/>
        </w:r>
        <w:r>
          <w:rPr>
            <w:noProof/>
            <w:webHidden/>
          </w:rPr>
          <w:t>27</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194 Absatz 2,</w:t>
      </w:r>
    </w:p>
    <w:p>
      <w:pPr>
        <w:pStyle w:val="GesAbsatz"/>
      </w:pPr>
      <w:r>
        <w:t>auf Vorschlag der Europäischen Kommission,</w:t>
      </w:r>
    </w:p>
    <w:p>
      <w:pPr>
        <w:pStyle w:val="GesAbsatz"/>
      </w:pPr>
      <w:r>
        <w:lastRenderedPageBreak/>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Richtlinie 2002/91/EG des Europäischen Parlaments und des Rates vom 16. Dezember 2002 über die Gesamtenergieeffizienz von Gebäuden</w:t>
      </w:r>
      <w:r>
        <w:rPr>
          <w:rStyle w:val="Funotenzeichen"/>
        </w:rPr>
        <w:footnoteReference w:id="4"/>
      </w:r>
      <w:r>
        <w:t xml:space="preserve"> ist geändert worden</w:t>
      </w:r>
      <w:r>
        <w:rPr>
          <w:rStyle w:val="Funotenzeichen"/>
        </w:rPr>
        <w:footnoteReference w:id="5"/>
      </w:r>
      <w:r>
        <w:t>. Aus Gründen der Klarheit empfiehlt es sich, im Rahmen der jetzt anstehenden wesentlichen Änderungen eine Neufassung dieser Richtlinie vorzunehmen.</w:t>
      </w:r>
    </w:p>
    <w:p>
      <w:pPr>
        <w:pStyle w:val="GesAbsatz"/>
      </w:pPr>
      <w:r>
        <w:t>(2) Eine effiziente, umsichtige, rationelle und nachhaltige Verwendung von Energie findet unter anderem bei Mineralöl, Erdgas und festen Brennstoffen, die wichtige Energiequellen darstellen, aber auch die größten Verursacher von Kohlendioxidemissionen sind, Anwendung.</w:t>
      </w:r>
    </w:p>
    <w:p>
      <w:pPr>
        <w:pStyle w:val="GesAbsatz"/>
      </w:pPr>
      <w:r>
        <w:t>(3) Auf Gebäude entfallen 40 % des Gesamtenergieverbrauchs der Union. Der Sektor expandiert, wodurch sich sein Energieverbrauch weiter erhöhen wird. Daher sind die Senkung des Energieverbrauchs und die Nutzung von Energie aus erneuerbaren Quellen im Gebäudesektor wesentliche Maßnahmen, die zur Verringerung der Energieabhängigkeit der Union und der Treibhausgasemissionen benötigt werden. Zusammen mit einer verstärkten Nutzung von Energie aus erneuerbaren Quellen würden Maßnahmen zur Senkung des Energieverbrauchs in der Union es der Union ermöglichen, das Kyoto-Protokoll zum Rahmenübereinkommen der Vereinten Nationen über Klimaänderungen (UNFCCC) einzuhalten und ihrer langfristigen Verpflichtung, den weltweiten Temperaturanstieg unter 2 °C zu halten, sowie ihrer Verpflichtung, bis 2020 die Gesamttreibhausgasemissionen gegenüber den Werten von 1990 um mindestens 20 % bzw. im Fall des Zustandekommens eines internationalen Übereinkommens um 30 % zu senken, nachzukommen. Ein geringerer Energieverbrauch und die verstärkte Nutzung von Energie aus erneuerbaren Quellen spielen auch eine wichtige Rolle bei der Stärkung der Energieversorgungssicherheit, der Förderung von technologischen Entwicklungen sowie der Schaffung von Beschäftigungsmöglichkeiten und von Möglichkeiten der regionalen Entwicklung, insbesondere in ländlichen Gebieten.</w:t>
      </w:r>
    </w:p>
    <w:p>
      <w:pPr>
        <w:pStyle w:val="GesAbsatz"/>
      </w:pPr>
      <w:r>
        <w:t>(4) Die Steuerung der Energienachfrage ist ein wichtiges Instrument für die Union, um auf den globalen Energiemarkt und damit auf die mittel- und langfristige Sicherheit der Energieversorgung Einfluss zu nehmen.</w:t>
      </w:r>
    </w:p>
    <w:p>
      <w:pPr>
        <w:pStyle w:val="GesAbsatz"/>
      </w:pPr>
      <w:r>
        <w:t>(5) Der Europäische Rat hat bei seiner Tagung im März 2007 auf die Notwendigkeit einer Steigerung der Energieeffizienz in der Union hingewiesen, um auf diese Weise den Energieverbrauch in der Union bis 2020 um 20 % zu senken, und dazu aufgerufen, die Prioritäten, die in der Kommissionsmitteilung mit dem Titel „Aktionsplan für Energieeffizienz: Das Potenzial ausschöpfen“ genannt werden, umfassend und rasch umzusetzen. In diesem Aktionsplan wurde auf das erhebliche Potenzial für kosteneffiziente Energieeinsparungen im Gebäudesektor hingewiesen. Das Europäische Parlament hat in seiner Entschließung vom 31. Januar 2008 dazu aufgerufen, die Bestimmungen der Richtlinie 2002/91/EG zu verschärfen, und hat wiederholt und zuletzt in seiner Entschließung vom 3. Februar 2009 zur zweiten Überprüfung der Energiestrategie gefordert, das für 2020 gesteckte Ziel einer Steigerung der Energieeffizienz um 20 % verbindlich vorzuschreiben. Außerdem enthält die Entscheidung Nr. 406/2009/EG des Europäischen Parlaments und des Rates vom 23. April 2009 über die Anstrengungen der Mitgliedstaaten zur Reduktion ihrer Treibhausgasemissionen mit Blick auf die Erfüllung der Verpflichtungen der Gemeinschaft zur Reduktion der Treibhausgasemissionen bis 2020</w:t>
      </w:r>
      <w:r>
        <w:rPr>
          <w:rStyle w:val="Funotenzeichen"/>
        </w:rPr>
        <w:footnoteReference w:id="6"/>
      </w:r>
      <w:r>
        <w:t>, verbindliche nationale Ziele für eine Senkung der Kohlendioxidemissionen, wofür die Energieeffizienz im Gebäudesektor von entscheidender Bedeutung ist; außerdem sieht die Richtlinie 2009/28/EG des Europäischen Parlaments und des Rates vom 23. April 2009 zur Förderung der Nutzung von Energie aus erneuerbaren Quellen</w:t>
      </w:r>
      <w:r>
        <w:rPr>
          <w:rStyle w:val="Funotenzeichen"/>
        </w:rPr>
        <w:footnoteReference w:id="7"/>
      </w:r>
      <w:r>
        <w:t xml:space="preserve"> die Förderung der Energieeffizienz im Zusammenhang mit dem verbindlichen Ziel eines Anteils der Energie aus erneuerbaren Quellen von 20 % am Gesamtenergieverbrauch der Union bis 2020 vor.</w:t>
      </w:r>
    </w:p>
    <w:p>
      <w:pPr>
        <w:pStyle w:val="GesAbsatz"/>
      </w:pPr>
      <w:r>
        <w:t>(6) Der Europäische Rat hat im März 2007 die Verpflichtung der Union zum unionsweiten Ausbau der Energie aus erneuerbaren Quellen bekräftigt und das verbindliche Ziel eines 20-prozentigen Anteils dieser Energie bis 2020 gebilligt. Die Richtlinie 2009/28/EG schafft einen gemeinsamen Rahmen zur Förderung dieser Energie.</w:t>
      </w:r>
    </w:p>
    <w:p>
      <w:pPr>
        <w:pStyle w:val="GesAbsatz"/>
      </w:pPr>
      <w:r>
        <w:lastRenderedPageBreak/>
        <w:t>(7) Es ist notwendig, konkretere Maßnahmen im Hinblick auf das große ungenutzte Potenzial für Energieeinsparungen in Gebäuden und eine Verringerung der bedeutenden Unterschiede zwischen den Erfolgen der Mitgliedstaaten auf diesem Gebiet festzulegen.</w:t>
      </w:r>
    </w:p>
    <w:p>
      <w:pPr>
        <w:pStyle w:val="GesAbsatz"/>
      </w:pPr>
      <w:r>
        <w:t>(8) Bei Maßnahmen zur weiteren Verbesserung der Gesamtenergieeffizienz von Gebäuden sollte den klimatischen und lokalen Bedingungen sowie dem Innenraumklima und der Kosteneffizienz Rechnung getragen werden. Diese Maßnahmen sollten anderen Anforderungen an Gebäude, wie beispielsweise Zugänglichkeit, Sicherheit und beabsichtigte Nutzung des Gebäudes, nicht entgegenstehen.</w:t>
      </w:r>
    </w:p>
    <w:p>
      <w:pPr>
        <w:pStyle w:val="GesAbsatz"/>
      </w:pPr>
      <w:r>
        <w:t>(9) Die Gesamtenergieeffizienz von Gebäuden sollte nach einer Methode berechnet werden, die national und regional differenziert werden kann. Dabei sollten zusätzlich zu den Wärmeeigenschaften auch andere Faktoren von wachsender Bedeutung einbezogen werden, z.B. Heizungssysteme und Klimaanlagen, Nutzung von Energie aus erneuerbaren Quellen, passive Heiz- und Kühlelemente, Sonnenschutz, Raumluftqualität, angemessene natürliche Beleuchtung und Konstruktionsart des Gebäudes. Bei der Methode zur Berechnung der Energieeffizienz sollte nicht nur die Heizperiode eines Jahres, sondern die jährliche Gesamtenergieeffizienz eines Gebäudes zugrunde gelegt werden. Die Methode sollte die geltenden europäischen Normen berücksichtigen.</w:t>
      </w:r>
    </w:p>
    <w:p>
      <w:pPr>
        <w:pStyle w:val="GesAbsatz"/>
      </w:pPr>
      <w:r>
        <w:t>(10) Es ist ausschließlich Sache der Mitgliedstaaten, Mindestanforderungen an die Gesamtenergieeffizienz von Gebäuden und Gebäudekomponenten festzulegen. Diese Anforderungen sollten so gewählt werden, dass ein kostenoptimales Verhältnis zwischen den zu tätigenden Investitionen und den über die Lebensdauer des Gebäudes eingesparten Energiekosten erreicht wird, und zwar unbeschadet des Rechts der Mitgliedstaaten, Mindestanforderungen festzulegen, die größere Energieeffizienz bewirken als kostenoptimale Energieeffizienzniveaus. Es sollten entsprechende Vorkehrungen getroffen werden, damit die Mitgliedstaaten ihre Mindestanforderungen an die Gesamtenergieeffizienz von Gebäuden regelmäßig im Hinblick auf den technischen Fortschritt überprüfen können.</w:t>
      </w:r>
    </w:p>
    <w:p>
      <w:pPr>
        <w:pStyle w:val="GesAbsatz"/>
      </w:pPr>
      <w:r>
        <w:t>(11) Im Hinblick auf das Ziel kosteneffizienter oder kosten-optimaler Energieeffizienzniveaus kann es unter bestimmten Umständen, wie etwa bei klimatischen Unterschieden, gerechtfertigt sein, dass die Mitgliedstaaten für Gebäudekomponenten kosteneffiziente oder kostenoptimale Anforderungen festlegen, die in der Praxis den Einbau von den Vorgaben des Unionsrechts entsprechenden Bauprodukten begrenzen würden, sofern durch diese Anforderungen keine ungerechtfertigten Marktbarrieren errichtet werden.</w:t>
      </w:r>
    </w:p>
    <w:p>
      <w:pPr>
        <w:pStyle w:val="GesAbsatz"/>
      </w:pPr>
      <w:r>
        <w:t>(12) Bei der Festlegung von Gesamtenergieeffizienzanforderungen für gebäudetechnische Systeme sollten die Mitgliedstaaten - soweit verfügbar und angemessen - harmonisierte Instrumente einsetzen, insbesondere Prüf- und Berechnungsmethoden und Energieeffizienzklassen, die im Rahmen von Durchführungsmaßnahmen zu der Richtlinie 2009/125/EG des Europäischen Parlaments und des Rates vom 21. Oktober 2009 zur Schaffung eines Rahmens für die Festlegung von Anforderungen an die umweltgerechte Gestaltung energieverbrauchsrelevanter Produkte</w:t>
      </w:r>
      <w:r>
        <w:rPr>
          <w:rStyle w:val="Funotenzeichen"/>
        </w:rPr>
        <w:footnoteReference w:id="8"/>
      </w:r>
      <w:r>
        <w:t xml:space="preserve"> und zu der Richtlinie 2010/30/EU des Europäischen Parlaments und des Rates vom 19. Mai 2010 über die Angabe des Verbrauchs an Energie und anderen Ressourcen durch energieverbrauchsrelevante Produkte mittels einheitlicher Etiketten und Produktinformationen</w:t>
      </w:r>
      <w:r>
        <w:rPr>
          <w:rStyle w:val="Funotenzeichen"/>
        </w:rPr>
        <w:footnoteReference w:id="9"/>
      </w:r>
      <w:r>
        <w:t xml:space="preserve"> entwickelt wurden, um die Kohärenz zu den damit in Zusammenhang stehenden Initiativen zu gewährleisten und eine potenzielle Fragmentierung des Marktes so weit wie möglich zu vermeiden.</w:t>
      </w:r>
    </w:p>
    <w:p>
      <w:pPr>
        <w:pStyle w:val="GesAbsatz"/>
      </w:pPr>
      <w:r>
        <w:t>(13) Diese Richtlinie gilt unbeschadet der Artikel 107 und 108 des Vertrags über die Arbeitsweise der Europäischen Union (AEUV). Der in dieser Richtlinie verwendete Begriff „Anreiz“ sollte daher nicht so verstanden werden, dass er staatliche Beihilfen darstellt.</w:t>
      </w:r>
    </w:p>
    <w:p>
      <w:pPr>
        <w:pStyle w:val="GesAbsatz"/>
      </w:pPr>
      <w:r>
        <w:t>(14) Die Kommission sollte einen Rahmen für Vergleichsmethoden zur Berechnung kostenoptimaler Mindestanforderungen an die Gesamtenergieeffizienz bestimmen. Die Mitgliedstaaten sollten anhand dieses Rahmens die Ergebnisse mit den von ihnen festgelegten Mindestanforderungen an die Gesamtenergieeffizienz vergleichen. Sollten nennenswerte Diskrepanzen (d.h. mehr als 15 %) zwischen den berechneten kostenoptimalen Mindestanforderungen an die Gesamtenergieeffizienz und den geltenden Mindestanforderungen an die Gesamtenergieeffizienz zu verzeichnen sein, so sollten die Mitgliedstaaten die Abweichungen begründen oder geeignete Maßnahmen zur Verringerung der Diskrepanzen vorsehen. Die geschätzte wirtschaftliche Lebensdauer eines Gebäudes oder einer Gebäudekomponente sollte von den Mitgliedstaaten anhand der bestehenden Praxis und der Erfahrungen bei der Bestimmung typischer wirtschaftlicher Lebensdauern ermittelt werden. Über die Ergebnisse dieses Vergleichs und die dabei zugrunde gelegten Daten sollte der Kommission regelmäßig Bericht erstattet werden. Diese Berichte sollten der Kommission die Möglichkeit geben, die Fortschritte der Mitgliedstaaten bei der Erreichung kosten-optimaler Mindestanforderungen an die Gesamtenergieeffizienz zu beurteilen und darüber Bericht zu erstatten.</w:t>
      </w:r>
    </w:p>
    <w:p>
      <w:pPr>
        <w:pStyle w:val="GesAbsatz"/>
      </w:pPr>
      <w:r>
        <w:lastRenderedPageBreak/>
        <w:t>(15) Gebäude haben Auswirkungen auf den langfristigen Energieverbrauch. Angesichts des langen Renovierungszyklus bestehender Gebäude sollten daher neue und bestehende Gebäude, die einer größeren Renovierung unterzogen werden, bestimmten Mindestanforderungen an die Gesamtenergieeffizienz genügen, die den klimatischen Verhältnissen vor Ort angepasst sind. Da die Einsatzmöglichkeiten alternativer Energieversorgungssysteme im Allgemeinen nicht voll ausgeschöpft werden, sollten alternative Energieversorgungssysteme für neue Gebäude, unabhängig von ihrer Größe, in Betracht gezogen werden, unter Beachtung des Grundsatzes, dass zuerst der Energiebedarf für die Heizung und Kühlung auf ein kosten-optimales Niveau zu senken ist.</w:t>
      </w:r>
    </w:p>
    <w:p>
      <w:pPr>
        <w:pStyle w:val="GesAbsatz"/>
      </w:pPr>
      <w:r>
        <w:t>(16) Größere Renovierungen bestehender Gebäude sind unabhängig von der Größe dieser Gebäude eine Gelegenheit für kosteneffiziente Maßnahmen zur Verbesserung der Gesamtenergieeffizienz. Aus Gründen der Kosteneffizienz sollte es möglich sein, die Mindestanforderungen an die Gesamtenergieeffizienz auf diejenigen renovierten Teile zu beschränken, die für die Energieeffizienz des Gebäudes am wichtigsten sind. Die Mitgliedstaaten sollten entscheiden können, ob sie den Begriff „größere Renovierung“ nach dem Prozentanteil an der Gebäudehülle oder nach dem Gebäudewert definieren. Entscheidet sich ein Mitgliedstaat für die Definition auf der Grundlage des Gebäudewerts, so könnten Werte wie der Versicherungswert oder der jeweils aktuelle Wert auf der Grundlage der Neuerrichtungskosten herangezogen werden, jedoch unter Ausschluss des Werts des Grundstücks, auf dem sich das Gebäude befindet.</w:t>
      </w:r>
    </w:p>
    <w:p>
      <w:pPr>
        <w:pStyle w:val="GesAbsatz"/>
      </w:pPr>
      <w:r>
        <w:t>(17) Es müssen Maßnahmen ergriffen werden, um die Zahl der Gebäude zu erhöhen, die nicht nur die geltenden Mindestanforderungen an die Gesamtenergieeffizienz erfüllen, sondern noch energieeffizienter sind, um damit sowohl den Energieverbrauch als auch die Kohlendioxidemissionen zu senken. Hierzu sollten die Mitgliedstaaten nationale Pläne erstellen, um die Zahl der Niedrigstenergiegebäude zu erhöhen, und der Kommission über derartige Pläne regelmäßig Bericht erstatten.</w:t>
      </w:r>
    </w:p>
    <w:p>
      <w:pPr>
        <w:pStyle w:val="GesAbsatz"/>
      </w:pPr>
      <w:r>
        <w:t>(18) Derzeit werden Finanzinstrumente der Union und andere Maßnahmen eingerichtet bzw. angepasst, mit denen energieeffizienzfördernde Maßnahmen angeregt werden sollen. Zu diesen Finanzinstrumenten auf Unionsebene gehören unter anderem die Verordnung (EG) Nr. 1080/2006 des Europäischen Parlaments und des Rates vom 5. Juli 2006 über den Europäischen Fonds für regionale Entwicklung</w:t>
      </w:r>
      <w:r>
        <w:rPr>
          <w:rStyle w:val="Funotenzeichen"/>
        </w:rPr>
        <w:footnoteReference w:id="10"/>
      </w:r>
      <w:r>
        <w:t>, die geändert wurde, um höhere Investitionen in die Energieeffizienz im Bereich Wohnungsbau zu ermöglichen; die öffentlich-private Partnerschaft für eine „Europäische Initiative für energieeffiziente Gebäude“ zur Förderung umweltfreundlicher Technologien und der Entwicklung energieeffizienter Systeme und Materialien für neue und renovierte Gebäude; die von der Kommission und der Europäischen Investitionsbank (EIB) getragene „EU-Initiative zur Finanzierung einer nachhaltigen Energiewirtschaft“, die unter anderem die Finanzierung von Investitionen in Energieeffizienz ermöglichen soll; der unter der Federführung der EIB stehende, auch „Fonds Marguerite“ genannte „Europäische Fonds 2020 für Energie, Klimaschutz und Infrastruktur“; die Richtlinie 2009/47/EG des Rates vom 5. Mai 2009 zur Änderung der Richtlinie 2006/112/EG in Bezug auf ermäßigte Mehrwertsteuersätze</w:t>
      </w:r>
      <w:r>
        <w:rPr>
          <w:rStyle w:val="Funotenzeichen"/>
        </w:rPr>
        <w:footnoteReference w:id="11"/>
      </w:r>
      <w:r>
        <w:t>; das den Strukturfonds und dem Kohäsionsfonds zuzurechnende Instrument Jeremie (Gemeinsame europäische Ressourcen für kleinste bis mittlere Unternehmen); die Fazilität zur Förderung der Energieeffizienz; das Rahmenprogramm für Wettbewerbsfähigkeit und Innovation einschließlich des Programms „Intelligente Energie - Europa II“, das sich speziell auf die Beseitigung von Marktbarrieren in Bezug auf Energieeffizienz und Energie aus erneuerbaren Quellen konzentriert, etwa durch die Fazilität für technische Hilfe ELENA (Europäische Energiehilfe auf lokaler Ebene); der Bürgermeisterkonvent; das Programm für unternehmerische Initiative und Innovation; das Programm „Unterstützung der IKT-Politik“ 2010 und das Siebte Forschungsrahmenprogramm. Die Europäische Bank für Wiederaufbau und Entwicklung stellt ebenfalls Finanzmittel zur Stimulierung von energieeffizienzfördernden Maßnahmen zur Verfügung.</w:t>
      </w:r>
    </w:p>
    <w:p>
      <w:pPr>
        <w:pStyle w:val="GesAbsatz"/>
      </w:pPr>
      <w:r>
        <w:t>(19) Die Finanzinstrumente der Union sollten so eingesetzt werden, dass sie den mit dieser Richtlinie verfolgten Zielen praktische Wirkung verleihen, ohne die nationalen Maßnahmen zu ersetzen. Sie sollten insbesondere eingesetzt werden, um geeignete, innovative Finanzierungsmittel bereitzustellen, mit denen Investitionen in energieeffizienzfördernde Maßnahmen angeschoben werden sollen. Die Instrumente könnten insbesondere eine bedeutende Rolle bei der Entwicklung nationaler, regionaler und lokaler Fonds, Instrumente oder Mechanismen zur Energieeffizienzförderung spielen, die privaten Haus- und Grundbesitzern, kleinen und mittleren Unternehmen sowie Dienstleistern im Bereich der Energieeffizienz solche Finanzierungsmöglichkeiten anbieten.</w:t>
      </w:r>
    </w:p>
    <w:p>
      <w:pPr>
        <w:pStyle w:val="GesAbsatz"/>
      </w:pPr>
      <w:r>
        <w:t xml:space="preserve">(20) Im Hinblick auf eine angemessene Unterrichtung der Kommission sollten die Mitgliedstaaten Auflistungen der bestehenden und geplanten Maßnahmen - auch finanzieller Art - erstellen, die zwar nicht nach dieser Richtlinie vorgeschrieben sind, die aber den mit ihr verfolgten Zielen dienen. Die von den Mitgliedstaaten aufgelisteten bestehenden und geplanten Maßnahmen können insbesondere Maßnahmen umfassen, mit denen bestehende rechtliche Barrieren und Marktbarrieren verringert und Investitionen angeregt werden sollen, und/oder andere Maßnahmen zur Erhöhung der Energieeffizienz neuer und bestehender Gebäude, mit denen </w:t>
      </w:r>
      <w:r>
        <w:lastRenderedPageBreak/>
        <w:t>ein potenzieller Beitrag zur Reduzierung der Energiearmut verbunden ist. Diese Maßnahmen könnten unter anderem Folgendes umfassen: unentgeltliche oder subventionierte technische Hilfe und Beratung, direkte Zuschüsse, Regelungen für subventionierte oder zinsvergünstigte Kredite, Zuschussregelungen und Kreditgarantieregelungen. Die Behörden und andere Institutionen, die diese Maßnahmen finanzieller Art anbieten, könnten ihren Einsatz an die angegebene Gesamtenergieeffizienz und die Empfehlungen der Ausweise über die Gesamtenergieeffizienz knüpfen.</w:t>
      </w:r>
    </w:p>
    <w:p>
      <w:pPr>
        <w:pStyle w:val="GesAbsatz"/>
      </w:pPr>
      <w:r>
        <w:t>(21) Um den Meldeaufwand für die Mitgliedstaaten zu verringern, sollten die in dieser Richtlinie geforderten Berichte in die Energieeffizienz-Aktionspläne gemäß Artikel 14 Absatz 2 der Richtlinie 2006/32/EG des Europäischen Parlaments und des Rates vom 5. April 2006 über Endenergieeffizienz und Energiedienstleistungen</w:t>
      </w:r>
      <w:r>
        <w:rPr>
          <w:rStyle w:val="Funotenzeichen"/>
        </w:rPr>
        <w:footnoteReference w:id="12"/>
      </w:r>
      <w:r>
        <w:t xml:space="preserve"> integriert werden können. Der öffentliche Sektor in den Mitgliedstaaten sollte auf dem Gebiet der Gesamtenergieeffizienz von Gebäuden eine Vorreiterrolle übernehmen, und daher sollten die nationalen Pläne für Gebäude, die von Behörden genutzt werden, ehrgeizigere Ziele vorsehen.</w:t>
      </w:r>
    </w:p>
    <w:p>
      <w:pPr>
        <w:pStyle w:val="GesAbsatz"/>
      </w:pPr>
      <w:r>
        <w:t>(22) Der Ausweis über die Gesamtenergieeffizienz sollte potenziellen Käufern und Mietern von Gebäuden oder Gebäudeteilen zutreffende Informationen über die Gesamtenergieeffizienz des Gebäudes sowie praktische Hinweise zu deren Verbesserung liefern. Es könnten Informationskampagnen durchgeführt werden, um die Eigentümer und Mieter noch stärker zu einer Verbesserung der Gesamtenergieeffizienz des Gebäudes oder der Gebäudeteile anzuregen. Zusätzlich sollten die Eigentümer und Mieter von Gewerbegebäuden zum Austausch von Informationen über den tatsächlichen Energieverbrauch angeregt werden, damit alle Daten für fundierte Entscheidungen über notwendige Energieeffizienzverbesserungen verfügbar sind. Zudem sollte der Ausweis über die Gesamtenergieeffizienz Angaben darüber enthalten, wie sich Heizung und Kühlung auf den Energiebedarf des Gebäudes sowie auf dessen Primärenergieverbrauch und dessen Kohlendioxidemissionen auswirken.</w:t>
      </w:r>
    </w:p>
    <w:p>
      <w:pPr>
        <w:pStyle w:val="GesAbsatz"/>
      </w:pPr>
      <w:r>
        <w:t>(23) Die Behörden sollten mit gutem Beispiel vorangehen und sich bemühen, die Empfehlungen des Ausweises über die Gesamtenergieeffizienz umzusetzen. Die nationalen Pläne der Mitgliedstaaten sollten Maßnahmen vorsehen, die die Behörden dabei unterstützen, die Energieeffizienz ihrer Gebäude frühzeitig zu verbessern und die Empfehlungen des Ausweises über die Gesamtenergieeffizienz so bald wie möglich umzusetzen.</w:t>
      </w:r>
    </w:p>
    <w:p>
      <w:pPr>
        <w:pStyle w:val="GesAbsatz"/>
      </w:pPr>
      <w:r>
        <w:t>(24) Gebäude, die von Behörden genutzt werden, und Gebäude mit starkem Publikumsverkehr sollten durch Einbeziehung von Umwelt- und Energieaspekten ein Vorbild darstellen, weshalb regelmäßig Energieausweise für sie erstellt werden sollten. Die Unterrichtung der Öffentlichkeit über die Gesamtenergieeffizienz sollte durch Anbringung der Energieausweise an gut sichtbaren Stellen unterstützt werden; dies gilt insbesondere für Gebäude einer bestimmten Größe, in denen sich Behörden befinden oder starker Publikumsverkehr herrscht, wie Ladengeschäfte und Einkaufszentren, Supermärkte, Gaststätten, Theater, Banken und Hotels.</w:t>
      </w:r>
    </w:p>
    <w:p>
      <w:pPr>
        <w:pStyle w:val="GesAbsatz"/>
      </w:pPr>
      <w:r>
        <w:t>(25) In den letzten Jahren ist eine zunehmende Verwendung von Klimaanlagen in den Ländern Europas zu verzeichnen. Dies führt zu großen Problemen zu Spitzenlastzeiten mit der Folge, dass die Stromkosten steigen und die Energiebilanz beeinträchtigt wird. Vorrang sollte Strategien eingeräumt werden, die zur Verbesserung der thermischen Eigenschaften der Gebäude im Sommer beitragen. Hierzu sollte man sich auf Maßnahmen zur Vermeidung einer übermäßigen Erwärmung, wie Sonnenschutz und ausreichende Wärmekapazität der Gebäudekonstruktion, und auf Weiterentwicklung und Einsatz der passiven Kühlung konzentrieren, und zwar in erster Linie auf solche Maßnahmen, die zur Verbesserung der Qualität des Raumklimas und zur Verbesserung des Mikroklimas in der Umgebung von Gebäuden beitragen.</w:t>
      </w:r>
    </w:p>
    <w:p>
      <w:pPr>
        <w:pStyle w:val="GesAbsatz"/>
      </w:pPr>
      <w:r>
        <w:t>(26) Die regelmäßige Wartung und Inspektion von Heizungs- und Klimaanlagen durch qualifiziertes Personal trägt zu einem korrekten Betrieb gemäß der Produktspezifikation bei und gewährleistet damit eine optimale Leistung aus ökologischer, sicherheitstechnischer und energetischer Sicht. Eine unabhängige Prüfung der gesamten Heizungs- und Klimaanlage sollte während ihrer Lebensdauer in regelmäßigen Abständen erfolgen, insbesondere vor einem Austausch oder einer Modernisierung. Im Hinblick auf einen möglichst geringen Verwaltungsaufwand für die Gebäudeeigentümer und -mieter sollten die Mitgliedstaaten sich darum bemühen, dass Inspektionen und Ausweisausstellungen so weit wie möglich miteinander verbunden werden.</w:t>
      </w:r>
    </w:p>
    <w:p>
      <w:pPr>
        <w:pStyle w:val="GesAbsatz"/>
      </w:pPr>
      <w:r>
        <w:t>(27) Ein gemeinsamer Ansatz bei der Erstellung von Energieausweisen für Gebäude und bei der Inspektion von Heizungs- und Klimaanlagen durch qualifiziertes und/oder zugelassenes Fachpersonal, dessen Unabhängigkeit auf der Grundlage objektiver Kriterien zu gewährleisten ist, werden dazu beitragen, gleiche Bedingungen für die Anstrengungen in den Mitgliedstaaten bei Energieeinsparungen im Gebäudesektor zu schaffen, und werden für die potenziellen Eigentümer oder Nutzer Transparenz hinsichtlich der Gesamtenergieeffizienz auf dem Immobilienmarkt der Union schaffen. Um die Qualität der Ausweise über die Gesamtenergieeffizienz und der Inspektion von Heizungs- und Klimaanlagen in der gesamten Union zu gewährleisten, sollte in jedem Mitgliedstaat ein unabhängiges Kontrollsystem eingerichtet werden.</w:t>
      </w:r>
    </w:p>
    <w:p>
      <w:pPr>
        <w:pStyle w:val="GesAbsatz"/>
      </w:pPr>
      <w:r>
        <w:lastRenderedPageBreak/>
        <w:t>(28) Da den regionalen und lokalen Behörden für die erfolgreiche Umsetzung dieser Richtlinie entscheidende Bedeutung zukommt, sollten sie gegebenenfalls nach Maßgabe der innerstaatlichen Rechtsvorschriften in Bezug auf Planungsaspekte, Ausarbeitung von Informations-, Schulungs- und Sensibilisierungsprogrammen sowie Umsetzung dieser Richtlinie auf nationaler und regionaler Ebene konsultiert und eingebunden werden. Diese Konsultationen könnten auch dafür genutzt werden, den örtlichen Planern und Gebäudeprüfern angemessene Leitlinien für die Erfüllung der notwendigen Aufgaben zur Verfügung zu stellen. Ferner sollten die Mitgliedstaaten Architekten und Planer in die Lage versetzen und dazu anhalten, bei Planung, Entwurf, Bau und Renovierung von Industrie- und Wohngebieten die optimale Kombination von Energieeffizienzverbesserungen, Nutzung von Energie aus erneuerbaren Quellen und Einsatz von Fernwärme und -kälte angemessen in Betracht zu ziehen.</w:t>
      </w:r>
    </w:p>
    <w:p>
      <w:pPr>
        <w:pStyle w:val="GesAbsatz"/>
      </w:pPr>
      <w:r>
        <w:t>(29) Installateure und Baufachleute sind für die erfolgreiche Umsetzung dieser Richtlinie von entscheidender Bedeutung. Daher sollte eine angemessene Zahl von Installateuren und Baufachleuten durch Schulung und andere Maßnahmen die angemessene Fachkompetenz für Installation und Einbau der erforderlichen Technik zur Verbesserung der Energieeffizienz und zur Nutzung erneuerbarer Energien erwerben.</w:t>
      </w:r>
    </w:p>
    <w:p>
      <w:pPr>
        <w:pStyle w:val="GesAbsatz"/>
      </w:pPr>
      <w:r>
        <w:t>(30) Die Mitgliedstaaten sollten die Richtlinie 2005/36/EG des Europäischen Parlaments und des Rates vom 7. September 2005 über die Anerkennung von Berufsqualifikationen</w:t>
      </w:r>
      <w:r>
        <w:rPr>
          <w:rStyle w:val="Funotenzeichen"/>
        </w:rPr>
        <w:footnoteReference w:id="13"/>
      </w:r>
      <w:r>
        <w:t xml:space="preserve"> in Bezug auf die gegenseitige Anerkennung der unter diese Richtlinie fallenden Sachverständigen berücksichtigen, und die Kommission sollte ihre im Rahmen des Programms „Intelligente Energie - Europa“ durchgeführten Arbeiten an Leitlinien und Empfehlungen für Standards für die Ausbildung dieser Sachverständigen fortsetzen.</w:t>
      </w:r>
    </w:p>
    <w:p>
      <w:pPr>
        <w:pStyle w:val="GesAbsatz"/>
      </w:pPr>
      <w:r>
        <w:t>(31) Im Hinblick auf eine bessere Transparenz der Gesamtenergieeffizienz auf dem Immobilienmarkt der Union für Nichtwohngebäude sollten einheitliche Bestimmungen für ein fakultatives gemeinsames System für Ausweise über die Gesamtenergieeffizienz von Nichtwohngebäuden festgelegt werden. Nach Artikel 291 AEUV werden die Regeln und Grundsätze, nach denen die Mitgliedstaaten die Wahrnehmung der Durchführungsbefugnisse durch die Kommission kontrollieren, im Voraus durch eine gemäß dem ordentlichen Gesetzgebungsverfahren angenommene Verordnung festgelegt. Bis zur Annahme dieser neuen Verordnung findet weiterhin der Beschluss 1999/468/EG des Rates vom 28. Juni 1999 zur Festlegung der Modalitäten für die Ausübung der der Kommission übertragenen Durchführungsbefugnisse</w:t>
      </w:r>
      <w:r>
        <w:rPr>
          <w:rStyle w:val="Funotenzeichen"/>
        </w:rPr>
        <w:footnoteReference w:id="14"/>
      </w:r>
      <w:r>
        <w:t xml:space="preserve"> Anwendung, mit Ausnahme des nicht anwendbaren Regelungsverfahrens mit Kontrolle.</w:t>
      </w:r>
    </w:p>
    <w:p>
      <w:pPr>
        <w:pStyle w:val="GesAbsatz"/>
      </w:pPr>
      <w:r>
        <w:t>(32) Der Kommission sollte die Befugnis übertragen werden, in Bezug auf die Anpassung bestimmter Teile des allgemeinen Rahmens in Anhang I an den technischen Fortschritt und in Bezug auf die Festlegung eines Rahmens für eine Methode zur Berechnung kostenoptimaler Mindestanforderungen an die Gesamtenergieeffizienz von Gebäuden delegierte Rechtsakte nach Artikel 290 AEUV zu erlassen. Es ist von besonderer Bedeutung, dass die Kommission bei ihren vorbereitenden Arbeiten angemessene Konsultationen - auch auf Expertenebene - durchführt.</w:t>
      </w:r>
    </w:p>
    <w:p>
      <w:pPr>
        <w:pStyle w:val="GesAbsatz"/>
      </w:pPr>
      <w:r>
        <w:t>(33) Da das Ziel dieser Richtlinie, nämlich eine Verbesserung der Gesamtenergieeffizienz von Gebäuden, wegen der komplexen Struktur des Gebäudesektors und des Unvermögens der nationalen Immobilienmärkte, den Herausforderungen auf dem Gebiet der Energieeffizienz hinreichend zu begegnen, auf Ebene der Mitgliedstaaten nicht ausreichend verwirklicht werden kann und wegen des Umfangs und der Wirkungen der Maßnahme besser auf Unionsebene zu erreichen ist, kann die Union im Einklang mit dem in Artikel 5 des Vertrags über die Europäische Union niedergelegten Subsidiaritätsprinzip tätig werden. Entsprechend dem in demselben Artikel genannten Grundsatz der Verhältnismäßigkeit geht diese Richtlinie nicht über das zur Erreichung dieses Ziels erforderliche Maß hinaus.</w:t>
      </w:r>
    </w:p>
    <w:p>
      <w:pPr>
        <w:pStyle w:val="GesAbsatz"/>
      </w:pPr>
      <w:r>
        <w:t>(34) Die Verpflichtung zur Umsetzung dieser Richtlinie in innerstaatliches Recht sollte nur jene Bestimmungen betreffen, die im Vergleich zu der Richtlinie 2002/91/EG inhaltlich geändert wurden. Die Pflicht zur Umsetzung der inhaltlich unveränderten Bestimmungen ergibt sich aus der genannten Richtlinie.</w:t>
      </w:r>
    </w:p>
    <w:p>
      <w:pPr>
        <w:pStyle w:val="GesAbsatz"/>
      </w:pPr>
      <w:r>
        <w:t>(35) Die vorliegende Richtlinie sollte die Pflichten der Mitgliedstaaten hinsichtlich der Fristen für die Umsetzung der Richtlinie 2002/91/EG in innerstaatliches Recht und für ihre Anwendung unberührt lassen.</w:t>
      </w:r>
    </w:p>
    <w:p>
      <w:pPr>
        <w:pStyle w:val="GesAbsatz"/>
      </w:pPr>
      <w:r>
        <w:t>(36) Nach Nummer 34 der Interinstitutionellen Vereinbarung über bessere Rechtsetzung</w:t>
      </w:r>
      <w:r>
        <w:rPr>
          <w:rStyle w:val="Funotenzeichen"/>
        </w:rPr>
        <w:footnoteReference w:id="15"/>
      </w:r>
      <w:r>
        <w:t xml:space="preserve"> sind die Mitgliedstaaten aufgefordert, für ihre eigenen Zwecke und im Interesse der Union eigene Tabellen aufzustellen, aus 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519758764"/>
      <w:r>
        <w:lastRenderedPageBreak/>
        <w:t>Artikel 1</w:t>
      </w:r>
      <w:r>
        <w:br/>
        <w:t>Gegenstand</w:t>
      </w:r>
      <w:bookmarkEnd w:id="2"/>
    </w:p>
    <w:p>
      <w:pPr>
        <w:pStyle w:val="GesAbsatz"/>
      </w:pPr>
      <w:r>
        <w:t>(1) Diese Richtlinie unterstützt die Verbesserung der Gesamtenergieeffizienz von Gebäuden in der Union unter Berücksichtigung der jeweiligen äußeren klimatischen und lokalen Bedingungen sowie der Anforderungen an das Innenraumklima und der Kosteneffizienz.</w:t>
      </w:r>
    </w:p>
    <w:p>
      <w:pPr>
        <w:pStyle w:val="GesAbsatz"/>
      </w:pPr>
      <w:r>
        <w:t>(2) Diese Richtlinie enthält Anforderungen hinsichtlich</w:t>
      </w:r>
    </w:p>
    <w:p>
      <w:pPr>
        <w:pStyle w:val="GesAbsatz"/>
        <w:ind w:left="426" w:hanging="426"/>
      </w:pPr>
      <w:r>
        <w:t>a)</w:t>
      </w:r>
      <w:r>
        <w:tab/>
        <w:t>des gemeinsamen allgemeinen Rahmens für eine Methode zur Berechnung der integrierten Gesamtenergieeffizienz von Gebäuden und Gebäudeteilen;</w:t>
      </w:r>
    </w:p>
    <w:p>
      <w:pPr>
        <w:pStyle w:val="GesAbsatz"/>
        <w:ind w:left="426" w:hanging="426"/>
      </w:pPr>
      <w:r>
        <w:t>b)</w:t>
      </w:r>
      <w:r>
        <w:tab/>
        <w:t>der Anwendung von Mindestanforderungen an die Gesamtenergieeffizienz neuer Gebäude und Gebäudeteile;</w:t>
      </w:r>
    </w:p>
    <w:p>
      <w:pPr>
        <w:pStyle w:val="GesAbsatz"/>
      </w:pPr>
      <w:r>
        <w:t>c)</w:t>
      </w:r>
      <w:r>
        <w:tab/>
        <w:t>der Anwendung von Mindestanforderungen an die Gesamtenergieeffizienz von:</w:t>
      </w:r>
    </w:p>
    <w:p>
      <w:pPr>
        <w:pStyle w:val="GesAbsatz"/>
        <w:ind w:left="851" w:hanging="425"/>
      </w:pPr>
      <w:r>
        <w:t>i)</w:t>
      </w:r>
      <w:r>
        <w:tab/>
        <w:t>bestehenden Gebäuden, Gebäudeteilen und Gebäudekomponenten, die einer größeren Renovierung unterzogen werden,</w:t>
      </w:r>
    </w:p>
    <w:p>
      <w:pPr>
        <w:pStyle w:val="GesAbsatz"/>
        <w:ind w:left="851" w:hanging="425"/>
      </w:pPr>
      <w:r>
        <w:t>ii)</w:t>
      </w:r>
      <w:r>
        <w:tab/>
        <w:t>Gebäudekomponenten, die Teil der Gebäudehülle sind und sich erheblich auf die Gesamtenergieeffizienz der Gebäudehülle auswirken, wenn sie nachträglich eingebaut oder ersetzt werden und</w:t>
      </w:r>
    </w:p>
    <w:p>
      <w:pPr>
        <w:pStyle w:val="GesAbsatz"/>
        <w:ind w:left="851" w:hanging="425"/>
      </w:pPr>
      <w:r>
        <w:t>iii)</w:t>
      </w:r>
      <w:r>
        <w:tab/>
        <w:t>gebäudetechnischen Systemen, wenn diese neu installiert, ersetzt oder modernisiert werden;</w:t>
      </w:r>
    </w:p>
    <w:p>
      <w:pPr>
        <w:pStyle w:val="GesAbsatz"/>
      </w:pPr>
      <w:r>
        <w:t>d)</w:t>
      </w:r>
      <w:r>
        <w:tab/>
        <w:t>nationaler Pläne zur Erhöhung der Zahl der Niedrigstenergiegebäude;</w:t>
      </w:r>
    </w:p>
    <w:p>
      <w:pPr>
        <w:pStyle w:val="GesAbsatz"/>
      </w:pPr>
      <w:r>
        <w:t>e)</w:t>
      </w:r>
      <w:r>
        <w:tab/>
        <w:t>der Erstellung von Energieausweisen für Gebäude oder Gebäudeteile;</w:t>
      </w:r>
    </w:p>
    <w:p>
      <w:pPr>
        <w:pStyle w:val="GesAbsatz"/>
      </w:pPr>
      <w:r>
        <w:t>f)</w:t>
      </w:r>
      <w:r>
        <w:tab/>
        <w:t>regelmäßiger Inspektionen von Heizungs- und Klimaanlagen in Gebäuden und</w:t>
      </w:r>
    </w:p>
    <w:p>
      <w:pPr>
        <w:pStyle w:val="GesAbsatz"/>
      </w:pPr>
      <w:r>
        <w:t>g)</w:t>
      </w:r>
      <w:r>
        <w:tab/>
        <w:t>unabhängiger Kontrollsysteme für Ausweise über die Gesamtenergieeffizienz und Inspektionsberichte.</w:t>
      </w:r>
    </w:p>
    <w:p>
      <w:pPr>
        <w:pStyle w:val="GesAbsatz"/>
      </w:pPr>
      <w:r>
        <w:t>(3) Bei den Anforderungen dieser Richtlinie handelt es sich um Mindestanforderungen; sie hindern die einzelnen Mitgliedstaaten nicht daran, verstärkte Maßnahmen beizubehalten oder zu ergreifen. Die betreffenden Maßnahmen müssen mit dem Vertrag über die Arbeitsweise der Europäischen Union vereinbar sein. Sie werden der Kommission notifiziert.</w:t>
      </w:r>
    </w:p>
    <w:p>
      <w:pPr>
        <w:pStyle w:val="berschrift2"/>
      </w:pPr>
      <w:bookmarkStart w:id="3" w:name="_Toc519758765"/>
      <w:r>
        <w:t>Artikel 2</w:t>
      </w:r>
      <w:r>
        <w:br/>
        <w:t>Begriffsbestimmungen</w:t>
      </w:r>
      <w:bookmarkEnd w:id="3"/>
    </w:p>
    <w:p>
      <w:pPr>
        <w:pStyle w:val="GesAbsatz"/>
      </w:pPr>
      <w:r>
        <w:t>Im Sinne dieser Richtlinie bezeichnet der Ausdruck:</w:t>
      </w:r>
    </w:p>
    <w:p>
      <w:pPr>
        <w:pStyle w:val="GesAbsatz"/>
        <w:ind w:left="426" w:hanging="426"/>
      </w:pPr>
      <w:r>
        <w:t>1.</w:t>
      </w:r>
      <w:r>
        <w:tab/>
        <w:t>„Gebäude“ eine Konstruktion mit Dach und Wänden, deren Innenraumklima unter Einsatz von Energie konditioniert wird;</w:t>
      </w:r>
    </w:p>
    <w:p>
      <w:pPr>
        <w:pStyle w:val="GesAbsatz"/>
        <w:ind w:left="426" w:hanging="426"/>
      </w:pPr>
      <w:r>
        <w:t>2.</w:t>
      </w:r>
      <w:r>
        <w:tab/>
        <w:t>„Niedrigstenergiegebäude“ ein Gebäude, das eine sehr hohe, nach Anhang I bestimmte Gesamtenergieeffizienz aufweist. Der fast bei Null liegende oder sehr geringe Energiebedarf sollte zu einem ganz wesentlichen Teil durch Energie aus erneuerbaren Quellen - einschließlich Energie aus erneuerbaren Quellen, die am Standort oder in der Nähe erzeugt wird - gedeckt werden;</w:t>
      </w:r>
    </w:p>
    <w:p>
      <w:pPr>
        <w:pStyle w:val="GesAbsatz"/>
        <w:ind w:left="426" w:hanging="426"/>
      </w:pPr>
      <w:r>
        <w:t>3.</w:t>
      </w:r>
      <w:r>
        <w:tab/>
        <w:t>„gebäudetechnische Systeme“ die technische Ausrüstung eines Gebäudes oder Gebäudeteils für Raumheizung, Raumkühlung, Lüftung, Warmwasserbereitung für den häuslichen Gebrauch, eingebaute Beleuchtung, Gebäudeautomatisierung und -steuerung, Elektrizitätserzeugung am Gebäudestandort oder für eine Kombination derselben, einschließlich Systemen, die Energie aus erneuerbaren Quellen nutzen;</w:t>
      </w:r>
    </w:p>
    <w:p>
      <w:pPr>
        <w:pStyle w:val="GesAbsatz"/>
        <w:ind w:left="426" w:hanging="426"/>
      </w:pPr>
      <w:r>
        <w:t>3a.</w:t>
      </w:r>
      <w:r>
        <w:tab/>
        <w:t xml:space="preserve">„System für die Gebäudeautomatisierung und –steuerung“ ein System, das sämtliche Produkte, Software und Engineering-Leistungen umfasst, mit denen ein energieeffizienter, wirtschaftlicher und sicherer Betrieb gebäudetechnischer Systeme durch automatische Steuerungen sowie durch die Erleichterung des manuellen Managements dieser gebäudetechnischen Systeme unterstützt werden kann; </w:t>
      </w:r>
    </w:p>
    <w:p>
      <w:pPr>
        <w:pStyle w:val="GesAbsatz"/>
        <w:ind w:left="426" w:hanging="426"/>
      </w:pPr>
      <w:r>
        <w:t>4.</w:t>
      </w:r>
      <w:r>
        <w:tab/>
        <w:t>„Gesamtenergieeffizienz eines Gebäudes“ die berechnete oder gemessene Energiemenge, die benötigt wird, um den Energiebedarf im Rahmen der üblichen Nutzung des Gebäudes (u.a. Heizung, Kühlung, Lüftung, Warmwasser und Beleuchtung) zu decken;</w:t>
      </w:r>
    </w:p>
    <w:p>
      <w:pPr>
        <w:pStyle w:val="GesAbsatz"/>
        <w:ind w:left="426" w:hanging="426"/>
      </w:pPr>
      <w:r>
        <w:t>5.</w:t>
      </w:r>
      <w:r>
        <w:tab/>
        <w:t>„Primärenergie“ Energie aus erneuerbaren und nicht erneuerbaren Quellen, die keinem Umwandlungsprozess unterzogen wurde;</w:t>
      </w:r>
    </w:p>
    <w:p>
      <w:pPr>
        <w:pStyle w:val="GesAbsatz"/>
        <w:ind w:left="426" w:hanging="426"/>
      </w:pPr>
      <w:r>
        <w:t>6.</w:t>
      </w:r>
      <w:r>
        <w:tab/>
        <w:t>„Energie aus erneuerbaren Quellen“ Energie aus erneuerbaren, nichtfossilen Energiequellen, das heißt Wind, Sonne, aerothermische, geothermische, hydrothermische Energie, Meeresenergie, Wasserkraft, Biomasse, Deponiegas, Klärgas und Biogas;</w:t>
      </w:r>
    </w:p>
    <w:p>
      <w:pPr>
        <w:pStyle w:val="GesAbsatz"/>
        <w:ind w:left="426" w:hanging="426"/>
      </w:pPr>
      <w:r>
        <w:t>7.</w:t>
      </w:r>
      <w:r>
        <w:tab/>
        <w:t>„Gebäudehülle“ die integrierten Komponenten eines Gebäudes, die dessen Innenbereich von der Außenumgebung trennen;</w:t>
      </w:r>
    </w:p>
    <w:p>
      <w:pPr>
        <w:pStyle w:val="GesAbsatz"/>
        <w:ind w:left="426" w:hanging="426"/>
      </w:pPr>
      <w:r>
        <w:lastRenderedPageBreak/>
        <w:t>8.</w:t>
      </w:r>
      <w:r>
        <w:tab/>
        <w:t>„Gebäudeteil“ einen Gebäudeabschnitt, eine Etage oder eine Wohnung innerhalb eines Gebäudes, der bzw. die für eine gesonderte Nutzung ausgelegt ist oder hierfür umgebaut wurde;</w:t>
      </w:r>
    </w:p>
    <w:p>
      <w:pPr>
        <w:pStyle w:val="GesAbsatz"/>
      </w:pPr>
      <w:r>
        <w:t>9.</w:t>
      </w:r>
      <w:r>
        <w:tab/>
        <w:t>„Gebäudekomponente“ ein gebäudetechnisches System oder eine Komponente der Gebäudehülle;</w:t>
      </w:r>
    </w:p>
    <w:p>
      <w:pPr>
        <w:pStyle w:val="GesAbsatz"/>
      </w:pPr>
      <w:r>
        <w:t>10.</w:t>
      </w:r>
      <w:r>
        <w:tab/>
        <w:t>„größere Renovierung“ die Renovierung eines Gebäudes, bei der</w:t>
      </w:r>
    </w:p>
    <w:p>
      <w:pPr>
        <w:pStyle w:val="GesAbsatz"/>
        <w:ind w:left="851" w:hanging="425"/>
      </w:pPr>
      <w:r>
        <w:t>a)</w:t>
      </w:r>
      <w:r>
        <w:tab/>
        <w:t>die Gesamtkosten der Renovierung der Gebäudehülle oder der gebäudetechnischen Systeme 25 % des Gebäudewerts - den Wert des Grundstücks, auf dem das Gebäude errichtet wurde, nicht mitgerechnet - übersteigen oder</w:t>
      </w:r>
    </w:p>
    <w:p>
      <w:pPr>
        <w:pStyle w:val="GesAbsatz"/>
        <w:ind w:left="851" w:hanging="425"/>
      </w:pPr>
      <w:r>
        <w:t>b)</w:t>
      </w:r>
      <w:r>
        <w:tab/>
        <w:t>mehr als 25 % der Oberfläche der Gebäudehülle einer Renovierung unterzogen werden,</w:t>
      </w:r>
    </w:p>
    <w:p>
      <w:pPr>
        <w:pStyle w:val="GesAbsatz"/>
        <w:ind w:left="426"/>
      </w:pPr>
      <w:r>
        <w:t>Die Mitgliedstaaten können entscheiden, ob sie die Option a oder b anwenden;</w:t>
      </w:r>
    </w:p>
    <w:p>
      <w:pPr>
        <w:pStyle w:val="GesAbsatz"/>
        <w:ind w:left="426" w:hanging="426"/>
      </w:pPr>
      <w:r>
        <w:t>11.</w:t>
      </w:r>
      <w:r>
        <w:tab/>
        <w:t>„Europäische Norm“ eine Norm, die vom Europäischen Komitee für Normung, dem Europäischen Komitee für elektrotechnische Normung oder dem Europäischen Institut für Telekommunikationsnormen verabschiedet und zur öffentlichen Verwendung bereitgestellt wurde;</w:t>
      </w:r>
    </w:p>
    <w:p>
      <w:pPr>
        <w:pStyle w:val="GesAbsatz"/>
        <w:ind w:left="426" w:hanging="426"/>
      </w:pPr>
      <w:r>
        <w:t>12.</w:t>
      </w:r>
      <w:r>
        <w:tab/>
        <w:t>„Ausweis über die Gesamtenergieeffizienz“ einen von einem Mitgliedstaat oder einer von ihm benannten juristischen Person anerkannten Ausweis, der die Gesamtenergieeffizienz eines Gebäudes oder von Gebäudeteilen, berechnet nach einer gemäß Artikel 3 festgelegten Methode, angibt;</w:t>
      </w:r>
    </w:p>
    <w:p>
      <w:pPr>
        <w:pStyle w:val="GesAbsatz"/>
        <w:ind w:left="426" w:hanging="426"/>
      </w:pPr>
      <w:r>
        <w:t>13.</w:t>
      </w:r>
      <w:r>
        <w:tab/>
        <w:t>„Kraft-Wärme-Kopplung“ die gleichzeitige Erzeugung thermischer Energie und elektrischer und/oder mechanischer Energie in einem Prozess;</w:t>
      </w:r>
    </w:p>
    <w:p>
      <w:pPr>
        <w:pStyle w:val="GesAbsatz"/>
        <w:ind w:left="426" w:hanging="426"/>
      </w:pPr>
      <w:r>
        <w:t>14.</w:t>
      </w:r>
      <w:r>
        <w:tab/>
        <w:t>„kostenoptimales Niveau“ das Gesamtenergieeffizienzniveau, das während der geschätzten wirtschaftlichen Lebensdauer mit den niedrigsten Kosten verbunden ist, wobei</w:t>
      </w:r>
    </w:p>
    <w:p>
      <w:pPr>
        <w:pStyle w:val="GesAbsatz"/>
        <w:ind w:left="851" w:hanging="425"/>
      </w:pPr>
      <w:r>
        <w:t>a)</w:t>
      </w:r>
      <w:r>
        <w:tab/>
        <w:t>die niedrigsten Kosten unter Berücksichtigung der energiebezogenen Investitionskosten, der Instandhaltungs- und Betriebskosten (einschließlich der Energiekosten und -einsparungen, der betreffenden Gebäudekategorie und gegebenenfalls der Einnahmen aus der Energieerzeugung) sowie gegebenenfalls der Entsorgungskosten ermittelt werden und</w:t>
      </w:r>
    </w:p>
    <w:p>
      <w:pPr>
        <w:pStyle w:val="GesAbsatz"/>
        <w:ind w:left="851" w:hanging="425"/>
      </w:pPr>
      <w:r>
        <w:t>b)</w:t>
      </w:r>
      <w:r>
        <w:tab/>
        <w:t>die geschätzte wirtschaftliche Lebensdauer von jedem Mitgliedstaat bestimmt wird. Sie bezieht sich auf die geschätzte wirtschaftliche Restlebensdauer eines Gebäudes, wenn Gesamtenergieeffizienzanforderungen für das Gebäude insgesamt festgelegt werden, oder auf die geschätzte wirtschaftliche Lebensdauer einer Gebäudekomponente, wenn Gesamtenergieeffizienzanforderungen für Gebäudekomponenten festgelegt werden,</w:t>
      </w:r>
    </w:p>
    <w:p>
      <w:pPr>
        <w:pStyle w:val="GesAbsatz"/>
        <w:ind w:left="426"/>
      </w:pPr>
      <w:r>
        <w:t>Das kostenoptimale Niveau liegt in dem Bereich der Gesamtenergieeffizienzniveaus, in denen die über die geschätzte wirtschaftliche Lebensdauer berechnete Kosten-Nutzen-Analyse positiv ausfällt;</w:t>
      </w:r>
    </w:p>
    <w:p>
      <w:pPr>
        <w:pStyle w:val="GesAbsatz"/>
        <w:ind w:left="426" w:hanging="426"/>
      </w:pPr>
      <w:r>
        <w:t>15.</w:t>
      </w:r>
      <w:r>
        <w:tab/>
        <w:t>„Klimaanlage“ eine Kombination der Bauteile, die für eine Form der Raumluftbehandlung erforderlich sind, durch die die Temperatur geregelt wird oder gesenkt werden kann;</w:t>
      </w:r>
    </w:p>
    <w:p>
      <w:pPr>
        <w:pStyle w:val="GesAbsatz"/>
        <w:ind w:left="426" w:hanging="426"/>
      </w:pPr>
      <w:r>
        <w:t>15a.</w:t>
      </w:r>
      <w:r>
        <w:tab/>
        <w:t>„Heizungsanlage“ eine Kombination der Bauteile, die für eine Form der Raumluftbehandlung erforderlich sind, durch welche die Temperatur erhöht wird;</w:t>
      </w:r>
    </w:p>
    <w:p>
      <w:pPr>
        <w:pStyle w:val="GesAbsatz"/>
        <w:ind w:left="426" w:hanging="426"/>
      </w:pPr>
      <w:r>
        <w:t>15b.</w:t>
      </w:r>
      <w:r>
        <w:tab/>
        <w:t>„Wärmeerzeuger“ den Teil einer Heizungsanlage, der mithilfe eines oder mehrerer der folgenden Verfahren Nutzwärme erzeugt:</w:t>
      </w:r>
    </w:p>
    <w:p>
      <w:pPr>
        <w:pStyle w:val="GesAbsatz"/>
        <w:tabs>
          <w:tab w:val="clear" w:pos="425"/>
        </w:tabs>
        <w:ind w:left="851" w:hanging="426"/>
      </w:pPr>
      <w:r>
        <w:t>a)</w:t>
      </w:r>
      <w:r>
        <w:tab/>
        <w:t>Verbrennung von Brennstoffen, beispielsweise in einem Heizkessel;</w:t>
      </w:r>
    </w:p>
    <w:p>
      <w:pPr>
        <w:pStyle w:val="GesAbsatz"/>
        <w:tabs>
          <w:tab w:val="clear" w:pos="425"/>
        </w:tabs>
        <w:ind w:left="851" w:hanging="426"/>
      </w:pPr>
      <w:r>
        <w:t>b)</w:t>
      </w:r>
      <w:r>
        <w:tab/>
        <w:t>Joule-Effekt in den Heizelementen einer elektrischen Widerstandsheizung;</w:t>
      </w:r>
    </w:p>
    <w:p>
      <w:pPr>
        <w:pStyle w:val="GesAbsatz"/>
        <w:tabs>
          <w:tab w:val="clear" w:pos="425"/>
        </w:tabs>
        <w:ind w:left="851" w:hanging="426"/>
      </w:pPr>
      <w:r>
        <w:t>c)</w:t>
      </w:r>
      <w:r>
        <w:tab/>
        <w:t>Wärmegewinnung aus der Umgebungsluft, aus Abluft, oder aus einer Wasser- oder Erdwärmequelle mithilfe einer Wärmepumpe;</w:t>
      </w:r>
    </w:p>
    <w:p>
      <w:pPr>
        <w:pStyle w:val="GesAbsatz"/>
        <w:ind w:left="426" w:hanging="426"/>
      </w:pPr>
      <w:r>
        <w:t>15c.</w:t>
      </w:r>
      <w:r>
        <w:tab/>
        <w:t>„Energieleistungsvertrag“ Energieleistungsvertrag gemäß der Definition in Artikel 2 Nummer 27 der Richtlinie 2012/27/EU des Europäischen Parlaments und des Rates</w:t>
      </w:r>
      <w:r>
        <w:rPr>
          <w:rStyle w:val="Funotenzeichen"/>
        </w:rPr>
        <w:footnoteReference w:id="16"/>
      </w:r>
      <w:r>
        <w:t>;</w:t>
      </w:r>
    </w:p>
    <w:p>
      <w:pPr>
        <w:pStyle w:val="GesAbsatz"/>
        <w:ind w:left="426" w:hanging="426"/>
      </w:pPr>
      <w:r>
        <w:t>16.</w:t>
      </w:r>
      <w:r>
        <w:tab/>
        <w:t>„Heizkessel“ die kombinierte Einheit aus Gehäuse und Brenner zur Abgabe der Verbrennungswärme an Flüssigkeiten;</w:t>
      </w:r>
    </w:p>
    <w:p>
      <w:pPr>
        <w:pStyle w:val="GesAbsatz"/>
        <w:ind w:left="426" w:hanging="426"/>
      </w:pPr>
      <w:r>
        <w:t>17.</w:t>
      </w:r>
      <w:r>
        <w:tab/>
        <w:t>„Nennleistung“ die maximale Wärmeleistung in kW, die vom Hersteller für den kontinuierlichen Betrieb angegeben und garantiert wird, bei Einhaltung des von ihm angegebenen Wirkungsgrads;</w:t>
      </w:r>
    </w:p>
    <w:p>
      <w:pPr>
        <w:pStyle w:val="GesAbsatz"/>
        <w:ind w:left="426" w:hanging="426"/>
      </w:pPr>
      <w:r>
        <w:t>18.</w:t>
      </w:r>
      <w:r>
        <w:tab/>
        <w:t xml:space="preserve">„Wärmepumpe“ eine Maschine, ein Gerät oder eine Anlage, die die Wärmeenergie der natürlichen Umgebung (Luft, Wasser oder Boden) auf Gebäude oder industrielle Anlagen überträgt, indem sie den natürlichen Wärmestrom so umkehrt, dass dieser von einem Ort tieferer Temperatur zu einem Ort höherer </w:t>
      </w:r>
      <w:r>
        <w:lastRenderedPageBreak/>
        <w:t>Temperatur fließt. Bei reversiblen Wärmepumpen kann auch die Wärme von dem Gebäude an die natürliche Umgebung abgegeben werden;</w:t>
      </w:r>
    </w:p>
    <w:p>
      <w:pPr>
        <w:pStyle w:val="GesAbsatz"/>
        <w:ind w:left="426" w:hanging="426"/>
      </w:pPr>
      <w:r>
        <w:t>19.</w:t>
      </w:r>
      <w:r>
        <w:tab/>
        <w:t>„Fernwärme“ oder „Fernkälte“ die Verteilung thermischer Energie in Form von Dampf, heißem Wasser oder kalten Flüssigkeiten von einer zentralen Erzeugungsquelle durch ein Netz an mehrere Gebäude oder Anlagen zur Nutzung von Raum- oder Prozesswärme oder -kälte;</w:t>
      </w:r>
    </w:p>
    <w:p>
      <w:pPr>
        <w:pStyle w:val="GesAbsatz"/>
        <w:ind w:left="426" w:hanging="426"/>
      </w:pPr>
      <w:r>
        <w:t>20.</w:t>
      </w:r>
      <w:r>
        <w:tab/>
        <w:t>„isoliertes Kleinstnetz“ ein isoliertes Kleinstnetz im Sinne von Artikel 2 Nummer 27 der Richtlinie 2009/72/EG des Europäischen Parlaments und des Rates</w:t>
      </w:r>
      <w:r>
        <w:rPr>
          <w:rStyle w:val="Funotenzeichen"/>
        </w:rPr>
        <w:footnoteReference w:id="17"/>
      </w:r>
      <w:r>
        <w:t>.</w:t>
      </w:r>
    </w:p>
    <w:p>
      <w:pPr>
        <w:pStyle w:val="berschrift2"/>
      </w:pPr>
      <w:bookmarkStart w:id="4" w:name="_Toc519758766"/>
      <w:r>
        <w:t>Artikel 2a</w:t>
      </w:r>
      <w:r>
        <w:br/>
        <w:t>Langfristige Renovierungsstrategie</w:t>
      </w:r>
      <w:bookmarkEnd w:id="4"/>
    </w:p>
    <w:p>
      <w:pPr>
        <w:pStyle w:val="GesAbsatz"/>
      </w:pPr>
      <w:r>
        <w:t>(1) Jeder Mitgliedstaat legt bis 2050 eine langfristige Renovierungsstrategie zur Unterstützung der Renovierung des nationalen Bestands sowohl an öffentlichen als auch privaten Wohn- und Nichtwohngebäuden hin zu einem in hohem Maße energieeffizienten und dekarbonisierten Gebäudebestand fest, mit der der kosteneffiziente Umbau bestehender Gebäude in Niedrigstenergiegebäude ermöglicht wird. Jede langfristige Renovierungsstrategie umfasst:</w:t>
      </w:r>
    </w:p>
    <w:p>
      <w:pPr>
        <w:pStyle w:val="GesAbsatz"/>
        <w:ind w:left="426" w:hanging="426"/>
      </w:pPr>
      <w:r>
        <w:t>a)</w:t>
      </w:r>
      <w:r>
        <w:tab/>
        <w:t>einen Überblick über den nationalen Gebäudebestand, sofern angemessen auf der Grundlage statistischer Stichproben und des erwarteten Anteils renovierter Gebäude im Jahr 2020;</w:t>
      </w:r>
    </w:p>
    <w:p>
      <w:pPr>
        <w:pStyle w:val="GesAbsatz"/>
        <w:ind w:left="426" w:hanging="426"/>
      </w:pPr>
      <w:r>
        <w:t>b)</w:t>
      </w:r>
      <w:r>
        <w:tab/>
        <w:t>die Ermittlung kosteneffizienter Konzepte für Renovierungen je nach Gebäudetyp und Klimazone, wobei gegebenenfalls potenzielle einschlägige Auslösepunkte im Lebenszyklus des Gebäudes berücksichtigt werden sollten;</w:t>
      </w:r>
    </w:p>
    <w:p>
      <w:pPr>
        <w:pStyle w:val="GesAbsatz"/>
        <w:ind w:left="426" w:hanging="426"/>
      </w:pPr>
      <w:r>
        <w:t>c)</w:t>
      </w:r>
      <w:r>
        <w:tab/>
        <w:t>Strategien und Maßnahmen, um kosteneffiziente umfassende Renovierungen von Gebäuden, einschließlich umfassender Renovierungen in mehreren Stufen, anzuregen und um gezielte kosteneffiziente Maßnahmen und Renovierungen zu unterstützen, beispielsweise durch Einführung eines optionalen Systems von Gebäuderenovierungspässen;</w:t>
      </w:r>
    </w:p>
    <w:p>
      <w:pPr>
        <w:pStyle w:val="GesAbsatz"/>
        <w:ind w:left="426" w:hanging="426"/>
      </w:pPr>
      <w:r>
        <w:t>d)</w:t>
      </w:r>
      <w:r>
        <w:tab/>
        <w:t>einen Überblick über die Strategien und Maßnahmen, die auf die Segmente des nationalen Gebäudebestands mit der schlechtesten Leistung, divergierende Anreize und Fälle von Marktversagen ausgerichtet sind, sowie eine Darstellung der einschlägigen nationalen Maßnahmen, die zur Verringerung der Energiearmut beitragen;</w:t>
      </w:r>
    </w:p>
    <w:p>
      <w:pPr>
        <w:pStyle w:val="GesAbsatz"/>
        <w:ind w:left="426" w:hanging="426"/>
      </w:pPr>
      <w:r>
        <w:t>e)</w:t>
      </w:r>
      <w:r>
        <w:tab/>
        <w:t>Strategien und Maßnahmen, die auf sämtliche öffentlichen Gebäude ausgerichtet sind;</w:t>
      </w:r>
    </w:p>
    <w:p>
      <w:pPr>
        <w:pStyle w:val="GesAbsatz"/>
        <w:ind w:left="426" w:hanging="426"/>
      </w:pPr>
      <w:r>
        <w:t>f)</w:t>
      </w:r>
      <w:r>
        <w:tab/>
        <w:t>einen Überblick über die nationalen Initiativen zur Förderung intelligenter Technologien und gut vernetzter Gebäude und Gemeinschaften sowie zur Förderung der Kompetenzen und der Ausbildung in den Bereichen Bau und Energieeffizienz; und</w:t>
      </w:r>
    </w:p>
    <w:p>
      <w:pPr>
        <w:pStyle w:val="GesAbsatz"/>
        <w:ind w:left="426" w:hanging="426"/>
      </w:pPr>
      <w:r>
        <w:t>g)</w:t>
      </w:r>
      <w:r>
        <w:tab/>
        <w:t>eine nachweisgestützte Schätzung der zu erwartenden Energieeinsparungen und weiter reichender Vorteile, etwa in Bezug auf Gesundheit, Sicherheit und Luftqualität.</w:t>
      </w:r>
    </w:p>
    <w:p>
      <w:pPr>
        <w:pStyle w:val="GesAbsatz"/>
      </w:pPr>
      <w:r>
        <w:t>(2) In seiner langfristigen Renovierungsstrategie erstellt jeder Mitgliedstaat einen Fahrplan mit Maßnahmen und innerstaatlich festgelegten messbaren Fortschrittsindikatoren im Hinblick darauf, das langfristige Ziel einer Verringerung der Treibhausgasemissionen in der Union bis 2050 um 80-95 % im Vergleich zu 1990 zu erreichen, für einen in hohem Maße energieeffizienten und dekarbonisierten nationalen Gebäudebestand zu sorgen und den kosteneffizienten Umbau bestehender Gebäude in Niedrigstenergiegebäude zu erleichtern. Der Fahrplan enthält indikative Meilensteine für 2030, 2040 und 2050 sowie eine Beschreibung, wie diese zum Erreichen der Energieeffizienzziele der Union gemäß der Richtlinie 2012/27/EU beitragen.</w:t>
      </w:r>
    </w:p>
    <w:p>
      <w:pPr>
        <w:pStyle w:val="GesAbsatz"/>
      </w:pPr>
      <w:r>
        <w:t>(3) Um die Mobilisierung von Investitionen in die Renovierung zu unterstützen, die zum Erreichen der in Absatz 1 genannten Ziele erforderlich ist, erleichtern die Mitgliedstaaten den Zugang zu geeigneten Mechanismen, um</w:t>
      </w:r>
    </w:p>
    <w:p>
      <w:pPr>
        <w:pStyle w:val="GesAbsatz"/>
        <w:ind w:left="426" w:hanging="426"/>
      </w:pPr>
      <w:r>
        <w:t>a)</w:t>
      </w:r>
      <w:r>
        <w:tab/>
        <w:t>Projekte zu bündeln, auch über Investitionsplattformen oder -gruppen und Konsortien kleiner und mittlerer Unternehmen, um den Zugang für Investoren sowie gebündelte Lösungen für potenzielle Kunden zu ermöglichen;</w:t>
      </w:r>
    </w:p>
    <w:p>
      <w:pPr>
        <w:pStyle w:val="GesAbsatz"/>
        <w:ind w:left="426" w:hanging="426"/>
      </w:pPr>
      <w:r>
        <w:t>b)</w:t>
      </w:r>
      <w:r>
        <w:tab/>
        <w:t>das wahrgenommene Risiko der Energieeffizienzmaßnahmen für Investoren und den Privatsektor zu mindern;</w:t>
      </w:r>
    </w:p>
    <w:p>
      <w:pPr>
        <w:pStyle w:val="GesAbsatz"/>
        <w:ind w:left="426" w:hanging="426"/>
      </w:pPr>
      <w:r>
        <w:t>c)</w:t>
      </w:r>
      <w:r>
        <w:tab/>
        <w:t>öffentliche Mittel zu nutzen, um Anreize für zusätzliche Investitionen aus dem privaten Sektor zu schaffen oder auf spezifische Marktversagen zu reagieren;</w:t>
      </w:r>
    </w:p>
    <w:p>
      <w:pPr>
        <w:pStyle w:val="GesAbsatz"/>
        <w:ind w:left="426" w:hanging="426"/>
      </w:pPr>
      <w:r>
        <w:lastRenderedPageBreak/>
        <w:t>d)</w:t>
      </w:r>
      <w:r>
        <w:tab/>
        <w:t>Leitlinien für Investitionen in einen energieeffizienten öffentlichen Gebäudebestand entsprechend den Leitlinien von Eurostat vorzugeben und</w:t>
      </w:r>
    </w:p>
    <w:p>
      <w:pPr>
        <w:pStyle w:val="GesAbsatz"/>
        <w:ind w:left="426" w:hanging="426"/>
      </w:pPr>
      <w:r>
        <w:t>e)</w:t>
      </w:r>
      <w:r>
        <w:tab/>
        <w:t>zugängliche und transparente Beratungsinstrumente, etwa zentrale Anlaufstellen für Verbraucher und Energieberatungsdienste, über einschlägige Renovierungen zur Verbesserung der Energieeffizienz und Finanzinstrumente einzurichten.</w:t>
      </w:r>
    </w:p>
    <w:p>
      <w:pPr>
        <w:pStyle w:val="GesAbsatz"/>
      </w:pPr>
      <w:r>
        <w:t>(4) Die Kommission sammelt bewährte Verfahren der erfolgreichen öffentlichen oder privaten Finanzierung von Renovierungen zur Verbesserung der Energieeffizienz sowie Informationen zu Plänen für die Bündelung von Renovierungen geringen Umfangs zur Verbesserung der Energieeffizienz und leitet diese zumindest an die einschlägigen Behörden weiter. Die Kommission ermittelt bewährte Verfahren im Zusammenhang mit finanziellen Anreizen für Renovierungen aus Verbrauchersicht unter Berücksichtigung der Unterschiede zwischen den Mitgliedstaaten bei der Rentabilität und verbreitet diese Verfahren.</w:t>
      </w:r>
    </w:p>
    <w:p>
      <w:pPr>
        <w:pStyle w:val="GesAbsatz"/>
      </w:pPr>
      <w:r>
        <w:t>(5) Zur Unterstützung der Entwicklung seiner langfristigen Renovierungsstrategie führt jeder Mitgliedstaat eine öffentliche Anhörung zu dieser Strategie durch, bevor er sie bei der Kommission einreicht. Jeder Mitgliedstaat fügt seiner langfristigen Renovierungsstrategie eine Zusammenfassung der Ergebnisse seiner öffentlichen Anhörung bei.</w:t>
      </w:r>
    </w:p>
    <w:p>
      <w:pPr>
        <w:pStyle w:val="GesAbsatz"/>
      </w:pPr>
      <w:r>
        <w:t>Jeder Mitgliedstaat legt die Modalitäten der Anhörung bei der Umsetzung seiner langfristigen Renovierungsstrategie in einem inklusiven Verfahren fest.</w:t>
      </w:r>
    </w:p>
    <w:p>
      <w:pPr>
        <w:pStyle w:val="GesAbsatz"/>
      </w:pPr>
      <w:r>
        <w:t>(6) Jeder Mitgliedstaat fügt seiner aktuellsten langfristigen Renovierungsstrategie die Einzelheiten ihrer Umsetzung bei, einschließlich der geplanten Strategien und Maßnahmen.</w:t>
      </w:r>
    </w:p>
    <w:p>
      <w:pPr>
        <w:pStyle w:val="GesAbsatz"/>
        <w:tabs>
          <w:tab w:val="clear" w:pos="425"/>
          <w:tab w:val="left" w:pos="426"/>
        </w:tabs>
      </w:pPr>
      <w:r>
        <w:t>(7) Jeder Mitgliedstaat kann seine langfristige Renovierungsstrategie anwenden, um Brandschutz und Risiken im Zusammenhang mit intensiven seismischen Aktivitäten anzugehen, die sich auf die Renovierungen zur Verbesserung der Energieeffizienz und die Lebensdauer von Gebäuden auswirken.</w:t>
      </w:r>
    </w:p>
    <w:p>
      <w:pPr>
        <w:pStyle w:val="GesAbsatz"/>
        <w:tabs>
          <w:tab w:val="clear" w:pos="425"/>
          <w:tab w:val="left" w:pos="426"/>
        </w:tabs>
      </w:pPr>
      <w:r>
        <w:t>(8) Die langfristige Renovierungsstrategie jedes Mitgliedstaats wird der Kommission als Teil seines in Artikel 3 der Verordnung (EU) 2018/1999 des Europäischen Parlaments und des Rates</w:t>
      </w:r>
      <w:r>
        <w:rPr>
          <w:rStyle w:val="Funotenzeichen"/>
        </w:rPr>
        <w:footnoteReference w:id="18"/>
      </w:r>
      <w:r>
        <w:t xml:space="preserve"> genannten endgültigen integrierten nationalen Energie- und Klimaplans vorgelegt. Abweichend von Artikel 3 Absatz 1 der genannten Verordnung wird der Kommission die erste langfristige Renovierungsstrategie gemäß Absatz 1 des vorliegenden Artikels bis zum 10. März 2020 vorgelegt.</w:t>
      </w:r>
    </w:p>
    <w:p>
      <w:pPr>
        <w:pStyle w:val="berschrift2"/>
      </w:pPr>
      <w:bookmarkStart w:id="5" w:name="_Toc519758767"/>
      <w:r>
        <w:t>Artikel 3</w:t>
      </w:r>
      <w:r>
        <w:br/>
        <w:t>Festlegung einer Methode zur Berechnung der</w:t>
      </w:r>
      <w:r>
        <w:br/>
        <w:t>Gesamtenergieeffizienz von Gebäuden</w:t>
      </w:r>
      <w:bookmarkEnd w:id="5"/>
    </w:p>
    <w:p>
      <w:pPr>
        <w:pStyle w:val="GesAbsatz"/>
      </w:pPr>
      <w:r>
        <w:t>Zur Berechnung der Gesamtenergieeffizienz von Gebäuden wenden die Mitgliedstaaten eine Methode an, die mit dem in Anhang I festgelegten gemeinsamen allgemeinen Rahmen im Einklang steht.</w:t>
      </w:r>
    </w:p>
    <w:p>
      <w:pPr>
        <w:pStyle w:val="GesAbsatz"/>
      </w:pPr>
      <w:r>
        <w:t>Diese Methode wird auf nationaler oder regionaler Ebene verabschiedet.</w:t>
      </w:r>
    </w:p>
    <w:p>
      <w:pPr>
        <w:pStyle w:val="berschrift2"/>
      </w:pPr>
      <w:bookmarkStart w:id="6" w:name="_Toc519758768"/>
      <w:r>
        <w:t>Artikel 4</w:t>
      </w:r>
      <w:r>
        <w:br/>
        <w:t>Festlegung von Mindestanforderungen an die Gesamtenergieeffizienz</w:t>
      </w:r>
      <w:bookmarkEnd w:id="6"/>
    </w:p>
    <w:p>
      <w:pPr>
        <w:pStyle w:val="GesAbsatz"/>
      </w:pPr>
      <w:r>
        <w:t>(1) Die Mitgliedstaaten ergreifen die erforderlichen Maßnahmen, um sicherzustellen, dass im Hinblick auf die Erreichung kostenoptimaler Niveaus Mindestanforderungen an die Gesamtenergieeffizienz von Gebäuden oder Gebäudeteilen festgelegt werden. Die Gesamtenergieeffizienz wird nach der in Artikel 3 genannten Methode berechnet. Die kostenoptimalen Niveaus werden nach dem in Artikel 5 genannten Rahmen für eine Vergleichsmethode berechnet, sobald dieser Rahmen verfügbar ist.</w:t>
      </w:r>
    </w:p>
    <w:p>
      <w:pPr>
        <w:pStyle w:val="GesAbsatz"/>
      </w:pPr>
      <w:r>
        <w:t>Die Mitgliedstaaten ergreifen die erforderlichen Maßnahmen, um sicherzustellen, dass zur Erreichung kostenoptimaler Niveaus Mindestanforderungen an die Gesamtenergieeffizienz von Gebäudekomponenten festgelegt werden, die Teil der Gebäudehülle sind und sich erheblich auf die Gesamtenergieeffizienz der Gebäudehülle auswirken, wenn sie ersetzt oder nachträglich eingebaut werden.</w:t>
      </w:r>
    </w:p>
    <w:p>
      <w:pPr>
        <w:pStyle w:val="GesAbsatz"/>
      </w:pPr>
      <w:r>
        <w:t>Bei der Festlegung der Anforderungen können die Mitgliedstaaten zwischen neuen und bestehenden Gebäuden und unter-schiedlichen Gebäudekategorien unterscheiden.</w:t>
      </w:r>
    </w:p>
    <w:p>
      <w:pPr>
        <w:pStyle w:val="GesAbsatz"/>
      </w:pPr>
      <w:r>
        <w:lastRenderedPageBreak/>
        <w:t>Diese Anforderungen tragen den allgemeinen Innenraumklimabedingungen Rechnung, um mögliche negative Auswirkungen, wie unzureichende Belüftung, zu vermeiden, und berücksichtigen die örtlichen Gegebenheiten, die angegebene Nutzung sowie das Alter des Gebäudes.</w:t>
      </w:r>
    </w:p>
    <w:p>
      <w:pPr>
        <w:pStyle w:val="GesAbsatz"/>
      </w:pPr>
      <w:r>
        <w:t>Ein Mitgliedstaat ist nicht verpflichtet, Mindestanforderungen an die Gesamtenergieeffizienz festzulegen, die über die geschätzte wirtschaftliche Lebensdauer nicht kosteneffizient sind.</w:t>
      </w:r>
    </w:p>
    <w:p>
      <w:pPr>
        <w:pStyle w:val="GesAbsatz"/>
      </w:pPr>
      <w:r>
        <w:t>Die Mindestanforderungen an die Gesamtenergieeffizienz sind in regelmäßigen Zeitabständen, die fünf Jahre nicht überschreiten, zu überprüfen und erforderlichenfalls zu aktualisieren, um dem technischen Fortschritt in der Bauwirtschaft Rechnung zu tragen.</w:t>
      </w:r>
    </w:p>
    <w:p>
      <w:pPr>
        <w:pStyle w:val="GesAbsatz"/>
      </w:pPr>
      <w:r>
        <w:t>(2) Die Mitgliedstaaten können beschließen, die in Absatz 1 genannten Anforderungen bei den folgenden Gebäudekategorien nicht festzulegen oder anzuwenden:</w:t>
      </w:r>
    </w:p>
    <w:p>
      <w:pPr>
        <w:pStyle w:val="GesAbsatz"/>
        <w:ind w:left="426" w:hanging="426"/>
      </w:pPr>
      <w:r>
        <w:t>a)</w:t>
      </w:r>
      <w:r>
        <w:tab/>
        <w:t>Gebäude, die als Teil eines ausgewiesenen Umfelds oder aufgrund ihres besonderen architektonischen oder historischen Werts offiziell geschützt sind, soweit die Einhaltung bestimmter Mindestanforderungen an die Gesamtenergieeffizienz eine unannehmbare Veränderung ihrer Eigenart oder ihrer äußeren Erscheinung bedeuten würde;</w:t>
      </w:r>
    </w:p>
    <w:p>
      <w:pPr>
        <w:pStyle w:val="GesAbsatz"/>
      </w:pPr>
      <w:r>
        <w:t>b)</w:t>
      </w:r>
      <w:r>
        <w:tab/>
        <w:t>Gebäude, die für Gottesdienst und religiöse Zwecke genutzt werden;</w:t>
      </w:r>
    </w:p>
    <w:p>
      <w:pPr>
        <w:pStyle w:val="GesAbsatz"/>
        <w:ind w:left="426" w:hanging="426"/>
      </w:pPr>
      <w:r>
        <w:t>c)</w:t>
      </w:r>
      <w:r>
        <w:tab/>
        <w:t>provisorische Gebäude mit einer Nutzungsdauer bis einschließlich zwei Jahren, Industrieanlagen, Werkstätten und landwirtschaftliche Nutzgebäude mit niedrigem Energiebedarf sowie landwirtschaftliche Nutzgebäude, die in einem Sektor genutzt werden, auf den ein nationales sektorspezifisches Abkommen über die Gesamtenergieeffizienz Anwendung findet;</w:t>
      </w:r>
    </w:p>
    <w:p>
      <w:pPr>
        <w:pStyle w:val="GesAbsatz"/>
        <w:ind w:left="426" w:hanging="426"/>
      </w:pPr>
      <w:r>
        <w:t>d)</w:t>
      </w:r>
      <w:r>
        <w:tab/>
        <w:t>Wohngebäude, die weniger als vier Monate jährlich genutzt werden oder werden sollen, oder alternativ Wohngebäude, die für eine begrenzte jährliche Dauer genutzt werden oder werden sollen und deren zu erwartender Energieverbrauch weniger als 25 % des zu erwartenden Energieverbrauchs bei ganzjähriger Nutzung beträgt;</w:t>
      </w:r>
    </w:p>
    <w:p>
      <w:pPr>
        <w:pStyle w:val="GesAbsatz"/>
      </w:pPr>
      <w:r>
        <w:t>e)</w:t>
      </w:r>
      <w:r>
        <w:tab/>
        <w:t>frei stehende Gebäude mit einer Gesamtnutzfläche von weniger als 50 m².</w:t>
      </w:r>
    </w:p>
    <w:p>
      <w:pPr>
        <w:pStyle w:val="berschrift2"/>
      </w:pPr>
      <w:bookmarkStart w:id="7" w:name="_Toc519758769"/>
      <w:r>
        <w:t>Artikel 5</w:t>
      </w:r>
      <w:r>
        <w:br/>
        <w:t>Berechnung der kostenoptimalen Niveaus von Mindestanforderungen</w:t>
      </w:r>
      <w:r>
        <w:br/>
        <w:t>an die Gesamtenergieeffizienz</w:t>
      </w:r>
      <w:bookmarkEnd w:id="7"/>
    </w:p>
    <w:p>
      <w:pPr>
        <w:pStyle w:val="GesAbsatz"/>
      </w:pPr>
      <w:r>
        <w:t>(1) Die Kommission erstellt mittels delegierter Rechtsakte gemäß den Artikeln 23, 24 und 25 bis zum 30. Juni 2011 einen Rahmen für eine Vergleichsmethode zur Berechnung kostenoptimaler Niveaus von Mindestanforderungen an die Gesamtenergieeffizienz von Gebäuden und Gebäudekomponenten.</w:t>
      </w:r>
    </w:p>
    <w:p>
      <w:pPr>
        <w:pStyle w:val="GesAbsatz"/>
      </w:pPr>
      <w:r>
        <w:t>Der Rahmen für die Vergleichsmethode wird gemäß Anhang III festgelegt; dabei wird zwischen neuen und bestehenden Gebäuden und unterschiedlichen Gebäudekategorien unterschieden.</w:t>
      </w:r>
    </w:p>
    <w:p>
      <w:pPr>
        <w:pStyle w:val="GesAbsatz"/>
      </w:pPr>
      <w:r>
        <w:t>(2) Die Mitgliedstaaten berechnen kostenoptimale Niveaus von Mindestanforderungen an die Gesamtenergieeffizienz unter Verwendung des gemäß Absatz 1 festgelegten Rahmens für eine Vergleichsmethode und einschlägiger Parameter, beispielsweise klimatische Gegebenheiten und tatsächliche Zugänglichkeit der Energieinfrastrukturen, und vergleichen die Ergebnisse dieser Berechnung mit den geltenden Mindestanforderungen an die Gesamtenergieeffizienz.</w:t>
      </w:r>
    </w:p>
    <w:p>
      <w:pPr>
        <w:pStyle w:val="GesAbsatz"/>
      </w:pPr>
      <w:r>
        <w:t>Über die Ergebnisse dieser Berechnung und die der Berechnung zugrunde gelegten Daten und Annahmen erstatten die Mitgliedstaaten der Kommission Bericht. Die Mitgliedstaaten legen der Kommission diese Berichte in regelmäßigen Abständen, die fünf Jahre nicht überschreiten, vor. Der erste Bericht ist bis 30. Juni 2012 zu übermitteln.</w:t>
      </w:r>
    </w:p>
    <w:p>
      <w:pPr>
        <w:pStyle w:val="GesAbsatz"/>
      </w:pPr>
      <w:r>
        <w:t>(3) Zeigt das Ergebnis des nach Absatz 2 ausgeführten Vergleichs, dass die geltenden Mindestanforderungen an die Gesamtenergieeffizienz wesentlich weniger energieeffizient sind als die kostenoptimalen Niveaus der Mindestanforderungen an die Gesamtenergieeffizienz, so rechtfertigt der betreffende Mitgliedstaat die Differenz schriftlich gegenüber der Kommission in dem Bericht gemäß Absatz 2, dem, soweit die Differenz nicht gerechtfertigt werden kann, ein Plan beigefügt ist, in dem geeignete Schritte dargelegt werden, mit denen die Differenz bis zur nächsten Überprüfung der Mindestanforderungen an die Gesamtenergieeffizienz gemäß Artikel 4 Absatz 1 wesentlich verringert werden kann.</w:t>
      </w:r>
    </w:p>
    <w:p>
      <w:pPr>
        <w:pStyle w:val="GesAbsatz"/>
      </w:pPr>
      <w:r>
        <w:t>(4) Die Kommission veröffentlicht einen Bericht über die Fortschritte der Mitgliedstaaten bei der Erreichung kostenoptimaler Niveaus von Mindestanforderungen an die Gesamtenergieeffizienz von Gebäuden.</w:t>
      </w:r>
    </w:p>
    <w:p>
      <w:pPr>
        <w:pStyle w:val="berschrift2"/>
      </w:pPr>
      <w:bookmarkStart w:id="8" w:name="_Toc519758770"/>
      <w:r>
        <w:lastRenderedPageBreak/>
        <w:t>Artikel 6</w:t>
      </w:r>
      <w:r>
        <w:br/>
        <w:t>Neue Gebäude</w:t>
      </w:r>
      <w:bookmarkEnd w:id="8"/>
    </w:p>
    <w:p>
      <w:pPr>
        <w:pStyle w:val="GesAbsatz"/>
      </w:pPr>
      <w:r>
        <w:t>(1) Die Mitgliedstaaten ergreifen die erforderlichen Maßnahmen, um sicherzustellen, dass neue Gebäude die nach Artikel 4 festgelegten Mindestanforderungen an die Gesamtenergieeffizienz erfüllen.</w:t>
      </w:r>
    </w:p>
    <w:p>
      <w:pPr>
        <w:pStyle w:val="GesAbsatz"/>
      </w:pPr>
      <w:r>
        <w:t>(2) Die Mitgliedstaaten stellen sicher, dass vor Baubeginn neuer Gebäude die technische, ökologische und wirtschaftliche Realisierbarkeit hocheffizienter alternativer Systeme — soweit verfügbar — berücksichtigt wird.</w:t>
      </w:r>
    </w:p>
    <w:p>
      <w:pPr>
        <w:pStyle w:val="berschrift2"/>
      </w:pPr>
      <w:bookmarkStart w:id="9" w:name="_Toc519758771"/>
      <w:r>
        <w:t>Artikel 7</w:t>
      </w:r>
      <w:r>
        <w:br/>
        <w:t>Bestehende Gebäude</w:t>
      </w:r>
      <w:bookmarkEnd w:id="9"/>
    </w:p>
    <w:p>
      <w:pPr>
        <w:pStyle w:val="GesAbsatz"/>
      </w:pPr>
      <w:r>
        <w:t>Die Mitgliedstaaten ergreifen die erforderlichen Maßnahmen, um sicherzustellen, dass die Gesamtenergieeffizienz von Gebäuden, die einer größeren Renovierung unterzogen werden, oder der renovierten Gebäudeteile erhöht wird, um die gemäß Artikel 4 festgelegten Mindestanforderungen an die Gesamtenergieeffizienz zu erfüllen, sofern dies technisch, funktionell und wirtschaftlich realisierbar ist.</w:t>
      </w:r>
    </w:p>
    <w:p>
      <w:pPr>
        <w:pStyle w:val="GesAbsatz"/>
      </w:pPr>
      <w:r>
        <w:t>Die Anforderungen werden auf das renovierte Gebäude oder den renovierten Gebäudeteil als Ganzes angewandt. Zusätzlich oder alternativ hierzu können Anforderungen auf die renovierten Gebäudekomponenten angewandt werden.</w:t>
      </w:r>
    </w:p>
    <w:p>
      <w:pPr>
        <w:pStyle w:val="GesAbsatz"/>
      </w:pPr>
      <w:r>
        <w:t>Des Weiteren ergreifen die Mitgliedstaaten die erforderlichen Maßnahmen, um sicherzustellen, dass die Gesamtenergieeffizienz einer Gebäudekomponente, die Teil der Gebäudehülle ist und sich erheblich auf deren Gesamtenergieeffizienz auswirkt und die nachträglich eingebaut oder ersetzt wird, die Mindestanforderungen an die Gesamtenergieeffizienz erfüllt, sofern dies technisch, funktionell und wirtschaftlich realisierbar ist.</w:t>
      </w:r>
    </w:p>
    <w:p>
      <w:pPr>
        <w:pStyle w:val="GesAbsatz"/>
      </w:pPr>
      <w:r>
        <w:t>Die Mitgliedstaaten legen diese Mindestanforderungen an die Gesamtenergieeffizienz gemäß Artikel 4 fest.</w:t>
      </w:r>
    </w:p>
    <w:p>
      <w:pPr>
        <w:pStyle w:val="GesAbsatz"/>
      </w:pPr>
      <w:r>
        <w:t>Die Mitgliedstaaten setzen sich im Fall einer größeren Renovierung von Gebäuden unter Berücksichtigung eines gesunden Raumklimas, von Brandschutz und von Risiken im Zusammenhang mit intensiven seismischen Aktivitäten für hocheffiziente alternative Systeme ein, sofern dies technisch, funktionell und wirtschaftlich realisierbar ist.</w:t>
      </w:r>
    </w:p>
    <w:p>
      <w:pPr>
        <w:pStyle w:val="berschrift2"/>
      </w:pPr>
      <w:bookmarkStart w:id="10" w:name="_Toc519758772"/>
      <w:r>
        <w:t>Artikel 8</w:t>
      </w:r>
      <w:r>
        <w:br/>
        <w:t>Gebäudetechnische Systeme, Elektromobilität und Intelligenzfähigkeitsindikator</w:t>
      </w:r>
      <w:bookmarkEnd w:id="10"/>
    </w:p>
    <w:p>
      <w:pPr>
        <w:pStyle w:val="GesAbsatz"/>
      </w:pPr>
      <w:r>
        <w:t>(1) Die Mitgliedstaaten legen zur optimalen Energienutzung durch die gebäudetechnischen Systeme Systemanforderungen an die Gesamtenergieeffizienz, die ordnungsgemäße Installation und angemessene Dimensionierung, Einstellung und Steuerung der gebäudetechnischen Systeme fest, die in bestehenden Gebäuden eingebaut werden. Die Mitgliedstaaten können diese Systemanforderungen auch auf neue Gebäude anwenden.</w:t>
      </w:r>
    </w:p>
    <w:p>
      <w:pPr>
        <w:pStyle w:val="GesAbsatz"/>
      </w:pPr>
      <w:r>
        <w:t>Die Systemanforderungen werden für neue gebäudetechnische Systeme sowie für Ersetzung und Modernisierung von gebäudetechnischen Systemen festgelegt und insoweit angewandt, als dies technisch, funktionell und wirtschaftlich realisierbar ist.</w:t>
      </w:r>
    </w:p>
    <w:p>
      <w:pPr>
        <w:pStyle w:val="GesAbsatz"/>
      </w:pPr>
      <w:r>
        <w:t>Die Mitgliedstaaten schreiben vor, dass neue Gebäude, sofern technisch und wirtschaftlich realisierbar, mit selbstregulierenden Einrichtungen zur separaten Regelung der Temperatur in jedem Raum oder, sofern gerechtfertigt, in einem bestimmten beheizten Bereich des Gebäudeteils ausgestattet werden. In bestehenden Gebäuden ist die Installation solcher selbstregulierender Einrichtungen bei einem Austausch des Wärmeerzeugers, sofern technisch und wirtschaftlich realisierbar, vorgeschrieben.</w:t>
      </w:r>
    </w:p>
    <w:p>
      <w:pPr>
        <w:pStyle w:val="GesAbsatz"/>
      </w:pPr>
      <w:r>
        <w:t>(2) In Bezug auf neue Nichtwohngebäude und Nichtwohngebäude, die einer größeren Renovierung unterzogen werden, tragen die Mitgliedstaaten, sofern das Gebäude über mehr als zehn Stellplätze verfügt, dafür Sorge, dass mindestens ein Ladepunkt im Sinne der Richtlinie 2014/94/EU des Europäischen Parlaments und des Rates</w:t>
      </w:r>
      <w:r>
        <w:rPr>
          <w:rStyle w:val="Funotenzeichen"/>
        </w:rPr>
        <w:footnoteReference w:id="19"/>
      </w:r>
      <w:r>
        <w:t xml:space="preserve"> sowie für mindestens jeden fünften Stellplatz die Leitungsinfrastruktur, nämlich die Schutzrohre für Elektrokabel, errichtet werden, um die spätere Errichtung von Ladepunkten für Elektrofahrzeuge zu ermöglichen, sofern:</w:t>
      </w:r>
    </w:p>
    <w:p>
      <w:pPr>
        <w:pStyle w:val="GesAbsatz"/>
        <w:ind w:left="426" w:hanging="426"/>
      </w:pPr>
      <w:r>
        <w:t>a)</w:t>
      </w:r>
      <w:r>
        <w:tab/>
        <w:t>Der Parkplatz sich innerhalb des Gebäudes befindet und die Renovierungsmaßnahmen bei größeren Renovierungen den Parkplatz oder die elektrische Infrastruktur des Gebäudes umfassen; oder</w:t>
      </w:r>
    </w:p>
    <w:p>
      <w:pPr>
        <w:pStyle w:val="GesAbsatz"/>
        <w:ind w:left="426" w:hanging="426"/>
      </w:pPr>
      <w:r>
        <w:t>b)</w:t>
      </w:r>
      <w:r>
        <w:tab/>
        <w:t>der Parkplatz an das Gebäude angrenzt und die Renovierungsmaßnahmen bei größeren Renovierungen den Parkplatz oder die elektrische Infrastruktur des Parkplatzes umfassen.</w:t>
      </w:r>
    </w:p>
    <w:p>
      <w:pPr>
        <w:pStyle w:val="GesAbsatz"/>
      </w:pPr>
      <w:r>
        <w:lastRenderedPageBreak/>
        <w:t>Die Kommission erstattet dem Europäischen Parlament und dem Rat bis zum 1. Januar 2023 über einen möglichen Beitrag der Gebäudepolitik der Union zur Förderung der Elektromobilität Bericht und schlägt gegebenenfalls diesbezüglich Maßnahmen vor.</w:t>
      </w:r>
    </w:p>
    <w:p>
      <w:pPr>
        <w:pStyle w:val="GesAbsatz"/>
      </w:pPr>
      <w:r>
        <w:t>(3) Bis 1. Januar 2025 legen die Mitgliedstaaten die Anforderungen für den Einbau einer Mindestanzahl von Ladepunkten für alle Nichtwohngebäude mit mehr als zwanzig Stellplätzen fest.</w:t>
      </w:r>
    </w:p>
    <w:p>
      <w:pPr>
        <w:pStyle w:val="GesAbsatz"/>
      </w:pPr>
      <w:r>
        <w:t>(4) Die Mitgliedstaaten können beschließen, die Anforderungen der Absätze 2 und 3 bei Gebäuden, die sich im Eigentum von KMU im Sinne der Definition in Titel I des Anhangs der Empfehlung 2003/361/EG der Kommission</w:t>
      </w:r>
      <w:r>
        <w:rPr>
          <w:rStyle w:val="Funotenzeichen"/>
        </w:rPr>
        <w:footnoteReference w:id="20"/>
      </w:r>
      <w:r>
        <w:t xml:space="preserve"> befinden und von ihnen genutzt werden, nicht festzulegen oder anzuwenden.</w:t>
      </w:r>
    </w:p>
    <w:p>
      <w:pPr>
        <w:pStyle w:val="GesAbsatz"/>
      </w:pPr>
      <w:r>
        <w:t>(5) In Bezug auf neue Wohngebäude und Wohngebäude, die einer größeren Renovierung unterzogen werden, tragen die Mitgliedstaaten, sofern das Gebäude über mehr als zehn Stellplätze verfügt, dafür Sorge, dass für jeden Stellplatz die Leitungsinfrastruktur, nämlich die Schutzrohre für Elektrokabel, errichtet wird, um die spätere Errichtung von Ladepunkten für Elektrofahrzeuge zu ermöglichen sofern:</w:t>
      </w:r>
    </w:p>
    <w:p>
      <w:pPr>
        <w:pStyle w:val="GesAbsatz"/>
        <w:ind w:left="426" w:hanging="426"/>
      </w:pPr>
      <w:r>
        <w:t>a)</w:t>
      </w:r>
      <w:r>
        <w:tab/>
        <w:t>Der Parkplatz sich innerhalb des Gebäudes befindet und die Renovierungsmaßnahmen bei größeren Renovierungen den Parkplatz oder die elektrische Infrastruktur des Gebäudes umfassen; oder</w:t>
      </w:r>
    </w:p>
    <w:p>
      <w:pPr>
        <w:pStyle w:val="GesAbsatz"/>
        <w:ind w:left="426" w:hanging="426"/>
      </w:pPr>
      <w:r>
        <w:t>b)</w:t>
      </w:r>
      <w:r>
        <w:tab/>
        <w:t>der Parkplatz an das Gebäude angrenzt und die Renovierungsmaßnahmen bei größeren Renovierungen den Parkplatz oder die elektrische Infrastruktur des Parkplatzes umfassen.</w:t>
      </w:r>
    </w:p>
    <w:p>
      <w:pPr>
        <w:pStyle w:val="GesAbsatz"/>
      </w:pPr>
      <w:r>
        <w:t>(6) Die Mitgliedstaaten können beschließen, die Absätze 2, 3 und 5 für bestimmte Gebäudekategorien nicht anzuwenden, wenn:</w:t>
      </w:r>
    </w:p>
    <w:p>
      <w:pPr>
        <w:pStyle w:val="GesAbsatz"/>
        <w:ind w:left="426" w:hanging="426"/>
      </w:pPr>
      <w:r>
        <w:t>a)</w:t>
      </w:r>
      <w:r>
        <w:tab/>
        <w:t>gemäß Absätze 2 und 5 die Baugenehmigungsanträge oder entsprechende Anträge bis zum 10. März 2021 eingereicht wurden;</w:t>
      </w:r>
    </w:p>
    <w:p>
      <w:pPr>
        <w:pStyle w:val="GesAbsatz"/>
        <w:ind w:left="426" w:hanging="426"/>
      </w:pPr>
      <w:r>
        <w:t>b)</w:t>
      </w:r>
      <w:r>
        <w:tab/>
        <w:t>die erforderliche Leitungsinfrastruktur von isolierten Kleinstnetzen abhängig wäre oder die Gebäude in Gebieten in äußerster Randlage im Sinne von Artikel 349 AEUV liegen, wenn diese zu erheblichen Problemen für den Betrieb des lokalen Energiesystems führen und die Stabilität des lokalen Netzes bedrohen würde;</w:t>
      </w:r>
    </w:p>
    <w:p>
      <w:pPr>
        <w:pStyle w:val="GesAbsatz"/>
        <w:ind w:left="426" w:hanging="426"/>
      </w:pPr>
      <w:r>
        <w:t>c)</w:t>
      </w:r>
      <w:r>
        <w:tab/>
        <w:t>die Kosten für die Lade- und Leitungsinstallationen 7 % der Gesamtkosten der größeren Renovierung des Gebäudes übersteigen;</w:t>
      </w:r>
    </w:p>
    <w:p>
      <w:pPr>
        <w:pStyle w:val="GesAbsatz"/>
        <w:ind w:left="426" w:hanging="426"/>
      </w:pPr>
      <w:r>
        <w:t>d)</w:t>
      </w:r>
      <w:r>
        <w:tab/>
        <w:t>ein öffentliches Gebäude gemäß der Umsetzung der Richtlinie 2014/94/EU bereits vergleichbaren Anforderungen unterliegt.</w:t>
      </w:r>
    </w:p>
    <w:p>
      <w:pPr>
        <w:pStyle w:val="GesAbsatz"/>
      </w:pPr>
      <w:r>
        <w:t>(7) Die Mitgliedstaaten sehen unbeschadet des Eigentums- und Mietrechts der Mitgliedstaaten Maßnahmen zur Vereinfachung der Bereitstellung von Ladepunkten in neuen und bestehenden Wohn- und Nichtwohngebäuden vor und gehen etwaige regulatorische Hindernisse, auch in Bezug auf Genehmigungs- und Zulassungsverfahren, an.</w:t>
      </w:r>
    </w:p>
    <w:p>
      <w:pPr>
        <w:pStyle w:val="GesAbsatz"/>
      </w:pPr>
      <w:r>
        <w:t>(8) Die Mitgliedstaaten prüfen die Notwendigkeit kohärenter Strategien für Gebäude, für sanfte und umweltfreundliche Mobilität und für Stadtplanung.</w:t>
      </w:r>
    </w:p>
    <w:p>
      <w:pPr>
        <w:pStyle w:val="GesAbsatz"/>
      </w:pPr>
      <w:r>
        <w:t>(9) Die Mitgliedstaaten stellen sicher, dass bei Installation, Ersetzung oder Modernisierung eines gebäudetechnischen Systems die Gesamtenergieeffizienz des veränderten Teils oder, sofern relevant, des gesamten veränderten Systems bewertet wird. Die Ergebnisse dieser Bewertung werden dokumentiert und an den Eigentümer des Gebäudes übermittelt, sodass sie weiter zur Verfügung stehen und für die Überprüfung der Einhaltung der Mindestanforderungen gemäß Absatz 1 dieses Artikels und die Ausstellung von Ausweisen über die Gesamtenergieeffizienz verwendet werden können. Die Mitgliedstaaten entscheiden unbeschadet des Artikels 12, ob sie die Ausstellung eines neuen Ausweises über die Gesamtenergieeffizienz verlangen.</w:t>
      </w:r>
    </w:p>
    <w:p>
      <w:pPr>
        <w:pStyle w:val="GesAbsatz"/>
      </w:pPr>
      <w:r>
        <w:t>(10) Die Kommission erlässt bis zum 31. Dezember 2019 einen delegierten Rechtsakt gemäß Artikel 23 zur Ergänzung dieser Richtlinie, mit dem ein optionales gemeinsames System der Union zur Bewertung der Intelligenzfähigkeit von Gebäuden eingerichtet wird. Die Bewertung erfolgt auf Grundlage einer Einschätzung der Fähigkeiten eines Gebäudes oder eines Gebäudeteils, den Betrieb an den Bedarf der Bewohner und des Netzes anzupassen und seine Gesamtenergieeffizienz und -leistung zu verbessern.</w:t>
      </w:r>
    </w:p>
    <w:p>
      <w:pPr>
        <w:pStyle w:val="GesAbsatz"/>
      </w:pPr>
      <w:r>
        <w:t>Gemäß Anhang Ia wird das optionale gemeinsame System der Union zur Bewertung der Intelligenzfähigkeit von Gebäuden</w:t>
      </w:r>
    </w:p>
    <w:p>
      <w:pPr>
        <w:pStyle w:val="GesAbsatz"/>
      </w:pPr>
      <w:r>
        <w:t>a)</w:t>
      </w:r>
      <w:r>
        <w:tab/>
        <w:t>die Definition des Intelligenzfähigkeitsindikator und</w:t>
      </w:r>
    </w:p>
    <w:p>
      <w:pPr>
        <w:pStyle w:val="GesAbsatz"/>
      </w:pPr>
      <w:r>
        <w:t>b)</w:t>
      </w:r>
      <w:r>
        <w:tab/>
        <w:t>eine Methode zu seiner Berechnung festlegen.</w:t>
      </w:r>
    </w:p>
    <w:p>
      <w:pPr>
        <w:pStyle w:val="GesAbsatz"/>
      </w:pPr>
      <w:r>
        <w:lastRenderedPageBreak/>
        <w:t>(11) Die Kommission erlässt nach Anhörung der einschlägigen Akteure bis zum 31. Dezember 2019 einen Durchführungsrechtsakt, in dem die technischen Modalitäten für die wirksame Umsetzung des in Absatz 10 dieses Artikels genannten Systems, einschließlich eines Zeitplans für eine unverbindliche Testphase auf nationaler Ebene, festgelegt und die ergänzende Rolle des Systems zu den Ausweisen über die Gesamtenergieeffizienz gemäß Artikel 11 klargestellt werden.</w:t>
      </w:r>
    </w:p>
    <w:p>
      <w:pPr>
        <w:pStyle w:val="GesAbsatz"/>
      </w:pPr>
      <w:r>
        <w:t>Dieser Durchführungsrechtsakt wird nach dem Prüfverfahren gemäß Artikel 26 Absatz 3 erlassen.</w:t>
      </w:r>
    </w:p>
    <w:p>
      <w:pPr>
        <w:pStyle w:val="berschrift2"/>
      </w:pPr>
      <w:bookmarkStart w:id="11" w:name="_Toc519758773"/>
      <w:r>
        <w:t>Artikel 9</w:t>
      </w:r>
      <w:r>
        <w:br/>
        <w:t>Niedrigstenergiegebäude</w:t>
      </w:r>
      <w:bookmarkEnd w:id="11"/>
    </w:p>
    <w:p>
      <w:pPr>
        <w:pStyle w:val="GesAbsatz"/>
      </w:pPr>
      <w:r>
        <w:t>(1) Die Mitgliedstaaten gewährleisten, dass</w:t>
      </w:r>
    </w:p>
    <w:p>
      <w:pPr>
        <w:pStyle w:val="GesAbsatz"/>
      </w:pPr>
      <w:r>
        <w:t>a)</w:t>
      </w:r>
      <w:r>
        <w:tab/>
        <w:t>bis 31. Dezember 2020 alle neuen Gebäude Niedrigstenergiegebäude sind und</w:t>
      </w:r>
    </w:p>
    <w:p>
      <w:pPr>
        <w:pStyle w:val="GesAbsatz"/>
        <w:ind w:left="426" w:hanging="426"/>
      </w:pPr>
      <w:r>
        <w:t>b)</w:t>
      </w:r>
      <w:r>
        <w:tab/>
        <w:t>nach dem 31. Dezember 2018 neue Gebäude, die von Behörden als Eigentümer genutzt werden, Niedrigstenergiegebäude sind.</w:t>
      </w:r>
    </w:p>
    <w:p>
      <w:pPr>
        <w:pStyle w:val="GesAbsatz"/>
      </w:pPr>
      <w:r>
        <w:t>Die Mitgliedstaaten erstellen nationale Pläne zur Erhöhung der Zahl der Niedrigstenergiegebäude. Diese nationalen Pläne können nach Gebäudekategorien differenzierte Zielvorgaben enthalten.</w:t>
      </w:r>
    </w:p>
    <w:p>
      <w:pPr>
        <w:pStyle w:val="GesAbsatz"/>
      </w:pPr>
      <w:r>
        <w:t>(2) Des Weiteren legen die Mitgliedstaaten unter Berücksichtigung der Vorreiterrolle der öffentlichen Hand Strategien fest und ergreifen Maßnahmen wie beispielsweise die Festlegung von Zielen, um Anreize für den Umbau von Gebäuden, die saniert werden, zu Niedrigstenergiegebäuden zu vermitteln; hierüber unterrichten sie die Kommission in den in Absatz 1 genannten nationalen Plänen.</w:t>
      </w:r>
    </w:p>
    <w:p>
      <w:pPr>
        <w:pStyle w:val="GesAbsatz"/>
      </w:pPr>
      <w:r>
        <w:t>(3) Die nationalen Pläne enthalten unter anderem folgende Angaben:</w:t>
      </w:r>
    </w:p>
    <w:p>
      <w:pPr>
        <w:pStyle w:val="GesAbsatz"/>
        <w:ind w:left="426" w:hanging="426"/>
      </w:pPr>
      <w:r>
        <w:t>a)</w:t>
      </w:r>
      <w:r>
        <w:tab/>
        <w:t>eine ausführliche Darlegung der praktischen Umsetzung der Definition der Niedrigstenergiegebäude durch die Mitgliedstaaten, in der die nationalen, regionalen oder lokalen Gegebenheiten erläutert werden, einschließlich eines numerischen Indikators für den Primärenergieverbrauch in kWh/m² pro Jahr. Die für die Bestimmung des Primärenenergieverbrauchs verwendeten Primärenergiefaktoren können auf nationalen oder regionalen Jahresdurchschnittswerten beruhen und den einschlägigen europäischen Normen Rechnung tragen.</w:t>
      </w:r>
    </w:p>
    <w:p>
      <w:pPr>
        <w:pStyle w:val="GesAbsatz"/>
        <w:ind w:left="426" w:hanging="426"/>
      </w:pPr>
      <w:r>
        <w:t>b)</w:t>
      </w:r>
      <w:r>
        <w:tab/>
        <w:t>Zwischenziele für die Verbesserung der Gesamtenergieeffizienz neuer Gebäude für 2015 im Hinblick auf die Vorbereitung der Anwendung des Absatzes 1;</w:t>
      </w:r>
    </w:p>
    <w:p>
      <w:pPr>
        <w:pStyle w:val="GesAbsatz"/>
        <w:ind w:left="426" w:hanging="426"/>
      </w:pPr>
      <w:r>
        <w:t>c)</w:t>
      </w:r>
      <w:r>
        <w:tab/>
        <w:t>Informationen über die Strategien sowie über die finanziellen oder sonstigen Maßnahmen, die im Rahmen der Absätze 1 und 2 zur Förderung von Niedrigstenergiegebäuden angenommen wurden, einschließlich der Einzelheiten der im Rahmen des Artikels 13 Absatz 4 der Richtlinie 2009/28/EG und der Artikel 6 und 7 der vorliegenden Richtlinie festgelegten nationalen Anforderungen und Maßnahmen betreffend die Nutzung von Energie aus erneuerbaren Quellen in neuen Gebäuden und in bestehenden Gebäuden, die einer größeren Renovierung unterzogen werden.</w:t>
      </w:r>
    </w:p>
    <w:p>
      <w:pPr>
        <w:pStyle w:val="GesAbsatz"/>
      </w:pPr>
      <w:r>
        <w:t>(4) Die Kommission evaluiert die in Absatz 1 genannten nationalen Pläne insbesondere im Hinblick auf die Angemessenheit der von den Mitgliedstaaten zur Verwirklichung der Ziele dieser Richtlinie geplanten Maßnahmen. Sie kann unter gebührender Berücksichtigung des Subsidiaritätsprinzips um weitere gezielte Informationen zu den in den Absätzen 1, 2 und 3 genannten Anforderungen ersuchen. In diesem Fall legt der betreffende Mitgliedstaat innerhalb von neun Monaten ab dem Ersuchen der Kommission die angeforderten Informationen vor oder schlägt Änderungen vor. Die Kommission kann im Anschluss an die Evaluierung eine Empfehlung aussprechen.</w:t>
      </w:r>
    </w:p>
    <w:p>
      <w:pPr>
        <w:pStyle w:val="GesAbsatz"/>
      </w:pPr>
      <w:r>
        <w:t>(5) Als Teil des Berichts über die Lage der Energieunion gemäß Artikel 35 der Verordnung (EU) 2018/1999 berichtet die Kommission alle vier Jahre dem Europäischen Parlament und dem Rat über die Fortschritte der Mitgliedstaaten bei der Erhöhung der Zahl von Niedrigstenergiegebäuden. Auf der Grundlage dieser übermittelten Informationen erarbeitet die Kommission erforderlichenfalls einen Aktionsplan und schlägt erforderlichenfalls Empfehlungen und Maßnahmen gemäß Artikel 34 der Verordnung (EU) 2018/1999 zur Erhöhung der Zahl dieser Gebäude vor und setzt sich für bewährte Verfahren für den kosteneffizienten Umbau bestehender Gebäude in Niedrigstenergiegebäude ein.</w:t>
      </w:r>
    </w:p>
    <w:p>
      <w:pPr>
        <w:pStyle w:val="GesAbsatz"/>
      </w:pPr>
      <w:r>
        <w:t>(6) Die Mitgliedstaaten können beschließen, in besonderen und begründeten Fällen, in denen die Kosten-Nutzen-Analyse über die wirtschaftliche Lebensdauer des betreffenden Gebäudes negativ ausfällt, die in Absatz 1 Buchstaben a und b dargelegten Anforderungen nicht anzuwenden. Die Mitgliedstaaten unterrichten die Kommission über die Grundsätze der betreffenden gesetzlichen Regelungen.</w:t>
      </w:r>
    </w:p>
    <w:p>
      <w:pPr>
        <w:pStyle w:val="berschrift2"/>
      </w:pPr>
      <w:bookmarkStart w:id="12" w:name="_Toc519758774"/>
      <w:r>
        <w:lastRenderedPageBreak/>
        <w:t>Artikel 10</w:t>
      </w:r>
      <w:r>
        <w:br/>
        <w:t>Finanzielle Anreize und Marktschranken</w:t>
      </w:r>
      <w:bookmarkEnd w:id="12"/>
    </w:p>
    <w:p>
      <w:pPr>
        <w:pStyle w:val="GesAbsatz"/>
      </w:pPr>
      <w:r>
        <w:t>(1) Angesichts der Bedeutung angemessener Finanzierungsinstrumente und sonstiger Instrumente zur Beschleunigung einer besseren Gesamtenergieeffizienz von Gebäuden und des Umbaus von Gebäuden zu Niedrigstenergiegebäuden ergreifen die Mitgliedstaaten angemessene Schritte, um die in Anbetracht der nationalen Gegebenheiten zweckdienlichsten dieser Instrumente in Betracht zu ziehen.</w:t>
      </w:r>
    </w:p>
    <w:p>
      <w:pPr>
        <w:pStyle w:val="GesAbsatz"/>
      </w:pPr>
      <w:r>
        <w:t>(2) (gestrichen)</w:t>
      </w:r>
    </w:p>
    <w:p>
      <w:pPr>
        <w:pStyle w:val="GesAbsatz"/>
      </w:pPr>
      <w:r>
        <w:t>(3) (gestrichen)</w:t>
      </w:r>
    </w:p>
    <w:p>
      <w:pPr>
        <w:pStyle w:val="GesAbsatz"/>
      </w:pPr>
      <w:r>
        <w:t>(4) Die Kommission unterstützt gegebenenfalls auf Anfrage die Mitgliedstaaten bei der Aufstellung nationaler oder regionaler Finanzhilfeprogramme zur Erhöhung der Gesamtenergieeffizienz von Gebäuden, insbesondere von bestehenden Gebäuden, indem sie insbesondere den Austausch bewährter Verfahren zwischen den zuständigen nationalen oder regionalen Behörden bzw. Stellen unterstützt.</w:t>
      </w:r>
    </w:p>
    <w:p>
      <w:pPr>
        <w:pStyle w:val="GesAbsatz"/>
      </w:pPr>
      <w:r>
        <w:t>(5) Zur Verbesserung der Finanzierung zugunsten der Umsetzung dieser Richtlinie legt die Kommission unter gebührender Berücksichtigung des Subsidiaritätsprinzips - vorzugsweise bis 2011 - eine Analyse insbesondere der folgenden Aspekte vor:</w:t>
      </w:r>
    </w:p>
    <w:p>
      <w:pPr>
        <w:pStyle w:val="GesAbsatz"/>
        <w:ind w:left="426" w:hanging="426"/>
      </w:pPr>
      <w:r>
        <w:t>a)</w:t>
      </w:r>
      <w:r>
        <w:tab/>
        <w:t>Wirksamkeit, Angemessenheit der Höhe und tatsächlich verwendeter Betrag der zur Erhöhung der Gesamtenergieeffizienz von Gebäuden, insbesondere Wohngebäuden, aufgewendeten Mittel der Strukturfonds und Rahmenprogramme;</w:t>
      </w:r>
    </w:p>
    <w:p>
      <w:pPr>
        <w:pStyle w:val="GesAbsatz"/>
        <w:ind w:left="426" w:hanging="426"/>
      </w:pPr>
      <w:r>
        <w:t>b)</w:t>
      </w:r>
      <w:r>
        <w:tab/>
        <w:t>Wirksamkeit der Verwendung von Mitteln der EIB und anderer öffentlicher Finanzinstitutionen;</w:t>
      </w:r>
    </w:p>
    <w:p>
      <w:pPr>
        <w:pStyle w:val="GesAbsatz"/>
        <w:ind w:left="426" w:hanging="426"/>
      </w:pPr>
      <w:r>
        <w:t>c)</w:t>
      </w:r>
      <w:r>
        <w:tab/>
        <w:t>Koordinierung der Unionsmittel sowie der nationalen Finanzierung und anderer Unterstützungsformen, die als Instrument zur Stimulierung der Investitionen in die Energieeffizienz wirken können, und Angemessenheit dieser Mittel im Hinblick auf die Verwirklichung der Ziele der Union.</w:t>
      </w:r>
    </w:p>
    <w:p>
      <w:pPr>
        <w:pStyle w:val="GesAbsatz"/>
      </w:pPr>
      <w:r>
        <w:t>Auf der Grundlage dieser Analyse kann die Kommission im Einklang mit dem mehrjährigen Finanzrahmen anschließend dem Europäischen Parlament und dem Rat Vorschläge in Bezug auf Unionsinstrumente unterbreiten, wenn sie dies für angezeigt hält.</w:t>
      </w:r>
    </w:p>
    <w:p>
      <w:pPr>
        <w:pStyle w:val="GesAbsatz"/>
      </w:pPr>
      <w:r>
        <w:t>(6) Die Mitgliedstaaten machen ihre auf Energieeffizienzverbesserungen abzielenden finanziellen Maßnahmen im Rahmen der Renovierung von Gebäuden von den angestrebten oder erzielten Energieeinsparungen abhängig, die durch eines oder mehrere der folgenden Kriterien bestimmt werden:</w:t>
      </w:r>
    </w:p>
    <w:p>
      <w:pPr>
        <w:pStyle w:val="GesAbsatz"/>
        <w:ind w:left="426" w:hanging="426"/>
      </w:pPr>
      <w:r>
        <w:t>a)</w:t>
      </w:r>
      <w:r>
        <w:tab/>
        <w:t>die Energieeffizienz der Ausrüstung oder des Materials für die Renovierung; in diesem Fall muss die Ausrüstung oder das Material für die Renovierung von einem Installateur mit entsprechendem Zertifizierungs- oder Qualifikationsniveau installiert werden;</w:t>
      </w:r>
    </w:p>
    <w:p>
      <w:pPr>
        <w:pStyle w:val="GesAbsatz"/>
        <w:ind w:left="426" w:hanging="426"/>
      </w:pPr>
      <w:r>
        <w:t>b)</w:t>
      </w:r>
      <w:r>
        <w:tab/>
        <w:t>Standardwerte für die Berechnung von Energieeinsparungen in Gebäuden;</w:t>
      </w:r>
    </w:p>
    <w:p>
      <w:pPr>
        <w:pStyle w:val="GesAbsatz"/>
        <w:ind w:left="426" w:hanging="426"/>
      </w:pPr>
      <w:r>
        <w:t>c)</w:t>
      </w:r>
      <w:r>
        <w:tab/>
        <w:t>die durch eine solche Renovierung erzielte Verbesserung, die aus dem Vergleich der vor und nach der Renovierung ausgestellten Ausweise über die Gesamtenergieeffizienz hervorgeht;</w:t>
      </w:r>
    </w:p>
    <w:p>
      <w:pPr>
        <w:pStyle w:val="GesAbsatz"/>
        <w:ind w:left="426" w:hanging="426"/>
      </w:pPr>
      <w:r>
        <w:t>d)</w:t>
      </w:r>
      <w:r>
        <w:tab/>
        <w:t>die Ergebnisse eines Energieaudits;</w:t>
      </w:r>
    </w:p>
    <w:p>
      <w:pPr>
        <w:pStyle w:val="GesAbsatz"/>
        <w:ind w:left="426" w:hanging="426"/>
      </w:pPr>
      <w:r>
        <w:t>e)</w:t>
      </w:r>
      <w:r>
        <w:tab/>
        <w:t>die Ergebnisse einer anderen einschlägigen, transparenten und verhältnismäßigen Methode, welche die Verbesserung der Energieeffizienz erkennen lässt.</w:t>
      </w:r>
    </w:p>
    <w:p>
      <w:pPr>
        <w:pStyle w:val="GesAbsatz"/>
      </w:pPr>
      <w:r>
        <w:t>(6a) Datenbanken für Ausweise über die Gesamtenergieeffizienz erlauben die Sammlung von Daten über den gemessenen oder berechneten Energieverbrauch der erfassten Gebäude einschließlich mindestens der öffentlichen Gebäude, für die ein Ausweis über die Gesamtenergieeffizienz, im Sinne von Artikel 13, gemäß Artikel 12 ausgestellt wurde.</w:t>
      </w:r>
    </w:p>
    <w:p>
      <w:pPr>
        <w:pStyle w:val="GesAbsatz"/>
      </w:pPr>
      <w:r>
        <w:t>(6b) Zumindest die aggregierten anonymisierten Daten, die den Datenschutzanforderungen der Union und der Mitgliedstaaten entsprechen, werden auf Antrag für statistische Zwecke oder Forschungszwecke und dem Eigentümer des Gebäudes zur Verfügung gestellt.</w:t>
      </w:r>
    </w:p>
    <w:p>
      <w:pPr>
        <w:pStyle w:val="GesAbsatz"/>
      </w:pPr>
      <w:r>
        <w:t>(7) Die Mitgliedstaaten werden durch diese Richtlinie nicht daran gehindert, Anreize für neue Gebäude, Renovierungsarbeiten oder Gebäudekomponenten, die über die kostenoptimalen Niveaus hinausgehen, bereitzustellen.</w:t>
      </w:r>
    </w:p>
    <w:p>
      <w:pPr>
        <w:pStyle w:val="berschrift2"/>
      </w:pPr>
      <w:bookmarkStart w:id="13" w:name="_Toc519758775"/>
      <w:r>
        <w:t>Artikel 11</w:t>
      </w:r>
      <w:r>
        <w:br/>
        <w:t>Ausweise über die Gesamtenergieeffizienz</w:t>
      </w:r>
      <w:bookmarkEnd w:id="13"/>
    </w:p>
    <w:p>
      <w:pPr>
        <w:pStyle w:val="GesAbsatz"/>
      </w:pPr>
      <w:r>
        <w:t xml:space="preserve">(1) Die Mitgliedstaaten legen die erforderlichen Maßnahmen fest, um ein System für die Erstellung von Ausweisen über die Gesamtenergieeffizienz von Gebäuden einzurichten. Der Ausweis über die Gesamtenergieeffizienz muss die Gesamtenergieeffizienz von Gebäuden und Referenzwerte wie Mindestanforderungen an </w:t>
      </w:r>
      <w:r>
        <w:lastRenderedPageBreak/>
        <w:t>die Gesamtenergieeffizienz enthalten, um den Eigentümern oder Mietern von Gebäuden oder Gebäudeteilen einen Vergleich und eine Beurteilung ihrer Gesamtenergieeffizienz zu ermöglichen.</w:t>
      </w:r>
    </w:p>
    <w:p>
      <w:pPr>
        <w:pStyle w:val="GesAbsatz"/>
      </w:pPr>
      <w:r>
        <w:t>Der Ausweis über die Gesamtenergieeffizienz kann zusätzliche Angaben wie den Jahresenergieverbrauch von Nichtwohngebäuden und den Prozentanteil der Energie aus erneuerbaren Quellen am Gesamtenergieverbrauch enthalten.</w:t>
      </w:r>
    </w:p>
    <w:p>
      <w:pPr>
        <w:pStyle w:val="GesAbsatz"/>
      </w:pPr>
      <w:r>
        <w:t>(2) Der Ausweis über die Gesamtenergieeffizienz muss Empfehlungen für die kostenoptimale oder kosteneffiziente Verbesserung der Gesamtenergieeffizienz des Gebäudes oder Gebäudeteils enthalten, es sei denn, es gibt kein vernünftiges Potenzial für derartige Verbesserungen gegenüber den geltenden Anforderungen an die Gesamtenergieeffizienz.</w:t>
      </w:r>
    </w:p>
    <w:p>
      <w:pPr>
        <w:pStyle w:val="GesAbsatz"/>
      </w:pPr>
      <w:r>
        <w:t>Die in dem Ausweis über die Gesamtenergieeffizienz enthaltenen Empfehlungen beziehen sich auf</w:t>
      </w:r>
    </w:p>
    <w:p>
      <w:pPr>
        <w:pStyle w:val="GesAbsatz"/>
        <w:ind w:left="426" w:hanging="426"/>
      </w:pPr>
      <w:r>
        <w:t>a)</w:t>
      </w:r>
      <w:r>
        <w:tab/>
        <w:t>Maßnahmen im Zusammenhang mit einer größeren Renovierung der Gebäudehülle oder gebäudetechnischer Systeme und</w:t>
      </w:r>
    </w:p>
    <w:p>
      <w:pPr>
        <w:pStyle w:val="GesAbsatz"/>
        <w:ind w:left="426" w:hanging="426"/>
      </w:pPr>
      <w:r>
        <w:t>b)</w:t>
      </w:r>
      <w:r>
        <w:tab/>
        <w:t>Maßnahmen für einzelne Gebäudekomponenten, die unabhängig von einer größeren Renovierung der Gebäudehülle oder gebäudetechnischer Systeme durchgeführt werden.</w:t>
      </w:r>
    </w:p>
    <w:p>
      <w:pPr>
        <w:pStyle w:val="GesAbsatz"/>
      </w:pPr>
      <w:r>
        <w:t>(3) Die in dem Ausweis über die Gesamtenergieeffizienz enthaltenen Empfehlungen müssen an dem betreffenden Gebäude technisch realisierbar sein und können eine Schätzung der Amortisationszeiträume oder der Kostenvorteile während der wirtschaftlichen Lebensdauer enthalten.</w:t>
      </w:r>
    </w:p>
    <w:p>
      <w:pPr>
        <w:pStyle w:val="GesAbsatz"/>
      </w:pPr>
      <w:r>
        <w:t>(4) Der Ausweis über die Gesamtenergieeffizienz enthält einen Hinweis darauf, wo der Eigentümer oder der Mieter genauere Angaben, auch zu der Kosteneffizienz der in dem Ausweis über die Gesamtenergieeffizienz enthaltenen Empfehlungen, erhalten kann. Die Kosteneffizienz wird anhand einer Reihe von Standardbedingungen bestimmt, wie einer Bewertung der Energieeinsparungen, der zugrunde liegenden Energiepreise und einer vorläufigen Kostenschätzung. Zudem enthält der Ausweis Informationen über die zur Umsetzung der Empfehlungen zu unternehmenden Schritte. Dem Eigentümer oder Mieter können auch weitere Informationen zu verwandten Aspekten wie Energieaudits oder Anreize finanzieller oder anderer Art oder Finanzierungsmöglichkeiten gegeben werden.</w:t>
      </w:r>
    </w:p>
    <w:p>
      <w:pPr>
        <w:pStyle w:val="GesAbsatz"/>
      </w:pPr>
      <w:r>
        <w:t>(5) Die Mitgliedstaaten regen vorbehaltlich der innerstaatlichen Rechtsvorschriften die Behörden dazu an, der Vorreiterrolle, die sie auf dem Gebiet der Gesamtenergieeffizienz von Gebäuden einnehmen sollten, unter anderem dadurch gerecht zu werden, dass sie innerhalb der Geltungsdauer des Ausweises über die Gesamtenergieeffizienz der Gebäude, deren Eigentümer sie sind, den im Ausweis enthaltenen Empfehlungen nachkommen.</w:t>
      </w:r>
    </w:p>
    <w:p>
      <w:pPr>
        <w:pStyle w:val="GesAbsatz"/>
      </w:pPr>
      <w:r>
        <w:t>(6) Für Gebäudeteile kann der Energieausweis ausgestellt werden</w:t>
      </w:r>
    </w:p>
    <w:p>
      <w:pPr>
        <w:pStyle w:val="GesAbsatz"/>
      </w:pPr>
      <w:r>
        <w:t>a)</w:t>
      </w:r>
      <w:r>
        <w:tab/>
        <w:t>auf der Grundlage eines gemeinsamen Energieausweises für das gesamte Gebäude oder</w:t>
      </w:r>
    </w:p>
    <w:p>
      <w:pPr>
        <w:pStyle w:val="GesAbsatz"/>
        <w:ind w:left="426" w:hanging="426"/>
      </w:pPr>
      <w:r>
        <w:t>b)</w:t>
      </w:r>
      <w:r>
        <w:tab/>
        <w:t>auf der Grundlage der Bewertung eines anderen vergleichbaren Gebäudeteils mit den gleichen energiebezogenen Merkmalen in demselben Gebäude.</w:t>
      </w:r>
    </w:p>
    <w:p>
      <w:pPr>
        <w:pStyle w:val="GesAbsatz"/>
      </w:pPr>
      <w:r>
        <w:t>(7) Für Einfamilienhäuser kann der Energieausweis auf der Grundlage der Bewertung eines anderen repräsentativen Gebäudes von ähnlicher Gestaltung, Größe und tatsächlicher Energieeffizienz ausgestellt werden, sofern diese Ähnlichkeit von dem Sachverständigen, der den Ausweis über die Gesamtenergieeffizienz ausstellt, garantiert werden kann.</w:t>
      </w:r>
    </w:p>
    <w:p>
      <w:pPr>
        <w:pStyle w:val="GesAbsatz"/>
      </w:pPr>
      <w:r>
        <w:t>(8) Die Gültigkeitsdauer des Ausweises über die Gesamtenergieeffizienz darf zehn Jahre nicht überschreiten.</w:t>
      </w:r>
    </w:p>
    <w:p>
      <w:pPr>
        <w:pStyle w:val="GesAbsatz"/>
      </w:pPr>
      <w:r>
        <w:t>(9) Die Kommission nimmt bis 2011 im Benehmen mit den einschlägigen Sektoren ein freiwilliges gemeinsames System der Europäischen Union für Ausweise über die Gesamtenergieeffizienz von Nichtwohngebäuden an. Diese Maßnahme wird nach dem Beratungsverfahren des Artikels 26 Absatz 2 angenommen. Die Mitgliedstaaten werden aufgerufen, das System anzuerkennen oder zu verwenden oder unter Anpassung an die nationalen Gegebenheiten teilweise zu verwenden.</w:t>
      </w:r>
    </w:p>
    <w:p>
      <w:pPr>
        <w:pStyle w:val="berschrift2"/>
      </w:pPr>
      <w:bookmarkStart w:id="14" w:name="_Toc519758776"/>
      <w:r>
        <w:t>Artikel 12</w:t>
      </w:r>
      <w:r>
        <w:br/>
        <w:t>Ausstellung von Ausweisen über die Gesamtenergieeffizienz</w:t>
      </w:r>
      <w:bookmarkEnd w:id="14"/>
    </w:p>
    <w:p>
      <w:pPr>
        <w:pStyle w:val="GesAbsatz"/>
      </w:pPr>
      <w:r>
        <w:t>(1) Die Mitgliedstaaten stellen sicher, dass ein Ausweis über die Gesamtenergieeffizienz ausgestellt wird für</w:t>
      </w:r>
    </w:p>
    <w:p>
      <w:pPr>
        <w:pStyle w:val="GesAbsatz"/>
      </w:pPr>
      <w:r>
        <w:t>a)</w:t>
      </w:r>
      <w:r>
        <w:tab/>
        <w:t>Gebäude oder Gebäudeteile, die gebaut, verkauft oder an einen neuen Mieter vermietet werden, sowie</w:t>
      </w:r>
    </w:p>
    <w:p>
      <w:pPr>
        <w:pStyle w:val="GesAbsatz"/>
        <w:ind w:left="426" w:hanging="426"/>
      </w:pPr>
      <w:r>
        <w:t>b)</w:t>
      </w:r>
      <w:r>
        <w:tab/>
        <w:t>Gebäude, in denen mehr als 500 m² Gesamtnutzfläche von Behörden genutzt werden und die starken Publikumsverkehr aufweisen. Am 9. Juli 2015 wird dieser Schwellenwert von 500 m² auf 250 m² gesenkt.</w:t>
      </w:r>
    </w:p>
    <w:p>
      <w:pPr>
        <w:pStyle w:val="GesAbsatz"/>
      </w:pPr>
      <w:r>
        <w:t xml:space="preserve">Die Verpflichtung zur Ausstellung eines Ausweises über die Gesamtenergieeffizienz gilt nicht, wenn ein im Einklang entweder mit der Richtlinie 2002/91/EG oder mit der vorliegenden Richtlinie ausgestellter gültiger </w:t>
      </w:r>
      <w:r>
        <w:lastRenderedPageBreak/>
        <w:t>Ausweis über die Gesamtenergieeffizienz des betreffenden Gebäudes oder des betreffenden Gebäudeteils vorliegt.</w:t>
      </w:r>
    </w:p>
    <w:p>
      <w:pPr>
        <w:pStyle w:val="GesAbsatz"/>
      </w:pPr>
      <w:r>
        <w:t>(2) Die Mitgliedstaaten schreiben vor, dass bei Bau, Verkauf oder Vermietung von Gebäuden oder Gebäudeteilen der Ausweis über die Gesamtenergieeffizienz oder eine Kopie dieses Ausweises dem potenziellen neuen Mieter oder Käufer vorgelegt und dem neuen Mieter oder Käufer ausgehändigt wird.</w:t>
      </w:r>
    </w:p>
    <w:p>
      <w:pPr>
        <w:pStyle w:val="GesAbsatz"/>
      </w:pPr>
      <w:r>
        <w:t>(3) Wird ein Gebäude vor dem Bau verkauft oder vermietet, so können die Mitgliedstaaten abweichend von den Absätzen 1 und 2 verlangen, dass der Verkäufer eine Einschätzung der künftigen Gesamtenergieeffizienz des Gebäudes zur Verfügung stellt; in diesem Fall wird der Ausweis über die Gesamtenergieeffizienz spätestens dann ausgestellt, wenn der Bau des Gebäudes abgeschlossen ist.</w:t>
      </w:r>
    </w:p>
    <w:p>
      <w:pPr>
        <w:pStyle w:val="GesAbsatz"/>
      </w:pPr>
      <w:r>
        <w:t>(4) Die Mitgliedstaaten verlangen, dass bei Verkauf oder Vermietung von</w:t>
      </w:r>
    </w:p>
    <w:p>
      <w:pPr>
        <w:pStyle w:val="GesAbsatz"/>
      </w:pPr>
      <w:r>
        <w:t>-</w:t>
      </w:r>
      <w:r>
        <w:tab/>
        <w:t>Gebäuden, für die ein Ausweis über die Gesamtenergieeffizienz vorliegt,</w:t>
      </w:r>
    </w:p>
    <w:p>
      <w:pPr>
        <w:pStyle w:val="GesAbsatz"/>
      </w:pPr>
      <w:r>
        <w:t>-</w:t>
      </w:r>
      <w:r>
        <w:tab/>
        <w:t>Gebäudeteilen in einem Gebäude, für das ein Ausweis über die Gesamtenergieeffizienz vorliegt und</w:t>
      </w:r>
    </w:p>
    <w:p>
      <w:pPr>
        <w:pStyle w:val="GesAbsatz"/>
      </w:pPr>
      <w:r>
        <w:t>-</w:t>
      </w:r>
      <w:r>
        <w:tab/>
        <w:t>Gebäudeteilen, für die ein Ausweis über die Gesamtenergieeffizienz vorliegt,</w:t>
      </w:r>
    </w:p>
    <w:p>
      <w:pPr>
        <w:pStyle w:val="GesAbsatz"/>
      </w:pPr>
      <w:r>
        <w:t>in den Verkaufs- oder Vermietungsanzeigen in den kommerziellen Medien der in dem Ausweis über die Gesamtenergieeffizienz des Gebäudes bzw. des Gebäudeteils angegebene Indikator der Gesamtenergieeffizienz genannt wird.</w:t>
      </w:r>
    </w:p>
    <w:p>
      <w:pPr>
        <w:pStyle w:val="GesAbsatz"/>
      </w:pPr>
      <w:r>
        <w:t>(5) Dieser Artikel wird im Einklang mit den geltenden innerstaatlichen Rechtsvorschriften über gemeinschaftliches Eigentum oder über Gesamteigentum angewandt.</w:t>
      </w:r>
    </w:p>
    <w:p>
      <w:pPr>
        <w:pStyle w:val="GesAbsatz"/>
      </w:pPr>
      <w:r>
        <w:t>(6) Die Mitgliedstaaten können die in Artikel 4 Absatz 2 genannten Gebäudekategorien von der Anwendung der Absätze 1, 2, 4 und 5 des vorliegenden Artikels ausnehmen.</w:t>
      </w:r>
    </w:p>
    <w:p>
      <w:pPr>
        <w:pStyle w:val="GesAbsatz"/>
      </w:pPr>
      <w:r>
        <w:t>(7) Mögliche Rechtswirkungen der Ausweise über die Gesamtenergieeffizienz bei etwaigen Rechtsstreitigkeiten bestimmen sich nach den nationalen Rechtsvorschriften.</w:t>
      </w:r>
    </w:p>
    <w:p>
      <w:pPr>
        <w:pStyle w:val="berschrift2"/>
      </w:pPr>
      <w:bookmarkStart w:id="15" w:name="_Toc519758777"/>
      <w:r>
        <w:t>Artikel 13</w:t>
      </w:r>
      <w:r>
        <w:br/>
        <w:t>Aushang von Ausweisen über die Gesamtenergieeffizienz</w:t>
      </w:r>
      <w:bookmarkEnd w:id="15"/>
    </w:p>
    <w:p>
      <w:pPr>
        <w:pStyle w:val="GesAbsatz"/>
      </w:pPr>
      <w:r>
        <w:t>(1) Die Mitgliedstaaten ergreifen Maßnahmen, um sicherzustellen, dass bei Gebäuden, für die ein Ausweis über die Gesamtenergieeffizienz nach Artikel 12 Absatz 1 ausgestellt worden ist und in denen mehr als 500 m² Gesamtnutzfläche von Behörden genutzt werden und die starken Publikumsverkehr aufweisen, der Ausweis über die Gesamtenergieeffizienz an einer für die Öffentlichkeit gut sichtbaren Stelle angebracht wird.</w:t>
      </w:r>
    </w:p>
    <w:p>
      <w:pPr>
        <w:pStyle w:val="GesAbsatz"/>
      </w:pPr>
      <w:r>
        <w:t>Am 9. Juli 2015 wird dieser Schwellenwert von 500 m² auf 250 m² gesenkt.</w:t>
      </w:r>
    </w:p>
    <w:p>
      <w:pPr>
        <w:pStyle w:val="GesAbsatz"/>
      </w:pPr>
      <w:r>
        <w:t>(2) Die Mitgliedstaaten verlangen, dass bei Gebäuden, für die gemäß Artikel 12 Absatz 1 ein Ausweis über die Gesamtenergieeffizienz ausgestellt wurde und in denen mehr als 500 m² Gesamtnutzfläche starken Publikumsverkehr aufweisen, ein Ausweis über die Gesamtenergieeffizienz an einer für die Öffentlichkeit gut sichtbaren Stelle angebracht wird.</w:t>
      </w:r>
    </w:p>
    <w:p>
      <w:pPr>
        <w:pStyle w:val="GesAbsatz"/>
      </w:pPr>
      <w:r>
        <w:t>(3) Dieser Artikel enthält keine Verpflichtung zum Aushang der im Ausweis über die Gesamtenergieeffizienz enthaltenen Empfehlungen.</w:t>
      </w:r>
    </w:p>
    <w:p>
      <w:pPr>
        <w:pStyle w:val="berschrift2"/>
      </w:pPr>
      <w:bookmarkStart w:id="16" w:name="_Toc519758778"/>
      <w:r>
        <w:t>Artikel 14</w:t>
      </w:r>
      <w:r>
        <w:br/>
        <w:t>Inspektion von Heizungsanlagen</w:t>
      </w:r>
      <w:bookmarkEnd w:id="16"/>
    </w:p>
    <w:p>
      <w:pPr>
        <w:pStyle w:val="GesAbsatz"/>
      </w:pPr>
      <w:r>
        <w:t>(1) Die Mitgliedstaaten ergreifen die erforderlichen Maßnahmen, um regelmäßige Inspektionen der zugänglichen Teile von Heizungsanlagen oder kombinierten Raumheizungs- und Lüftungsanlagen mit einer Nennleistung von mehr als 70 kW, beispielsweise Wärmeerzeuger, Steuerungssystem und Umwälzpumpe(n), die zur Gebäudeheizung verwendet werden, zu gewährleisten. Die Inspektion umfasst auch die Prüfung des Wirkungsgrads und der Dimensionierung des Wärmeerzeugers im Verhältnis zum Heizbedarf des Gebäudes und berücksichtigt gegebenenfalls die Fähigkeit der Heizungsanlage oder der kombinierten Raumheizungs- und Lüftungsanlage, ihre Leistung unter typischen oder durchschnittlichen Betriebsbedingungen zu optimieren.</w:t>
      </w:r>
    </w:p>
    <w:p>
      <w:pPr>
        <w:pStyle w:val="GesAbsatz"/>
      </w:pPr>
      <w:r>
        <w:t>Wenn an der Heizungsanlage oder der kombinierten Raumheizungs- und Lüftungsanlage keine Änderungen vorgenommen wurden oder in Bezug auf den Wärmebedarf des Gebäudes keine Änderungen eingetreten sind, nachdem eine Inspektion gemäß dieses Absatzes durchgeführt wurde, können die Mitgliedstaaten beschließen, eine wiederholte Prüfung der Dimensionierung des Wärmeerzeugers nicht zu verlangen.</w:t>
      </w:r>
    </w:p>
    <w:p>
      <w:pPr>
        <w:pStyle w:val="GesAbsatz"/>
      </w:pPr>
      <w:r>
        <w:t xml:space="preserve">(2) Gebäudetechnische Systeme, die ausdrücklich unter ein vereinbartes Kriterium für die Gesamtenergieeffizienz oder eine vertragliche Abmachung mit einem vereinbarten Niveau der Energieeffizienzverbesserung wie Energieleistungsverträge fallen oder die von einem Versorgungsunternehmen oder einem Netzbetreiber betrieben werden und demnach systemseitigen Maßnahmen zur Überwachung der Effizienz unterliegen, sind </w:t>
      </w:r>
      <w:r>
        <w:lastRenderedPageBreak/>
        <w:t>von den Anforderungen gemäß Absatz 1 ausgenommen, falls die Gesamtauswirkungen eines solchen Ansatzes denen, die bei Anwendung von Absatz 1 entstehen, gleichwertig sind.</w:t>
      </w:r>
    </w:p>
    <w:p>
      <w:pPr>
        <w:pStyle w:val="GesAbsatz"/>
      </w:pPr>
      <w:r>
        <w:t>(3) Alternativ zu Absatz 1 und falls die Gesamtauswirkungen eines solchen Ansatzes denen, die bei Anwendung von Absatz 1 entstehen, gleichwertig sind, können die Mitgliedstaaten Maßnahmen beschließen, um sicherzustellen, dass die Nutzer Ratschläge zum Austausch der Wärmeerzeuger, zu sonstigen Veränderungen an der Heizungsanlage oder der kombinierten Raumheizungs- und Lüftungsanlage und zu Alternativlösungen erhalten, um den Wirkungsgrad und die Zweckmäßigkeit der Dimensionierung dieser Anlagen zu beurteilen.</w:t>
      </w:r>
    </w:p>
    <w:p>
      <w:pPr>
        <w:pStyle w:val="GesAbsatz"/>
      </w:pPr>
      <w:r>
        <w:t>Ehe die Mitgliedstaaten die in Unterabsatz 1 dieses Absatzes genannten alternativen Maßnahmen anwenden, belegt jeder Mitgliedstaat in einem Bericht an die Kommission die Gleichwertigkeit der Auswirkungen dieser Maßnahmen mit den Auswirkungen der in Absatz 1 genannten Maßnahmen.</w:t>
      </w:r>
    </w:p>
    <w:p>
      <w:pPr>
        <w:pStyle w:val="GesAbsatz"/>
      </w:pPr>
      <w:r>
        <w:t>Dieser Bericht wird der Kommission als Teil der in Artikel 3 der Verordnung (EU) 2018/1999 genannten integrierten nationalen Energie- und Klimapläne der Mitgliedstaaten vorgelegt.</w:t>
      </w:r>
    </w:p>
    <w:p>
      <w:pPr>
        <w:pStyle w:val="GesAbsatz"/>
      </w:pPr>
      <w:r>
        <w:t>(4) Die Mitgliedstaaten legen Anforderungen fest, um sicherzustellen, dass Nichtwohngebäude mit einer Nennleistung für eine Heizungsanlage oder eine kombinierte Raumheizungs- und Lüftungsanlage von mehr als 290 kW, sofern technisch und wirtschaftlich realisierbar, bis zum Jahr 2025 mit Systemen für die Gebäudeautomatisierung und -steuerung ausgerüstet werden.</w:t>
      </w:r>
    </w:p>
    <w:p>
      <w:pPr>
        <w:pStyle w:val="GesAbsatz"/>
      </w:pPr>
      <w:r>
        <w:t>Die Systeme für die Gebäudeautomatisierung und -steuerung müssen in der Lage sein,</w:t>
      </w:r>
    </w:p>
    <w:p>
      <w:pPr>
        <w:pStyle w:val="GesAbsatz"/>
        <w:ind w:left="426" w:hanging="426"/>
      </w:pPr>
      <w:r>
        <w:t>a)</w:t>
      </w:r>
      <w:r>
        <w:tab/>
        <w:t>den Energieverbrauch kontinuierlich zu überwachen, zu protokollieren, zu analysieren und dessen Anpassung zu ermöglichen;</w:t>
      </w:r>
    </w:p>
    <w:p>
      <w:pPr>
        <w:pStyle w:val="GesAbsatz"/>
        <w:ind w:left="426" w:hanging="426"/>
      </w:pPr>
      <w:r>
        <w:t>b)</w:t>
      </w:r>
      <w:r>
        <w:tab/>
        <w:t>Benchmarks in Bezug auf die Energieeffizienz des Gebäudes aufzustellen, Effizienzverluste von gebäudetechnischen Systemen zu erkennen und die für die Einrichtungen oder das gebäudetechnische Management zuständige Person über mögliche Verbesserungen der Energieeffizienz zu informieren; und</w:t>
      </w:r>
    </w:p>
    <w:p>
      <w:pPr>
        <w:pStyle w:val="GesAbsatz"/>
        <w:ind w:left="426" w:hanging="426"/>
      </w:pPr>
      <w:r>
        <w:t>c)</w:t>
      </w:r>
      <w:r>
        <w:tab/>
        <w:t>die Kommunikation zwischen miteinander verbundenen gebäudetechnischen Systemen und anderen Anwendungen innerhalb des Gebäudes zu ermöglichen und gemeinsam mit anderen Typen gebäudetechnischer Systeme betrieben zu werden, auch bei unterschiedlichen herstellereigenen Technologien, Geräten und Herstellern.</w:t>
      </w:r>
    </w:p>
    <w:p>
      <w:pPr>
        <w:pStyle w:val="GesAbsatz"/>
      </w:pPr>
      <w:r>
        <w:t>(5) Die Mitgliedstaaten können Anforderungen festlegen, um sicherzustellen, dass Wohngebäude ausgerüstet sind mit:</w:t>
      </w:r>
    </w:p>
    <w:p>
      <w:pPr>
        <w:pStyle w:val="GesAbsatz"/>
        <w:ind w:left="426" w:hanging="426"/>
      </w:pPr>
      <w:r>
        <w:t>a)</w:t>
      </w:r>
      <w:r>
        <w:tab/>
        <w:t>einer kontinuierlichen elektronischen Überwachungsfunktion, welche die Effizienz des Systems misst und den Eigentümer oder Verwalter des Gebäudes darüber informiert, wenn die Effizienz erheblich nachgelassen hat und eine Wartung des Systems erforderlich ist, und</w:t>
      </w:r>
    </w:p>
    <w:p>
      <w:pPr>
        <w:pStyle w:val="GesAbsatz"/>
        <w:ind w:left="426" w:hanging="426"/>
      </w:pPr>
      <w:r>
        <w:t>b)</w:t>
      </w:r>
      <w:r>
        <w:tab/>
        <w:t>wirksamen Steuerungsfunktionen zur Gewährleistung der optimalen Erzeugung, Verteilung, Speicherung und Nutzung der Energie.</w:t>
      </w:r>
    </w:p>
    <w:p>
      <w:pPr>
        <w:pStyle w:val="GesAbsatz"/>
      </w:pPr>
      <w:r>
        <w:t>(6) Die in Absatz 1 genannten Anforderungen gelten nicht für Gebäude, die die Kriterien der Absätze 4 oder 5 erfüllen.</w:t>
      </w:r>
    </w:p>
    <w:p>
      <w:pPr>
        <w:pStyle w:val="berschrift2"/>
      </w:pPr>
      <w:bookmarkStart w:id="17" w:name="_Toc519758779"/>
      <w:r>
        <w:t>Artikel 15</w:t>
      </w:r>
      <w:r>
        <w:br/>
        <w:t>Inspektion von Klimaanlagen</w:t>
      </w:r>
      <w:bookmarkEnd w:id="17"/>
    </w:p>
    <w:p>
      <w:pPr>
        <w:pStyle w:val="GesAbsatz"/>
      </w:pPr>
      <w:r>
        <w:t>(1) Die Mitgliedstaaten ergreifen die erforderlichen Maßnahmen, um regelmäßige Inspektionen der zugänglichen Teile von Klimaanlagen oder von kombinierten Klima- und Lüftungsanlagen mit einer Nennleistung von mehr als 70 kW zu gewährleisten. Die Inspektion umfasst auch die Prüfung des Wirkungsgrads und der Dimensionierung der Klimaanlage im Verhältnis zum Kühlbedarf des Gebäudes und gegebenenfalls die Berücksichtigung der Fähigkeit der Klimaanlage oder der kombinierten Klima- und Lüftungsanlage, ihre Leistung unter typischen oder durchschnittlichen Betriebsbedingungen zu optimieren.</w:t>
      </w:r>
    </w:p>
    <w:p>
      <w:pPr>
        <w:pStyle w:val="GesAbsatz"/>
      </w:pPr>
      <w:r>
        <w:t>Wenn an der Klimaanlage oder der kombinierten Klima- und Lüftungsanlage keine Änderungen vorgenommen wurden oder in Bezug auf den Kühlbedarf des Gebäudes keine Änderungen eingetreten sind, nachdem eine Inspektion gemäß diesem Absatz durchgeführt wurde, können die Mitgliedstaaten beschließen, eine wiederholte Prüfung der Dimensionierung der Klimaanlage nicht zu verlangen.</w:t>
      </w:r>
    </w:p>
    <w:p>
      <w:pPr>
        <w:pStyle w:val="GesAbsatz"/>
      </w:pPr>
      <w:r>
        <w:t>Mitgliedstaaten, die gemäß Artikel 1 Absatz 3 strengere Anforderungen beibehalten, sind von der Verpflichtung ausgenommen, diese der Kommission zu notifizieren.</w:t>
      </w:r>
    </w:p>
    <w:p>
      <w:pPr>
        <w:pStyle w:val="GesAbsatz"/>
      </w:pPr>
      <w:r>
        <w:t xml:space="preserve">(2) Gebäudetechnische Systeme, die ausdrücklich unter ein vereinbartes Kriterium für die Gesamtenergieeffizienz oder eine vertragliche Abmachung mit einem vereinbarten Niveau der Energieeffizienzverbesserung wie Energieleistungsverträge fallen oder die von einem Versorgungsunternehmen oder einem Netzbetreiber betrieben werden und demnach systemseitigen Maßnahmen zur Überwachung der Effizienz unterliegen, sind </w:t>
      </w:r>
      <w:r>
        <w:lastRenderedPageBreak/>
        <w:t>von den Anforderungen gemäß Absatz 1 ausgenommen, falls die Gesamtauswirkungen eines solchen Ansatzes denen, die bei Anwendung von Absatz 1 entstehen, gleichwertig sind.</w:t>
      </w:r>
    </w:p>
    <w:p>
      <w:pPr>
        <w:pStyle w:val="GesAbsatz"/>
      </w:pPr>
      <w:r>
        <w:t>(3) Alternativ zu Absatz 1 und falls die Gesamtauswirkungen eines solchen Ansatzes denen, die bei Anwendung von Absatz 1 entstehen, gleichwertig sind, können die Mitgliedstaaten Maßnahmen beschließen, um sicherzustellen, dass die Nutzer Ratschläge zum Austausch von Klimaanlagen oder kombinierten Klima- und Lüftungsanlagen, zu sonstigen Veränderungen an der Klimaanlage oder der kombinierten Klima- und Lüftungsanlage und zu Alternativlösungen erhalten, um den Wirkungsgrad und die Zweckmäßigkeit der Dimensionierung dieser Anlagen zu beurteilen.</w:t>
      </w:r>
    </w:p>
    <w:p>
      <w:pPr>
        <w:pStyle w:val="GesAbsatz"/>
      </w:pPr>
      <w:r>
        <w:t>Ehe die Mitgliedstaaten die in Unterabsatz 1 dieses Absatzes genannten alternativen Maßnahmen anwenden, belegt jeder Mitgliedstaat in einem Bericht an die Kommission die Gleichwertigkeit der Auswirkungen jener Maßnahmen mit den Auswirkungen der in Absatz 1 genannten Maßnahmen.</w:t>
      </w:r>
    </w:p>
    <w:p>
      <w:pPr>
        <w:pStyle w:val="GesAbsatz"/>
      </w:pPr>
      <w:r>
        <w:t>Dieser Bericht wird der Kommission als Teil der in Artikel 3 der Verordnung (EU) 2018/1999 genannten integrierten nationalen Energie- und Klimapläne der Mitgliedstaaten vorgelegt.</w:t>
      </w:r>
    </w:p>
    <w:p>
      <w:pPr>
        <w:pStyle w:val="GesAbsatz"/>
      </w:pPr>
      <w:r>
        <w:t>(4) Die Mitgliedstaaten legen Anforderungen fest, um sicherzustellen, dass Nichtwohngebäude mit einer Nennleistung für eine Klimaanlage oder eine kombinierte Klima- und Lüftungsanlage von mehr als 290 kW, sofern technisch und wirtschaftlich realisierbar, bis zum Jahr 2025 mit Systemen für die Gebäudeautomatisierung und -steuerung ausgerüstet werden.</w:t>
      </w:r>
    </w:p>
    <w:p>
      <w:pPr>
        <w:pStyle w:val="GesAbsatz"/>
      </w:pPr>
      <w:r>
        <w:t>Die Systeme für die Gebäudeautomatisierung und -steuerung müssen in der Lage sein,</w:t>
      </w:r>
    </w:p>
    <w:p>
      <w:pPr>
        <w:pStyle w:val="GesAbsatz"/>
        <w:ind w:left="426" w:hanging="426"/>
      </w:pPr>
      <w:r>
        <w:t>a)</w:t>
      </w:r>
      <w:r>
        <w:tab/>
        <w:t>den Energieverbrauch kontinuierlich zu überwachen, zu protokollieren, zu analysieren und dessen Anpassung zu ermöglichen;</w:t>
      </w:r>
    </w:p>
    <w:p>
      <w:pPr>
        <w:pStyle w:val="GesAbsatz"/>
        <w:ind w:left="426" w:hanging="426"/>
      </w:pPr>
      <w:r>
        <w:t>b)</w:t>
      </w:r>
      <w:r>
        <w:tab/>
        <w:t>Benchmarks in Bezug auf die Energieeffizienz des Gebäudes aufzustellen, Effizienzverluste von gebäudetechnischen Systemen zu erkennen und die für die Einrichtungen oder das gebäudetechnische Management zuständige Person über mögliche Verbesserungen der Energieeffizienz zu informieren; und</w:t>
      </w:r>
    </w:p>
    <w:p>
      <w:pPr>
        <w:pStyle w:val="GesAbsatz"/>
        <w:ind w:left="426" w:hanging="426"/>
      </w:pPr>
      <w:r>
        <w:t>c)</w:t>
      </w:r>
      <w:r>
        <w:tab/>
        <w:t>die Kommunikation zwischen miteinander verbundenen gebäudetechnischen Systemen und anderen Anwendungen innerhalb des Gebäudes zu ermöglichen und gemeinsam mit anderen Typen gebäudetechnischer Systeme betrieben zu werden, auch bei unterschiedlichen herstellereigenen Technologien, Geräten und Herstellern.</w:t>
      </w:r>
    </w:p>
    <w:p>
      <w:pPr>
        <w:pStyle w:val="GesAbsatz"/>
      </w:pPr>
      <w:r>
        <w:t>(5) Die Mitgliedstaaten können Anforderungen festlegen, um sicherzustellen, dass Wohngebäude ausgerüstet sind mit:</w:t>
      </w:r>
    </w:p>
    <w:p>
      <w:pPr>
        <w:pStyle w:val="GesAbsatz"/>
        <w:ind w:left="426" w:hanging="426"/>
      </w:pPr>
      <w:r>
        <w:t>a)</w:t>
      </w:r>
      <w:r>
        <w:tab/>
        <w:t>einer kontinuierlichen elektronischen Überwachungsfunktion, die die Effizienz des Systems misst und den Eigentümer oder Verwalter des Gebäudes darüber informiert, wenn die Effizienz erheblich nachgelassen hat und eine Wartung des Systems erforderlich ist, und</w:t>
      </w:r>
    </w:p>
    <w:p>
      <w:pPr>
        <w:pStyle w:val="GesAbsatz"/>
        <w:ind w:left="426" w:hanging="426"/>
      </w:pPr>
      <w:r>
        <w:t>b)</w:t>
      </w:r>
      <w:r>
        <w:tab/>
        <w:t>wirksamen Steuerungsfunktionen zur Gewährleistung der optimalen Erzeugung, Verteilung, Speicherung und Nutzung der Energie.</w:t>
      </w:r>
    </w:p>
    <w:p>
      <w:pPr>
        <w:pStyle w:val="GesAbsatz"/>
      </w:pPr>
      <w:r>
        <w:t>(6) Die in Absatz 1 genannten Anforderungen gelten nicht für Gebäude, die die Kriterien der Absätze 4 oder 5 erfüllen.</w:t>
      </w:r>
    </w:p>
    <w:p>
      <w:pPr>
        <w:pStyle w:val="berschrift2"/>
      </w:pPr>
      <w:bookmarkStart w:id="18" w:name="_Toc519758780"/>
      <w:r>
        <w:t>Artikel 16</w:t>
      </w:r>
      <w:r>
        <w:br/>
        <w:t>Berichte über die Inspektion von Heizungs- und Klimaanlagen</w:t>
      </w:r>
      <w:bookmarkEnd w:id="18"/>
    </w:p>
    <w:p>
      <w:pPr>
        <w:pStyle w:val="GesAbsatz"/>
      </w:pPr>
      <w:r>
        <w:t>(1) Nach jeder Inspektion einer Heizungs- oder Klimaanlage ist ein Inspektionsbericht zu erstellen. Der Inspektionsbericht enthält das Ergebnis der gemäß Artikel 14 und 15 durchgeführten Inspektion sowie Empfehlungen für kosteneffiziente Verbesserungen der Energieeffizienz der kontrollierten Anlage.</w:t>
      </w:r>
    </w:p>
    <w:p>
      <w:pPr>
        <w:pStyle w:val="GesAbsatz"/>
      </w:pPr>
      <w:r>
        <w:t>Die Empfehlungen können sich auf einen Vergleich zwischen der Energieeffizienz der kontrollierten Anlage und der Energieeffizienz der besten verfügbaren und realisierbaren Anlage und einer Anlage ähnlicher Bauart stützen, deren relevante Bestandteile die nach den geltenden Vorschriften geforderte Energieeffizienz aufweisen.</w:t>
      </w:r>
    </w:p>
    <w:p>
      <w:pPr>
        <w:pStyle w:val="GesAbsatz"/>
      </w:pPr>
      <w:r>
        <w:t>(2) Der Inspektionsbericht wird dem Eigentümer oder dem Mieter des Gebäudes ausgehändigt.</w:t>
      </w:r>
    </w:p>
    <w:p>
      <w:pPr>
        <w:pStyle w:val="berschrift2"/>
      </w:pPr>
      <w:bookmarkStart w:id="19" w:name="_Toc519758781"/>
      <w:r>
        <w:t>Artikel 17</w:t>
      </w:r>
      <w:r>
        <w:br/>
        <w:t>Unabhängiges Fachpersonal</w:t>
      </w:r>
      <w:bookmarkEnd w:id="19"/>
    </w:p>
    <w:p>
      <w:pPr>
        <w:pStyle w:val="GesAbsatz"/>
      </w:pPr>
      <w:r>
        <w:t>Die Mitgliedstaaten stellen sicher, dass die Erstellung des Ausweises über die Gesamtenergieeffizienz von Gebäuden sowie die Inspektion von Heizungs- und Klimaanlagen in unabhängiger Weise durch qualifizierte und/oder zugelassene Fachleute erfolgt, die entweder selbstständig oder bei Behörden oder privaten Stellen angestellt sein können.</w:t>
      </w:r>
    </w:p>
    <w:p>
      <w:pPr>
        <w:pStyle w:val="GesAbsatz"/>
      </w:pPr>
      <w:r>
        <w:lastRenderedPageBreak/>
        <w:t>Die Zulassung der Fachleute erfolgt unter Berücksichtigung ihrer Fachkenntnis.</w:t>
      </w:r>
    </w:p>
    <w:p>
      <w:pPr>
        <w:pStyle w:val="GesAbsatz"/>
      </w:pPr>
      <w:r>
        <w:t>Die Mitgliedstaaten machen der Öffentlichkeit Informationen über die Ausbildung und Zulassung zugänglich. Die Mitgliedstaaten stellen sicher, dass entweder regelmäßig aktualisierte Listen qualifizierter und/oder zugelassener Fachleute oder regelmäßig aktualisierte Listen zugelassener Unternehmen, die die Dienste dieser Fachleute anbieten, der Öffentlichkeit zugänglich gemacht werden.</w:t>
      </w:r>
    </w:p>
    <w:p>
      <w:pPr>
        <w:pStyle w:val="berschrift2"/>
      </w:pPr>
      <w:bookmarkStart w:id="20" w:name="_Toc519758782"/>
      <w:r>
        <w:t>Artikel 18</w:t>
      </w:r>
      <w:r>
        <w:br/>
        <w:t>Unabhängiges Kontrollsystem</w:t>
      </w:r>
      <w:bookmarkEnd w:id="20"/>
    </w:p>
    <w:p>
      <w:pPr>
        <w:pStyle w:val="GesAbsatz"/>
      </w:pPr>
      <w:r>
        <w:t>(1) Die Mitgliedstaaten gewährleisten, dass für die Ausweise über die Gesamtenergieeffizienz und die Inspektionsberichte für Heizungs- und Klimaanlagen unabhängige Kontrollsysteme gemäß Anhang II eingerichtet werden. Die Mitgliedstaaten können separate Systeme für die Kontrolle der Ausweise über die Gesamtenergieeffizienz und der Inspektionsberichte für Heizungs- und Klimaanlagen einführen.</w:t>
      </w:r>
    </w:p>
    <w:p>
      <w:pPr>
        <w:pStyle w:val="GesAbsatz"/>
      </w:pPr>
      <w:r>
        <w:t>(2) Die Mitgliedstaaten können die Zuständigkeiten für die Einrichtung der unabhängigen Kontrollsysteme delegieren.</w:t>
      </w:r>
    </w:p>
    <w:p>
      <w:pPr>
        <w:pStyle w:val="GesAbsatz"/>
      </w:pPr>
      <w:r>
        <w:t>In diesem Fall stellen die Mitgliedstaaten sicher, dass die Einrichtung der unabhängigen Kontrollsysteme nach Maßgabe von Anhang II erfolgt.</w:t>
      </w:r>
    </w:p>
    <w:p>
      <w:pPr>
        <w:pStyle w:val="GesAbsatz"/>
      </w:pPr>
      <w:r>
        <w:t>(3) Die Mitgliedstaaten verlangen, dass die in Absatz 1 genannten Ausweise über die Gesamtenergieeffizienz und Inspektionsberichte den zuständigen Behörden oder Stellen auf Aufforderung zur Verfügung gestellt werden.</w:t>
      </w:r>
    </w:p>
    <w:p>
      <w:pPr>
        <w:pStyle w:val="berschrift2"/>
      </w:pPr>
      <w:bookmarkStart w:id="21" w:name="_Toc519758783"/>
      <w:r>
        <w:t>Artikel 19</w:t>
      </w:r>
      <w:r>
        <w:br/>
        <w:t>Überprüfung</w:t>
      </w:r>
      <w:bookmarkEnd w:id="21"/>
    </w:p>
    <w:p>
      <w:pPr>
        <w:pStyle w:val="GesAbsatz"/>
      </w:pPr>
      <w:r>
        <w:t>Die Kommission überprüft mit Unterstützung des gemäß Artikel 26 eingesetzten Ausschusses bis spätestens 1. Januar 2026 diese Richtlinie auf der Grundlage der bei ihrer Anwendung gesammelten Erfahrungen und erzielten Fortschritte und unterbreitet erforderlichenfalls Vorschläge.</w:t>
      </w:r>
    </w:p>
    <w:p>
      <w:pPr>
        <w:pStyle w:val="GesAbsatz"/>
      </w:pPr>
      <w:r>
        <w:t>Im Rahmen dieser Überprüfung untersucht die Kommission, wie die Mitgliedstaaten in der Gebäude- und Energieeffizienzpolitik der Union integrierte Quartiers- oder Nachbarschaftsansätze anwenden könnten, wobei sichergestellt wird, dass jedes Gebäude die Mindestanforderungen an die Energieeffizienz erfüllt, beispielsweise im Wege von Gesamtrenovierungskonzepten, die für eine Reihe von Gebäuden in einem räumlichen Zusammenhang statt für ein einziges Gebäude gelten.</w:t>
      </w:r>
    </w:p>
    <w:p>
      <w:pPr>
        <w:pStyle w:val="GesAbsatz"/>
      </w:pPr>
      <w:r>
        <w:t>Die Kommission beurteilt insbesondere, ob die Ausweise über die Gesamtenergieeffizienz nach Artikel 11 weiter verbessert werden müssen.</w:t>
      </w:r>
    </w:p>
    <w:p>
      <w:pPr>
        <w:pStyle w:val="berschrift2"/>
      </w:pPr>
      <w:bookmarkStart w:id="22" w:name="_Toc519758784"/>
      <w:r>
        <w:t>Artikel 19a</w:t>
      </w:r>
      <w:r>
        <w:br/>
        <w:t>Machbarkeitsstudie</w:t>
      </w:r>
      <w:bookmarkEnd w:id="22"/>
    </w:p>
    <w:p>
      <w:pPr>
        <w:pStyle w:val="GesAbsatz"/>
      </w:pPr>
      <w:r>
        <w:t>Die Kommission fertigt bis 2020 eine Machbarkeitsstudie an, in der sie die Möglichkeiten und den Zeitplan für die Einführung einer Inspektion von eigenständigen Lüftungsanlagen und eines optionalen Gebäuderenovierungspasses als Ergänzung zum Ausweis über die Gesamtenergieeffizienz erläutert, sodass ein langfristiger Fahrplan für die schrittweise Renovierung eines bestimmten Gebäudes auf Grundlage von Qualitätskriterien und im Anschluss an ein Energieaudit erstellt werden kann, in dem relevante Maßnahmen und Renovierungen zur etwaigen Verbesserung der Energieeffizienz beschrieben werden.</w:t>
      </w:r>
    </w:p>
    <w:p>
      <w:pPr>
        <w:pStyle w:val="berschrift2"/>
      </w:pPr>
      <w:bookmarkStart w:id="23" w:name="_Toc519758785"/>
      <w:r>
        <w:t>Artikel 20</w:t>
      </w:r>
      <w:r>
        <w:br/>
        <w:t>Information</w:t>
      </w:r>
      <w:bookmarkEnd w:id="23"/>
    </w:p>
    <w:p>
      <w:pPr>
        <w:pStyle w:val="GesAbsatz"/>
      </w:pPr>
      <w:r>
        <w:t>(1) Die Mitgliedstaaten ergreifen die erforderlichen Maßnahmen, um die Eigentümer oder Mieter von Gebäuden oder Gebäudeteilen über die verschiedenen Methoden und praktischen Verfahren zur Verbesserung der Gesamtenergieeffizienz zu informieren.</w:t>
      </w:r>
    </w:p>
    <w:p>
      <w:pPr>
        <w:pStyle w:val="GesAbsatz"/>
      </w:pPr>
      <w:r>
        <w:t>(2) Die Mitgliedstaaten informieren die Eigentümer oder Mieter von Gebäuden insbesondere über Ausweise über die Gesamtenergieeffizienz, einschließlich ihres Zweckes und ihrer Ziele, über kosteneffiziente Maßnahmen sowie gegebenenfalls zur Verfügung stehende Finanzinstrumente für die Verbesserung der Gesamtenergieeffizienz des Gebäudes und über den Austausch von mit fossilen Brennstoffen betriebenen Heizkesseln gegen nachhaltigere Alternativen. Die Mitgliedstaaten stellen die Informationen mittels zugänglicher und transparenter Beratungsinstrumente, etwa Beratungen zu Renovierungen und zentrale Anlaufstellen, zur Verfügung.</w:t>
      </w:r>
    </w:p>
    <w:p>
      <w:pPr>
        <w:pStyle w:val="GesAbsatz"/>
      </w:pPr>
      <w:r>
        <w:lastRenderedPageBreak/>
        <w:t>Die Kommission unterstützt die Mitgliedstaaten auf deren Ersuchen bei der Durchführung von Informationskampagnen für die Zwecke von Absatz 1 und Unterabsatz 1 des vorliegenden Absatzes, die Gegenstand von Unionsprogrammen sein können.</w:t>
      </w:r>
    </w:p>
    <w:p>
      <w:pPr>
        <w:pStyle w:val="GesAbsatz"/>
      </w:pPr>
      <w:r>
        <w:t>(3) Die Mitgliedstaaten gewährleisten, dass für diejenigen, die für die Umsetzung dieser Richtlinie zuständig sind, Anleitung und Schulung zur Verfügung stehen. Im Rahmen dieser Maßnahmen ist auf die Bedeutung der Verbesserung der Gesamtenergieeffizienz hinzuweisen und die Berücksichtigung einer optimalen Kombination von Verbesserungen der Energieeffizienz, der Verwendung erneuerbarer Energien und des Einsatzes von Fernwärme und Fernkühlung bei der Planung, dem Entwurf, dem Bau und der Renovierung von Industrie- oder Wohngebieten zu ermöglichen.</w:t>
      </w:r>
    </w:p>
    <w:p>
      <w:pPr>
        <w:pStyle w:val="GesAbsatz"/>
      </w:pPr>
      <w:r>
        <w:t>(4) Die Kommission ist aufgefordert, ihre Informationsdienste kontinuierlich zu verbessern, insbesondere die Website, die als ein an die Bürger, Berufsvertreter und Behörden gerichtetes europäisches Portal für die Energieeffizienz von Gebäuden eingerichtet wurde, um die Mitgliedstaaten bei ihren Bemühungen um Information und Sensibilisierung zu unterstützen. In diese Website könnte Folgendes aufgenommen werden: Links zu den einschlägigen Rechtsvorschriften der Union sowie zu nationalen, regionalen und lokalen Rechtsvorschriften, Links zu den EUROPA-Websites mit den nationalen Energieeffizienz-Aktionsplänen, Links zu den verfügbaren Finanzierungsinstrumenten sowie Beispiele für bewährte Verfahren auf nationaler, regionaler und lokaler Ebene. Im Rahmen des Europäischen Fonds für regionale Entwicklung führt die Kommission ihre Informationsdienste verstärkt fort, um die Nutzung der verfügbaren Mittel dadurch zu erleichtern, dass beteiligten Akteuren, darunter den nationalen, regionalen und lokalen Behörden, Hilfe und Information in Bezug auf die Finanzierungsmöglichkeiten unter Berücksichtigung der jüngsten Änderungen des Regelungsrahmens angeboten wird.</w:t>
      </w:r>
    </w:p>
    <w:p>
      <w:pPr>
        <w:pStyle w:val="berschrift2"/>
      </w:pPr>
      <w:bookmarkStart w:id="24" w:name="_Toc519758786"/>
      <w:r>
        <w:t>Artikel 21</w:t>
      </w:r>
      <w:r>
        <w:br/>
        <w:t>Konsultation</w:t>
      </w:r>
      <w:bookmarkEnd w:id="24"/>
    </w:p>
    <w:p>
      <w:pPr>
        <w:pStyle w:val="GesAbsatz"/>
      </w:pPr>
      <w:r>
        <w:t>Um die wirksame Umsetzung der Richtlinie zu erleichtern, konsultieren die Mitgliedstaaten die beteiligten Akteure, darunter die lokalen und regionalen Behörden, entsprechend den anwendbaren nationalen Rechtsvorschriften und soweit erforderlich. Diese Konsultation ist für die Anwendung der Artikel 9 und 20 von besonderer Bedeutung.</w:t>
      </w:r>
    </w:p>
    <w:p>
      <w:pPr>
        <w:pStyle w:val="berschrift2"/>
      </w:pPr>
      <w:bookmarkStart w:id="25" w:name="_Toc519758787"/>
      <w:r>
        <w:t>Artikel 22</w:t>
      </w:r>
      <w:r>
        <w:br/>
        <w:t>Anpassung des Anhangs I an den technischen Fortschritt</w:t>
      </w:r>
      <w:bookmarkEnd w:id="25"/>
    </w:p>
    <w:p>
      <w:pPr>
        <w:pStyle w:val="GesAbsatz"/>
      </w:pPr>
      <w:r>
        <w:t>Die Kommission passt die Teile 3 und 4 des Anhangs I mittels delegierter Rechtsakte gemäß den Artikeln 23, 24 und 25 an den technischen Fortschritt an.</w:t>
      </w:r>
    </w:p>
    <w:p>
      <w:pPr>
        <w:pStyle w:val="berschrift2"/>
      </w:pPr>
      <w:bookmarkStart w:id="26" w:name="_Toc519758788"/>
      <w:r>
        <w:t>Artikel 23</w:t>
      </w:r>
      <w:r>
        <w:br/>
        <w:t>Ausübung der Befugnisübertragung</w:t>
      </w:r>
      <w:bookmarkEnd w:id="26"/>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den Artikeln 5, 8 und 22 wird der Kommission für einen Zeitraum von fünf Jahren ab dem 9. Juli 2018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den Artikeln 5, 8 und 22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 xml:space="preserve">(6) Ein delegierter Rechtsakt, der gemäß den Artikeln 5, 8 oder 22 erlassen wurde, tritt nur in Kraft, wenn weder das Europäische Parlament noch der Rat innerhalb einer Frist von zwei Monaten nach Übermittlung </w:t>
      </w:r>
      <w:r>
        <w:lastRenderedPageBreak/>
        <w:t xml:space="preserve">dieses Rechtsakts an das Europäische Parlament und den Rat Einwände erhoben hat oder wenn vor Ablauf dieser Frist das Europäische Parlament und der Rat beide der Kommission mitgeteilt haben, dass sie keine Einwände erheben werden. Auf Initiative des Europäischen Parlaments oder des Rates wird diese Frist um zwei Monate verlängert. </w:t>
      </w:r>
    </w:p>
    <w:p>
      <w:pPr>
        <w:pStyle w:val="berschrift2"/>
      </w:pPr>
      <w:bookmarkStart w:id="27" w:name="_Toc519758789"/>
      <w:r>
        <w:t>Artikel 24</w:t>
      </w:r>
      <w:r>
        <w:br/>
        <w:t>(gestrichen)</w:t>
      </w:r>
      <w:bookmarkEnd w:id="27"/>
    </w:p>
    <w:p>
      <w:pPr>
        <w:pStyle w:val="berschrift2"/>
      </w:pPr>
      <w:bookmarkStart w:id="28" w:name="_Toc519758790"/>
      <w:r>
        <w:t>Artikel 25</w:t>
      </w:r>
      <w:r>
        <w:br/>
        <w:t>(gestrichen)</w:t>
      </w:r>
      <w:bookmarkEnd w:id="28"/>
    </w:p>
    <w:p>
      <w:pPr>
        <w:pStyle w:val="berschrift2"/>
      </w:pPr>
      <w:bookmarkStart w:id="29" w:name="_Toc519758791"/>
      <w:r>
        <w:t>Artikel 26</w:t>
      </w:r>
      <w:r>
        <w:br/>
        <w:t>Ausschussverfahren</w:t>
      </w:r>
      <w:bookmarkEnd w:id="29"/>
    </w:p>
    <w:p>
      <w:pPr>
        <w:pStyle w:val="GesAbsatz"/>
      </w:pPr>
      <w:r>
        <w:t>(1) Die Kommission wird von einem Ausschuss unterstützt. Dieser Ausschuss ist ein Ausschuss im Sinne der Verordnung (EU) Nr. 182/2011.</w:t>
      </w:r>
    </w:p>
    <w:p>
      <w:pPr>
        <w:pStyle w:val="GesAbsatz"/>
      </w:pPr>
      <w:r>
        <w:t>(2) Wird auf diesen Absatz Bezug genommen, so gilt Artikel 4 der Verordnung (EU) Nr. 182/2011.</w:t>
      </w:r>
    </w:p>
    <w:p>
      <w:pPr>
        <w:pStyle w:val="GesAbsatz"/>
      </w:pPr>
      <w:r>
        <w:t>(3) Wird auf diesen Absatz Bezug genommen, so gilt Artikel 5 der Verordnung (EU) Nr. 182/2011.</w:t>
      </w:r>
    </w:p>
    <w:p>
      <w:pPr>
        <w:pStyle w:val="berschrift2"/>
      </w:pPr>
      <w:bookmarkStart w:id="30" w:name="_Toc519758792"/>
      <w:r>
        <w:t>Artikel 27</w:t>
      </w:r>
      <w:r>
        <w:br/>
        <w:t>Sanktionen</w:t>
      </w:r>
      <w:bookmarkEnd w:id="30"/>
    </w:p>
    <w:p>
      <w:pPr>
        <w:pStyle w:val="GesAbsatz"/>
      </w:pPr>
      <w:r>
        <w:t>Die Mitgliedstaaten legen fest, welche Sanktionen bei einem Verstoß gegen die innerstaatlichen Vorschriften zur Umsetzung dieser Richtlinie zu verhängen sind, und ergreifen die zu deren Durchsetzung erforderlichen Maßnahmen. Die Sanktionen müssen wirksam, verhältnismäßig und abschreckend sein. Die Mitgliedstaaten teilen der Kommission diese Vorschriften bis spätestens 9. Januar 2013 mit und unterrichten sie unverzüglich über alle späteren Änderungen dieser Vorschriften.</w:t>
      </w:r>
    </w:p>
    <w:p>
      <w:pPr>
        <w:pStyle w:val="berschrift2"/>
      </w:pPr>
      <w:bookmarkStart w:id="31" w:name="_Toc519758793"/>
      <w:r>
        <w:t>Artikel 28</w:t>
      </w:r>
      <w:r>
        <w:br/>
        <w:t>Umsetzung</w:t>
      </w:r>
      <w:bookmarkEnd w:id="31"/>
    </w:p>
    <w:p>
      <w:pPr>
        <w:pStyle w:val="GesAbsatz"/>
      </w:pPr>
      <w:r>
        <w:t>(1) Die Mitgliedstaaten erlassen und veröffentlichen bis spätestens 9 Juli 2012 die Rechts- und Verwaltungsvorschriften, die erforderlich sind, um den Artikeln 2 bis 18 und den Artikeln 20 und 27 nachzukommen.</w:t>
      </w:r>
    </w:p>
    <w:p>
      <w:pPr>
        <w:pStyle w:val="GesAbsatz"/>
      </w:pPr>
      <w:r>
        <w:t>Sie wenden die Vorschriften, die die Artikel 2, 3, 9, 11, 12, 13, 17, 18, 20 und 27 betreffen, spätestens ab 9. Januar 2013 an.</w:t>
      </w:r>
    </w:p>
    <w:p>
      <w:pPr>
        <w:pStyle w:val="GesAbsatz"/>
      </w:pPr>
      <w:r>
        <w:t>Sie wenden die Vorschriften, die die Artikel 4, 5, 6, 7, 8, 14, 15 und 16 betreffen, spätestens ab 9. Januar 2013 auf Gebäude an, die von Behörden genutzt werden, und spätestens ab 9. Juli 2013 auf alle übrigen Gebäude an.</w:t>
      </w:r>
    </w:p>
    <w:p>
      <w:pPr>
        <w:pStyle w:val="GesAbsatz"/>
      </w:pPr>
      <w:r>
        <w:t>Sie können die Anwendung von Artikel 12 Absätze 1 und 2 auf einzelne Gebäudeteile, die vermietet sind, bis zum 31. Dezember 2015 aufschieben. Dies darf jedoch nicht dazu führen, dass weniger Ausweise ausgestellt werden, als dies bei Anwendung der Richtlinie 2002/91/EG in den betreffenden Mitgliedstaaten der Fall gewesen wäre.</w:t>
      </w:r>
    </w:p>
    <w:p>
      <w:pPr>
        <w:pStyle w:val="GesAbsatz"/>
      </w:pPr>
      <w:r>
        <w:t>Bei Erlass dieser Maßnahmen nehmen die Mitgliedstaaten in den Vorschriften selbst oder durch einen Hinweis bei der amtlichen Veröffentlichung auf die vorliegende Richtlinie Bezug. In diese Vorschriften fügen sie die Erklärung ein, dass Bezugnahmen in den geltenden Rechts- und Verwaltungsvorschriften auf die Richtlinie 2002/91/EG als Bezugnahmen auf die vorliegende Richtlinie gelten. Die Mitgliedstaaten regeln die Einzelheiten dieser Bezugnahme und die Formulierung dieser Erklärung.</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32" w:name="_Toc519758794"/>
      <w:r>
        <w:t>Artikel 29</w:t>
      </w:r>
      <w:r>
        <w:br/>
        <w:t>Aufhebung</w:t>
      </w:r>
      <w:bookmarkEnd w:id="32"/>
    </w:p>
    <w:p>
      <w:pPr>
        <w:pStyle w:val="GesAbsatz"/>
      </w:pPr>
      <w:r>
        <w:t>Die Richtlinie 2002/91/EG in der Fassung der in Anhang IV Teil A angegebenen Verordnung wird unbeschadet der Verpflichtungen der Mitgliedstaaten hinsichtlich der in Anhang IV Teil B genannten Fristen für die Umsetzung in innerstaatliches Recht und die Anwendung mit Wirkung vom 1. Februar 2012 aufgehoben.</w:t>
      </w:r>
    </w:p>
    <w:p>
      <w:pPr>
        <w:pStyle w:val="GesAbsatz"/>
      </w:pPr>
      <w:r>
        <w:t>Bezugnahmen auf die Richtlinie 2002/91/EG gelten als Bezugnahmen auf die vorliegende Richtlinie und sind nach Maßgabe der Entsprechungstabelle in Anhang V zu lesen.</w:t>
      </w:r>
    </w:p>
    <w:p>
      <w:pPr>
        <w:pStyle w:val="berschrift2"/>
      </w:pPr>
      <w:bookmarkStart w:id="33" w:name="_Toc519758795"/>
      <w:r>
        <w:lastRenderedPageBreak/>
        <w:t>Artikel 30</w:t>
      </w:r>
      <w:r>
        <w:br/>
        <w:t>Inkrafttreten</w:t>
      </w:r>
      <w:bookmarkEnd w:id="33"/>
    </w:p>
    <w:p>
      <w:pPr>
        <w:pStyle w:val="GesAbsatz"/>
      </w:pPr>
      <w:r>
        <w:t>Diese Richtlinie tritt am zwanzigsten Tag nach ihrer Veröffentlichung im Amtsblatt der Europäischen Union in Kraft.</w:t>
      </w:r>
    </w:p>
    <w:p>
      <w:pPr>
        <w:pStyle w:val="berschrift2"/>
      </w:pPr>
      <w:bookmarkStart w:id="34" w:name="_Toc519758796"/>
      <w:r>
        <w:t>Artikel 31</w:t>
      </w:r>
      <w:r>
        <w:br/>
        <w:t>Adressaten</w:t>
      </w:r>
      <w:bookmarkEnd w:id="34"/>
    </w:p>
    <w:p>
      <w:pPr>
        <w:pStyle w:val="GesAbsatz"/>
      </w:pPr>
      <w:r>
        <w:t>Diese Richtlinie ist an die Mitgliedstaaten gerichtet.</w:t>
      </w:r>
    </w:p>
    <w:p>
      <w:pPr>
        <w:pStyle w:val="berschrift2"/>
        <w:jc w:val="left"/>
      </w:pPr>
      <w:r>
        <w:br w:type="page"/>
      </w:r>
      <w:bookmarkStart w:id="35" w:name="_Toc519758797"/>
      <w:r>
        <w:lastRenderedPageBreak/>
        <w:t>ANHANG I</w:t>
      </w:r>
      <w:bookmarkEnd w:id="35"/>
    </w:p>
    <w:p>
      <w:pPr>
        <w:pStyle w:val="GesAbsatz"/>
        <w:jc w:val="center"/>
        <w:rPr>
          <w:b/>
        </w:rPr>
      </w:pPr>
      <w:r>
        <w:rPr>
          <w:b/>
        </w:rPr>
        <w:t>Gemeinsamer allgemeiner Rahmen für die Berechnung der Gesamtenergieeffizienz von Gebäuden</w:t>
      </w:r>
      <w:r>
        <w:rPr>
          <w:b/>
        </w:rPr>
        <w:br/>
        <w:t>(gemäß Artikel 3)</w:t>
      </w:r>
    </w:p>
    <w:p>
      <w:pPr>
        <w:pStyle w:val="GesAbsatz"/>
        <w:ind w:left="426" w:hanging="426"/>
      </w:pPr>
      <w:r>
        <w:t>1.</w:t>
      </w:r>
      <w:r>
        <w:tab/>
        <w:t>Die Gesamtenergieeffizienz eines Gebäudes wird anhand des berechneten oder tatsächlichen Energieverbrauchs bestimmt und spiegelt den typischen Energieverbrauch für Raumheizung, Raumkühlung, Warmwasserbereitung für den häuslichen Gebrauch, Lüftung, eingebaute Beleuchtung und andere gebäudetechnische Systeme wider.</w:t>
      </w:r>
    </w:p>
    <w:p>
      <w:pPr>
        <w:pStyle w:val="GesAbsatz"/>
        <w:ind w:left="426"/>
      </w:pPr>
      <w:r>
        <w:t>Die Gesamtenergieeffizienz eines Gebäudes wird zum Zwecke der Erstellung von Ausweisen über die Gesamtenergieeffizienz und der Einhaltung der Mindestanforderungen an die Gesamtenergieeffizienz durch einen numerischen Indikator für den Primärenergieverbrauch in kWh/(m 2 .a) ausgedrückt. Die für die Bestimmung der Gesamtenergieeffizienz eines Gebäudes angewandte Methode muss transparent und offen für Innovationen sein.</w:t>
      </w:r>
    </w:p>
    <w:p>
      <w:pPr>
        <w:pStyle w:val="GesAbsatz"/>
        <w:ind w:left="426"/>
      </w:pPr>
      <w:r>
        <w:t>Die Mitgliedstaaten beschreiben ihre nationale Berechnungsmethode gemäß den nationalen Anhängen der übergreifenden Normen, nämlich ISO 52000-1, 52003-1, 52010-1, 52016-1 und 52018-1, die im Rahmen des Normungsauftrags M/480 vom Europäischen Komitee für Normung (CEN) entwickelt wurden. Diese Bestimmung stellt keine rechtliche Kodifizierung der genannten Normen dar.</w:t>
      </w:r>
    </w:p>
    <w:p>
      <w:pPr>
        <w:pStyle w:val="GesAbsatz"/>
        <w:ind w:left="426" w:hanging="426"/>
      </w:pPr>
      <w:r>
        <w:t>2.</w:t>
      </w:r>
      <w:r>
        <w:tab/>
        <w:t>Der Energiebedarf für Raumheizung, Raumkühlung, Warmwasserbereitung für den häuslichen Gebrauch, Lüftung, Beleuchtung und andere gebäudetechnische Systeme ist zu berechnen, um die von den Mitgliedstaaten auf nationaler oder regionaler Ebene festgelegten Niveaus in Bezug auf Gesundheit, Raumluftqualität und Komfort zu optimieren.</w:t>
      </w:r>
    </w:p>
    <w:p>
      <w:pPr>
        <w:pStyle w:val="GesAbsatz"/>
        <w:ind w:left="426"/>
      </w:pPr>
      <w:r>
        <w:t>Die Berechnung der Primärenergie erfolgt auf der Grundlage von Primärenergiefaktoren oder Gewichtungsfaktoren je Energieträger, die auf nationale, regionale oder lokale, jährlich und möglicherweise auch jahreszeitlich oder monatlich gewichtete Durchschnittswerte oder spezifischere für einzelne Fernwärmenetze zur Verfügung gestellte Informationen gestützt werden können.</w:t>
      </w:r>
    </w:p>
    <w:p>
      <w:pPr>
        <w:pStyle w:val="GesAbsatz"/>
        <w:ind w:left="426"/>
      </w:pPr>
      <w:r>
        <w:t>Die Primärenergiefaktoren oder Gewichtungsfaktoren werden von den Mitgliedstaaten festgelegt. Bei der Anwendung jener Faktoren für die Berechnung der Gesamtenergieeffizienz stellen die Mitgliedstaaten sicher, dass die optimale Gesamtenergieeffizienz der Gebäudehülle angestrebt wird.</w:t>
      </w:r>
    </w:p>
    <w:p>
      <w:pPr>
        <w:pStyle w:val="GesAbsatz"/>
        <w:ind w:left="426"/>
      </w:pPr>
      <w:r>
        <w:t>Bei der Berechnung der Primärenergiefaktoren zum Zweck der Berechnung der Gesamtenergieeffizienz von Gebäuden können die Mitgliedstaaten über den Energieträger gelieferte Energie aus erneuerbaren Energiequellen und standortnah erzeugte und verbrauchte Energie aus erneuerbaren Energiequellen berücksichtigen, sofern dies auf nichtdiskriminierende Weise erfolgt.</w:t>
      </w:r>
    </w:p>
    <w:p>
      <w:pPr>
        <w:pStyle w:val="GesAbsatz"/>
        <w:ind w:left="426" w:hanging="426"/>
      </w:pPr>
      <w:r>
        <w:t>2a.</w:t>
      </w:r>
      <w:r>
        <w:tab/>
        <w:t>Für die Angabe der Gesamtenergieeffizienz eines Gebäudes können die Mitgliedstaaten zusätzliche numerische Indikatoren für den Gesamtverbrauch nicht erneuerbarer und erneuerbarer Primärenergie und für die Treibhausgasemissionen in kg CO</w:t>
      </w:r>
      <w:r>
        <w:rPr>
          <w:vertAlign w:val="subscript"/>
        </w:rPr>
        <w:t>2</w:t>
      </w:r>
      <w:r>
        <w:t xml:space="preserve"> eq/(m².a) festlegen.</w:t>
      </w:r>
    </w:p>
    <w:p>
      <w:pPr>
        <w:pStyle w:val="GesAbsatz"/>
      </w:pPr>
      <w:r>
        <w:t>3.</w:t>
      </w:r>
      <w:r>
        <w:tab/>
        <w:t>Bei der Festlegung der Berechnungsmethode sind mindestens folgende Aspekte zu berücksichtigen:</w:t>
      </w:r>
    </w:p>
    <w:p>
      <w:pPr>
        <w:pStyle w:val="GesAbsatz"/>
        <w:ind w:left="851" w:hanging="425"/>
      </w:pPr>
      <w:r>
        <w:t>a)</w:t>
      </w:r>
      <w:r>
        <w:tab/>
        <w:t>die nachstehenden tatsächlichen thermischen Eigenschaften des Gebäudes, einschließlich der Innenbauteile:</w:t>
      </w:r>
    </w:p>
    <w:p>
      <w:pPr>
        <w:pStyle w:val="GesAbsatz"/>
        <w:ind w:left="1276" w:hanging="425"/>
      </w:pPr>
      <w:r>
        <w:t>i)</w:t>
      </w:r>
      <w:r>
        <w:tab/>
        <w:t>Wärmekapazität,</w:t>
      </w:r>
    </w:p>
    <w:p>
      <w:pPr>
        <w:pStyle w:val="GesAbsatz"/>
        <w:ind w:left="1276" w:hanging="425"/>
      </w:pPr>
      <w:r>
        <w:t>ii)</w:t>
      </w:r>
      <w:r>
        <w:tab/>
        <w:t>Wärmedämmung,</w:t>
      </w:r>
    </w:p>
    <w:p>
      <w:pPr>
        <w:pStyle w:val="GesAbsatz"/>
        <w:ind w:left="1276" w:hanging="425"/>
      </w:pPr>
      <w:r>
        <w:t>iii)</w:t>
      </w:r>
      <w:r>
        <w:tab/>
        <w:t>passive Heizung,</w:t>
      </w:r>
    </w:p>
    <w:p>
      <w:pPr>
        <w:pStyle w:val="GesAbsatz"/>
        <w:ind w:left="1276" w:hanging="425"/>
      </w:pPr>
      <w:r>
        <w:t>iv)</w:t>
      </w:r>
      <w:r>
        <w:tab/>
        <w:t>Kühlelemente und</w:t>
      </w:r>
    </w:p>
    <w:p>
      <w:pPr>
        <w:pStyle w:val="GesAbsatz"/>
        <w:ind w:left="1276" w:hanging="425"/>
      </w:pPr>
      <w:r>
        <w:t>v)</w:t>
      </w:r>
      <w:r>
        <w:tab/>
        <w:t>Wärmebrücken;</w:t>
      </w:r>
    </w:p>
    <w:p>
      <w:pPr>
        <w:pStyle w:val="GesAbsatz"/>
        <w:ind w:left="851" w:hanging="425"/>
      </w:pPr>
      <w:r>
        <w:t>b)</w:t>
      </w:r>
      <w:r>
        <w:tab/>
        <w:t>Heizungsanlage und Warmwasserversorgung, einschließlich ihrer Dämmcharakteristik;</w:t>
      </w:r>
    </w:p>
    <w:p>
      <w:pPr>
        <w:pStyle w:val="GesAbsatz"/>
        <w:ind w:left="851" w:hanging="425"/>
      </w:pPr>
      <w:r>
        <w:t>c)</w:t>
      </w:r>
      <w:r>
        <w:tab/>
        <w:t>Klimaanlagen;</w:t>
      </w:r>
    </w:p>
    <w:p>
      <w:pPr>
        <w:pStyle w:val="GesAbsatz"/>
        <w:ind w:left="851" w:hanging="425"/>
      </w:pPr>
      <w:r>
        <w:t>d)</w:t>
      </w:r>
      <w:r>
        <w:tab/>
        <w:t>natürliche oder mechanische Belüftung, die auch die Luftdichtheit umfassen kann;</w:t>
      </w:r>
    </w:p>
    <w:p>
      <w:pPr>
        <w:pStyle w:val="GesAbsatz"/>
        <w:ind w:left="851" w:hanging="425"/>
      </w:pPr>
      <w:r>
        <w:t>e)</w:t>
      </w:r>
      <w:r>
        <w:tab/>
        <w:t>eingebaute Beleuchtung (hauptsächlich bei Nichtwohngebäuden);</w:t>
      </w:r>
    </w:p>
    <w:p>
      <w:pPr>
        <w:pStyle w:val="GesAbsatz"/>
        <w:ind w:left="851" w:hanging="425"/>
      </w:pPr>
      <w:r>
        <w:t>f)</w:t>
      </w:r>
      <w:r>
        <w:tab/>
        <w:t>Gestaltung, Lage und Ausrichtung des Gebäudes, einschließlich des Außenklimas;</w:t>
      </w:r>
    </w:p>
    <w:p>
      <w:pPr>
        <w:pStyle w:val="GesAbsatz"/>
        <w:ind w:left="851" w:hanging="425"/>
      </w:pPr>
      <w:r>
        <w:t>g)</w:t>
      </w:r>
      <w:r>
        <w:tab/>
        <w:t>passive Solarsysteme und Sonnenschutz;</w:t>
      </w:r>
    </w:p>
    <w:p>
      <w:pPr>
        <w:pStyle w:val="GesAbsatz"/>
        <w:ind w:left="851" w:hanging="425"/>
      </w:pPr>
      <w:r>
        <w:t>h)</w:t>
      </w:r>
      <w:r>
        <w:tab/>
        <w:t>Innenraumklimabedingungen, einschließlich des Innenraum-Sollklimas;</w:t>
      </w:r>
    </w:p>
    <w:p>
      <w:pPr>
        <w:pStyle w:val="GesAbsatz"/>
        <w:ind w:left="851" w:hanging="425"/>
      </w:pPr>
      <w:r>
        <w:t>i)</w:t>
      </w:r>
      <w:r>
        <w:tab/>
        <w:t>interne Lasten.</w:t>
      </w:r>
    </w:p>
    <w:p>
      <w:pPr>
        <w:pStyle w:val="GesAbsatz"/>
      </w:pPr>
      <w:r>
        <w:t>4.</w:t>
      </w:r>
      <w:r>
        <w:tab/>
        <w:t>Der positive Einfluss folgender Aspekte ist zu berücksichtigen:</w:t>
      </w:r>
    </w:p>
    <w:p>
      <w:pPr>
        <w:pStyle w:val="GesAbsatz"/>
        <w:ind w:left="851" w:hanging="425"/>
      </w:pPr>
      <w:r>
        <w:lastRenderedPageBreak/>
        <w:t>a)</w:t>
      </w:r>
      <w:r>
        <w:tab/>
        <w:t>lokale Sonnenexposition, aktive Solarsysteme und andere Systeme zur Erzeugung von Wärme und Elektrizität auf der Grundlage von Energie aus erneuerbaren Quellen;</w:t>
      </w:r>
    </w:p>
    <w:p>
      <w:pPr>
        <w:pStyle w:val="GesAbsatz"/>
        <w:ind w:left="851" w:hanging="425"/>
      </w:pPr>
      <w:r>
        <w:t>b)</w:t>
      </w:r>
      <w:r>
        <w:tab/>
        <w:t>Elektrizitätsgewinnung durch Kraft-Wärme-Kopplung;</w:t>
      </w:r>
    </w:p>
    <w:p>
      <w:pPr>
        <w:pStyle w:val="GesAbsatz"/>
        <w:ind w:left="851" w:hanging="425"/>
      </w:pPr>
      <w:r>
        <w:t>c)</w:t>
      </w:r>
      <w:r>
        <w:tab/>
        <w:t>Fern-/Blockheizung und Fern-/Blockkühlung;</w:t>
      </w:r>
    </w:p>
    <w:p>
      <w:pPr>
        <w:pStyle w:val="GesAbsatz"/>
        <w:ind w:left="851" w:hanging="425"/>
      </w:pPr>
      <w:r>
        <w:t>d)</w:t>
      </w:r>
      <w:r>
        <w:tab/>
        <w:t>natürliche Beleuchtung.</w:t>
      </w:r>
    </w:p>
    <w:p>
      <w:pPr>
        <w:pStyle w:val="GesAbsatz"/>
      </w:pPr>
      <w:r>
        <w:t>5.</w:t>
      </w:r>
      <w:r>
        <w:tab/>
        <w:t>Für die Berechnung sollten die Gebäude angemessen in folgende Kategorien unterteilt werden:</w:t>
      </w:r>
    </w:p>
    <w:p>
      <w:pPr>
        <w:pStyle w:val="GesAbsatz"/>
        <w:ind w:left="851" w:hanging="425"/>
      </w:pPr>
      <w:r>
        <w:t>a)</w:t>
      </w:r>
      <w:r>
        <w:tab/>
        <w:t>Einfamilienhäuser verschiedener Bauarten;</w:t>
      </w:r>
    </w:p>
    <w:p>
      <w:pPr>
        <w:pStyle w:val="GesAbsatz"/>
        <w:ind w:left="851" w:hanging="425"/>
      </w:pPr>
      <w:r>
        <w:t>b)</w:t>
      </w:r>
      <w:r>
        <w:tab/>
        <w:t>Mehrfamilienhäuser;</w:t>
      </w:r>
    </w:p>
    <w:p>
      <w:pPr>
        <w:pStyle w:val="GesAbsatz"/>
        <w:ind w:left="851" w:hanging="425"/>
      </w:pPr>
      <w:r>
        <w:t>c)</w:t>
      </w:r>
      <w:r>
        <w:tab/>
        <w:t>Bürogebäude;</w:t>
      </w:r>
    </w:p>
    <w:p>
      <w:pPr>
        <w:pStyle w:val="GesAbsatz"/>
        <w:ind w:left="851" w:hanging="425"/>
      </w:pPr>
      <w:r>
        <w:t>d)</w:t>
      </w:r>
      <w:r>
        <w:tab/>
        <w:t>Unterrichtsgebäude;</w:t>
      </w:r>
    </w:p>
    <w:p>
      <w:pPr>
        <w:pStyle w:val="GesAbsatz"/>
        <w:ind w:left="851" w:hanging="425"/>
      </w:pPr>
      <w:r>
        <w:t>e)</w:t>
      </w:r>
      <w:r>
        <w:tab/>
        <w:t>Krankenhäuser;</w:t>
      </w:r>
    </w:p>
    <w:p>
      <w:pPr>
        <w:pStyle w:val="GesAbsatz"/>
        <w:ind w:left="851" w:hanging="425"/>
      </w:pPr>
      <w:r>
        <w:t>f)</w:t>
      </w:r>
      <w:r>
        <w:tab/>
        <w:t>Hotels und Gaststätten;</w:t>
      </w:r>
    </w:p>
    <w:p>
      <w:pPr>
        <w:pStyle w:val="GesAbsatz"/>
        <w:ind w:left="851" w:hanging="425"/>
      </w:pPr>
      <w:r>
        <w:t>g)</w:t>
      </w:r>
      <w:r>
        <w:tab/>
        <w:t>Sportanlagen;</w:t>
      </w:r>
    </w:p>
    <w:p>
      <w:pPr>
        <w:pStyle w:val="GesAbsatz"/>
        <w:ind w:left="851" w:hanging="425"/>
      </w:pPr>
      <w:r>
        <w:t>h)</w:t>
      </w:r>
      <w:r>
        <w:tab/>
        <w:t>Gebäude des Groß- und Einzelhandels;</w:t>
      </w:r>
    </w:p>
    <w:p>
      <w:pPr>
        <w:pStyle w:val="GesAbsatz"/>
        <w:ind w:left="851" w:hanging="425"/>
      </w:pPr>
      <w:r>
        <w:t>i)</w:t>
      </w:r>
      <w:r>
        <w:tab/>
        <w:t>sonstige Arten Energie verbrauchender Gebäude.</w:t>
      </w:r>
    </w:p>
    <w:p>
      <w:pPr>
        <w:pStyle w:val="berschrift2"/>
        <w:jc w:val="left"/>
      </w:pPr>
      <w:bookmarkStart w:id="36" w:name="_Toc519758798"/>
      <w:r>
        <w:t>ANHANG IA</w:t>
      </w:r>
      <w:bookmarkEnd w:id="36"/>
    </w:p>
    <w:p>
      <w:pPr>
        <w:pStyle w:val="GesAbsatz"/>
        <w:jc w:val="center"/>
        <w:rPr>
          <w:b/>
        </w:rPr>
      </w:pPr>
      <w:r>
        <w:rPr>
          <w:b/>
        </w:rPr>
        <w:t>GEMEINSAMER ALLGEMEINER RAHMEN FÜR DIE BEWERTUNG DER</w:t>
      </w:r>
      <w:r>
        <w:rPr>
          <w:b/>
        </w:rPr>
        <w:br/>
        <w:t>INTELLIGENZFÄHIGKEIT VON GEBÄUDEN</w:t>
      </w:r>
    </w:p>
    <w:p>
      <w:pPr>
        <w:pStyle w:val="GesAbsatz"/>
        <w:ind w:left="426" w:hanging="426"/>
      </w:pPr>
      <w:r>
        <w:t>1.</w:t>
      </w:r>
      <w:r>
        <w:tab/>
        <w:t>Die Kommission legt die Definition des Intelligenzfähigkeitsindikators sowie eine Methode zu seiner Berechnung fest, um die Fähigkeiten eines Gebäudes oder eines Gebäudeteils, den Betrieb an den Bedarf der Bewohner und des Netzes anzupassen und seine Gesamtenergieeffizienz und -leistung zu verbessern, einschätzen zu können.</w:t>
      </w:r>
    </w:p>
    <w:p>
      <w:pPr>
        <w:pStyle w:val="GesAbsatz"/>
        <w:ind w:left="426"/>
      </w:pPr>
      <w:r>
        <w:t>Der Intelligenzfähigkeitsindikator umfasst Merkmale für erhöhte Energieeinsparungen, Benchmarks und Flexibilität sowie verbesserte Funktionen und Fähigkeiten, die auf stärker vernetzte und intelligente Geräte zurückzuführen sind.</w:t>
      </w:r>
    </w:p>
    <w:p>
      <w:pPr>
        <w:pStyle w:val="GesAbsatz"/>
        <w:ind w:left="426"/>
      </w:pPr>
      <w:r>
        <w:t>Bei der Methode werden unter anderem folgende Ausrüstungsmerkmale berücksichtigt: intelligente Zähler, Systeme für die Gebäudeautomatisierung und -steuerung, selbstregulierende Einrichtungen für die Regulierung der Raumlufttemperatur, eingebaute Haushaltsgeräte, Ladepunkte für Elektrofahrzeuge, Energiespeicherung und detaillierte Funktionen und Interoperabilität dieser Merkmale sowie positive Auswirkungen auf das Raumklima, die Gesamtenergieeffizienz, das Leistungsniveau und die gewonnene Flexibilität.</w:t>
      </w:r>
    </w:p>
    <w:p>
      <w:pPr>
        <w:pStyle w:val="GesAbsatz"/>
      </w:pPr>
      <w:r>
        <w:t>2.</w:t>
      </w:r>
      <w:r>
        <w:tab/>
        <w:t>Die Methode stützt sich auf drei Hauptmerkmale des Gebäudes und des gebäudetechnischen Systems:</w:t>
      </w:r>
    </w:p>
    <w:p>
      <w:pPr>
        <w:pStyle w:val="GesAbsatz"/>
        <w:ind w:left="851" w:hanging="425"/>
      </w:pPr>
      <w:r>
        <w:t>a)</w:t>
      </w:r>
      <w:r>
        <w:tab/>
        <w:t>die Fähigkeit, die Gesamtenergieeffizienz und den Betrieb des Gebäudes aufrechtzuerhalten, indem der Energieverbrauch, beispielsweise durch die Nutzung von Energie aus erneuerbaren Quellen, angepasst wird,</w:t>
      </w:r>
    </w:p>
    <w:p>
      <w:pPr>
        <w:pStyle w:val="GesAbsatz"/>
        <w:ind w:left="851" w:hanging="425"/>
      </w:pPr>
      <w:r>
        <w:t>b)</w:t>
      </w:r>
      <w:r>
        <w:tab/>
        <w:t>die Fähigkeit, den Betriebsmodus auf den Bedarf der Bewohner abzustimmen, wobei gebührend auf Benutzerfreundlichkeit, die Aufrechterhaltung eines gesunden Raumklimas und die Fähigkeit, den Energieverbrauch aufzuzeichnen, zu achten ist, und</w:t>
      </w:r>
    </w:p>
    <w:p>
      <w:pPr>
        <w:pStyle w:val="GesAbsatz"/>
        <w:ind w:left="851" w:hanging="425"/>
      </w:pPr>
      <w:r>
        <w:t>c)</w:t>
      </w:r>
      <w:r>
        <w:tab/>
        <w:t>die Flexibilität des Gesamtenergiebedarfs eines Gebäudes, einschließlich seiner Fähigkeit, die Teilnahme an der aktiven und passiven sowie an der impliziten und expliziten Laststeuerung in Bezug auf das Netz zu ermöglichen, zum Beispiel durch Flexibilität und Kapazitäten zur Lastverschiebung.</w:t>
      </w:r>
    </w:p>
    <w:p>
      <w:pPr>
        <w:pStyle w:val="GesAbsatz"/>
      </w:pPr>
      <w:r>
        <w:t>3.</w:t>
      </w:r>
      <w:r>
        <w:tab/>
        <w:t>Ferner können bei der Methode berücksichtigt werden:</w:t>
      </w:r>
    </w:p>
    <w:p>
      <w:pPr>
        <w:pStyle w:val="GesAbsatz"/>
        <w:ind w:left="851" w:hanging="425"/>
      </w:pPr>
      <w:r>
        <w:t>a)</w:t>
      </w:r>
      <w:r>
        <w:tab/>
        <w:t>die Interoperabilität der Systeme (intelligente Zähler, Systeme für die Gebäudeautomatisierung und -steuerung, eingebaute Haushaltsgeräte, selbstregulierende Einrichtungen für die Regulierung der Raumlufttemperatur innerhalb des Gebäudes und Sensoren für Raumluftqualität und Belüftung) und</w:t>
      </w:r>
    </w:p>
    <w:p>
      <w:pPr>
        <w:pStyle w:val="GesAbsatz"/>
        <w:ind w:left="851" w:hanging="425"/>
      </w:pPr>
      <w:r>
        <w:t>b)</w:t>
      </w:r>
      <w:r>
        <w:tab/>
        <w:t xml:space="preserve">positive Auswirkungen vorhandener Kommunikationsnetze, insbesondere hochgeschwindigkeitsfähiger gebäudeinterner physischer Infrastrukturen wie zum Beispiel eines freiwilligen Breitbandlabels </w:t>
      </w:r>
      <w:r>
        <w:lastRenderedPageBreak/>
        <w:t>und eines Zugangspunkts für Mehrfamilienhäuser im Sinne von Artikel 8 der Richtlinie 2014/61/EU des Europäischen Parlaments und des Rates</w:t>
      </w:r>
      <w:r>
        <w:rPr>
          <w:rStyle w:val="Funotenzeichen"/>
        </w:rPr>
        <w:footnoteReference w:customMarkFollows="1" w:id="21"/>
        <w:t>20</w:t>
      </w:r>
      <w:r>
        <w:t>.</w:t>
      </w:r>
    </w:p>
    <w:p>
      <w:pPr>
        <w:pStyle w:val="GesAbsatz"/>
        <w:ind w:left="426" w:hanging="426"/>
      </w:pPr>
      <w:r>
        <w:t>4.</w:t>
      </w:r>
      <w:r>
        <w:tab/>
        <w:t>Die Methode darf keine negativen Auswirkungen auf bestehende nationale Systeme für Ausweise über die Gesamtenergieeffizienz haben und ergänzt entsprechende Initiativen auf nationaler Ebene, wobei dem Grundsatz der Eigenverantwortung des Bewohners, dem Datenschutz, dem Schutz der Privatsphäre und der Sicherheit — im Einklang mit den einschlägigen Rechtsvorschriften der Union über den Datenschutz und den Schutz der Privatsphäre sowie den besten verfügbaren Verfahren für Cybersicherheit — Rechnung getragen wird.</w:t>
      </w:r>
    </w:p>
    <w:p>
      <w:pPr>
        <w:pStyle w:val="GesAbsatz"/>
        <w:ind w:left="426" w:hanging="426"/>
      </w:pPr>
      <w:r>
        <w:t>5.</w:t>
      </w:r>
      <w:r>
        <w:tab/>
        <w:t>Mit der Methode wird das am besten geeignete Format des Parameters Intelligenzfähigkeitsindikator festgelegt, und die Methode muss einfach, transparent und für Verbraucher, Eigentümer, Investoren und Marktteilnehmer im Bereich Laststeuerung leicht verständlich sein.</w:t>
      </w:r>
    </w:p>
    <w:p>
      <w:pPr>
        <w:pStyle w:val="berschrift2"/>
        <w:jc w:val="left"/>
      </w:pPr>
      <w:bookmarkStart w:id="37" w:name="_Toc519758799"/>
      <w:r>
        <w:t>ANHANG II</w:t>
      </w:r>
      <w:bookmarkEnd w:id="37"/>
    </w:p>
    <w:p>
      <w:pPr>
        <w:pStyle w:val="GesAbsatz"/>
        <w:jc w:val="center"/>
        <w:rPr>
          <w:b/>
        </w:rPr>
      </w:pPr>
      <w:r>
        <w:rPr>
          <w:b/>
        </w:rPr>
        <w:t>Unabhängiges Kontrollsystem für Ausweise über die Gesamtenergieeffizienz</w:t>
      </w:r>
      <w:r>
        <w:rPr>
          <w:b/>
        </w:rPr>
        <w:br/>
        <w:t>und Inspektionsberichte</w:t>
      </w:r>
    </w:p>
    <w:p>
      <w:pPr>
        <w:pStyle w:val="GesAbsatz"/>
        <w:ind w:left="426" w:hanging="426"/>
      </w:pPr>
      <w:r>
        <w:t>1.</w:t>
      </w:r>
      <w:r>
        <w:tab/>
        <w:t>Die zuständigen Behörden oder die Stellen, denen die zuständigen Behörden die Verantwortung für die Anwendung des unabhängigen Kontrollsystems übertragen haben, nehmen eine Stichprobe aller jährlich ausgestellten Ausweise über die Gesamtenergieeffizienz und unterziehen diese Ausweise einer Überprüfung. Die Stichprobe muss ausreichend groß sein, um statistisch signifikante Ergebnisse über die Einhaltung zu gewährleisten.</w:t>
      </w:r>
    </w:p>
    <w:p>
      <w:pPr>
        <w:pStyle w:val="GesAbsatz"/>
        <w:ind w:left="426"/>
      </w:pPr>
      <w:r>
        <w:t>Die Überprüfung erfolgt auf der Grundlage der nachstehend angegebenen Optionen oder gleichwertiger Maßnahmen:</w:t>
      </w:r>
    </w:p>
    <w:p>
      <w:pPr>
        <w:pStyle w:val="GesAbsatz"/>
        <w:ind w:left="851" w:hanging="425"/>
      </w:pPr>
      <w:r>
        <w:t>a)</w:t>
      </w:r>
      <w:r>
        <w:tab/>
        <w:t>Validitätsprüfung der Eingabe-Gebäudedaten, die zur Ausstellung des Ausweises der Gesamtenergieeffizienz verwendet wurden, und der im Ausweis angegebenen Ergebnisse;</w:t>
      </w:r>
    </w:p>
    <w:p>
      <w:pPr>
        <w:pStyle w:val="GesAbsatz"/>
        <w:ind w:left="851" w:hanging="425"/>
      </w:pPr>
      <w:r>
        <w:t>b)</w:t>
      </w:r>
      <w:r>
        <w:tab/>
        <w:t>Prüfung der Eingabe-Daten und Überprüfung der Ergebnisse des Ausweises über die Gesamtenergieeffizienz, einschließlich der abgegebenen Empfehlungen;</w:t>
      </w:r>
    </w:p>
    <w:p>
      <w:pPr>
        <w:pStyle w:val="GesAbsatz"/>
        <w:ind w:left="851" w:hanging="425"/>
      </w:pPr>
      <w:r>
        <w:t>c)</w:t>
      </w:r>
      <w:r>
        <w:tab/>
        <w:t>vollständige Prüfung der Eingabe-Gebäudedaten, die zur Ausstellung des Ausweises über die Gesamtenergieeffizienz verwendet wurden, vollständige Überprüfung der im Ausweis angegebenen Ergebnisse, einschließlich der abgegebenen Empfehlungen, und - falls möglich - Inaugenscheinnahme des Gebäudes zur Prüfung der Übereinstimmung zwischen den im Ausweis über die Gesamtenergieeffizienz angegebenen Spezifikationen mit dem Gebäude, für das der Ausweis erstellt wurde.</w:t>
      </w:r>
    </w:p>
    <w:p>
      <w:pPr>
        <w:pStyle w:val="GesAbsatz"/>
        <w:ind w:left="426" w:hanging="426"/>
      </w:pPr>
      <w:r>
        <w:t>2.</w:t>
      </w:r>
      <w:r>
        <w:tab/>
        <w:t>Die zuständigen Behörden oder die Stellen, denen die zuständigen Behörden die Verantwortung für die Anwendung des unabhängigen Kontrollsystems übertragen haben, nehmen eine Stichprobe mindestens eines statistisch signifikanten Prozentanteils aller jährlich ausgestellten Inspektionsberichte und unterziehen diese Berichte einer Überprüfung.</w:t>
      </w:r>
    </w:p>
    <w:p>
      <w:pPr>
        <w:pStyle w:val="GesAbsatz"/>
        <w:ind w:left="426" w:hanging="426"/>
      </w:pPr>
      <w:r>
        <w:t>3.</w:t>
      </w:r>
      <w:r>
        <w:tab/>
        <w:t>Werden einer Datenbank Informationen hinzugefügt, muss es den nationalen Behörden zu Überwachungs- und Überprüfungszwecken möglich sein, den Urheber der Hinzufügung zu ermitteln.</w:t>
      </w:r>
    </w:p>
    <w:p>
      <w:pPr>
        <w:pStyle w:val="berschrift2"/>
        <w:jc w:val="left"/>
      </w:pPr>
      <w:bookmarkStart w:id="38" w:name="_Toc519758800"/>
      <w:r>
        <w:t>ANHANG III</w:t>
      </w:r>
      <w:bookmarkEnd w:id="38"/>
    </w:p>
    <w:p>
      <w:pPr>
        <w:pStyle w:val="GesAbsatz"/>
        <w:jc w:val="center"/>
        <w:rPr>
          <w:b/>
        </w:rPr>
      </w:pPr>
      <w:r>
        <w:rPr>
          <w:b/>
        </w:rPr>
        <w:t>Rahmen für eine Vergleichsmethode zur Berechnung kostenoptimaler Niveaus für die</w:t>
      </w:r>
      <w:r>
        <w:rPr>
          <w:b/>
        </w:rPr>
        <w:br/>
        <w:t>Anforderungen an die Gesamtenergieeffizienz von Gebäuden und Gebäudekomponenten</w:t>
      </w:r>
    </w:p>
    <w:p>
      <w:pPr>
        <w:pStyle w:val="GesAbsatz"/>
      </w:pPr>
      <w:r>
        <w:t>Der Rahmen für eine Vergleichsmethode ermöglicht es den Mitgliedstaaten, die Gesamtenergieeffizienz von Gebäuden und Gebäudekomponenten zu bestimmen und die wirtschaftlichen Aspekte der die Gesamtenergieeffizienz betreffenden Maßnahmen zu ermessen sowie beides ins Verhältnis zu setzen, um das kostenoptimale Niveau zu ermitteln.</w:t>
      </w:r>
    </w:p>
    <w:p>
      <w:pPr>
        <w:pStyle w:val="GesAbsatz"/>
      </w:pPr>
      <w:r>
        <w:t>Der Rahmen für eine Vergleichsmethode ist durch Leitlinien zu ergänzen, in denen beschrieben wird, wie dieser Rahmen bei der Berechnung kostenoptimaler Niveaus anzuwenden ist.</w:t>
      </w:r>
    </w:p>
    <w:p>
      <w:pPr>
        <w:pStyle w:val="GesAbsatz"/>
      </w:pPr>
      <w:r>
        <w:t>Der Rahmen für eine Vergleichsmethode gestattet die Berücksichtigung folgender Faktoren: Nutzungsmuster, Außenklimabedingungen, Investitionskosten, Gebäudekategorie, Wartungs- und Betriebskosten (einschließlich der Energiekosten und -einsparungen) sowie gegebenenfalls Einnahmen aus der Energieerzeugung und Entsorgungskosten. Der Rahmen sollte auf die für diese Richtlinie relevanten Europäischen Normen gestützt werden.</w:t>
      </w:r>
    </w:p>
    <w:p>
      <w:pPr>
        <w:pStyle w:val="GesAbsatz"/>
      </w:pPr>
      <w:r>
        <w:lastRenderedPageBreak/>
        <w:t>Des Weiteren obliegt es der Kommission,</w:t>
      </w:r>
    </w:p>
    <w:p>
      <w:pPr>
        <w:pStyle w:val="GesAbsatz"/>
        <w:ind w:left="426" w:hanging="426"/>
      </w:pPr>
      <w:r>
        <w:t>-</w:t>
      </w:r>
      <w:r>
        <w:tab/>
        <w:t>Leitlinien zur Flankierung des Rahmens für eine Vergleichsmethode bereitzustellen; diese Leitlinien werden es den Mitgliedstaaten ermöglichen, die nachstehend aufgeführten Maßnahmen durchzuführen;</w:t>
      </w:r>
    </w:p>
    <w:p>
      <w:pPr>
        <w:pStyle w:val="GesAbsatz"/>
      </w:pPr>
      <w:r>
        <w:t>-</w:t>
      </w:r>
      <w:r>
        <w:tab/>
        <w:t>Informationen über die geschätzten langfristigen Entwicklungen der Energiepreise bereitzustellen.</w:t>
      </w:r>
    </w:p>
    <w:p>
      <w:pPr>
        <w:pStyle w:val="GesAbsatz"/>
      </w:pPr>
      <w:r>
        <w:t>Für die Anwendung des Rahmens für eine Vergleichsmethode durch die Mitgliedstaaten sind auf der Ebene der Mitgliedstaaten in Parametern ausgedrückte allgemeine Bedingungen festzulegen.</w:t>
      </w:r>
    </w:p>
    <w:p>
      <w:pPr>
        <w:pStyle w:val="GesAbsatz"/>
      </w:pPr>
      <w:r>
        <w:t>Nach dem Rahmen für eine Vergleichsmethode sind die Mitgliedstaaten zu Folgendem verpflichtet:</w:t>
      </w:r>
    </w:p>
    <w:p>
      <w:pPr>
        <w:pStyle w:val="GesAbsatz"/>
        <w:ind w:left="426" w:hanging="426"/>
      </w:pPr>
      <w:r>
        <w:t>-</w:t>
      </w:r>
      <w:r>
        <w:tab/>
        <w:t>Bestimmung von Referenzgebäuden, die durch ihre Auslegung und ihre geografische Lage, einschließlich der Innen-raum- und Außenklimabedingungen, gekennzeichnet und repräsentativ sind. Als Referenzgebäude werden neue und bestehende Wohn- und Nichtwohngebäude herangezogen;</w:t>
      </w:r>
    </w:p>
    <w:p>
      <w:pPr>
        <w:pStyle w:val="GesAbsatz"/>
        <w:ind w:left="426" w:hanging="426"/>
      </w:pPr>
      <w:r>
        <w:t>-</w:t>
      </w:r>
      <w:r>
        <w:tab/>
        <w:t>Festlegung von Energieeffizienzmaßnahmen, die in Bezug auf die Referenzgebäude zu bewerten sind. Dabei kann es sich um Maßnahmen für einzelne Gebäude insgesamt, für einzelne Gebäudekomponenten oder für Kombinationen von Gebäudekomponenten handeln;</w:t>
      </w:r>
    </w:p>
    <w:p>
      <w:pPr>
        <w:pStyle w:val="GesAbsatz"/>
        <w:ind w:left="426" w:hanging="426"/>
      </w:pPr>
      <w:r>
        <w:t>-</w:t>
      </w:r>
      <w:r>
        <w:tab/>
        <w:t>Bestimmung des Endenergie- und des Primärenergiebedarfs der Referenzgebäude vor und nach Durchführung der definierten Energieeffizienzmaßnahmen;</w:t>
      </w:r>
    </w:p>
    <w:p>
      <w:pPr>
        <w:pStyle w:val="GesAbsatz"/>
        <w:ind w:left="426" w:hanging="426"/>
      </w:pPr>
      <w:r>
        <w:t>-</w:t>
      </w:r>
      <w:r>
        <w:tab/>
        <w:t>Berechnung der Kosten (d.h. des Nettogegenwartswerts) der (im zweiten Gedankenstrich genannten) Energieeffizienzmaßnahmen über die zu erwartende wirtschaftliche Lebensdauer in Bezug auf die (im ersten Gedankenstrich genannten) Referenzgebäude unter Anwendung der Grundsätze des Rahmens für eine Vergleichsmethode.</w:t>
      </w:r>
    </w:p>
    <w:p>
      <w:pPr>
        <w:pStyle w:val="GesAbsatz"/>
      </w:pPr>
      <w:r>
        <w:t>Mit der Berechnung der Kosten der Energieeffizienzmaßnahmen über die zu erwartende wirtschaftliche Lebensdauer wird die Kosteneffizienz der verschiedenen Niveaus von Mindestanforderungen an die Gesamtenergieeffizienz von den Mitgliedstaaten bewertet. Dies ermöglicht die Festlegung kostenoptimaler Niveaus für die Anforderungen an die Gesamtenergieeffizienz.</w:t>
      </w:r>
    </w:p>
    <w:p>
      <w:pPr>
        <w:pStyle w:val="berschrift2"/>
        <w:jc w:val="left"/>
      </w:pPr>
      <w:bookmarkStart w:id="39" w:name="_Toc519758801"/>
      <w:r>
        <w:t>ANHANG IV</w:t>
      </w:r>
      <w:bookmarkEnd w:id="39"/>
    </w:p>
    <w:p>
      <w:pPr>
        <w:pStyle w:val="GesAbsatz"/>
        <w:rPr>
          <w:b/>
        </w:rPr>
      </w:pPr>
      <w:r>
        <w:rPr>
          <w:b/>
        </w:rPr>
        <w:t>TEIL A</w:t>
      </w:r>
    </w:p>
    <w:p>
      <w:pPr>
        <w:pStyle w:val="GesAbsatz"/>
        <w:jc w:val="center"/>
        <w:rPr>
          <w:b/>
        </w:rPr>
      </w:pPr>
      <w:r>
        <w:rPr>
          <w:b/>
        </w:rPr>
        <w:t>Aufgehobene Richtlinie mit ihren nachfolgenden Änderungen</w:t>
      </w:r>
      <w:r>
        <w:rPr>
          <w:b/>
        </w:rPr>
        <w:br/>
        <w:t>(gemäß Artikel 29)</w:t>
      </w:r>
    </w:p>
    <w:p>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4"/>
        <w:gridCol w:w="4814"/>
      </w:tblGrid>
      <w:tr>
        <w:tc>
          <w:tcPr>
            <w:tcW w:w="4889" w:type="dxa"/>
          </w:tcPr>
          <w:p>
            <w:pPr>
              <w:pStyle w:val="GesAbsatz"/>
            </w:pPr>
            <w:r>
              <w:t>Richtlinie 2002/91/EG des Europäischen Parlaments und des Rates (ABl. L 1 vom 4.1.2003, S. 65).</w:t>
            </w:r>
          </w:p>
        </w:tc>
        <w:tc>
          <w:tcPr>
            <w:tcW w:w="4889" w:type="dxa"/>
          </w:tcPr>
          <w:p>
            <w:pPr>
              <w:pStyle w:val="GesAbsatz"/>
            </w:pPr>
          </w:p>
        </w:tc>
      </w:tr>
      <w:tr>
        <w:tc>
          <w:tcPr>
            <w:tcW w:w="4889" w:type="dxa"/>
          </w:tcPr>
          <w:p>
            <w:pPr>
              <w:pStyle w:val="GesAbsatz"/>
            </w:pPr>
            <w:r>
              <w:t>Verordnung (EG) Nr. 1137/2008 des Europäischen Parlaments und des Rates (ABl. L 311 vom 21.11.2008, S. 1).</w:t>
            </w:r>
          </w:p>
        </w:tc>
        <w:tc>
          <w:tcPr>
            <w:tcW w:w="4889" w:type="dxa"/>
          </w:tcPr>
          <w:p>
            <w:pPr>
              <w:pStyle w:val="GesAbsatz"/>
              <w:jc w:val="center"/>
            </w:pPr>
            <w:r>
              <w:t>Nur Nummer 9.9 des Anhangs</w:t>
            </w:r>
          </w:p>
        </w:tc>
      </w:tr>
    </w:tbl>
    <w:p>
      <w:pPr>
        <w:pStyle w:val="GesAbsatz"/>
      </w:pPr>
    </w:p>
    <w:p>
      <w:pPr>
        <w:pStyle w:val="GesAbsatz"/>
        <w:rPr>
          <w:b/>
        </w:rPr>
      </w:pPr>
      <w:r>
        <w:rPr>
          <w:b/>
        </w:rPr>
        <w:t>TEIL B</w:t>
      </w:r>
    </w:p>
    <w:p>
      <w:pPr>
        <w:pStyle w:val="GesAbsatz"/>
        <w:jc w:val="center"/>
        <w:rPr>
          <w:b/>
        </w:rPr>
      </w:pPr>
      <w:r>
        <w:rPr>
          <w:b/>
        </w:rPr>
        <w:t>Fristen für die Umsetzung in innerstaatliches Recht und für die Anwendung</w:t>
      </w:r>
      <w:r>
        <w:rPr>
          <w:b/>
        </w:rPr>
        <w:br/>
        <w:t>(gemäß Artikel 29)</w:t>
      </w:r>
    </w:p>
    <w:p>
      <w:pPr>
        <w:pStyle w:val="GesAbsatz"/>
      </w:pPr>
    </w:p>
    <w:tbl>
      <w:tblPr>
        <w:tblStyle w:val="Tabellenraster"/>
        <w:tblW w:w="0" w:type="auto"/>
        <w:tblLook w:val="01E0" w:firstRow="1" w:lastRow="1" w:firstColumn="1" w:lastColumn="1" w:noHBand="0" w:noVBand="0"/>
      </w:tblPr>
      <w:tblGrid>
        <w:gridCol w:w="3085"/>
        <w:gridCol w:w="2835"/>
        <w:gridCol w:w="3544"/>
      </w:tblGrid>
      <w:tr>
        <w:tc>
          <w:tcPr>
            <w:tcW w:w="3085" w:type="dxa"/>
          </w:tcPr>
          <w:p>
            <w:pPr>
              <w:pStyle w:val="GesAbsatz"/>
              <w:jc w:val="center"/>
            </w:pPr>
            <w:r>
              <w:t>Richtlinie</w:t>
            </w:r>
          </w:p>
        </w:tc>
        <w:tc>
          <w:tcPr>
            <w:tcW w:w="2835" w:type="dxa"/>
          </w:tcPr>
          <w:p>
            <w:pPr>
              <w:pStyle w:val="GesAbsatz"/>
              <w:jc w:val="center"/>
            </w:pPr>
            <w:r>
              <w:t>Umsetzungsfrist</w:t>
            </w:r>
          </w:p>
        </w:tc>
        <w:tc>
          <w:tcPr>
            <w:tcW w:w="3544" w:type="dxa"/>
          </w:tcPr>
          <w:p>
            <w:pPr>
              <w:pStyle w:val="GesAbsatz"/>
              <w:jc w:val="center"/>
            </w:pPr>
            <w:r>
              <w:t>Datum der Anwendung</w:t>
            </w:r>
          </w:p>
        </w:tc>
      </w:tr>
      <w:tr>
        <w:tc>
          <w:tcPr>
            <w:tcW w:w="3085" w:type="dxa"/>
          </w:tcPr>
          <w:p>
            <w:pPr>
              <w:pStyle w:val="GesAbsatz"/>
            </w:pPr>
            <w:r>
              <w:t>2002/91/EG</w:t>
            </w:r>
          </w:p>
        </w:tc>
        <w:tc>
          <w:tcPr>
            <w:tcW w:w="2835" w:type="dxa"/>
          </w:tcPr>
          <w:p>
            <w:pPr>
              <w:pStyle w:val="GesAbsatz"/>
            </w:pPr>
            <w:r>
              <w:t>4. Januar 2006</w:t>
            </w:r>
          </w:p>
        </w:tc>
        <w:tc>
          <w:tcPr>
            <w:tcW w:w="3544" w:type="dxa"/>
          </w:tcPr>
          <w:p>
            <w:pPr>
              <w:pStyle w:val="GesAbsatz"/>
            </w:pPr>
            <w:r>
              <w:t>4. Januar 2009, nur Artikel 7, 8 und 9</w:t>
            </w:r>
          </w:p>
        </w:tc>
      </w:tr>
    </w:tbl>
    <w:p>
      <w:pPr>
        <w:pStyle w:val="GesAbsatz"/>
      </w:pPr>
    </w:p>
    <w:p>
      <w:pPr>
        <w:pStyle w:val="berschrift2"/>
        <w:jc w:val="left"/>
      </w:pPr>
      <w:bookmarkStart w:id="40" w:name="_Toc519758802"/>
      <w:r>
        <w:t>ANHANG V</w:t>
      </w:r>
      <w:bookmarkEnd w:id="40"/>
    </w:p>
    <w:p>
      <w:pPr>
        <w:pStyle w:val="GesAbsatz"/>
        <w:jc w:val="center"/>
        <w:rPr>
          <w:b/>
        </w:rPr>
      </w:pPr>
      <w:r>
        <w:rPr>
          <w:b/>
        </w:rPr>
        <w:t>Entsprechungstabelle</w:t>
      </w:r>
    </w:p>
    <w:p>
      <w:pPr>
        <w:pStyle w:val="GesAbsatz"/>
      </w:pPr>
    </w:p>
    <w:tbl>
      <w:tblPr>
        <w:tblStyle w:val="Tabellenraster"/>
        <w:tblW w:w="9039" w:type="dxa"/>
        <w:tblLook w:val="01E0" w:firstRow="1" w:lastRow="1" w:firstColumn="1" w:lastColumn="1" w:noHBand="0" w:noVBand="0"/>
      </w:tblPr>
      <w:tblGrid>
        <w:gridCol w:w="3369"/>
        <w:gridCol w:w="5670"/>
      </w:tblGrid>
      <w:tr>
        <w:tc>
          <w:tcPr>
            <w:tcW w:w="3369" w:type="dxa"/>
          </w:tcPr>
          <w:p>
            <w:pPr>
              <w:pStyle w:val="GesAbsatz"/>
              <w:tabs>
                <w:tab w:val="clear" w:pos="425"/>
              </w:tabs>
              <w:jc w:val="center"/>
            </w:pPr>
            <w:r>
              <w:t>Richtlinie 2002/91/EG</w:t>
            </w:r>
          </w:p>
        </w:tc>
        <w:tc>
          <w:tcPr>
            <w:tcW w:w="5670" w:type="dxa"/>
          </w:tcPr>
          <w:p>
            <w:pPr>
              <w:pStyle w:val="GesAbsatz"/>
              <w:tabs>
                <w:tab w:val="clear" w:pos="425"/>
              </w:tabs>
              <w:jc w:val="center"/>
            </w:pPr>
            <w:r>
              <w:t>Vorliegende Richtlinie</w:t>
            </w:r>
          </w:p>
        </w:tc>
      </w:tr>
      <w:tr>
        <w:tc>
          <w:tcPr>
            <w:tcW w:w="3369" w:type="dxa"/>
          </w:tcPr>
          <w:p>
            <w:pPr>
              <w:pStyle w:val="GesAbsatz"/>
              <w:tabs>
                <w:tab w:val="clear" w:pos="425"/>
              </w:tabs>
            </w:pPr>
            <w:r>
              <w:t>Artikel 1</w:t>
            </w:r>
          </w:p>
        </w:tc>
        <w:tc>
          <w:tcPr>
            <w:tcW w:w="5670" w:type="dxa"/>
          </w:tcPr>
          <w:p>
            <w:pPr>
              <w:pStyle w:val="GesAbsatz"/>
              <w:tabs>
                <w:tab w:val="clear" w:pos="425"/>
              </w:tabs>
            </w:pPr>
            <w:r>
              <w:t>Artikel 1</w:t>
            </w:r>
          </w:p>
        </w:tc>
      </w:tr>
      <w:tr>
        <w:tc>
          <w:tcPr>
            <w:tcW w:w="3369" w:type="dxa"/>
          </w:tcPr>
          <w:p>
            <w:pPr>
              <w:pStyle w:val="GesAbsatz"/>
              <w:tabs>
                <w:tab w:val="clear" w:pos="425"/>
              </w:tabs>
            </w:pPr>
            <w:r>
              <w:lastRenderedPageBreak/>
              <w:t>Artikel 2 Nummer 1</w:t>
            </w:r>
          </w:p>
        </w:tc>
        <w:tc>
          <w:tcPr>
            <w:tcW w:w="5670" w:type="dxa"/>
          </w:tcPr>
          <w:p>
            <w:pPr>
              <w:pStyle w:val="GesAbsatz"/>
              <w:tabs>
                <w:tab w:val="clear" w:pos="425"/>
              </w:tabs>
            </w:pPr>
            <w:r>
              <w:t>Artikel 2 Nummer 1</w:t>
            </w:r>
          </w:p>
        </w:tc>
      </w:tr>
      <w:tr>
        <w:tc>
          <w:tcPr>
            <w:tcW w:w="3369" w:type="dxa"/>
          </w:tcPr>
          <w:p>
            <w:pPr>
              <w:pStyle w:val="GesAbsatz"/>
              <w:tabs>
                <w:tab w:val="clear" w:pos="425"/>
              </w:tabs>
            </w:pPr>
            <w:r>
              <w:t>—</w:t>
            </w:r>
          </w:p>
        </w:tc>
        <w:tc>
          <w:tcPr>
            <w:tcW w:w="5670" w:type="dxa"/>
          </w:tcPr>
          <w:p>
            <w:pPr>
              <w:pStyle w:val="GesAbsatz"/>
              <w:tabs>
                <w:tab w:val="clear" w:pos="425"/>
              </w:tabs>
            </w:pPr>
            <w:r>
              <w:t>Artikel 2 Nummern 2 und 3</w:t>
            </w:r>
          </w:p>
        </w:tc>
      </w:tr>
      <w:tr>
        <w:tc>
          <w:tcPr>
            <w:tcW w:w="3369" w:type="dxa"/>
          </w:tcPr>
          <w:p>
            <w:pPr>
              <w:pStyle w:val="GesAbsatz"/>
              <w:tabs>
                <w:tab w:val="clear" w:pos="425"/>
              </w:tabs>
            </w:pPr>
            <w:r>
              <w:t>Artikel 2 Nummer 2</w:t>
            </w:r>
          </w:p>
        </w:tc>
        <w:tc>
          <w:tcPr>
            <w:tcW w:w="5670" w:type="dxa"/>
          </w:tcPr>
          <w:p>
            <w:pPr>
              <w:pStyle w:val="GesAbsatz"/>
              <w:tabs>
                <w:tab w:val="clear" w:pos="425"/>
              </w:tabs>
            </w:pPr>
            <w:r>
              <w:t>Artikel 2 Nummer 4 und Anhang I</w:t>
            </w:r>
          </w:p>
        </w:tc>
      </w:tr>
      <w:tr>
        <w:tc>
          <w:tcPr>
            <w:tcW w:w="3369" w:type="dxa"/>
          </w:tcPr>
          <w:p>
            <w:pPr>
              <w:pStyle w:val="GesAbsatz"/>
              <w:tabs>
                <w:tab w:val="clear" w:pos="425"/>
              </w:tabs>
            </w:pPr>
            <w:r>
              <w:t>—</w:t>
            </w:r>
          </w:p>
        </w:tc>
        <w:tc>
          <w:tcPr>
            <w:tcW w:w="5670" w:type="dxa"/>
          </w:tcPr>
          <w:p>
            <w:pPr>
              <w:pStyle w:val="GesAbsatz"/>
              <w:tabs>
                <w:tab w:val="clear" w:pos="425"/>
              </w:tabs>
            </w:pPr>
            <w:r>
              <w:t>Artikel 2 Nummern 5, 6, 7, 8, 9, 10 und 11</w:t>
            </w:r>
          </w:p>
        </w:tc>
      </w:tr>
      <w:tr>
        <w:tc>
          <w:tcPr>
            <w:tcW w:w="3369" w:type="dxa"/>
          </w:tcPr>
          <w:p>
            <w:pPr>
              <w:pStyle w:val="GesAbsatz"/>
              <w:tabs>
                <w:tab w:val="clear" w:pos="425"/>
              </w:tabs>
            </w:pPr>
            <w:r>
              <w:t>Artikel 2 Nummer 3</w:t>
            </w:r>
          </w:p>
        </w:tc>
        <w:tc>
          <w:tcPr>
            <w:tcW w:w="5670" w:type="dxa"/>
          </w:tcPr>
          <w:p>
            <w:pPr>
              <w:pStyle w:val="GesAbsatz"/>
              <w:tabs>
                <w:tab w:val="clear" w:pos="425"/>
              </w:tabs>
            </w:pPr>
            <w:r>
              <w:t>Artikel 2 Nummer 12</w:t>
            </w:r>
          </w:p>
        </w:tc>
      </w:tr>
      <w:tr>
        <w:tc>
          <w:tcPr>
            <w:tcW w:w="3369" w:type="dxa"/>
          </w:tcPr>
          <w:p>
            <w:pPr>
              <w:pStyle w:val="GesAbsatz"/>
              <w:tabs>
                <w:tab w:val="clear" w:pos="425"/>
              </w:tabs>
            </w:pPr>
            <w:r>
              <w:t>Artikel 2 Nummer 4</w:t>
            </w:r>
          </w:p>
        </w:tc>
        <w:tc>
          <w:tcPr>
            <w:tcW w:w="5670" w:type="dxa"/>
          </w:tcPr>
          <w:p>
            <w:pPr>
              <w:pStyle w:val="GesAbsatz"/>
              <w:tabs>
                <w:tab w:val="clear" w:pos="425"/>
              </w:tabs>
            </w:pPr>
            <w:r>
              <w:t>Artikel 2 Nummer 13</w:t>
            </w:r>
          </w:p>
        </w:tc>
      </w:tr>
      <w:tr>
        <w:tc>
          <w:tcPr>
            <w:tcW w:w="3369" w:type="dxa"/>
          </w:tcPr>
          <w:p>
            <w:pPr>
              <w:pStyle w:val="GesAbsatz"/>
              <w:tabs>
                <w:tab w:val="clear" w:pos="425"/>
              </w:tabs>
            </w:pPr>
            <w:r>
              <w:t>—</w:t>
            </w:r>
          </w:p>
        </w:tc>
        <w:tc>
          <w:tcPr>
            <w:tcW w:w="5670" w:type="dxa"/>
          </w:tcPr>
          <w:p>
            <w:pPr>
              <w:pStyle w:val="GesAbsatz"/>
              <w:tabs>
                <w:tab w:val="clear" w:pos="425"/>
              </w:tabs>
            </w:pPr>
            <w:r>
              <w:t>Artikel 2 Nummer 14</w:t>
            </w:r>
          </w:p>
        </w:tc>
      </w:tr>
      <w:tr>
        <w:tc>
          <w:tcPr>
            <w:tcW w:w="3369" w:type="dxa"/>
          </w:tcPr>
          <w:p>
            <w:pPr>
              <w:pStyle w:val="GesAbsatz"/>
              <w:tabs>
                <w:tab w:val="clear" w:pos="425"/>
              </w:tabs>
            </w:pPr>
            <w:r>
              <w:t>Artikel 2 Nummer 5</w:t>
            </w:r>
          </w:p>
        </w:tc>
        <w:tc>
          <w:tcPr>
            <w:tcW w:w="5670" w:type="dxa"/>
          </w:tcPr>
          <w:p>
            <w:pPr>
              <w:pStyle w:val="GesAbsatz"/>
              <w:tabs>
                <w:tab w:val="clear" w:pos="425"/>
              </w:tabs>
            </w:pPr>
            <w:r>
              <w:t>Artikel 2 Nummer 15</w:t>
            </w:r>
          </w:p>
        </w:tc>
      </w:tr>
      <w:tr>
        <w:tc>
          <w:tcPr>
            <w:tcW w:w="3369" w:type="dxa"/>
          </w:tcPr>
          <w:p>
            <w:pPr>
              <w:pStyle w:val="GesAbsatz"/>
              <w:tabs>
                <w:tab w:val="clear" w:pos="425"/>
              </w:tabs>
            </w:pPr>
            <w:r>
              <w:t>Artikel 2 Nummer 6</w:t>
            </w:r>
          </w:p>
        </w:tc>
        <w:tc>
          <w:tcPr>
            <w:tcW w:w="5670" w:type="dxa"/>
          </w:tcPr>
          <w:p>
            <w:pPr>
              <w:pStyle w:val="GesAbsatz"/>
              <w:tabs>
                <w:tab w:val="clear" w:pos="425"/>
              </w:tabs>
            </w:pPr>
            <w:r>
              <w:t>Artikel 2 Nummer 16</w:t>
            </w:r>
          </w:p>
        </w:tc>
      </w:tr>
      <w:tr>
        <w:tc>
          <w:tcPr>
            <w:tcW w:w="3369" w:type="dxa"/>
          </w:tcPr>
          <w:p>
            <w:pPr>
              <w:pStyle w:val="GesAbsatz"/>
              <w:tabs>
                <w:tab w:val="clear" w:pos="425"/>
              </w:tabs>
            </w:pPr>
            <w:r>
              <w:t>Artikel 2 Nummer 7</w:t>
            </w:r>
          </w:p>
        </w:tc>
        <w:tc>
          <w:tcPr>
            <w:tcW w:w="5670" w:type="dxa"/>
          </w:tcPr>
          <w:p>
            <w:pPr>
              <w:pStyle w:val="GesAbsatz"/>
              <w:tabs>
                <w:tab w:val="clear" w:pos="425"/>
              </w:tabs>
            </w:pPr>
            <w:r>
              <w:t>Artikel 2 Nummer 17</w:t>
            </w:r>
          </w:p>
        </w:tc>
      </w:tr>
      <w:tr>
        <w:tc>
          <w:tcPr>
            <w:tcW w:w="3369" w:type="dxa"/>
          </w:tcPr>
          <w:p>
            <w:pPr>
              <w:pStyle w:val="GesAbsatz"/>
              <w:tabs>
                <w:tab w:val="clear" w:pos="425"/>
              </w:tabs>
            </w:pPr>
            <w:r>
              <w:t>Artikel 2 Nummer 8</w:t>
            </w:r>
          </w:p>
        </w:tc>
        <w:tc>
          <w:tcPr>
            <w:tcW w:w="5670" w:type="dxa"/>
          </w:tcPr>
          <w:p>
            <w:pPr>
              <w:pStyle w:val="GesAbsatz"/>
              <w:tabs>
                <w:tab w:val="clear" w:pos="425"/>
              </w:tabs>
            </w:pPr>
            <w:r>
              <w:t>Artikel 2 Nummer 18</w:t>
            </w:r>
          </w:p>
        </w:tc>
      </w:tr>
      <w:tr>
        <w:tc>
          <w:tcPr>
            <w:tcW w:w="3369" w:type="dxa"/>
          </w:tcPr>
          <w:p>
            <w:pPr>
              <w:pStyle w:val="GesAbsatz"/>
              <w:tabs>
                <w:tab w:val="clear" w:pos="425"/>
              </w:tabs>
            </w:pPr>
            <w:r>
              <w:t>—</w:t>
            </w:r>
          </w:p>
        </w:tc>
        <w:tc>
          <w:tcPr>
            <w:tcW w:w="5670" w:type="dxa"/>
          </w:tcPr>
          <w:p>
            <w:pPr>
              <w:pStyle w:val="GesAbsatz"/>
              <w:tabs>
                <w:tab w:val="clear" w:pos="425"/>
              </w:tabs>
            </w:pPr>
            <w:r>
              <w:t>Artikel 2 Nummer 19</w:t>
            </w:r>
          </w:p>
        </w:tc>
      </w:tr>
      <w:tr>
        <w:tc>
          <w:tcPr>
            <w:tcW w:w="3369" w:type="dxa"/>
          </w:tcPr>
          <w:p>
            <w:pPr>
              <w:pStyle w:val="GesAbsatz"/>
              <w:tabs>
                <w:tab w:val="clear" w:pos="425"/>
              </w:tabs>
            </w:pPr>
            <w:r>
              <w:t>Artikel 3</w:t>
            </w:r>
          </w:p>
        </w:tc>
        <w:tc>
          <w:tcPr>
            <w:tcW w:w="5670" w:type="dxa"/>
          </w:tcPr>
          <w:p>
            <w:pPr>
              <w:pStyle w:val="GesAbsatz"/>
              <w:tabs>
                <w:tab w:val="clear" w:pos="425"/>
              </w:tabs>
            </w:pPr>
            <w:r>
              <w:t>Artikel 3 und Anhang I</w:t>
            </w:r>
          </w:p>
        </w:tc>
      </w:tr>
      <w:tr>
        <w:tc>
          <w:tcPr>
            <w:tcW w:w="3369" w:type="dxa"/>
          </w:tcPr>
          <w:p>
            <w:pPr>
              <w:pStyle w:val="GesAbsatz"/>
              <w:tabs>
                <w:tab w:val="clear" w:pos="425"/>
              </w:tabs>
            </w:pPr>
            <w:r>
              <w:t>Artikel 4 Absatz 1</w:t>
            </w:r>
          </w:p>
        </w:tc>
        <w:tc>
          <w:tcPr>
            <w:tcW w:w="5670" w:type="dxa"/>
          </w:tcPr>
          <w:p>
            <w:pPr>
              <w:pStyle w:val="GesAbsatz"/>
              <w:tabs>
                <w:tab w:val="clear" w:pos="425"/>
              </w:tabs>
            </w:pPr>
            <w:r>
              <w:t>Artikel 4 Absatz 1</w:t>
            </w:r>
          </w:p>
        </w:tc>
      </w:tr>
      <w:tr>
        <w:tc>
          <w:tcPr>
            <w:tcW w:w="3369" w:type="dxa"/>
          </w:tcPr>
          <w:p>
            <w:pPr>
              <w:pStyle w:val="GesAbsatz"/>
              <w:tabs>
                <w:tab w:val="clear" w:pos="425"/>
              </w:tabs>
            </w:pPr>
            <w:r>
              <w:t>Artikel 4 Absatz 2</w:t>
            </w:r>
          </w:p>
        </w:tc>
        <w:tc>
          <w:tcPr>
            <w:tcW w:w="5670" w:type="dxa"/>
          </w:tcPr>
          <w:p>
            <w:pPr>
              <w:pStyle w:val="GesAbsatz"/>
              <w:tabs>
                <w:tab w:val="clear" w:pos="425"/>
              </w:tabs>
            </w:pPr>
            <w:r>
              <w:t>—</w:t>
            </w:r>
          </w:p>
        </w:tc>
      </w:tr>
      <w:tr>
        <w:tc>
          <w:tcPr>
            <w:tcW w:w="3369" w:type="dxa"/>
          </w:tcPr>
          <w:p>
            <w:pPr>
              <w:pStyle w:val="GesAbsatz"/>
              <w:tabs>
                <w:tab w:val="clear" w:pos="425"/>
              </w:tabs>
            </w:pPr>
            <w:r>
              <w:t>Artikel 4 Absatz 3</w:t>
            </w:r>
          </w:p>
        </w:tc>
        <w:tc>
          <w:tcPr>
            <w:tcW w:w="5670" w:type="dxa"/>
          </w:tcPr>
          <w:p>
            <w:pPr>
              <w:pStyle w:val="GesAbsatz"/>
              <w:tabs>
                <w:tab w:val="clear" w:pos="425"/>
              </w:tabs>
            </w:pPr>
            <w:r>
              <w:t>Artikel 4 Absatz 2</w:t>
            </w:r>
          </w:p>
        </w:tc>
      </w:tr>
      <w:tr>
        <w:tc>
          <w:tcPr>
            <w:tcW w:w="3369" w:type="dxa"/>
          </w:tcPr>
          <w:p>
            <w:pPr>
              <w:pStyle w:val="GesAbsatz"/>
              <w:tabs>
                <w:tab w:val="clear" w:pos="425"/>
              </w:tabs>
            </w:pPr>
            <w:r>
              <w:t>—</w:t>
            </w:r>
          </w:p>
        </w:tc>
        <w:tc>
          <w:tcPr>
            <w:tcW w:w="5670" w:type="dxa"/>
          </w:tcPr>
          <w:p>
            <w:pPr>
              <w:pStyle w:val="GesAbsatz"/>
              <w:tabs>
                <w:tab w:val="clear" w:pos="425"/>
              </w:tabs>
            </w:pPr>
            <w:r>
              <w:t>Artikel 5</w:t>
            </w:r>
          </w:p>
        </w:tc>
      </w:tr>
      <w:tr>
        <w:tc>
          <w:tcPr>
            <w:tcW w:w="3369" w:type="dxa"/>
          </w:tcPr>
          <w:p>
            <w:pPr>
              <w:pStyle w:val="GesAbsatz"/>
              <w:tabs>
                <w:tab w:val="clear" w:pos="425"/>
              </w:tabs>
            </w:pPr>
            <w:r>
              <w:t>Artikel 5</w:t>
            </w:r>
          </w:p>
        </w:tc>
        <w:tc>
          <w:tcPr>
            <w:tcW w:w="5670" w:type="dxa"/>
          </w:tcPr>
          <w:p>
            <w:pPr>
              <w:pStyle w:val="GesAbsatz"/>
              <w:tabs>
                <w:tab w:val="clear" w:pos="425"/>
              </w:tabs>
            </w:pPr>
            <w:r>
              <w:t>Artikel 6 Absatz 1</w:t>
            </w:r>
          </w:p>
        </w:tc>
      </w:tr>
      <w:tr>
        <w:tc>
          <w:tcPr>
            <w:tcW w:w="3369" w:type="dxa"/>
          </w:tcPr>
          <w:p>
            <w:pPr>
              <w:pStyle w:val="GesAbsatz"/>
              <w:tabs>
                <w:tab w:val="clear" w:pos="425"/>
              </w:tabs>
            </w:pPr>
            <w:r>
              <w:t>—</w:t>
            </w:r>
          </w:p>
        </w:tc>
        <w:tc>
          <w:tcPr>
            <w:tcW w:w="5670" w:type="dxa"/>
          </w:tcPr>
          <w:p>
            <w:pPr>
              <w:pStyle w:val="GesAbsatz"/>
              <w:tabs>
                <w:tab w:val="clear" w:pos="425"/>
              </w:tabs>
            </w:pPr>
            <w:r>
              <w:t>Artikel 6 Absätze 2 und 3</w:t>
            </w:r>
          </w:p>
        </w:tc>
      </w:tr>
      <w:tr>
        <w:tc>
          <w:tcPr>
            <w:tcW w:w="3369" w:type="dxa"/>
          </w:tcPr>
          <w:p>
            <w:pPr>
              <w:pStyle w:val="GesAbsatz"/>
              <w:tabs>
                <w:tab w:val="clear" w:pos="425"/>
              </w:tabs>
            </w:pPr>
            <w:r>
              <w:t>Artikel 6</w:t>
            </w:r>
          </w:p>
        </w:tc>
        <w:tc>
          <w:tcPr>
            <w:tcW w:w="5670" w:type="dxa"/>
          </w:tcPr>
          <w:p>
            <w:pPr>
              <w:pStyle w:val="GesAbsatz"/>
              <w:tabs>
                <w:tab w:val="clear" w:pos="425"/>
              </w:tabs>
            </w:pPr>
            <w:r>
              <w:t>Artikel 7</w:t>
            </w:r>
          </w:p>
        </w:tc>
      </w:tr>
      <w:tr>
        <w:tc>
          <w:tcPr>
            <w:tcW w:w="3369" w:type="dxa"/>
          </w:tcPr>
          <w:p>
            <w:pPr>
              <w:pStyle w:val="GesAbsatz"/>
              <w:tabs>
                <w:tab w:val="clear" w:pos="425"/>
              </w:tabs>
            </w:pPr>
            <w:r>
              <w:t>—</w:t>
            </w:r>
          </w:p>
        </w:tc>
        <w:tc>
          <w:tcPr>
            <w:tcW w:w="5670" w:type="dxa"/>
          </w:tcPr>
          <w:p>
            <w:pPr>
              <w:pStyle w:val="GesAbsatz"/>
              <w:tabs>
                <w:tab w:val="clear" w:pos="425"/>
              </w:tabs>
            </w:pPr>
            <w:r>
              <w:t>Artikel 8, 9 und 10</w:t>
            </w:r>
          </w:p>
        </w:tc>
      </w:tr>
      <w:tr>
        <w:tc>
          <w:tcPr>
            <w:tcW w:w="3369" w:type="dxa"/>
          </w:tcPr>
          <w:p>
            <w:pPr>
              <w:pStyle w:val="GesAbsatz"/>
              <w:tabs>
                <w:tab w:val="clear" w:pos="425"/>
              </w:tabs>
            </w:pPr>
            <w:r>
              <w:t>Artikel 7 Absatz 1 Unterabsatz 1</w:t>
            </w:r>
          </w:p>
        </w:tc>
        <w:tc>
          <w:tcPr>
            <w:tcW w:w="5670" w:type="dxa"/>
          </w:tcPr>
          <w:p>
            <w:pPr>
              <w:pStyle w:val="GesAbsatz"/>
              <w:tabs>
                <w:tab w:val="clear" w:pos="425"/>
              </w:tabs>
            </w:pPr>
            <w:r>
              <w:t>Artikel 11 Absatz 8 und Artikel 12 Absatz 2</w:t>
            </w:r>
          </w:p>
        </w:tc>
      </w:tr>
      <w:tr>
        <w:tc>
          <w:tcPr>
            <w:tcW w:w="3369" w:type="dxa"/>
          </w:tcPr>
          <w:p>
            <w:pPr>
              <w:pStyle w:val="GesAbsatz"/>
              <w:tabs>
                <w:tab w:val="clear" w:pos="425"/>
              </w:tabs>
            </w:pPr>
            <w:r>
              <w:t>Artikel 7 Absatz 1 Unterabsatz 2</w:t>
            </w:r>
          </w:p>
        </w:tc>
        <w:tc>
          <w:tcPr>
            <w:tcW w:w="5670" w:type="dxa"/>
          </w:tcPr>
          <w:p>
            <w:pPr>
              <w:pStyle w:val="GesAbsatz"/>
              <w:tabs>
                <w:tab w:val="clear" w:pos="425"/>
              </w:tabs>
            </w:pPr>
            <w:r>
              <w:t>Artikel 11 Absatz 6</w:t>
            </w:r>
          </w:p>
        </w:tc>
      </w:tr>
      <w:tr>
        <w:tc>
          <w:tcPr>
            <w:tcW w:w="3369" w:type="dxa"/>
          </w:tcPr>
          <w:p>
            <w:pPr>
              <w:pStyle w:val="GesAbsatz"/>
              <w:tabs>
                <w:tab w:val="clear" w:pos="425"/>
              </w:tabs>
            </w:pPr>
            <w:r>
              <w:t>Artikel 7 Absatz 1 Unterabsatz 3</w:t>
            </w:r>
          </w:p>
        </w:tc>
        <w:tc>
          <w:tcPr>
            <w:tcW w:w="5670" w:type="dxa"/>
          </w:tcPr>
          <w:p>
            <w:pPr>
              <w:pStyle w:val="GesAbsatz"/>
              <w:tabs>
                <w:tab w:val="clear" w:pos="425"/>
              </w:tabs>
            </w:pPr>
            <w:r>
              <w:t>Artikel 12 Absatz 6</w:t>
            </w:r>
          </w:p>
        </w:tc>
      </w:tr>
      <w:tr>
        <w:tc>
          <w:tcPr>
            <w:tcW w:w="3369" w:type="dxa"/>
          </w:tcPr>
          <w:p>
            <w:pPr>
              <w:pStyle w:val="GesAbsatz"/>
              <w:tabs>
                <w:tab w:val="clear" w:pos="425"/>
              </w:tabs>
            </w:pPr>
            <w:r>
              <w:t>Artikel 7 Absatz 2</w:t>
            </w:r>
          </w:p>
        </w:tc>
        <w:tc>
          <w:tcPr>
            <w:tcW w:w="5670" w:type="dxa"/>
          </w:tcPr>
          <w:p>
            <w:pPr>
              <w:pStyle w:val="GesAbsatz"/>
              <w:tabs>
                <w:tab w:val="clear" w:pos="425"/>
              </w:tabs>
            </w:pPr>
            <w:r>
              <w:t>Artikel 11 Absätze 1 und 2</w:t>
            </w:r>
          </w:p>
        </w:tc>
      </w:tr>
      <w:tr>
        <w:tc>
          <w:tcPr>
            <w:tcW w:w="3369" w:type="dxa"/>
          </w:tcPr>
          <w:p>
            <w:pPr>
              <w:pStyle w:val="GesAbsatz"/>
              <w:tabs>
                <w:tab w:val="clear" w:pos="425"/>
              </w:tabs>
            </w:pPr>
            <w:r>
              <w:t>—</w:t>
            </w:r>
          </w:p>
        </w:tc>
        <w:tc>
          <w:tcPr>
            <w:tcW w:w="5670" w:type="dxa"/>
          </w:tcPr>
          <w:p>
            <w:pPr>
              <w:pStyle w:val="GesAbsatz"/>
              <w:tabs>
                <w:tab w:val="clear" w:pos="425"/>
              </w:tabs>
            </w:pPr>
            <w:r>
              <w:t>Artikel 11 Absätze 3, 4, 5, 7 und 9</w:t>
            </w:r>
          </w:p>
        </w:tc>
      </w:tr>
      <w:tr>
        <w:tc>
          <w:tcPr>
            <w:tcW w:w="3369" w:type="dxa"/>
          </w:tcPr>
          <w:p>
            <w:pPr>
              <w:pStyle w:val="GesAbsatz"/>
              <w:tabs>
                <w:tab w:val="clear" w:pos="425"/>
              </w:tabs>
            </w:pPr>
            <w:r>
              <w:t>—</w:t>
            </w:r>
          </w:p>
        </w:tc>
        <w:tc>
          <w:tcPr>
            <w:tcW w:w="5670" w:type="dxa"/>
          </w:tcPr>
          <w:p>
            <w:pPr>
              <w:pStyle w:val="GesAbsatz"/>
              <w:tabs>
                <w:tab w:val="clear" w:pos="425"/>
              </w:tabs>
            </w:pPr>
            <w:r>
              <w:t>Artikel 12 Absätze 1, 3, 4, 5 und 7</w:t>
            </w:r>
          </w:p>
        </w:tc>
      </w:tr>
      <w:tr>
        <w:tc>
          <w:tcPr>
            <w:tcW w:w="3369" w:type="dxa"/>
          </w:tcPr>
          <w:p>
            <w:pPr>
              <w:pStyle w:val="GesAbsatz"/>
              <w:tabs>
                <w:tab w:val="clear" w:pos="425"/>
              </w:tabs>
            </w:pPr>
            <w:r>
              <w:t>Artikel 7 Absatz 3</w:t>
            </w:r>
          </w:p>
        </w:tc>
        <w:tc>
          <w:tcPr>
            <w:tcW w:w="5670" w:type="dxa"/>
          </w:tcPr>
          <w:p>
            <w:pPr>
              <w:pStyle w:val="GesAbsatz"/>
              <w:tabs>
                <w:tab w:val="clear" w:pos="425"/>
              </w:tabs>
            </w:pPr>
            <w:r>
              <w:t>Artikel 13 Absätze 1 und 3</w:t>
            </w:r>
          </w:p>
        </w:tc>
      </w:tr>
      <w:tr>
        <w:tc>
          <w:tcPr>
            <w:tcW w:w="3369" w:type="dxa"/>
          </w:tcPr>
          <w:p>
            <w:pPr>
              <w:pStyle w:val="GesAbsatz"/>
              <w:tabs>
                <w:tab w:val="clear" w:pos="425"/>
              </w:tabs>
            </w:pPr>
            <w:r>
              <w:t>—</w:t>
            </w:r>
          </w:p>
        </w:tc>
        <w:tc>
          <w:tcPr>
            <w:tcW w:w="5670" w:type="dxa"/>
          </w:tcPr>
          <w:p>
            <w:pPr>
              <w:pStyle w:val="GesAbsatz"/>
              <w:tabs>
                <w:tab w:val="clear" w:pos="425"/>
              </w:tabs>
            </w:pPr>
            <w:r>
              <w:t>Artikel 13 Absatz 2</w:t>
            </w:r>
          </w:p>
        </w:tc>
      </w:tr>
      <w:tr>
        <w:tc>
          <w:tcPr>
            <w:tcW w:w="3369" w:type="dxa"/>
          </w:tcPr>
          <w:p>
            <w:pPr>
              <w:pStyle w:val="GesAbsatz"/>
              <w:tabs>
                <w:tab w:val="clear" w:pos="425"/>
              </w:tabs>
            </w:pPr>
            <w:r>
              <w:t>Artikel 8 Buchstabe a</w:t>
            </w:r>
          </w:p>
        </w:tc>
        <w:tc>
          <w:tcPr>
            <w:tcW w:w="5670" w:type="dxa"/>
          </w:tcPr>
          <w:p>
            <w:pPr>
              <w:pStyle w:val="GesAbsatz"/>
              <w:tabs>
                <w:tab w:val="clear" w:pos="425"/>
              </w:tabs>
            </w:pPr>
            <w:r>
              <w:t>Artikel 14 Absätze 1 und 3</w:t>
            </w:r>
          </w:p>
        </w:tc>
      </w:tr>
      <w:tr>
        <w:tc>
          <w:tcPr>
            <w:tcW w:w="3369" w:type="dxa"/>
          </w:tcPr>
          <w:p>
            <w:pPr>
              <w:pStyle w:val="GesAbsatz"/>
              <w:tabs>
                <w:tab w:val="clear" w:pos="425"/>
              </w:tabs>
            </w:pPr>
            <w:r>
              <w:t>—</w:t>
            </w:r>
          </w:p>
        </w:tc>
        <w:tc>
          <w:tcPr>
            <w:tcW w:w="5670" w:type="dxa"/>
          </w:tcPr>
          <w:p>
            <w:pPr>
              <w:pStyle w:val="GesAbsatz"/>
              <w:tabs>
                <w:tab w:val="clear" w:pos="425"/>
              </w:tabs>
            </w:pPr>
            <w:r>
              <w:t>Artikel 14 Absatz 2</w:t>
            </w:r>
          </w:p>
        </w:tc>
      </w:tr>
      <w:tr>
        <w:tc>
          <w:tcPr>
            <w:tcW w:w="3369" w:type="dxa"/>
          </w:tcPr>
          <w:p>
            <w:pPr>
              <w:pStyle w:val="GesAbsatz"/>
              <w:tabs>
                <w:tab w:val="clear" w:pos="425"/>
              </w:tabs>
            </w:pPr>
            <w:r>
              <w:t>Artikel 8 Buchstabe b</w:t>
            </w:r>
          </w:p>
        </w:tc>
        <w:tc>
          <w:tcPr>
            <w:tcW w:w="5670" w:type="dxa"/>
          </w:tcPr>
          <w:p>
            <w:pPr>
              <w:pStyle w:val="GesAbsatz"/>
              <w:tabs>
                <w:tab w:val="clear" w:pos="425"/>
              </w:tabs>
            </w:pPr>
            <w:r>
              <w:t>Artikel 14 Absatz 4</w:t>
            </w:r>
          </w:p>
        </w:tc>
      </w:tr>
      <w:tr>
        <w:tc>
          <w:tcPr>
            <w:tcW w:w="3369" w:type="dxa"/>
          </w:tcPr>
          <w:p>
            <w:pPr>
              <w:pStyle w:val="GesAbsatz"/>
              <w:tabs>
                <w:tab w:val="clear" w:pos="425"/>
              </w:tabs>
            </w:pPr>
            <w:r>
              <w:t>—</w:t>
            </w:r>
          </w:p>
        </w:tc>
        <w:tc>
          <w:tcPr>
            <w:tcW w:w="5670" w:type="dxa"/>
          </w:tcPr>
          <w:p>
            <w:pPr>
              <w:pStyle w:val="GesAbsatz"/>
              <w:tabs>
                <w:tab w:val="clear" w:pos="425"/>
              </w:tabs>
            </w:pPr>
            <w:r>
              <w:t>Artikel 14 Absatz 5</w:t>
            </w:r>
          </w:p>
        </w:tc>
      </w:tr>
      <w:tr>
        <w:tc>
          <w:tcPr>
            <w:tcW w:w="3369" w:type="dxa"/>
          </w:tcPr>
          <w:p>
            <w:pPr>
              <w:pStyle w:val="GesAbsatz"/>
              <w:tabs>
                <w:tab w:val="clear" w:pos="425"/>
              </w:tabs>
            </w:pPr>
            <w:r>
              <w:t>Artikel 9</w:t>
            </w:r>
          </w:p>
        </w:tc>
        <w:tc>
          <w:tcPr>
            <w:tcW w:w="5670" w:type="dxa"/>
          </w:tcPr>
          <w:p>
            <w:pPr>
              <w:pStyle w:val="GesAbsatz"/>
              <w:tabs>
                <w:tab w:val="clear" w:pos="425"/>
              </w:tabs>
            </w:pPr>
            <w:r>
              <w:t>Artikel 15 Absatz 1</w:t>
            </w:r>
          </w:p>
        </w:tc>
      </w:tr>
      <w:tr>
        <w:tc>
          <w:tcPr>
            <w:tcW w:w="3369" w:type="dxa"/>
          </w:tcPr>
          <w:p>
            <w:pPr>
              <w:pStyle w:val="GesAbsatz"/>
              <w:tabs>
                <w:tab w:val="clear" w:pos="425"/>
              </w:tabs>
            </w:pPr>
            <w:r>
              <w:t>—</w:t>
            </w:r>
          </w:p>
        </w:tc>
        <w:tc>
          <w:tcPr>
            <w:tcW w:w="5670" w:type="dxa"/>
          </w:tcPr>
          <w:p>
            <w:pPr>
              <w:pStyle w:val="GesAbsatz"/>
              <w:tabs>
                <w:tab w:val="clear" w:pos="425"/>
              </w:tabs>
            </w:pPr>
            <w:r>
              <w:t>Artikel 15 Absätze 2, 3, 4 und 5</w:t>
            </w:r>
          </w:p>
        </w:tc>
      </w:tr>
      <w:tr>
        <w:tc>
          <w:tcPr>
            <w:tcW w:w="3369" w:type="dxa"/>
          </w:tcPr>
          <w:p>
            <w:pPr>
              <w:pStyle w:val="GesAbsatz"/>
              <w:tabs>
                <w:tab w:val="clear" w:pos="425"/>
              </w:tabs>
            </w:pPr>
            <w:r>
              <w:t>—</w:t>
            </w:r>
          </w:p>
        </w:tc>
        <w:tc>
          <w:tcPr>
            <w:tcW w:w="5670" w:type="dxa"/>
          </w:tcPr>
          <w:p>
            <w:pPr>
              <w:pStyle w:val="GesAbsatz"/>
              <w:tabs>
                <w:tab w:val="clear" w:pos="425"/>
              </w:tabs>
            </w:pPr>
            <w:r>
              <w:t>Artikel 16</w:t>
            </w:r>
          </w:p>
        </w:tc>
      </w:tr>
      <w:tr>
        <w:tc>
          <w:tcPr>
            <w:tcW w:w="3369" w:type="dxa"/>
          </w:tcPr>
          <w:p>
            <w:pPr>
              <w:pStyle w:val="GesAbsatz"/>
              <w:tabs>
                <w:tab w:val="clear" w:pos="425"/>
              </w:tabs>
            </w:pPr>
            <w:r>
              <w:lastRenderedPageBreak/>
              <w:t>Artikel 10</w:t>
            </w:r>
          </w:p>
        </w:tc>
        <w:tc>
          <w:tcPr>
            <w:tcW w:w="5670" w:type="dxa"/>
          </w:tcPr>
          <w:p>
            <w:pPr>
              <w:pStyle w:val="GesAbsatz"/>
              <w:tabs>
                <w:tab w:val="clear" w:pos="425"/>
              </w:tabs>
            </w:pPr>
            <w:r>
              <w:t>Artikel 17</w:t>
            </w:r>
          </w:p>
        </w:tc>
      </w:tr>
      <w:tr>
        <w:tc>
          <w:tcPr>
            <w:tcW w:w="3369" w:type="dxa"/>
          </w:tcPr>
          <w:p>
            <w:pPr>
              <w:pStyle w:val="GesAbsatz"/>
              <w:tabs>
                <w:tab w:val="clear" w:pos="425"/>
              </w:tabs>
            </w:pPr>
            <w:r>
              <w:t>—</w:t>
            </w:r>
          </w:p>
        </w:tc>
        <w:tc>
          <w:tcPr>
            <w:tcW w:w="5670" w:type="dxa"/>
          </w:tcPr>
          <w:p>
            <w:pPr>
              <w:pStyle w:val="GesAbsatz"/>
              <w:tabs>
                <w:tab w:val="clear" w:pos="425"/>
              </w:tabs>
            </w:pPr>
            <w:r>
              <w:t>Artikel 18</w:t>
            </w:r>
          </w:p>
        </w:tc>
      </w:tr>
      <w:tr>
        <w:tc>
          <w:tcPr>
            <w:tcW w:w="3369" w:type="dxa"/>
          </w:tcPr>
          <w:p>
            <w:pPr>
              <w:pStyle w:val="GesAbsatz"/>
              <w:tabs>
                <w:tab w:val="clear" w:pos="425"/>
              </w:tabs>
            </w:pPr>
            <w:r>
              <w:t>Artikel 11 Einleitung</w:t>
            </w:r>
          </w:p>
        </w:tc>
        <w:tc>
          <w:tcPr>
            <w:tcW w:w="5670" w:type="dxa"/>
          </w:tcPr>
          <w:p>
            <w:pPr>
              <w:pStyle w:val="GesAbsatz"/>
              <w:tabs>
                <w:tab w:val="clear" w:pos="425"/>
              </w:tabs>
            </w:pPr>
            <w:r>
              <w:t>Artikel 19</w:t>
            </w:r>
          </w:p>
        </w:tc>
      </w:tr>
      <w:tr>
        <w:tc>
          <w:tcPr>
            <w:tcW w:w="3369" w:type="dxa"/>
          </w:tcPr>
          <w:p>
            <w:pPr>
              <w:pStyle w:val="GesAbsatz"/>
              <w:tabs>
                <w:tab w:val="clear" w:pos="425"/>
              </w:tabs>
            </w:pPr>
            <w:r>
              <w:t>Artikel 11 Buchstaben a und b</w:t>
            </w:r>
          </w:p>
        </w:tc>
        <w:tc>
          <w:tcPr>
            <w:tcW w:w="5670" w:type="dxa"/>
          </w:tcPr>
          <w:p>
            <w:pPr>
              <w:pStyle w:val="GesAbsatz"/>
              <w:tabs>
                <w:tab w:val="clear" w:pos="425"/>
              </w:tabs>
            </w:pPr>
            <w:r>
              <w:t>—</w:t>
            </w:r>
          </w:p>
        </w:tc>
      </w:tr>
      <w:tr>
        <w:tc>
          <w:tcPr>
            <w:tcW w:w="3369" w:type="dxa"/>
          </w:tcPr>
          <w:p>
            <w:pPr>
              <w:pStyle w:val="GesAbsatz"/>
              <w:tabs>
                <w:tab w:val="clear" w:pos="425"/>
              </w:tabs>
            </w:pPr>
            <w:r>
              <w:t>Artikel 12</w:t>
            </w:r>
          </w:p>
        </w:tc>
        <w:tc>
          <w:tcPr>
            <w:tcW w:w="5670" w:type="dxa"/>
          </w:tcPr>
          <w:p>
            <w:pPr>
              <w:pStyle w:val="GesAbsatz"/>
              <w:tabs>
                <w:tab w:val="clear" w:pos="425"/>
              </w:tabs>
            </w:pPr>
            <w:r>
              <w:t>Artikel 20 Absatz 1 und Artikel 20 Absatz 2 Unterabsatz 2</w:t>
            </w:r>
          </w:p>
        </w:tc>
      </w:tr>
      <w:tr>
        <w:tc>
          <w:tcPr>
            <w:tcW w:w="3369" w:type="dxa"/>
          </w:tcPr>
          <w:p>
            <w:pPr>
              <w:pStyle w:val="GesAbsatz"/>
              <w:tabs>
                <w:tab w:val="clear" w:pos="425"/>
              </w:tabs>
            </w:pPr>
            <w:r>
              <w:t>—</w:t>
            </w:r>
          </w:p>
        </w:tc>
        <w:tc>
          <w:tcPr>
            <w:tcW w:w="5670" w:type="dxa"/>
          </w:tcPr>
          <w:p>
            <w:pPr>
              <w:pStyle w:val="GesAbsatz"/>
              <w:tabs>
                <w:tab w:val="clear" w:pos="425"/>
              </w:tabs>
            </w:pPr>
            <w:r>
              <w:t>Artikel 20 Absatz 2 Unterabsatz 1 und Artikel 20 Absätze 3 und 4</w:t>
            </w:r>
          </w:p>
        </w:tc>
      </w:tr>
      <w:tr>
        <w:tc>
          <w:tcPr>
            <w:tcW w:w="3369" w:type="dxa"/>
          </w:tcPr>
          <w:p>
            <w:pPr>
              <w:pStyle w:val="GesAbsatz"/>
              <w:tabs>
                <w:tab w:val="clear" w:pos="425"/>
              </w:tabs>
            </w:pPr>
            <w:r>
              <w:t>—</w:t>
            </w:r>
          </w:p>
        </w:tc>
        <w:tc>
          <w:tcPr>
            <w:tcW w:w="5670" w:type="dxa"/>
          </w:tcPr>
          <w:p>
            <w:pPr>
              <w:pStyle w:val="GesAbsatz"/>
              <w:tabs>
                <w:tab w:val="clear" w:pos="425"/>
              </w:tabs>
            </w:pPr>
            <w:r>
              <w:t>Artikel 21</w:t>
            </w:r>
          </w:p>
        </w:tc>
      </w:tr>
      <w:tr>
        <w:tc>
          <w:tcPr>
            <w:tcW w:w="3369" w:type="dxa"/>
          </w:tcPr>
          <w:p>
            <w:pPr>
              <w:pStyle w:val="GesAbsatz"/>
              <w:tabs>
                <w:tab w:val="clear" w:pos="425"/>
              </w:tabs>
            </w:pPr>
            <w:r>
              <w:t>Artikel 13</w:t>
            </w:r>
          </w:p>
        </w:tc>
        <w:tc>
          <w:tcPr>
            <w:tcW w:w="5670" w:type="dxa"/>
          </w:tcPr>
          <w:p>
            <w:pPr>
              <w:pStyle w:val="GesAbsatz"/>
              <w:tabs>
                <w:tab w:val="clear" w:pos="425"/>
              </w:tabs>
            </w:pPr>
            <w:r>
              <w:t>Artikel 22</w:t>
            </w:r>
          </w:p>
        </w:tc>
      </w:tr>
      <w:tr>
        <w:tc>
          <w:tcPr>
            <w:tcW w:w="3369" w:type="dxa"/>
          </w:tcPr>
          <w:p>
            <w:pPr>
              <w:pStyle w:val="GesAbsatz"/>
              <w:tabs>
                <w:tab w:val="clear" w:pos="425"/>
              </w:tabs>
            </w:pPr>
            <w:r>
              <w:t>—</w:t>
            </w:r>
          </w:p>
        </w:tc>
        <w:tc>
          <w:tcPr>
            <w:tcW w:w="5670" w:type="dxa"/>
          </w:tcPr>
          <w:p>
            <w:pPr>
              <w:pStyle w:val="GesAbsatz"/>
              <w:tabs>
                <w:tab w:val="clear" w:pos="425"/>
              </w:tabs>
            </w:pPr>
            <w:r>
              <w:t>Artikel 23, 24 und 25</w:t>
            </w:r>
          </w:p>
        </w:tc>
      </w:tr>
      <w:tr>
        <w:tc>
          <w:tcPr>
            <w:tcW w:w="3369" w:type="dxa"/>
          </w:tcPr>
          <w:p>
            <w:pPr>
              <w:pStyle w:val="GesAbsatz"/>
              <w:tabs>
                <w:tab w:val="clear" w:pos="425"/>
              </w:tabs>
            </w:pPr>
            <w:r>
              <w:t>Artikel 14 Absatz 1</w:t>
            </w:r>
          </w:p>
        </w:tc>
        <w:tc>
          <w:tcPr>
            <w:tcW w:w="5670" w:type="dxa"/>
          </w:tcPr>
          <w:p>
            <w:pPr>
              <w:pStyle w:val="GesAbsatz"/>
              <w:tabs>
                <w:tab w:val="clear" w:pos="425"/>
              </w:tabs>
            </w:pPr>
            <w:r>
              <w:t>Artikel 26 Absatz 1</w:t>
            </w:r>
          </w:p>
        </w:tc>
      </w:tr>
      <w:tr>
        <w:tc>
          <w:tcPr>
            <w:tcW w:w="3369" w:type="dxa"/>
          </w:tcPr>
          <w:p>
            <w:pPr>
              <w:pStyle w:val="GesAbsatz"/>
              <w:tabs>
                <w:tab w:val="clear" w:pos="425"/>
              </w:tabs>
            </w:pPr>
            <w:r>
              <w:t>Artikel 14 Absätze 2 und 3</w:t>
            </w:r>
          </w:p>
        </w:tc>
        <w:tc>
          <w:tcPr>
            <w:tcW w:w="5670" w:type="dxa"/>
          </w:tcPr>
          <w:p>
            <w:pPr>
              <w:pStyle w:val="GesAbsatz"/>
              <w:tabs>
                <w:tab w:val="clear" w:pos="425"/>
              </w:tabs>
            </w:pPr>
            <w:r>
              <w:t>—</w:t>
            </w:r>
          </w:p>
        </w:tc>
      </w:tr>
      <w:tr>
        <w:tc>
          <w:tcPr>
            <w:tcW w:w="3369" w:type="dxa"/>
          </w:tcPr>
          <w:p>
            <w:pPr>
              <w:pStyle w:val="GesAbsatz"/>
              <w:tabs>
                <w:tab w:val="clear" w:pos="425"/>
              </w:tabs>
            </w:pPr>
            <w:r>
              <w:t>—</w:t>
            </w:r>
          </w:p>
        </w:tc>
        <w:tc>
          <w:tcPr>
            <w:tcW w:w="5670" w:type="dxa"/>
          </w:tcPr>
          <w:p>
            <w:pPr>
              <w:pStyle w:val="GesAbsatz"/>
              <w:tabs>
                <w:tab w:val="clear" w:pos="425"/>
              </w:tabs>
            </w:pPr>
            <w:r>
              <w:t>Artikel 26 Absatz 2</w:t>
            </w:r>
          </w:p>
        </w:tc>
      </w:tr>
      <w:tr>
        <w:tc>
          <w:tcPr>
            <w:tcW w:w="3369" w:type="dxa"/>
          </w:tcPr>
          <w:p>
            <w:pPr>
              <w:pStyle w:val="GesAbsatz"/>
              <w:tabs>
                <w:tab w:val="clear" w:pos="425"/>
              </w:tabs>
            </w:pPr>
            <w:r>
              <w:t>—</w:t>
            </w:r>
          </w:p>
        </w:tc>
        <w:tc>
          <w:tcPr>
            <w:tcW w:w="5670" w:type="dxa"/>
          </w:tcPr>
          <w:p>
            <w:pPr>
              <w:pStyle w:val="GesAbsatz"/>
              <w:tabs>
                <w:tab w:val="clear" w:pos="425"/>
              </w:tabs>
            </w:pPr>
            <w:r>
              <w:t>Artikel 27</w:t>
            </w:r>
          </w:p>
        </w:tc>
      </w:tr>
      <w:tr>
        <w:tc>
          <w:tcPr>
            <w:tcW w:w="3369" w:type="dxa"/>
          </w:tcPr>
          <w:p>
            <w:pPr>
              <w:pStyle w:val="GesAbsatz"/>
              <w:tabs>
                <w:tab w:val="clear" w:pos="425"/>
              </w:tabs>
            </w:pPr>
            <w:r>
              <w:t>Artikel 15 Absatz 1</w:t>
            </w:r>
          </w:p>
        </w:tc>
        <w:tc>
          <w:tcPr>
            <w:tcW w:w="5670" w:type="dxa"/>
          </w:tcPr>
          <w:p>
            <w:pPr>
              <w:pStyle w:val="GesAbsatz"/>
              <w:tabs>
                <w:tab w:val="clear" w:pos="425"/>
              </w:tabs>
            </w:pPr>
            <w:r>
              <w:t>Artikel 28</w:t>
            </w:r>
          </w:p>
        </w:tc>
      </w:tr>
      <w:tr>
        <w:tc>
          <w:tcPr>
            <w:tcW w:w="3369" w:type="dxa"/>
          </w:tcPr>
          <w:p>
            <w:pPr>
              <w:pStyle w:val="GesAbsatz"/>
              <w:tabs>
                <w:tab w:val="clear" w:pos="425"/>
              </w:tabs>
            </w:pPr>
            <w:r>
              <w:t>Artikel 15 Absatz 2</w:t>
            </w:r>
          </w:p>
        </w:tc>
        <w:tc>
          <w:tcPr>
            <w:tcW w:w="5670" w:type="dxa"/>
          </w:tcPr>
          <w:p>
            <w:pPr>
              <w:pStyle w:val="GesAbsatz"/>
              <w:tabs>
                <w:tab w:val="clear" w:pos="425"/>
              </w:tabs>
            </w:pPr>
            <w:r>
              <w:t>—</w:t>
            </w:r>
          </w:p>
        </w:tc>
      </w:tr>
      <w:tr>
        <w:tc>
          <w:tcPr>
            <w:tcW w:w="3369" w:type="dxa"/>
          </w:tcPr>
          <w:p>
            <w:pPr>
              <w:pStyle w:val="GesAbsatz"/>
              <w:tabs>
                <w:tab w:val="clear" w:pos="425"/>
              </w:tabs>
            </w:pPr>
            <w:r>
              <w:t>—</w:t>
            </w:r>
          </w:p>
        </w:tc>
        <w:tc>
          <w:tcPr>
            <w:tcW w:w="5670" w:type="dxa"/>
          </w:tcPr>
          <w:p>
            <w:pPr>
              <w:pStyle w:val="GesAbsatz"/>
              <w:tabs>
                <w:tab w:val="clear" w:pos="425"/>
              </w:tabs>
            </w:pPr>
            <w:r>
              <w:t>Artikel 29</w:t>
            </w:r>
          </w:p>
        </w:tc>
      </w:tr>
      <w:tr>
        <w:tc>
          <w:tcPr>
            <w:tcW w:w="3369" w:type="dxa"/>
          </w:tcPr>
          <w:p>
            <w:pPr>
              <w:pStyle w:val="GesAbsatz"/>
              <w:tabs>
                <w:tab w:val="clear" w:pos="425"/>
              </w:tabs>
            </w:pPr>
            <w:r>
              <w:t>Artikel 16</w:t>
            </w:r>
          </w:p>
        </w:tc>
        <w:tc>
          <w:tcPr>
            <w:tcW w:w="5670" w:type="dxa"/>
          </w:tcPr>
          <w:p>
            <w:pPr>
              <w:pStyle w:val="GesAbsatz"/>
              <w:tabs>
                <w:tab w:val="clear" w:pos="425"/>
              </w:tabs>
            </w:pPr>
            <w:r>
              <w:t>Artikel 30</w:t>
            </w:r>
          </w:p>
        </w:tc>
      </w:tr>
      <w:tr>
        <w:tc>
          <w:tcPr>
            <w:tcW w:w="3369" w:type="dxa"/>
          </w:tcPr>
          <w:p>
            <w:pPr>
              <w:pStyle w:val="GesAbsatz"/>
              <w:tabs>
                <w:tab w:val="clear" w:pos="425"/>
              </w:tabs>
            </w:pPr>
            <w:r>
              <w:t>Artikel 17</w:t>
            </w:r>
          </w:p>
        </w:tc>
        <w:tc>
          <w:tcPr>
            <w:tcW w:w="5670" w:type="dxa"/>
          </w:tcPr>
          <w:p>
            <w:pPr>
              <w:pStyle w:val="GesAbsatz"/>
              <w:tabs>
                <w:tab w:val="clear" w:pos="425"/>
              </w:tabs>
            </w:pPr>
            <w:r>
              <w:t>Artikel 31</w:t>
            </w:r>
          </w:p>
        </w:tc>
      </w:tr>
      <w:tr>
        <w:tc>
          <w:tcPr>
            <w:tcW w:w="3369" w:type="dxa"/>
          </w:tcPr>
          <w:p>
            <w:pPr>
              <w:pStyle w:val="GesAbsatz"/>
              <w:tabs>
                <w:tab w:val="clear" w:pos="425"/>
              </w:tabs>
            </w:pPr>
            <w:r>
              <w:t>Anhang</w:t>
            </w:r>
          </w:p>
        </w:tc>
        <w:tc>
          <w:tcPr>
            <w:tcW w:w="5670" w:type="dxa"/>
          </w:tcPr>
          <w:p>
            <w:pPr>
              <w:pStyle w:val="GesAbsatz"/>
              <w:tabs>
                <w:tab w:val="clear" w:pos="425"/>
              </w:tabs>
            </w:pPr>
            <w:r>
              <w:t>Anhang I</w:t>
            </w:r>
          </w:p>
        </w:tc>
      </w:tr>
      <w:tr>
        <w:tc>
          <w:tcPr>
            <w:tcW w:w="3369" w:type="dxa"/>
          </w:tcPr>
          <w:p>
            <w:pPr>
              <w:pStyle w:val="GesAbsatz"/>
              <w:tabs>
                <w:tab w:val="clear" w:pos="425"/>
              </w:tabs>
            </w:pPr>
            <w:r>
              <w:t>—</w:t>
            </w:r>
          </w:p>
        </w:tc>
        <w:tc>
          <w:tcPr>
            <w:tcW w:w="5670" w:type="dxa"/>
          </w:tcPr>
          <w:p>
            <w:pPr>
              <w:pStyle w:val="GesAbsatz"/>
              <w:tabs>
                <w:tab w:val="clear" w:pos="425"/>
              </w:tabs>
            </w:pPr>
            <w:r>
              <w:t>Anhänge II bis V</w:t>
            </w:r>
          </w:p>
        </w:tc>
      </w:tr>
    </w:tbl>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19.05.2010 (ABl. L 153 v. 18.06.2010 S. 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r>
    <w:r>
      <w:rPr>
        <w:lang w:val="en-US"/>
      </w:rPr>
      <w:t xml:space="preserve">Stand 11.12.2018 (ABl. L 328 v. 21.12.2018 S. </w:t>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277 vom 17.11.2009, S. 75.</w:t>
      </w:r>
    </w:p>
  </w:footnote>
  <w:footnote w:id="2">
    <w:p>
      <w:pPr>
        <w:pStyle w:val="Funotentext"/>
      </w:pPr>
      <w:r>
        <w:rPr>
          <w:rStyle w:val="Funotenzeichen"/>
        </w:rPr>
        <w:footnoteRef/>
      </w:r>
      <w:r>
        <w:t xml:space="preserve"> ABl. C 200 vom 25.8.2009, S. 41.</w:t>
      </w:r>
    </w:p>
  </w:footnote>
  <w:footnote w:id="3">
    <w:p>
      <w:pPr>
        <w:pStyle w:val="Funotentext"/>
      </w:pPr>
      <w:r>
        <w:rPr>
          <w:rStyle w:val="Funotenzeichen"/>
        </w:rPr>
        <w:footnoteRef/>
      </w:r>
      <w:r>
        <w:t xml:space="preserve"> Standpunkt des Europäischen Parlaments vom 23. April 2009 (noch nicht im Amtsblatt veröffentlicht), Standpunkt des Rates in erster Lesung vom 14. April 2010 (noch nicht im Amtsblatt veröffentlicht), Standpunkt des Europäischen Parlaments vom 18. Mai 2010 (noch nicht im Amtsblatt veröffentlicht).</w:t>
      </w:r>
    </w:p>
  </w:footnote>
  <w:footnote w:id="4">
    <w:p>
      <w:pPr>
        <w:pStyle w:val="Funotentext"/>
      </w:pPr>
      <w:r>
        <w:rPr>
          <w:rStyle w:val="Funotenzeichen"/>
        </w:rPr>
        <w:footnoteRef/>
      </w:r>
      <w:r>
        <w:t xml:space="preserve"> ABl. L 1 vom 4.1.2003, S. 65.</w:t>
      </w:r>
    </w:p>
  </w:footnote>
  <w:footnote w:id="5">
    <w:p>
      <w:pPr>
        <w:pStyle w:val="Funotentext"/>
      </w:pPr>
      <w:r>
        <w:rPr>
          <w:rStyle w:val="Funotenzeichen"/>
        </w:rPr>
        <w:footnoteRef/>
      </w:r>
      <w:r>
        <w:t xml:space="preserve"> Siehe Anhang IV Teil A.</w:t>
      </w:r>
    </w:p>
  </w:footnote>
  <w:footnote w:id="6">
    <w:p>
      <w:pPr>
        <w:pStyle w:val="Funotentext"/>
      </w:pPr>
      <w:r>
        <w:rPr>
          <w:rStyle w:val="Funotenzeichen"/>
        </w:rPr>
        <w:footnoteRef/>
      </w:r>
      <w:r>
        <w:t xml:space="preserve"> ABl. L 140 vom 5.6.2009, S. 136.</w:t>
      </w:r>
    </w:p>
  </w:footnote>
  <w:footnote w:id="7">
    <w:p>
      <w:pPr>
        <w:pStyle w:val="Funotentext"/>
      </w:pPr>
      <w:r>
        <w:rPr>
          <w:rStyle w:val="Funotenzeichen"/>
        </w:rPr>
        <w:footnoteRef/>
      </w:r>
      <w:r>
        <w:t xml:space="preserve"> ABl. L 140 vom 5.6.2009, S. 16.</w:t>
      </w:r>
    </w:p>
  </w:footnote>
  <w:footnote w:id="8">
    <w:p>
      <w:pPr>
        <w:pStyle w:val="Funotentext"/>
      </w:pPr>
      <w:r>
        <w:rPr>
          <w:rStyle w:val="Funotenzeichen"/>
        </w:rPr>
        <w:footnoteRef/>
      </w:r>
      <w:r>
        <w:t xml:space="preserve"> ABl. L 285 vom 31.10.2009, S. 10.</w:t>
      </w:r>
    </w:p>
  </w:footnote>
  <w:footnote w:id="9">
    <w:p>
      <w:pPr>
        <w:pStyle w:val="Funotentext"/>
      </w:pPr>
      <w:r>
        <w:rPr>
          <w:rStyle w:val="Funotenzeichen"/>
        </w:rPr>
        <w:footnoteRef/>
      </w:r>
      <w:r>
        <w:t xml:space="preserve"> Siehe Seite 1 dieses Amtsblatts.</w:t>
      </w:r>
    </w:p>
  </w:footnote>
  <w:footnote w:id="10">
    <w:p>
      <w:pPr>
        <w:pStyle w:val="Funotentext"/>
      </w:pPr>
      <w:r>
        <w:rPr>
          <w:rStyle w:val="Funotenzeichen"/>
        </w:rPr>
        <w:footnoteRef/>
      </w:r>
      <w:r>
        <w:t xml:space="preserve"> ABl. L 210 vom 31.7.2006, S. 1.</w:t>
      </w:r>
    </w:p>
  </w:footnote>
  <w:footnote w:id="11">
    <w:p>
      <w:pPr>
        <w:pStyle w:val="Funotentext"/>
      </w:pPr>
      <w:r>
        <w:rPr>
          <w:rStyle w:val="Funotenzeichen"/>
        </w:rPr>
        <w:footnoteRef/>
      </w:r>
      <w:r>
        <w:t xml:space="preserve"> ABl. L 116 vom 9.5.2009, S. 18.</w:t>
      </w:r>
    </w:p>
  </w:footnote>
  <w:footnote w:id="12">
    <w:p>
      <w:pPr>
        <w:pStyle w:val="Funotentext"/>
      </w:pPr>
      <w:r>
        <w:rPr>
          <w:rStyle w:val="Funotenzeichen"/>
        </w:rPr>
        <w:footnoteRef/>
      </w:r>
      <w:r>
        <w:t xml:space="preserve"> ABl. L 114 vom 27.4.2006, S. 64.</w:t>
      </w:r>
    </w:p>
  </w:footnote>
  <w:footnote w:id="13">
    <w:p>
      <w:pPr>
        <w:pStyle w:val="Funotentext"/>
      </w:pPr>
      <w:r>
        <w:rPr>
          <w:rStyle w:val="Funotenzeichen"/>
        </w:rPr>
        <w:footnoteRef/>
      </w:r>
      <w:r>
        <w:t xml:space="preserve"> ABl. L 255 vom 30.9.2005, S. 22.</w:t>
      </w:r>
    </w:p>
  </w:footnote>
  <w:footnote w:id="14">
    <w:p>
      <w:pPr>
        <w:pStyle w:val="Funotentext"/>
      </w:pPr>
      <w:r>
        <w:rPr>
          <w:rStyle w:val="Funotenzeichen"/>
        </w:rPr>
        <w:footnoteRef/>
      </w:r>
      <w:r>
        <w:t xml:space="preserve"> ABl. L 184 vom 17.7.1999, S. 23.</w:t>
      </w:r>
    </w:p>
  </w:footnote>
  <w:footnote w:id="15">
    <w:p>
      <w:pPr>
        <w:pStyle w:val="Funotentext"/>
      </w:pPr>
      <w:r>
        <w:rPr>
          <w:rStyle w:val="Funotenzeichen"/>
        </w:rPr>
        <w:footnoteRef/>
      </w:r>
      <w:r>
        <w:t xml:space="preserve"> ABl. C 321 vom 31.12.2003, S. 1.</w:t>
      </w:r>
    </w:p>
  </w:footnote>
  <w:footnote w:id="16">
    <w:p>
      <w:pPr>
        <w:pStyle w:val="Funotentext"/>
      </w:pPr>
      <w:r>
        <w:rPr>
          <w:rStyle w:val="Funotenzeichen"/>
        </w:rPr>
        <w:footnoteRef/>
      </w:r>
      <w:r>
        <w:t xml:space="preserve"> Richtlinie 2012/27/EU des Europäischen Parlaments und des Rates vom 25. Oktober 2012 zur Energieeffizienz, zur Änderung der Richtlinien 2009/125/EG und 2010/30/EU und zur Aufhebung der Richtlinien 2004/8/EG und 2006/32/EG (ABl. L 315 vom 14.11.2012, S. 1).</w:t>
      </w:r>
    </w:p>
  </w:footnote>
  <w:footnote w:id="17">
    <w:p>
      <w:pPr>
        <w:pStyle w:val="Funotentext"/>
      </w:pPr>
      <w:r>
        <w:rPr>
          <w:rStyle w:val="Funotenzeichen"/>
        </w:rPr>
        <w:footnoteRef/>
      </w:r>
      <w:r>
        <w:t xml:space="preserve"> Richtlinie 2009/72/EG des Europäischen Parlaments und des Rates vom 13. Juli 2009 über gemeinsame Vorschriften für den Elektrizitätsbinnenmarkt und zur Aufhebung der Richtlinie 2003/54/EG (ABl. L 211 vom 14.8.2009, S. 55).</w:t>
      </w:r>
    </w:p>
  </w:footnote>
  <w:footnote w:id="18">
    <w:p>
      <w:pPr>
        <w:pStyle w:val="Funotentext"/>
      </w:pPr>
      <w:r>
        <w:rPr>
          <w:rStyle w:val="Funotenzeichen"/>
        </w:rPr>
        <w:footnoteRef/>
      </w:r>
      <w:r>
        <w:t xml:space="preserve"> Verordnung (EU) 2018/1999 des Europäischen Parlaments und des Rates vom 11. Dezember 2018 über das Governance-System für die Energieunion und für den Klimaschutz, zur Änderung der Verordnungen (EG) Nr. 663/2009 und (EG) Nr. 715/2009 des Europäischen Parlaments und des Rates, der Richtlinien 94/22/EG, 98/70/EG, 2009/31/EG, 2009/73,/EG, 2010/31/EU, 2012/27/EU und 2013/30/EU des Europäischen Parlaments und des Rates, der Richtlinien 2009/119/EG und (EU) 2015/652 des Rates und zur Aufhebung der Verordnung (EU) Nr. 525/2013 des Europäischen Parlaments und des Rates (ABl. L 328 vom 21.12.2018, S. 1.</w:t>
      </w:r>
    </w:p>
  </w:footnote>
  <w:footnote w:id="19">
    <w:p>
      <w:pPr>
        <w:pStyle w:val="Funotentext"/>
      </w:pPr>
      <w:r>
        <w:rPr>
          <w:rStyle w:val="Funotenzeichen"/>
        </w:rPr>
        <w:footnoteRef/>
      </w:r>
      <w:r>
        <w:t xml:space="preserve"> Richtlinie 2014/94/EU des Europäischen Parlaments und des Rates vom 22. Oktober 2014 über den Aufbau der Infrastruktur für alternative Kraftstoffe (ABl. L 307 vom 28.10.2014, S. 1).</w:t>
      </w:r>
    </w:p>
  </w:footnote>
  <w:footnote w:id="20">
    <w:p>
      <w:pPr>
        <w:pStyle w:val="Funotentext"/>
      </w:pPr>
      <w:r>
        <w:rPr>
          <w:rStyle w:val="Funotenzeichen"/>
        </w:rPr>
        <w:footnoteRef/>
      </w:r>
      <w:r>
        <w:t xml:space="preserve"> Empfehlung der Kommission vom 6. Mai 2003 betreffend die Definition der Kleinstunternehmen sowie der kleinen und mittleren Unternehmen (ABl. L 124 vom 20.5.2003, S. 36).</w:t>
      </w:r>
    </w:p>
  </w:footnote>
  <w:footnote w:id="21">
    <w:p>
      <w:pPr>
        <w:pStyle w:val="Funotentext"/>
      </w:pPr>
      <w:r>
        <w:rPr>
          <w:rStyle w:val="Funotenzeichen"/>
        </w:rPr>
        <w:t>20</w:t>
      </w:r>
      <w:r>
        <w:t xml:space="preserve"> Richtlinie 2014/61/EU des Europäischen Parlaments und des Rates vom 15. Mai 2014 über Maßnahmen zur Reduzierung der Kosten des Ausbaus von Hochgeschwindigkeitsnetzen für die elektronische Kommunikation (ABl. L 155 vom 23.5.2014,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1B64DC-8DEA-4D00-A583-6FD9840A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0/31/corrigendum/2010-06-22/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2010/31/o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18/1999/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dir/2018/844/corrigendum/2018-10-04/oj" TargetMode="External"/><Relationship Id="rId4" Type="http://schemas.openxmlformats.org/officeDocument/2006/relationships/webSettings" Target="webSettings.xml"/><Relationship Id="rId9" Type="http://schemas.openxmlformats.org/officeDocument/2006/relationships/hyperlink" Target="http://data.europa.eu/eli/dir/2018/844/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9A08-1B90-4D31-9C1D-CBB87CB0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29</Pages>
  <Words>15307</Words>
  <Characters>96436</Characters>
  <Application>Microsoft Office Word</Application>
  <DocSecurity>0</DocSecurity>
  <Lines>803</Lines>
  <Paragraphs>223</Paragraphs>
  <ScaleCrop>false</ScaleCrop>
  <HeadingPairs>
    <vt:vector size="2" baseType="variant">
      <vt:variant>
        <vt:lpstr>Titel</vt:lpstr>
      </vt:variant>
      <vt:variant>
        <vt:i4>1</vt:i4>
      </vt:variant>
    </vt:vector>
  </HeadingPairs>
  <TitlesOfParts>
    <vt:vector size="1" baseType="lpstr">
      <vt:lpstr>RICHTLINIE 2010/31/EU DES EUROPÄISCHEN PARLAMENTS über die Gesamtenergieeffizienz von Gebäuden</vt:lpstr>
    </vt:vector>
  </TitlesOfParts>
  <Company>LANUV NRW</Company>
  <LinksUpToDate>false</LinksUpToDate>
  <CharactersWithSpaces>111520</CharactersWithSpaces>
  <SharedDoc>false</SharedDoc>
  <HLinks>
    <vt:vector size="228" baseType="variant">
      <vt:variant>
        <vt:i4>1048633</vt:i4>
      </vt:variant>
      <vt:variant>
        <vt:i4>221</vt:i4>
      </vt:variant>
      <vt:variant>
        <vt:i4>0</vt:i4>
      </vt:variant>
      <vt:variant>
        <vt:i4>5</vt:i4>
      </vt:variant>
      <vt:variant>
        <vt:lpwstr/>
      </vt:variant>
      <vt:variant>
        <vt:lpwstr>_Toc266687504</vt:lpwstr>
      </vt:variant>
      <vt:variant>
        <vt:i4>1048633</vt:i4>
      </vt:variant>
      <vt:variant>
        <vt:i4>215</vt:i4>
      </vt:variant>
      <vt:variant>
        <vt:i4>0</vt:i4>
      </vt:variant>
      <vt:variant>
        <vt:i4>5</vt:i4>
      </vt:variant>
      <vt:variant>
        <vt:lpwstr/>
      </vt:variant>
      <vt:variant>
        <vt:lpwstr>_Toc266687503</vt:lpwstr>
      </vt:variant>
      <vt:variant>
        <vt:i4>1048633</vt:i4>
      </vt:variant>
      <vt:variant>
        <vt:i4>209</vt:i4>
      </vt:variant>
      <vt:variant>
        <vt:i4>0</vt:i4>
      </vt:variant>
      <vt:variant>
        <vt:i4>5</vt:i4>
      </vt:variant>
      <vt:variant>
        <vt:lpwstr/>
      </vt:variant>
      <vt:variant>
        <vt:lpwstr>_Toc266687502</vt:lpwstr>
      </vt:variant>
      <vt:variant>
        <vt:i4>1048633</vt:i4>
      </vt:variant>
      <vt:variant>
        <vt:i4>203</vt:i4>
      </vt:variant>
      <vt:variant>
        <vt:i4>0</vt:i4>
      </vt:variant>
      <vt:variant>
        <vt:i4>5</vt:i4>
      </vt:variant>
      <vt:variant>
        <vt:lpwstr/>
      </vt:variant>
      <vt:variant>
        <vt:lpwstr>_Toc266687501</vt:lpwstr>
      </vt:variant>
      <vt:variant>
        <vt:i4>1048633</vt:i4>
      </vt:variant>
      <vt:variant>
        <vt:i4>197</vt:i4>
      </vt:variant>
      <vt:variant>
        <vt:i4>0</vt:i4>
      </vt:variant>
      <vt:variant>
        <vt:i4>5</vt:i4>
      </vt:variant>
      <vt:variant>
        <vt:lpwstr/>
      </vt:variant>
      <vt:variant>
        <vt:lpwstr>_Toc266687500</vt:lpwstr>
      </vt:variant>
      <vt:variant>
        <vt:i4>1638456</vt:i4>
      </vt:variant>
      <vt:variant>
        <vt:i4>191</vt:i4>
      </vt:variant>
      <vt:variant>
        <vt:i4>0</vt:i4>
      </vt:variant>
      <vt:variant>
        <vt:i4>5</vt:i4>
      </vt:variant>
      <vt:variant>
        <vt:lpwstr/>
      </vt:variant>
      <vt:variant>
        <vt:lpwstr>_Toc266687499</vt:lpwstr>
      </vt:variant>
      <vt:variant>
        <vt:i4>1638456</vt:i4>
      </vt:variant>
      <vt:variant>
        <vt:i4>185</vt:i4>
      </vt:variant>
      <vt:variant>
        <vt:i4>0</vt:i4>
      </vt:variant>
      <vt:variant>
        <vt:i4>5</vt:i4>
      </vt:variant>
      <vt:variant>
        <vt:lpwstr/>
      </vt:variant>
      <vt:variant>
        <vt:lpwstr>_Toc266687498</vt:lpwstr>
      </vt:variant>
      <vt:variant>
        <vt:i4>1638456</vt:i4>
      </vt:variant>
      <vt:variant>
        <vt:i4>179</vt:i4>
      </vt:variant>
      <vt:variant>
        <vt:i4>0</vt:i4>
      </vt:variant>
      <vt:variant>
        <vt:i4>5</vt:i4>
      </vt:variant>
      <vt:variant>
        <vt:lpwstr/>
      </vt:variant>
      <vt:variant>
        <vt:lpwstr>_Toc266687497</vt:lpwstr>
      </vt:variant>
      <vt:variant>
        <vt:i4>1638456</vt:i4>
      </vt:variant>
      <vt:variant>
        <vt:i4>173</vt:i4>
      </vt:variant>
      <vt:variant>
        <vt:i4>0</vt:i4>
      </vt:variant>
      <vt:variant>
        <vt:i4>5</vt:i4>
      </vt:variant>
      <vt:variant>
        <vt:lpwstr/>
      </vt:variant>
      <vt:variant>
        <vt:lpwstr>_Toc266687496</vt:lpwstr>
      </vt:variant>
      <vt:variant>
        <vt:i4>1638456</vt:i4>
      </vt:variant>
      <vt:variant>
        <vt:i4>167</vt:i4>
      </vt:variant>
      <vt:variant>
        <vt:i4>0</vt:i4>
      </vt:variant>
      <vt:variant>
        <vt:i4>5</vt:i4>
      </vt:variant>
      <vt:variant>
        <vt:lpwstr/>
      </vt:variant>
      <vt:variant>
        <vt:lpwstr>_Toc266687495</vt:lpwstr>
      </vt:variant>
      <vt:variant>
        <vt:i4>1638456</vt:i4>
      </vt:variant>
      <vt:variant>
        <vt:i4>161</vt:i4>
      </vt:variant>
      <vt:variant>
        <vt:i4>0</vt:i4>
      </vt:variant>
      <vt:variant>
        <vt:i4>5</vt:i4>
      </vt:variant>
      <vt:variant>
        <vt:lpwstr/>
      </vt:variant>
      <vt:variant>
        <vt:lpwstr>_Toc266687494</vt:lpwstr>
      </vt:variant>
      <vt:variant>
        <vt:i4>1638456</vt:i4>
      </vt:variant>
      <vt:variant>
        <vt:i4>155</vt:i4>
      </vt:variant>
      <vt:variant>
        <vt:i4>0</vt:i4>
      </vt:variant>
      <vt:variant>
        <vt:i4>5</vt:i4>
      </vt:variant>
      <vt:variant>
        <vt:lpwstr/>
      </vt:variant>
      <vt:variant>
        <vt:lpwstr>_Toc266687493</vt:lpwstr>
      </vt:variant>
      <vt:variant>
        <vt:i4>1638456</vt:i4>
      </vt:variant>
      <vt:variant>
        <vt:i4>149</vt:i4>
      </vt:variant>
      <vt:variant>
        <vt:i4>0</vt:i4>
      </vt:variant>
      <vt:variant>
        <vt:i4>5</vt:i4>
      </vt:variant>
      <vt:variant>
        <vt:lpwstr/>
      </vt:variant>
      <vt:variant>
        <vt:lpwstr>_Toc266687492</vt:lpwstr>
      </vt:variant>
      <vt:variant>
        <vt:i4>1638456</vt:i4>
      </vt:variant>
      <vt:variant>
        <vt:i4>143</vt:i4>
      </vt:variant>
      <vt:variant>
        <vt:i4>0</vt:i4>
      </vt:variant>
      <vt:variant>
        <vt:i4>5</vt:i4>
      </vt:variant>
      <vt:variant>
        <vt:lpwstr/>
      </vt:variant>
      <vt:variant>
        <vt:lpwstr>_Toc266687491</vt:lpwstr>
      </vt:variant>
      <vt:variant>
        <vt:i4>1638456</vt:i4>
      </vt:variant>
      <vt:variant>
        <vt:i4>137</vt:i4>
      </vt:variant>
      <vt:variant>
        <vt:i4>0</vt:i4>
      </vt:variant>
      <vt:variant>
        <vt:i4>5</vt:i4>
      </vt:variant>
      <vt:variant>
        <vt:lpwstr/>
      </vt:variant>
      <vt:variant>
        <vt:lpwstr>_Toc266687490</vt:lpwstr>
      </vt:variant>
      <vt:variant>
        <vt:i4>1572920</vt:i4>
      </vt:variant>
      <vt:variant>
        <vt:i4>131</vt:i4>
      </vt:variant>
      <vt:variant>
        <vt:i4>0</vt:i4>
      </vt:variant>
      <vt:variant>
        <vt:i4>5</vt:i4>
      </vt:variant>
      <vt:variant>
        <vt:lpwstr/>
      </vt:variant>
      <vt:variant>
        <vt:lpwstr>_Toc266687489</vt:lpwstr>
      </vt:variant>
      <vt:variant>
        <vt:i4>1572920</vt:i4>
      </vt:variant>
      <vt:variant>
        <vt:i4>125</vt:i4>
      </vt:variant>
      <vt:variant>
        <vt:i4>0</vt:i4>
      </vt:variant>
      <vt:variant>
        <vt:i4>5</vt:i4>
      </vt:variant>
      <vt:variant>
        <vt:lpwstr/>
      </vt:variant>
      <vt:variant>
        <vt:lpwstr>_Toc266687488</vt:lpwstr>
      </vt:variant>
      <vt:variant>
        <vt:i4>1572920</vt:i4>
      </vt:variant>
      <vt:variant>
        <vt:i4>119</vt:i4>
      </vt:variant>
      <vt:variant>
        <vt:i4>0</vt:i4>
      </vt:variant>
      <vt:variant>
        <vt:i4>5</vt:i4>
      </vt:variant>
      <vt:variant>
        <vt:lpwstr/>
      </vt:variant>
      <vt:variant>
        <vt:lpwstr>_Toc266687487</vt:lpwstr>
      </vt:variant>
      <vt:variant>
        <vt:i4>1572920</vt:i4>
      </vt:variant>
      <vt:variant>
        <vt:i4>113</vt:i4>
      </vt:variant>
      <vt:variant>
        <vt:i4>0</vt:i4>
      </vt:variant>
      <vt:variant>
        <vt:i4>5</vt:i4>
      </vt:variant>
      <vt:variant>
        <vt:lpwstr/>
      </vt:variant>
      <vt:variant>
        <vt:lpwstr>_Toc266687486</vt:lpwstr>
      </vt:variant>
      <vt:variant>
        <vt:i4>1572920</vt:i4>
      </vt:variant>
      <vt:variant>
        <vt:i4>107</vt:i4>
      </vt:variant>
      <vt:variant>
        <vt:i4>0</vt:i4>
      </vt:variant>
      <vt:variant>
        <vt:i4>5</vt:i4>
      </vt:variant>
      <vt:variant>
        <vt:lpwstr/>
      </vt:variant>
      <vt:variant>
        <vt:lpwstr>_Toc266687485</vt:lpwstr>
      </vt:variant>
      <vt:variant>
        <vt:i4>1572920</vt:i4>
      </vt:variant>
      <vt:variant>
        <vt:i4>101</vt:i4>
      </vt:variant>
      <vt:variant>
        <vt:i4>0</vt:i4>
      </vt:variant>
      <vt:variant>
        <vt:i4>5</vt:i4>
      </vt:variant>
      <vt:variant>
        <vt:lpwstr/>
      </vt:variant>
      <vt:variant>
        <vt:lpwstr>_Toc266687484</vt:lpwstr>
      </vt:variant>
      <vt:variant>
        <vt:i4>1572920</vt:i4>
      </vt:variant>
      <vt:variant>
        <vt:i4>95</vt:i4>
      </vt:variant>
      <vt:variant>
        <vt:i4>0</vt:i4>
      </vt:variant>
      <vt:variant>
        <vt:i4>5</vt:i4>
      </vt:variant>
      <vt:variant>
        <vt:lpwstr/>
      </vt:variant>
      <vt:variant>
        <vt:lpwstr>_Toc266687483</vt:lpwstr>
      </vt:variant>
      <vt:variant>
        <vt:i4>1572920</vt:i4>
      </vt:variant>
      <vt:variant>
        <vt:i4>89</vt:i4>
      </vt:variant>
      <vt:variant>
        <vt:i4>0</vt:i4>
      </vt:variant>
      <vt:variant>
        <vt:i4>5</vt:i4>
      </vt:variant>
      <vt:variant>
        <vt:lpwstr/>
      </vt:variant>
      <vt:variant>
        <vt:lpwstr>_Toc266687482</vt:lpwstr>
      </vt:variant>
      <vt:variant>
        <vt:i4>1572920</vt:i4>
      </vt:variant>
      <vt:variant>
        <vt:i4>83</vt:i4>
      </vt:variant>
      <vt:variant>
        <vt:i4>0</vt:i4>
      </vt:variant>
      <vt:variant>
        <vt:i4>5</vt:i4>
      </vt:variant>
      <vt:variant>
        <vt:lpwstr/>
      </vt:variant>
      <vt:variant>
        <vt:lpwstr>_Toc266687481</vt:lpwstr>
      </vt:variant>
      <vt:variant>
        <vt:i4>1572920</vt:i4>
      </vt:variant>
      <vt:variant>
        <vt:i4>77</vt:i4>
      </vt:variant>
      <vt:variant>
        <vt:i4>0</vt:i4>
      </vt:variant>
      <vt:variant>
        <vt:i4>5</vt:i4>
      </vt:variant>
      <vt:variant>
        <vt:lpwstr/>
      </vt:variant>
      <vt:variant>
        <vt:lpwstr>_Toc266687480</vt:lpwstr>
      </vt:variant>
      <vt:variant>
        <vt:i4>1507384</vt:i4>
      </vt:variant>
      <vt:variant>
        <vt:i4>71</vt:i4>
      </vt:variant>
      <vt:variant>
        <vt:i4>0</vt:i4>
      </vt:variant>
      <vt:variant>
        <vt:i4>5</vt:i4>
      </vt:variant>
      <vt:variant>
        <vt:lpwstr/>
      </vt:variant>
      <vt:variant>
        <vt:lpwstr>_Toc266687479</vt:lpwstr>
      </vt:variant>
      <vt:variant>
        <vt:i4>1507384</vt:i4>
      </vt:variant>
      <vt:variant>
        <vt:i4>65</vt:i4>
      </vt:variant>
      <vt:variant>
        <vt:i4>0</vt:i4>
      </vt:variant>
      <vt:variant>
        <vt:i4>5</vt:i4>
      </vt:variant>
      <vt:variant>
        <vt:lpwstr/>
      </vt:variant>
      <vt:variant>
        <vt:lpwstr>_Toc266687478</vt:lpwstr>
      </vt:variant>
      <vt:variant>
        <vt:i4>1507384</vt:i4>
      </vt:variant>
      <vt:variant>
        <vt:i4>59</vt:i4>
      </vt:variant>
      <vt:variant>
        <vt:i4>0</vt:i4>
      </vt:variant>
      <vt:variant>
        <vt:i4>5</vt:i4>
      </vt:variant>
      <vt:variant>
        <vt:lpwstr/>
      </vt:variant>
      <vt:variant>
        <vt:lpwstr>_Toc266687477</vt:lpwstr>
      </vt:variant>
      <vt:variant>
        <vt:i4>1507384</vt:i4>
      </vt:variant>
      <vt:variant>
        <vt:i4>53</vt:i4>
      </vt:variant>
      <vt:variant>
        <vt:i4>0</vt:i4>
      </vt:variant>
      <vt:variant>
        <vt:i4>5</vt:i4>
      </vt:variant>
      <vt:variant>
        <vt:lpwstr/>
      </vt:variant>
      <vt:variant>
        <vt:lpwstr>_Toc266687476</vt:lpwstr>
      </vt:variant>
      <vt:variant>
        <vt:i4>1507384</vt:i4>
      </vt:variant>
      <vt:variant>
        <vt:i4>47</vt:i4>
      </vt:variant>
      <vt:variant>
        <vt:i4>0</vt:i4>
      </vt:variant>
      <vt:variant>
        <vt:i4>5</vt:i4>
      </vt:variant>
      <vt:variant>
        <vt:lpwstr/>
      </vt:variant>
      <vt:variant>
        <vt:lpwstr>_Toc266687475</vt:lpwstr>
      </vt:variant>
      <vt:variant>
        <vt:i4>1507384</vt:i4>
      </vt:variant>
      <vt:variant>
        <vt:i4>41</vt:i4>
      </vt:variant>
      <vt:variant>
        <vt:i4>0</vt:i4>
      </vt:variant>
      <vt:variant>
        <vt:i4>5</vt:i4>
      </vt:variant>
      <vt:variant>
        <vt:lpwstr/>
      </vt:variant>
      <vt:variant>
        <vt:lpwstr>_Toc266687474</vt:lpwstr>
      </vt:variant>
      <vt:variant>
        <vt:i4>1507384</vt:i4>
      </vt:variant>
      <vt:variant>
        <vt:i4>35</vt:i4>
      </vt:variant>
      <vt:variant>
        <vt:i4>0</vt:i4>
      </vt:variant>
      <vt:variant>
        <vt:i4>5</vt:i4>
      </vt:variant>
      <vt:variant>
        <vt:lpwstr/>
      </vt:variant>
      <vt:variant>
        <vt:lpwstr>_Toc266687473</vt:lpwstr>
      </vt:variant>
      <vt:variant>
        <vt:i4>1507384</vt:i4>
      </vt:variant>
      <vt:variant>
        <vt:i4>29</vt:i4>
      </vt:variant>
      <vt:variant>
        <vt:i4>0</vt:i4>
      </vt:variant>
      <vt:variant>
        <vt:i4>5</vt:i4>
      </vt:variant>
      <vt:variant>
        <vt:lpwstr/>
      </vt:variant>
      <vt:variant>
        <vt:lpwstr>_Toc266687472</vt:lpwstr>
      </vt:variant>
      <vt:variant>
        <vt:i4>1507384</vt:i4>
      </vt:variant>
      <vt:variant>
        <vt:i4>23</vt:i4>
      </vt:variant>
      <vt:variant>
        <vt:i4>0</vt:i4>
      </vt:variant>
      <vt:variant>
        <vt:i4>5</vt:i4>
      </vt:variant>
      <vt:variant>
        <vt:lpwstr/>
      </vt:variant>
      <vt:variant>
        <vt:lpwstr>_Toc266687471</vt:lpwstr>
      </vt:variant>
      <vt:variant>
        <vt:i4>1507384</vt:i4>
      </vt:variant>
      <vt:variant>
        <vt:i4>17</vt:i4>
      </vt:variant>
      <vt:variant>
        <vt:i4>0</vt:i4>
      </vt:variant>
      <vt:variant>
        <vt:i4>5</vt:i4>
      </vt:variant>
      <vt:variant>
        <vt:lpwstr/>
      </vt:variant>
      <vt:variant>
        <vt:lpwstr>_Toc266687470</vt:lpwstr>
      </vt:variant>
      <vt:variant>
        <vt:i4>1441848</vt:i4>
      </vt:variant>
      <vt:variant>
        <vt:i4>11</vt:i4>
      </vt:variant>
      <vt:variant>
        <vt:i4>0</vt:i4>
      </vt:variant>
      <vt:variant>
        <vt:i4>5</vt:i4>
      </vt:variant>
      <vt:variant>
        <vt:lpwstr/>
      </vt:variant>
      <vt:variant>
        <vt:lpwstr>_Toc266687469</vt:lpwstr>
      </vt:variant>
      <vt:variant>
        <vt:i4>1441848</vt:i4>
      </vt:variant>
      <vt:variant>
        <vt:i4>5</vt:i4>
      </vt:variant>
      <vt:variant>
        <vt:i4>0</vt:i4>
      </vt:variant>
      <vt:variant>
        <vt:i4>5</vt:i4>
      </vt:variant>
      <vt:variant>
        <vt:lpwstr/>
      </vt:variant>
      <vt:variant>
        <vt:lpwstr>_Toc266687468</vt:lpwstr>
      </vt:variant>
      <vt:variant>
        <vt:i4>5963794</vt:i4>
      </vt:variant>
      <vt:variant>
        <vt:i4>0</vt:i4>
      </vt:variant>
      <vt:variant>
        <vt:i4>0</vt:i4>
      </vt:variant>
      <vt:variant>
        <vt:i4>5</vt:i4>
      </vt:variant>
      <vt:variant>
        <vt:lpwstr>http://eur-lex.europa.eu/LexUriServ/LexUriServ.do?uri=OJ:L:2010:153:0013:0035:DE:PDF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2010/31/EU DES EUROPÄISCHEN PARLAMENTS über die Gesamtenergieeffizienz von Gebäuden</dc:title>
  <dc:creator>Np</dc:creator>
  <cp:lastModifiedBy>Rüter, Dr., Ingo</cp:lastModifiedBy>
  <cp:revision>12</cp:revision>
  <cp:lastPrinted>2004-12-14T12:08:00Z</cp:lastPrinted>
  <dcterms:created xsi:type="dcterms:W3CDTF">2019-01-23T09:00:00Z</dcterms:created>
  <dcterms:modified xsi:type="dcterms:W3CDTF">2024-06-19T06:48:00Z</dcterms:modified>
</cp:coreProperties>
</file>