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bookmarkStart w:id="0" w:name="_Toc436101644"/>
      <w:bookmarkStart w:id="1" w:name="_Toc379270740"/>
      <w:r>
        <w:t>Richtlinie über den Brandschutz bei der Lagerung von Sekundärstoffen aus Kunststoff - Kunststofflager-Richtlinie - KL</w:t>
      </w:r>
      <w:bookmarkEnd w:id="0"/>
      <w:r>
        <w:t>R</w:t>
      </w:r>
      <w:bookmarkEnd w:id="1"/>
    </w:p>
    <w:p>
      <w:pPr>
        <w:pStyle w:val="GesAbsatz"/>
        <w:jc w:val="center"/>
      </w:pPr>
      <w:r>
        <w:t>RdErl. d. Ministeriums für Bauen und Wohnen v. 03.03.1998 II A 5 - 235</w:t>
      </w:r>
    </w:p>
    <w:p>
      <w:pPr>
        <w:pStyle w:val="GesAbsatz"/>
      </w:pPr>
      <w:hyperlink r:id="rId8" w:history="1">
        <w:r>
          <w:rPr>
            <w:rStyle w:val="Hyperlink"/>
          </w:rPr>
          <w:t>Link zur Vorschrift im SMBl. NRW. 2323:</w:t>
        </w:r>
      </w:hyperlink>
    </w:p>
    <w:p>
      <w:pPr>
        <w:pStyle w:val="GesAbsatz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Inhalt:</w:t>
      </w:r>
    </w:p>
    <w:bookmarkStart w:id="2" w:name="_Toc420896291"/>
    <w:bookmarkStart w:id="3" w:name="_Toc436101646"/>
    <w:p>
      <w:pPr>
        <w:pStyle w:val="Verzeichnis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b w:val="0"/>
          <w:bCs/>
          <w:caps w:val="0"/>
        </w:rPr>
        <w:fldChar w:fldCharType="begin"/>
      </w:r>
      <w:r>
        <w:rPr>
          <w:b w:val="0"/>
          <w:bCs/>
          <w:caps w:val="0"/>
        </w:rPr>
        <w:instrText xml:space="preserve"> TOC \o "1-3" </w:instrText>
      </w:r>
      <w:r>
        <w:rPr>
          <w:b w:val="0"/>
          <w:bCs/>
          <w:caps w:val="0"/>
        </w:rPr>
        <w:fldChar w:fldCharType="separate"/>
      </w:r>
      <w:r>
        <w:rPr>
          <w:noProof/>
        </w:rPr>
        <w:t>Kunststofflager-Richtlinie - KLR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_Toc379270740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1 Schutzziel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_Toc379270741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2 Geltungsbereich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_Toc379270742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3 Flächen für die Feuerwehr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_Toc379270743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4 Lagerung von Stoffen in Gebäuden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_Toc379270744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5 Lagerung von Stoffen im Freien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_Toc379270745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6 Lagerguthöhe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_Toc379270746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7 Tragbare Feuerlöscher</w:t>
      </w:r>
      <w:bookmarkStart w:id="4" w:name="_GoBack"/>
      <w:bookmarkEnd w:id="4"/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_Toc379270747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8 Löschwasserversorgung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_Toc379270748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>
      <w:pPr>
        <w:pStyle w:val="Verzeichnis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rPr>
          <w:noProof/>
        </w:rPr>
        <w:t>9 Betriebliche Maßnahmen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_Toc379270749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>
      <w:pPr>
        <w:pStyle w:val="GesAbsatz"/>
      </w:pPr>
      <w:r>
        <w:rPr>
          <w:rFonts w:ascii="Times New Roman" w:hAnsi="Times New Roman"/>
          <w:b/>
          <w:bCs/>
          <w:caps/>
          <w:color w:val="auto"/>
        </w:rPr>
        <w:fldChar w:fldCharType="end"/>
      </w:r>
    </w:p>
    <w:p>
      <w:pPr>
        <w:pStyle w:val="GesAbsatz"/>
        <w:ind w:left="426" w:hanging="426"/>
      </w:pPr>
      <w:r>
        <w:t>1.</w:t>
      </w:r>
      <w:r>
        <w:tab/>
        <w:t>Die Richtlinie über den Brandschutz bei der Lagerung von Sekundärstoffen aus Kunststoff - Kunststofflager-Richtlinie - KLR - wird hiermit nach § 3 Abs. 3 BauO NRW im Einvernehmen mit dem Innenministerium als Technische Baubestimmung (Richtlinie) bauaufsichtlich eingeführt.</w:t>
      </w:r>
    </w:p>
    <w:p>
      <w:pPr>
        <w:pStyle w:val="GesAbsatz"/>
        <w:ind w:left="426" w:hanging="426"/>
      </w:pPr>
      <w:r>
        <w:t>2.</w:t>
      </w:r>
      <w:r>
        <w:tab/>
        <w:t>Die Richtlinie ist als Anlage abgedruckt.</w:t>
      </w:r>
    </w:p>
    <w:p/>
    <w:p>
      <w:pPr>
        <w:pStyle w:val="GesAbsatz"/>
        <w:rPr>
          <w:b/>
          <w:sz w:val="24"/>
          <w:szCs w:val="24"/>
        </w:rPr>
      </w:pPr>
      <w:bookmarkStart w:id="5" w:name="_Toc436101645"/>
      <w:r>
        <w:rPr>
          <w:b/>
          <w:sz w:val="24"/>
          <w:szCs w:val="24"/>
        </w:rPr>
        <w:t>Richtlinie über den Brandschutz bei der Lagerung von Sekundärstoffen aus Kunststoff - Kunststofflager-Richtlinie - KLR</w:t>
      </w:r>
      <w:r>
        <w:footnoteReference w:customMarkFollows="1" w:id="1"/>
        <w:t>*)</w:t>
      </w:r>
      <w:bookmarkEnd w:id="5"/>
    </w:p>
    <w:p>
      <w:pPr>
        <w:pStyle w:val="berschrift3"/>
        <w:jc w:val="left"/>
      </w:pPr>
      <w:bookmarkStart w:id="6" w:name="_Toc379270741"/>
      <w:r>
        <w:t>1 Schutzziel</w:t>
      </w:r>
      <w:bookmarkEnd w:id="2"/>
      <w:bookmarkEnd w:id="3"/>
      <w:bookmarkEnd w:id="6"/>
    </w:p>
    <w:p>
      <w:pPr>
        <w:pStyle w:val="GesAbsatz"/>
      </w:pPr>
      <w:r>
        <w:rPr>
          <w:b/>
        </w:rPr>
        <w:t>1.1</w:t>
      </w:r>
      <w:r>
        <w:t xml:space="preserve"> Ziel dieser Richtlinie ist es, beim Brand eines Lagers für Sekundärstoffe aus Kunststoff der Ausbreitung von Feuer vorzubeugen und wirksame Löscharbeiten zu ermöglichen (§ 17 Abs. 1 BauO NRW).</w:t>
      </w:r>
    </w:p>
    <w:p>
      <w:pPr>
        <w:pStyle w:val="GesAbsatz"/>
      </w:pPr>
      <w:r>
        <w:rPr>
          <w:b/>
        </w:rPr>
        <w:t>1.2</w:t>
      </w:r>
      <w:r>
        <w:t xml:space="preserve"> Zu diesem Zweck enthält die Richtlinie abgestufte Anforderungen an:</w:t>
      </w:r>
    </w:p>
    <w:p>
      <w:pPr>
        <w:pStyle w:val="GesAbsatz"/>
      </w:pPr>
      <w:r>
        <w:t>-</w:t>
      </w:r>
      <w:r>
        <w:tab/>
        <w:t>die Größe der Flächen von Brand- und Lagerabschnitten,</w:t>
      </w:r>
    </w:p>
    <w:p>
      <w:pPr>
        <w:pStyle w:val="GesAbsatz"/>
      </w:pPr>
      <w:r>
        <w:t>-</w:t>
      </w:r>
      <w:r>
        <w:tab/>
        <w:t>die Lagerguthöhe,</w:t>
      </w:r>
    </w:p>
    <w:p>
      <w:pPr>
        <w:pStyle w:val="GesAbsatz"/>
      </w:pPr>
      <w:r>
        <w:t>-</w:t>
      </w:r>
      <w:r>
        <w:tab/>
        <w:t>die Begrenzung der Brand- und Lagerabschnitte durch Wände oder durch Freiflächen.</w:t>
      </w:r>
    </w:p>
    <w:p>
      <w:pPr>
        <w:pStyle w:val="berschrift3"/>
        <w:jc w:val="left"/>
      </w:pPr>
      <w:bookmarkStart w:id="7" w:name="_Toc420896292"/>
      <w:bookmarkStart w:id="8" w:name="_Toc436101647"/>
      <w:bookmarkStart w:id="9" w:name="_Toc379270742"/>
      <w:r>
        <w:t>2 Geltungsbereich</w:t>
      </w:r>
      <w:bookmarkEnd w:id="7"/>
      <w:bookmarkEnd w:id="8"/>
      <w:bookmarkEnd w:id="9"/>
    </w:p>
    <w:p>
      <w:pPr>
        <w:pStyle w:val="GesAbsatz"/>
      </w:pPr>
      <w:r>
        <w:t>Diese Richtlinie gilt für die Lagerung von Sekundärstoffen aus Kunststoff - nachstehend als Stoffe bezeichnet - in Lagermengen von mehr als 200 m</w:t>
      </w:r>
      <w:r>
        <w:rPr>
          <w:vertAlign w:val="superscript"/>
        </w:rPr>
        <w:t>3</w:t>
      </w:r>
      <w:r>
        <w:t xml:space="preserve"> in Form von Mono- oder Mischfraktionen in kompakter Form oder als Schüttgut, lose, in ortsfesten und ortsbeweglichen Behältern, in Lagergebäuden und im Freien.</w:t>
      </w:r>
    </w:p>
    <w:p>
      <w:pPr>
        <w:pStyle w:val="berschrift3"/>
        <w:jc w:val="left"/>
      </w:pPr>
      <w:bookmarkStart w:id="10" w:name="_Toc420896293"/>
      <w:bookmarkStart w:id="11" w:name="_Toc436101648"/>
      <w:bookmarkStart w:id="12" w:name="_Toc379270743"/>
      <w:r>
        <w:t>3 Flächen für die Feuerwehr</w:t>
      </w:r>
      <w:bookmarkEnd w:id="10"/>
      <w:bookmarkEnd w:id="11"/>
      <w:bookmarkEnd w:id="12"/>
    </w:p>
    <w:p>
      <w:pPr>
        <w:pStyle w:val="GesAbsatz"/>
      </w:pPr>
      <w:r>
        <w:t>Für den Einsatz der Feuerwehr sind auf dem Grundstück geeignete Zufahrten sowie Aufstell- und Bewegungsflächen im Einvernehmen mit der für den Brandschutz zuständigen Dienststelle herzustellen.</w:t>
      </w:r>
    </w:p>
    <w:p>
      <w:pPr>
        <w:pStyle w:val="berschrift3"/>
        <w:jc w:val="left"/>
      </w:pPr>
      <w:bookmarkStart w:id="13" w:name="_Toc420896294"/>
      <w:bookmarkStart w:id="14" w:name="_Toc436101649"/>
      <w:bookmarkStart w:id="15" w:name="_Toc379270744"/>
      <w:r>
        <w:t>4 Lagerung von Stoffen in Gebäuden</w:t>
      </w:r>
      <w:bookmarkEnd w:id="13"/>
      <w:bookmarkEnd w:id="14"/>
      <w:bookmarkEnd w:id="15"/>
    </w:p>
    <w:p>
      <w:pPr>
        <w:pStyle w:val="GesAbsatz"/>
      </w:pPr>
      <w:r>
        <w:rPr>
          <w:b/>
        </w:rPr>
        <w:t>4.1</w:t>
      </w:r>
      <w:r>
        <w:t xml:space="preserve"> Die Lagerung von Stoffen darf in Gebäuden nur in den Erdgeschossen erfolgen.</w:t>
      </w:r>
    </w:p>
    <w:p>
      <w:pPr>
        <w:pStyle w:val="GesAbsatz"/>
      </w:pPr>
      <w:r>
        <w:rPr>
          <w:b/>
        </w:rPr>
        <w:t>4.2</w:t>
      </w:r>
      <w:r>
        <w:t xml:space="preserve"> Das Lager ist durch Brandwände in Brandabschnitte von höchstens 5000 m²</w:t>
      </w:r>
      <w:r>
        <w:rPr>
          <w:position w:val="6"/>
        </w:rPr>
        <w:t xml:space="preserve"> </w:t>
      </w:r>
      <w:r>
        <w:t>zu unterteilen.</w:t>
      </w:r>
    </w:p>
    <w:p>
      <w:pPr>
        <w:pStyle w:val="GesAbsatz"/>
      </w:pPr>
      <w:r>
        <w:rPr>
          <w:b/>
        </w:rPr>
        <w:t>4.3</w:t>
      </w:r>
      <w:r>
        <w:t xml:space="preserve"> Jeder Brandabschnitt ist durch mindestens 5 m breite Freiflächen in Lagerabschnitte von höchstens 300 m² zu unterteilen.</w:t>
      </w:r>
    </w:p>
    <w:p>
      <w:pPr>
        <w:pStyle w:val="GesAbsatz"/>
      </w:pPr>
      <w:r>
        <w:rPr>
          <w:b/>
        </w:rPr>
        <w:lastRenderedPageBreak/>
        <w:t>4.4</w:t>
      </w:r>
      <w:r>
        <w:t xml:space="preserve"> In einem Brandabschnitt müssen vorhanden sein</w:t>
      </w:r>
    </w:p>
    <w:p>
      <w:pPr>
        <w:pStyle w:val="GesAbsatz"/>
        <w:ind w:left="426" w:hanging="426"/>
      </w:pPr>
      <w:r>
        <w:t>-</w:t>
      </w:r>
      <w:r>
        <w:tab/>
        <w:t>stationäre automatische Feuerlöschanlagen oder Rauchabzugsanlagen in Verbindung mit automatischen Brandmeldeanlagen, wenn der Brandabschnitt größer als 800 m² ist,</w:t>
      </w:r>
    </w:p>
    <w:p>
      <w:pPr>
        <w:pStyle w:val="GesAbsatz"/>
        <w:ind w:left="426" w:hanging="426"/>
      </w:pPr>
      <w:r>
        <w:t>-</w:t>
      </w:r>
      <w:r>
        <w:tab/>
        <w:t>stationäre automatische Feuerlöschanlagen, wenn der Brandabschnitt größer als 1600 m²</w:t>
      </w:r>
      <w:r>
        <w:rPr>
          <w:position w:val="6"/>
        </w:rPr>
        <w:t xml:space="preserve"> </w:t>
      </w:r>
      <w:r>
        <w:t>ist.</w:t>
      </w:r>
    </w:p>
    <w:p>
      <w:pPr>
        <w:pStyle w:val="berschrift3"/>
        <w:jc w:val="left"/>
      </w:pPr>
      <w:bookmarkStart w:id="16" w:name="_Toc420896295"/>
      <w:bookmarkStart w:id="17" w:name="_Toc436101650"/>
      <w:bookmarkStart w:id="18" w:name="_Toc379270745"/>
      <w:r>
        <w:t>5 Lagerung von Stoffen im Freien</w:t>
      </w:r>
      <w:bookmarkEnd w:id="16"/>
      <w:bookmarkEnd w:id="17"/>
      <w:bookmarkEnd w:id="18"/>
    </w:p>
    <w:p>
      <w:pPr>
        <w:pStyle w:val="GesAbsatz"/>
      </w:pPr>
      <w:r>
        <w:rPr>
          <w:b/>
        </w:rPr>
        <w:t>5.1</w:t>
      </w:r>
      <w:r>
        <w:t xml:space="preserve"> Als Lagerung von Stoffen im Freien gilt auch eine Lagerung innerhalb eines Brandabschnitts mit einem Dach, wenn</w:t>
      </w:r>
    </w:p>
    <w:p>
      <w:pPr>
        <w:pStyle w:val="GesAbsatz"/>
        <w:ind w:left="426" w:hanging="426"/>
      </w:pPr>
      <w:r>
        <w:t>-</w:t>
      </w:r>
      <w:r>
        <w:tab/>
        <w:t>die zulässige Lagerguthöhe durchgehend mindestens 2,5 m unterhalb der Unterkante des niedrigsten Teils des Dachs endet,</w:t>
      </w:r>
    </w:p>
    <w:p>
      <w:pPr>
        <w:pStyle w:val="GesAbsatz"/>
      </w:pPr>
      <w:r>
        <w:t>-</w:t>
      </w:r>
      <w:r>
        <w:tab/>
        <w:t>der Brandabschnitt an mindestens zwei sich gegenüberliegenden Seiten vollflächig offen ist und</w:t>
      </w:r>
    </w:p>
    <w:p>
      <w:pPr>
        <w:pStyle w:val="GesAbsatz"/>
        <w:ind w:left="426" w:hanging="426"/>
      </w:pPr>
      <w:r>
        <w:t>-</w:t>
      </w:r>
      <w:r>
        <w:tab/>
        <w:t>die übrigen Seiten des Brandabschnitts, die nicht vollflächig offen sind, eine Länge von höchstens 45 m haben.</w:t>
      </w:r>
    </w:p>
    <w:p>
      <w:pPr>
        <w:pStyle w:val="GesAbsatz"/>
      </w:pPr>
      <w:r>
        <w:rPr>
          <w:b/>
        </w:rPr>
        <w:t>5.2</w:t>
      </w:r>
      <w:r>
        <w:t xml:space="preserve"> Das Lager ist durch mindestens 10 m breite, nicht überdachte Freiflächen oder durch feuerbeständige Wände aus nichtbrennbaren Baustoffen in Brandabschnitte von höchstens 2000 m²</w:t>
      </w:r>
      <w:r>
        <w:rPr>
          <w:position w:val="6"/>
        </w:rPr>
        <w:t xml:space="preserve"> </w:t>
      </w:r>
      <w:r>
        <w:t>zu unterteilen. Die Wände sind</w:t>
      </w:r>
    </w:p>
    <w:p>
      <w:pPr>
        <w:pStyle w:val="GesAbsatz"/>
        <w:ind w:left="426" w:hanging="426"/>
      </w:pPr>
      <w:r>
        <w:t>-</w:t>
      </w:r>
      <w:r>
        <w:tab/>
        <w:t>bei Brandabschnitten ohne Dächer mindestens 1 m über die zulässige Lagerguthöhe,</w:t>
      </w:r>
    </w:p>
    <w:p>
      <w:pPr>
        <w:pStyle w:val="GesAbsatz"/>
        <w:ind w:left="426" w:hanging="426"/>
      </w:pPr>
      <w:r>
        <w:t>-</w:t>
      </w:r>
      <w:r>
        <w:tab/>
        <w:t>bei Brandabschnitten mit Dächern nach Abschnitt 5.1 aus nichtbrennbaren Baustoffen bis unter die Dachhaut,</w:t>
      </w:r>
    </w:p>
    <w:p>
      <w:pPr>
        <w:pStyle w:val="GesAbsatz"/>
        <w:ind w:left="426" w:hanging="426"/>
      </w:pPr>
      <w:r>
        <w:t>-</w:t>
      </w:r>
      <w:r>
        <w:tab/>
        <w:t>bei Brandabschnitten mit Dächern nach Abschnitt 5.1 aus brennbaren Baustoffen mindestens 1 m über Dach</w:t>
      </w:r>
    </w:p>
    <w:p>
      <w:pPr>
        <w:pStyle w:val="GesAbsatz"/>
      </w:pPr>
      <w:r>
        <w:t>zu führen.</w:t>
      </w:r>
    </w:p>
    <w:p>
      <w:pPr>
        <w:pStyle w:val="GesAbsatz"/>
      </w:pPr>
      <w:r>
        <w:rPr>
          <w:b/>
        </w:rPr>
        <w:t>5.3</w:t>
      </w:r>
      <w:r>
        <w:t xml:space="preserve"> Jeder Brandabschnitt ist durch mindestens 5 m breite Freiflächen oder durch feuerbeständige Wände aus nichtbrennbaren Baustoffen in Lagerabschnitte von höchstens 400 m²</w:t>
      </w:r>
      <w:r>
        <w:rPr>
          <w:position w:val="6"/>
        </w:rPr>
        <w:t xml:space="preserve"> </w:t>
      </w:r>
      <w:r>
        <w:t>zu unterteilen. Die Wände sind mindestens 0,5 m über die zulässige Lagerguthöhe zu führen.</w:t>
      </w:r>
    </w:p>
    <w:p>
      <w:pPr>
        <w:pStyle w:val="GesAbsatz"/>
      </w:pPr>
      <w:r>
        <w:rPr>
          <w:b/>
        </w:rPr>
        <w:t>5.4</w:t>
      </w:r>
      <w:r>
        <w:t xml:space="preserve"> Brand- und Lagerabschnitte dürfen folgende Lagertiefen nicht überschreiten:</w:t>
      </w:r>
    </w:p>
    <w:p>
      <w:pPr>
        <w:pStyle w:val="GesAbsatz"/>
        <w:ind w:left="426" w:hanging="426"/>
      </w:pPr>
      <w:r>
        <w:t>-</w:t>
      </w:r>
      <w:r>
        <w:tab/>
        <w:t xml:space="preserve">40 m, wenn zwei sich gegenüberliegende Seiten für die Brandbekämpfung frei zugänglich sind, </w:t>
      </w:r>
    </w:p>
    <w:p>
      <w:pPr>
        <w:pStyle w:val="GesAbsatz"/>
        <w:ind w:left="426" w:hanging="426"/>
      </w:pPr>
      <w:r>
        <w:t>-</w:t>
      </w:r>
      <w:r>
        <w:tab/>
        <w:t>20 m, wenn nur eine Seite für die Brandbekämpfung zugänglich ist.</w:t>
      </w:r>
    </w:p>
    <w:p>
      <w:pPr>
        <w:pStyle w:val="GesAbsatz"/>
      </w:pPr>
      <w:r>
        <w:rPr>
          <w:b/>
        </w:rPr>
        <w:t>5.5</w:t>
      </w:r>
      <w:r>
        <w:t xml:space="preserve"> Lager im Freien müssen von den Grundstücksgrenzen einen Abstand von mindestens 10 m einhalten oder gegenüber Grundstücksgrenzen feuerbeständige Wände aus nichtbrennbaren Baustoffen ohne Öffnungen bis mindestens 1 m über der zulässigen Lagerguthöhe haben.</w:t>
      </w:r>
    </w:p>
    <w:p>
      <w:pPr>
        <w:pStyle w:val="berschrift3"/>
        <w:jc w:val="left"/>
      </w:pPr>
      <w:bookmarkStart w:id="19" w:name="_Toc420896296"/>
      <w:bookmarkStart w:id="20" w:name="_Toc436101651"/>
      <w:bookmarkStart w:id="21" w:name="_Toc379270746"/>
      <w:r>
        <w:t>6 Lagerguthöhe</w:t>
      </w:r>
      <w:bookmarkEnd w:id="19"/>
      <w:bookmarkEnd w:id="20"/>
      <w:bookmarkEnd w:id="21"/>
    </w:p>
    <w:p>
      <w:pPr>
        <w:pStyle w:val="GesAbsatz"/>
      </w:pPr>
      <w:r>
        <w:t>Die Lagerguthöhe darf bei Schüttung 5 m, bei Blocklagerung 4 m nicht überschreiten.</w:t>
      </w:r>
    </w:p>
    <w:p>
      <w:pPr>
        <w:pStyle w:val="GesAbsatz"/>
      </w:pPr>
      <w:r>
        <w:t>Die zulässigen Lagerguthöhen sind deutlich sichtbar auszuschildern.</w:t>
      </w:r>
    </w:p>
    <w:p>
      <w:pPr>
        <w:pStyle w:val="berschrift3"/>
        <w:jc w:val="left"/>
      </w:pPr>
      <w:bookmarkStart w:id="22" w:name="_Toc420896297"/>
      <w:bookmarkStart w:id="23" w:name="_Toc436101652"/>
      <w:bookmarkStart w:id="24" w:name="_Toc379270747"/>
      <w:r>
        <w:t>7 Tragbare Feuerlöscher</w:t>
      </w:r>
      <w:bookmarkEnd w:id="22"/>
      <w:bookmarkEnd w:id="23"/>
      <w:bookmarkEnd w:id="24"/>
    </w:p>
    <w:p>
      <w:pPr>
        <w:pStyle w:val="GesAbsatz"/>
      </w:pPr>
      <w:r>
        <w:t>Zur Bekämpfung von Entstehungsbränden müssen geeignete Feuerlöscher in ausreichender Zahl vorhanden sein.</w:t>
      </w:r>
    </w:p>
    <w:p>
      <w:pPr>
        <w:pStyle w:val="berschrift3"/>
        <w:jc w:val="left"/>
      </w:pPr>
      <w:bookmarkStart w:id="25" w:name="_Toc420896298"/>
      <w:bookmarkStart w:id="26" w:name="_Toc436101653"/>
      <w:bookmarkStart w:id="27" w:name="_Toc379270748"/>
      <w:r>
        <w:t>8 Löschwasserversorgung</w:t>
      </w:r>
      <w:bookmarkEnd w:id="25"/>
      <w:bookmarkEnd w:id="26"/>
      <w:bookmarkEnd w:id="27"/>
    </w:p>
    <w:p>
      <w:pPr>
        <w:pStyle w:val="GesAbsatz"/>
      </w:pPr>
      <w:r>
        <w:t>Für die Brandbekämpfung muß Löschwasser in einer Menge von mindestens 96 m³/Std. über einen Zeitraum von mindestens 2 Stunden zur Verfügung stehen. Die für den Brandschutz zuständige Dienststelle kann eine größere Löschwassermenge verlangen, wenn dies erforderlich ist.</w:t>
      </w:r>
    </w:p>
    <w:p>
      <w:pPr>
        <w:pStyle w:val="berschrift3"/>
        <w:jc w:val="left"/>
      </w:pPr>
      <w:bookmarkStart w:id="28" w:name="_Toc420896299"/>
      <w:bookmarkStart w:id="29" w:name="_Toc436101654"/>
      <w:bookmarkStart w:id="30" w:name="_Toc379270749"/>
      <w:r>
        <w:t>9 Betriebliche Maßnahmen</w:t>
      </w:r>
      <w:bookmarkEnd w:id="28"/>
      <w:bookmarkEnd w:id="29"/>
      <w:bookmarkEnd w:id="30"/>
    </w:p>
    <w:p>
      <w:pPr>
        <w:pStyle w:val="GesAbsatz"/>
      </w:pPr>
      <w:r>
        <w:rPr>
          <w:b/>
        </w:rPr>
        <w:t>9.1</w:t>
      </w:r>
      <w:r>
        <w:t xml:space="preserve"> Auf dem Grundstück muß ein Fernmeldehauptanschluß vorhanden sein.</w:t>
      </w:r>
    </w:p>
    <w:p>
      <w:pPr>
        <w:pStyle w:val="GesAbsatz"/>
      </w:pPr>
      <w:r>
        <w:rPr>
          <w:b/>
        </w:rPr>
        <w:t>9.2</w:t>
      </w:r>
      <w:r>
        <w:t xml:space="preserve"> Im Einvernehmen mit der für den Brandschutz zuständigen Dienststelle sind Feuerwehrpläne anzufertigen und der örtlichen Feuerwehr zur Verfügung zu stellen.</w:t>
      </w: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p>
      <w:pPr>
        <w:pStyle w:val="GesAbsatz"/>
      </w:pPr>
      <w:r>
        <w:t xml:space="preserve">Suchbegriffe:  Kunststofflager  Lagerrichtlinie  Kunststoffe  </w:t>
      </w:r>
    </w:p>
    <w:p>
      <w:pPr>
        <w:pStyle w:val="GesAbsatz"/>
      </w:pPr>
    </w:p>
    <w:sectPr>
      <w:headerReference w:type="default" r:id="rId9"/>
      <w:footerReference w:type="even" r:id="rId10"/>
      <w:footerReference w:type="default" r:id="rId11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ab/>
      <w:t>Stand 03.03.1998 (MBl. NRW. S. 384 / SMBl. NRW. 2323)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</w:pPr>
      <w:r>
        <w:rPr>
          <w:rStyle w:val="Funotenzeichen"/>
        </w:rPr>
        <w:t>*)</w:t>
      </w:r>
      <w:r>
        <w:tab/>
        <w:t>Die Verpflichtung aus der Richtlinie 83/189/EWG des Rates vom 28. März 1983 über ein Informationsverfahren auf dem Gebiet der Normen und technischen Vorschriften (Abl. EG Nr. L 109 S. 8), zuletzt geändert durch die Richtlinie 94/10/EG des Europäischen Parlaments und des Rates vom 23. März 1994 (Abl. EG Nr. L 100 S. 30) sind beachtet worden.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100.7-09</w:t>
    </w:r>
  </w:p>
  <w:p>
    <w:pPr>
      <w:pStyle w:val="Kopfzeile"/>
    </w:pPr>
    <w:r>
      <w:t>KLR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D5ED7D2"/>
    <w:lvl w:ilvl="0">
      <w:numFmt w:val="decimal"/>
      <w:lvlText w:val="*"/>
      <w:lvlJc w:val="left"/>
    </w:lvl>
  </w:abstractNum>
  <w:abstractNum w:abstractNumId="1" w15:restartNumberingAfterBreak="0">
    <w:nsid w:val="7907648A"/>
    <w:multiLevelType w:val="singleLevel"/>
    <w:tmpl w:val="AE9C05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AAE5E3-458B-40AD-8B7C-F0E59749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link w:val="berschrift5Zchn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paragraph" w:styleId="Verzeichnis2">
    <w:name w:val="toc 2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uiPriority w:val="39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uiPriority w:val="39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  <w:style w:type="character" w:styleId="Seitenzahl">
    <w:name w:val="page number"/>
    <w:rPr>
      <w:rFonts w:ascii="Arial" w:hAnsi="Arial"/>
      <w:sz w:val="16"/>
    </w:rPr>
  </w:style>
  <w:style w:type="character" w:customStyle="1" w:styleId="berschrift5Zchn">
    <w:name w:val="Überschrift 5 Zchn"/>
    <w:basedOn w:val="Absatz-Standardschriftart"/>
    <w:link w:val="berschrift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bes_text?anw_nr=1&amp;gld_nr=2&amp;ugl_nr=2323&amp;bes_id=1643&amp;val=1643&amp;ver=7&amp;sg=0&amp;aufgehoben=N&amp;menu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DB0BE-0622-4BC6-A9DC-DAA08085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3</Pages>
  <Words>740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Kunststofflager-Richtlinie - KRL</vt:lpstr>
    </vt:vector>
  </TitlesOfParts>
  <Company>LANUV NRW</Company>
  <LinksUpToDate>false</LinksUpToDate>
  <CharactersWithSpaces>5716</CharactersWithSpaces>
  <SharedDoc>false</SharedDoc>
  <HLinks>
    <vt:vector size="6" baseType="variant">
      <vt:variant>
        <vt:i4>5111820</vt:i4>
      </vt:variant>
      <vt:variant>
        <vt:i4>0</vt:i4>
      </vt:variant>
      <vt:variant>
        <vt:i4>0</vt:i4>
      </vt:variant>
      <vt:variant>
        <vt:i4>5</vt:i4>
      </vt:variant>
      <vt:variant>
        <vt:lpwstr>https://recht.nrw.de/lmi/owa/br_bes_text?anw_nr=1&amp;gld_nr=2&amp;ugl_nr=2323&amp;bes_id=1643&amp;val=1643&amp;ver=7&amp;sg=0&amp;aufgehoben=N&amp;menu=1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Kunststofflager-Richtlinie - KRL</dc:title>
  <dc:subject/>
  <dc:creator>LANUV NRW</dc:creator>
  <cp:keywords/>
  <dc:description>durchgesehen 9.2005</dc:description>
  <cp:lastModifiedBy>Rüter, Dr., Ingo</cp:lastModifiedBy>
  <cp:revision>6</cp:revision>
  <cp:lastPrinted>2253-06-25T01:07:00Z</cp:lastPrinted>
  <dcterms:created xsi:type="dcterms:W3CDTF">2014-02-04T08:51:00Z</dcterms:created>
  <dcterms:modified xsi:type="dcterms:W3CDTF">2024-06-19T08:14:00Z</dcterms:modified>
</cp:coreProperties>
</file>